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937" w:beforeLines="300" w:after="780" w:afterLines="250" w:line="480" w:lineRule="auto"/>
        <w:ind w:left="315" w:leftChars="150"/>
        <w:jc w:val="center"/>
        <w:textAlignment w:val="auto"/>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936" w:beforeLines="300" w:line="640" w:lineRule="exact"/>
        <w:ind w:firstLine="0" w:firstLineChars="0"/>
        <w:textAlignment w:val="auto"/>
        <w:outlineLvl w:val="9"/>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w:t>
      </w:r>
      <w:r>
        <w:rPr>
          <w:rFonts w:hint="eastAsia" w:ascii="宋体" w:hAnsi="宋体" w:eastAsia="宋体"/>
          <w:b/>
          <w:color w:val="auto"/>
          <w:sz w:val="35"/>
          <w:szCs w:val="35"/>
          <w:highlight w:val="none"/>
        </w:rPr>
        <w:t>ZHDGZC2025014</w:t>
      </w:r>
    </w:p>
    <w:p w14:paraId="6CB17377">
      <w:pPr>
        <w:pStyle w:val="74"/>
        <w:keepNext w:val="0"/>
        <w:keepLines w:val="0"/>
        <w:pageBreakBefore w:val="0"/>
        <w:widowControl/>
        <w:kinsoku/>
        <w:wordWrap/>
        <w:overflowPunct/>
        <w:topLinePunct w:val="0"/>
        <w:autoSpaceDE/>
        <w:autoSpaceDN/>
        <w:bidi w:val="0"/>
        <w:adjustRightInd/>
        <w:snapToGrid/>
        <w:spacing w:line="640" w:lineRule="exact"/>
        <w:ind w:left="1757" w:hanging="1757" w:hangingChars="500"/>
        <w:textAlignment w:val="auto"/>
        <w:outlineLvl w:val="9"/>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东莞市公安局道滘分局2025-2026年度电子警察及道路交通信号灯运维项目</w:t>
      </w:r>
    </w:p>
    <w:p w14:paraId="6EA77B76">
      <w:pPr>
        <w:pStyle w:val="74"/>
        <w:keepNext w:val="0"/>
        <w:keepLines w:val="0"/>
        <w:pageBreakBefore w:val="0"/>
        <w:widowControl/>
        <w:kinsoku/>
        <w:wordWrap/>
        <w:overflowPunct/>
        <w:topLinePunct w:val="0"/>
        <w:autoSpaceDE/>
        <w:autoSpaceDN/>
        <w:bidi w:val="0"/>
        <w:adjustRightInd/>
        <w:snapToGrid/>
        <w:spacing w:line="640" w:lineRule="exact"/>
        <w:ind w:firstLine="0" w:firstLineChars="0"/>
        <w:textAlignment w:val="auto"/>
        <w:outlineLvl w:val="9"/>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东莞市公安局道滘分局</w:t>
      </w:r>
    </w:p>
    <w:p w14:paraId="2A3858FA">
      <w:pPr>
        <w:pStyle w:val="74"/>
        <w:keepNext w:val="0"/>
        <w:keepLines w:val="0"/>
        <w:pageBreakBefore w:val="0"/>
        <w:widowControl/>
        <w:kinsoku/>
        <w:wordWrap/>
        <w:overflowPunct/>
        <w:topLinePunct w:val="0"/>
        <w:autoSpaceDE/>
        <w:autoSpaceDN/>
        <w:bidi w:val="0"/>
        <w:adjustRightInd/>
        <w:snapToGrid/>
        <w:spacing w:line="640" w:lineRule="exact"/>
        <w:ind w:firstLine="0" w:firstLineChars="0"/>
        <w:textAlignment w:val="auto"/>
        <w:outlineLvl w:val="9"/>
        <w:rPr>
          <w:rFonts w:hint="default" w:ascii="宋体" w:hAnsi="宋体" w:eastAsia="宋体"/>
          <w:b/>
          <w:color w:val="auto"/>
          <w:sz w:val="36"/>
          <w:szCs w:val="24"/>
          <w:highlight w:val="none"/>
          <w:lang w:val="en-US" w:eastAsia="zh-CN"/>
        </w:rPr>
      </w:pPr>
      <w:r>
        <w:rPr>
          <w:rFonts w:ascii="宋体" w:hAnsi="宋体" w:eastAsia="宋体"/>
          <w:b/>
          <w:color w:val="auto"/>
          <w:sz w:val="35"/>
          <w:szCs w:val="35"/>
          <w:highlight w:val="none"/>
        </w:rPr>
        <w:t>采购代理机构：广东智汇城市招标采购有限公司</w:t>
      </w:r>
      <w:r>
        <w:rPr>
          <w:rFonts w:hint="eastAsia" w:ascii="宋体" w:hAnsi="宋体" w:eastAsia="宋体"/>
          <w:b/>
          <w:color w:val="auto"/>
          <w:sz w:val="35"/>
          <w:szCs w:val="35"/>
          <w:highlight w:val="none"/>
          <w:lang w:val="en-US" w:eastAsia="zh-CN"/>
        </w:rPr>
        <w:t>东莞分公司</w:t>
      </w: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asciiTheme="minorEastAsia" w:hAnsiTheme="minorEastAsia" w:eastAsiaTheme="minorEastAsia" w:cstheme="minorBidi"/>
          <w:b w:val="0"/>
          <w:bCs w:val="0"/>
          <w:color w:val="auto"/>
          <w:kern w:val="0"/>
          <w:sz w:val="22"/>
          <w:szCs w:val="22"/>
          <w:highlight w:val="none"/>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TOC \o "1-3" \h \z \u </w:instrText>
          </w:r>
          <w:r>
            <w:rPr>
              <w:rStyle w:val="28"/>
              <w:rFonts w:ascii="宋体" w:hAnsi="宋体" w:eastAsia="宋体"/>
              <w:color w:val="auto"/>
              <w:spacing w:val="20"/>
              <w:sz w:val="24"/>
              <w:szCs w:val="24"/>
              <w:highlight w:val="none"/>
            </w:rPr>
            <w:fldChar w:fldCharType="separate"/>
          </w:r>
          <w:r>
            <w:rPr>
              <w:color w:val="auto"/>
              <w:highlight w:val="none"/>
            </w:rPr>
            <w:fldChar w:fldCharType="begin"/>
          </w:r>
          <w:r>
            <w:rPr>
              <w:color w:val="auto"/>
              <w:highlight w:val="none"/>
            </w:rPr>
            <w:instrText xml:space="preserve"> HYPERLINK \l "_Toc170228128" </w:instrText>
          </w:r>
          <w:r>
            <w:rPr>
              <w:color w:val="auto"/>
              <w:highlight w:val="none"/>
            </w:rPr>
            <w:fldChar w:fldCharType="separate"/>
          </w:r>
          <w:r>
            <w:rPr>
              <w:rStyle w:val="28"/>
              <w:rFonts w:ascii="宋体" w:hAnsi="宋体" w:eastAsia="宋体"/>
              <w:color w:val="auto"/>
              <w:spacing w:val="20"/>
              <w:sz w:val="24"/>
              <w:szCs w:val="24"/>
              <w:highlight w:val="none"/>
            </w:rPr>
            <w:t>第一章 磋商邀请</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_Toc170228128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2</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"_Toc170228129" </w:instrText>
          </w:r>
          <w:r>
            <w:rPr>
              <w:color w:val="auto"/>
              <w:highlight w:val="none"/>
            </w:rPr>
            <w:fldChar w:fldCharType="separate"/>
          </w:r>
          <w:r>
            <w:rPr>
              <w:rStyle w:val="28"/>
              <w:rFonts w:ascii="宋体" w:hAnsi="宋体" w:eastAsia="宋体"/>
              <w:color w:val="auto"/>
              <w:spacing w:val="20"/>
              <w:sz w:val="24"/>
              <w:szCs w:val="24"/>
              <w:highlight w:val="none"/>
            </w:rPr>
            <w:t>第二章 采购需求</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_Toc170228129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6</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"_Toc170228130" </w:instrText>
          </w:r>
          <w:r>
            <w:rPr>
              <w:color w:val="auto"/>
              <w:highlight w:val="none"/>
            </w:rPr>
            <w:fldChar w:fldCharType="separate"/>
          </w:r>
          <w:r>
            <w:rPr>
              <w:rStyle w:val="28"/>
              <w:rFonts w:ascii="宋体" w:hAnsi="宋体" w:eastAsia="宋体"/>
              <w:color w:val="auto"/>
              <w:spacing w:val="20"/>
              <w:sz w:val="24"/>
              <w:szCs w:val="24"/>
              <w:highlight w:val="none"/>
            </w:rPr>
            <w:t>第三章 磋商须知</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_Toc170228130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22</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"_Toc170228131" </w:instrText>
          </w:r>
          <w:r>
            <w:rPr>
              <w:color w:val="auto"/>
              <w:highlight w:val="none"/>
            </w:rPr>
            <w:fldChar w:fldCharType="separate"/>
          </w:r>
          <w:r>
            <w:rPr>
              <w:rStyle w:val="28"/>
              <w:rFonts w:ascii="宋体" w:hAnsi="宋体" w:eastAsia="宋体"/>
              <w:color w:val="auto"/>
              <w:spacing w:val="20"/>
              <w:sz w:val="24"/>
              <w:szCs w:val="24"/>
              <w:highlight w:val="none"/>
            </w:rPr>
            <w:t>第四章 评审</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_Toc170228131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33</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"_Toc170228132" </w:instrText>
          </w:r>
          <w:r>
            <w:rPr>
              <w:color w:val="auto"/>
              <w:highlight w:val="none"/>
            </w:rPr>
            <w:fldChar w:fldCharType="separate"/>
          </w:r>
          <w:r>
            <w:rPr>
              <w:rStyle w:val="28"/>
              <w:rFonts w:ascii="宋体" w:hAnsi="宋体" w:eastAsia="宋体"/>
              <w:color w:val="auto"/>
              <w:spacing w:val="20"/>
              <w:sz w:val="24"/>
              <w:szCs w:val="24"/>
              <w:highlight w:val="none"/>
            </w:rPr>
            <w:t>第五章 合同文本</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_Toc170228132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43</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color w:val="auto"/>
              <w:spacing w:val="20"/>
              <w:sz w:val="24"/>
              <w:szCs w:val="24"/>
              <w:highlight w:val="none"/>
            </w:rPr>
          </w:pPr>
          <w:r>
            <w:rPr>
              <w:color w:val="auto"/>
              <w:highlight w:val="none"/>
            </w:rPr>
            <w:fldChar w:fldCharType="begin"/>
          </w:r>
          <w:r>
            <w:rPr>
              <w:color w:val="auto"/>
              <w:highlight w:val="none"/>
            </w:rPr>
            <w:instrText xml:space="preserve"> HYPERLINK \l "_Toc170228133" </w:instrText>
          </w:r>
          <w:r>
            <w:rPr>
              <w:color w:val="auto"/>
              <w:highlight w:val="none"/>
            </w:rPr>
            <w:fldChar w:fldCharType="separate"/>
          </w:r>
          <w:r>
            <w:rPr>
              <w:rStyle w:val="28"/>
              <w:rFonts w:ascii="宋体" w:hAnsi="宋体" w:eastAsia="宋体"/>
              <w:color w:val="auto"/>
              <w:spacing w:val="20"/>
              <w:sz w:val="24"/>
              <w:szCs w:val="24"/>
              <w:highlight w:val="none"/>
            </w:rPr>
            <w:t>第六章 响应文件格式</w:t>
          </w:r>
          <w:r>
            <w:rPr>
              <w:rStyle w:val="28"/>
              <w:rFonts w:ascii="宋体" w:hAnsi="宋体" w:eastAsia="宋体"/>
              <w:color w:val="auto"/>
              <w:spacing w:val="20"/>
              <w:sz w:val="24"/>
              <w:szCs w:val="24"/>
              <w:highlight w:val="none"/>
            </w:rPr>
            <w:tab/>
          </w:r>
          <w:r>
            <w:rPr>
              <w:rStyle w:val="28"/>
              <w:rFonts w:ascii="宋体" w:hAnsi="宋体" w:eastAsia="宋体"/>
              <w:color w:val="auto"/>
              <w:spacing w:val="20"/>
              <w:sz w:val="24"/>
              <w:szCs w:val="24"/>
              <w:highlight w:val="none"/>
            </w:rPr>
            <w:fldChar w:fldCharType="begin"/>
          </w:r>
          <w:r>
            <w:rPr>
              <w:rStyle w:val="28"/>
              <w:rFonts w:ascii="宋体" w:hAnsi="宋体" w:eastAsia="宋体"/>
              <w:color w:val="auto"/>
              <w:spacing w:val="20"/>
              <w:sz w:val="24"/>
              <w:szCs w:val="24"/>
              <w:highlight w:val="none"/>
            </w:rPr>
            <w:instrText xml:space="preserve"> PAGEREF _Toc170228133 \h </w:instrText>
          </w:r>
          <w:r>
            <w:rPr>
              <w:rStyle w:val="28"/>
              <w:rFonts w:ascii="宋体" w:hAnsi="宋体" w:eastAsia="宋体"/>
              <w:color w:val="auto"/>
              <w:spacing w:val="20"/>
              <w:sz w:val="24"/>
              <w:szCs w:val="24"/>
              <w:highlight w:val="none"/>
            </w:rPr>
            <w:fldChar w:fldCharType="separate"/>
          </w:r>
          <w:r>
            <w:rPr>
              <w:rStyle w:val="28"/>
              <w:rFonts w:ascii="宋体" w:hAnsi="宋体" w:eastAsia="宋体"/>
              <w:color w:val="auto"/>
              <w:spacing w:val="20"/>
              <w:sz w:val="24"/>
              <w:szCs w:val="24"/>
              <w:highlight w:val="none"/>
            </w:rPr>
            <w:t>60</w:t>
          </w:r>
          <w:r>
            <w:rPr>
              <w:rStyle w:val="28"/>
              <w:rFonts w:ascii="宋体" w:hAnsi="宋体" w:eastAsia="宋体"/>
              <w:color w:val="auto"/>
              <w:spacing w:val="20"/>
              <w:sz w:val="24"/>
              <w:szCs w:val="24"/>
              <w:highlight w:val="none"/>
            </w:rPr>
            <w:fldChar w:fldCharType="end"/>
          </w:r>
          <w:r>
            <w:rPr>
              <w:rStyle w:val="28"/>
              <w:rFonts w:ascii="宋体" w:hAnsi="宋体" w:eastAsia="宋体"/>
              <w:color w:val="auto"/>
              <w:spacing w:val="20"/>
              <w:sz w:val="24"/>
              <w:szCs w:val="24"/>
              <w:highlight w:val="none"/>
            </w:rPr>
            <w:fldChar w:fldCharType="end"/>
          </w:r>
        </w:p>
        <w:p w14:paraId="636ADDE6">
          <w:pPr>
            <w:pStyle w:val="15"/>
            <w:tabs>
              <w:tab w:val="right" w:leader="dot" w:pos="9070"/>
              <w:tab w:val="clear" w:pos="8273"/>
            </w:tabs>
            <w:rPr>
              <w:rFonts w:asciiTheme="minorEastAsia" w:hAnsiTheme="minorEastAsia" w:eastAsiaTheme="minorEastAsia"/>
              <w:color w:val="auto"/>
              <w:highlight w:val="none"/>
              <w:lang w:val="zh-CN"/>
            </w:rPr>
          </w:pPr>
          <w:r>
            <w:rPr>
              <w:rStyle w:val="28"/>
              <w:rFonts w:ascii="宋体" w:hAnsi="宋体" w:eastAsia="宋体"/>
              <w:color w:val="auto"/>
              <w:spacing w:val="20"/>
              <w:sz w:val="24"/>
              <w:szCs w:val="24"/>
              <w:highlight w:val="none"/>
            </w:rPr>
            <w:fldChar w:fldCharType="end"/>
          </w:r>
        </w:p>
      </w:sdtContent>
    </w:sdt>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516661492"/>
      <w:bookmarkStart w:id="1" w:name="_Toc170228128"/>
      <w:bookmarkStart w:id="2" w:name="_Toc503257147"/>
      <w:bookmarkStart w:id="3" w:name="_Toc405313952"/>
      <w:r>
        <w:rPr>
          <w:rFonts w:hint="eastAsia" w:asciiTheme="minorEastAsia" w:hAnsiTheme="minorEastAsia" w:eastAsiaTheme="minorEastAsia"/>
          <w:color w:val="auto"/>
          <w:spacing w:val="20"/>
          <w:sz w:val="32"/>
          <w:szCs w:val="32"/>
          <w:highlight w:val="none"/>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lang w:eastAsia="zh-CN"/>
        </w:rPr>
        <w:t>东莞市公安局道滘分局2025-2026年度电子警察及道路交通信号灯运维项目</w:t>
      </w:r>
      <w:r>
        <w:rPr>
          <w:rFonts w:hint="eastAsia" w:asciiTheme="minorEastAsia" w:hAnsiTheme="minorEastAsia" w:eastAsiaTheme="minorEastAsia"/>
          <w:color w:val="auto"/>
          <w:szCs w:val="21"/>
          <w:highlight w:val="none"/>
        </w:rPr>
        <w:t>的潜在供应商应在东莞市南城街道雅园产业园区路5号1栋1楼或微信搜索公众号“广东智汇城市招标采购有限公司”获取采购文件，并于</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u w:val="singl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项目编号：ZHDGZC2025014</w:t>
      </w:r>
    </w:p>
    <w:p w14:paraId="0A32BCFC">
      <w:pPr>
        <w:tabs>
          <w:tab w:val="left" w:pos="426"/>
        </w:tabs>
        <w:spacing w:line="360" w:lineRule="auto"/>
        <w:ind w:left="420" w:hanging="420" w:hangingChars="20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项目名称：</w:t>
      </w:r>
      <w:r>
        <w:rPr>
          <w:rFonts w:hint="eastAsia" w:asciiTheme="minorEastAsia" w:hAnsiTheme="minorEastAsia" w:eastAsiaTheme="minorEastAsia"/>
          <w:color w:val="auto"/>
          <w:szCs w:val="21"/>
          <w:highlight w:val="none"/>
          <w:lang w:eastAsia="zh-CN"/>
        </w:rPr>
        <w:t>东莞市公安局道滘分局2025-2026年度电子警察及道路交通信号灯运维项目</w:t>
      </w:r>
    </w:p>
    <w:p w14:paraId="5788C160">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预算金额：399,628.50元</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64A58CD">
            <w:pPr>
              <w:jc w:val="center"/>
              <w:rPr>
                <w:rFonts w:asciiTheme="minorEastAsia" w:hAnsiTheme="minorEastAsia" w:eastAsiaTheme="minorEastAsia"/>
                <w:b/>
                <w:bCs w:val="0"/>
                <w:color w:val="auto"/>
                <w:szCs w:val="21"/>
                <w:highlight w:val="none"/>
              </w:rPr>
            </w:pPr>
            <w:r>
              <w:rPr>
                <w:rFonts w:hint="eastAsia" w:asciiTheme="minorEastAsia" w:hAnsiTheme="minorEastAsia" w:eastAsiaTheme="minorEastAsia"/>
                <w:b/>
                <w:bCs w:val="0"/>
                <w:color w:val="auto"/>
                <w:szCs w:val="21"/>
                <w:highlight w:val="none"/>
              </w:rPr>
              <w:t>序号</w:t>
            </w:r>
          </w:p>
        </w:tc>
        <w:tc>
          <w:tcPr>
            <w:tcW w:w="1616" w:type="pct"/>
            <w:vAlign w:val="center"/>
          </w:tcPr>
          <w:p w14:paraId="0D3D7A5B">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标的名称</w:t>
            </w:r>
          </w:p>
        </w:tc>
        <w:tc>
          <w:tcPr>
            <w:tcW w:w="1122" w:type="pct"/>
            <w:vAlign w:val="center"/>
          </w:tcPr>
          <w:p w14:paraId="0A8BAC49">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预算金额（元）</w:t>
            </w:r>
          </w:p>
        </w:tc>
        <w:tc>
          <w:tcPr>
            <w:tcW w:w="458" w:type="pct"/>
            <w:vAlign w:val="center"/>
          </w:tcPr>
          <w:p w14:paraId="2B5D1AFA">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数量</w:t>
            </w:r>
          </w:p>
        </w:tc>
        <w:tc>
          <w:tcPr>
            <w:tcW w:w="412" w:type="pct"/>
            <w:vAlign w:val="center"/>
          </w:tcPr>
          <w:p w14:paraId="44B8A416">
            <w:pPr>
              <w:jc w:val="center"/>
              <w:rPr>
                <w:rFonts w:hint="eastAsia" w:asciiTheme="minorEastAsia" w:hAnsiTheme="minorEastAsia" w:eastAsiaTheme="minorEastAsia"/>
                <w:b/>
                <w:bCs w:val="0"/>
                <w:color w:val="auto"/>
                <w:szCs w:val="21"/>
                <w:highlight w:val="none"/>
                <w:lang w:val="en-US" w:eastAsia="zh-CN"/>
              </w:rPr>
            </w:pPr>
            <w:r>
              <w:rPr>
                <w:rFonts w:hint="eastAsia" w:asciiTheme="minorEastAsia" w:hAnsiTheme="minorEastAsia" w:eastAsiaTheme="minorEastAsia"/>
                <w:b/>
                <w:bCs w:val="0"/>
                <w:color w:val="auto"/>
                <w:szCs w:val="21"/>
                <w:highlight w:val="none"/>
                <w:lang w:val="en-US" w:eastAsia="zh-CN"/>
              </w:rPr>
              <w:t>单位</w:t>
            </w:r>
          </w:p>
        </w:tc>
        <w:tc>
          <w:tcPr>
            <w:tcW w:w="1009" w:type="pct"/>
            <w:vAlign w:val="center"/>
          </w:tcPr>
          <w:p w14:paraId="2DE0B3FA">
            <w:pPr>
              <w:jc w:val="center"/>
              <w:rPr>
                <w:rFonts w:asciiTheme="minorEastAsia" w:hAnsiTheme="minorEastAsia" w:eastAsiaTheme="minorEastAsia"/>
                <w:b/>
                <w:bCs w:val="0"/>
                <w:color w:val="auto"/>
                <w:szCs w:val="21"/>
                <w:highlight w:val="none"/>
              </w:rPr>
            </w:pPr>
            <w:r>
              <w:rPr>
                <w:rFonts w:asciiTheme="minorEastAsia" w:hAnsiTheme="minorEastAsia" w:eastAsiaTheme="minorEastAsia"/>
                <w:b/>
                <w:bCs w:val="0"/>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663215FE">
            <w:pPr>
              <w:jc w:val="center"/>
              <w:rPr>
                <w:rFonts w:asciiTheme="minorEastAsia" w:hAnsiTheme="minorEastAsia" w:eastAsiaTheme="minorEastAsia"/>
                <w:bCs/>
                <w:color w:val="auto"/>
                <w:szCs w:val="21"/>
                <w:highlight w:val="none"/>
              </w:rPr>
            </w:pPr>
            <w:r>
              <w:rPr>
                <w:rFonts w:asciiTheme="minorEastAsia" w:hAnsiTheme="minorEastAsia" w:eastAsiaTheme="minorEastAsia"/>
                <w:b/>
                <w:bCs w:val="0"/>
                <w:color w:val="auto"/>
                <w:szCs w:val="21"/>
                <w:highlight w:val="none"/>
              </w:rPr>
              <w:t>1</w:t>
            </w:r>
          </w:p>
        </w:tc>
        <w:tc>
          <w:tcPr>
            <w:tcW w:w="1616" w:type="pct"/>
            <w:vAlign w:val="center"/>
          </w:tcPr>
          <w:p w14:paraId="2A82A929">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color w:val="auto"/>
                <w:szCs w:val="21"/>
                <w:highlight w:val="none"/>
              </w:rPr>
              <w:t>2025</w:t>
            </w:r>
            <w:r>
              <w:rPr>
                <w:rFonts w:hint="eastAsia" w:asciiTheme="minorEastAsia" w:hAnsiTheme="minorEastAsia" w:eastAsiaTheme="minorEastAsia"/>
                <w:color w:val="auto"/>
                <w:szCs w:val="21"/>
                <w:highlight w:val="none"/>
                <w:lang w:val="en-US" w:eastAsia="zh-CN"/>
              </w:rPr>
              <w:t>-2026</w:t>
            </w:r>
            <w:r>
              <w:rPr>
                <w:rFonts w:hint="eastAsia" w:asciiTheme="minorEastAsia" w:hAnsiTheme="minorEastAsia" w:eastAsiaTheme="minorEastAsia"/>
                <w:color w:val="auto"/>
                <w:szCs w:val="21"/>
                <w:highlight w:val="none"/>
              </w:rPr>
              <w:t>年度电子警察及道路交通信号灯运维</w:t>
            </w:r>
            <w:r>
              <w:rPr>
                <w:rFonts w:hint="eastAsia" w:asciiTheme="minorEastAsia" w:hAnsiTheme="minorEastAsia" w:eastAsiaTheme="minorEastAsia"/>
                <w:color w:val="auto"/>
                <w:szCs w:val="21"/>
                <w:highlight w:val="none"/>
                <w:lang w:val="en-US" w:eastAsia="zh-CN"/>
              </w:rPr>
              <w:t>服务</w:t>
            </w:r>
          </w:p>
        </w:tc>
        <w:tc>
          <w:tcPr>
            <w:tcW w:w="1122" w:type="pct"/>
            <w:vAlign w:val="center"/>
          </w:tcPr>
          <w:p w14:paraId="71A05558">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color w:val="auto"/>
                <w:szCs w:val="21"/>
                <w:highlight w:val="none"/>
              </w:rPr>
              <w:t>399,628.50</w:t>
            </w:r>
          </w:p>
        </w:tc>
        <w:tc>
          <w:tcPr>
            <w:tcW w:w="458" w:type="pct"/>
            <w:vAlign w:val="center"/>
          </w:tcPr>
          <w:p w14:paraId="2EF70DCD">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1</w:t>
            </w:r>
          </w:p>
        </w:tc>
        <w:tc>
          <w:tcPr>
            <w:tcW w:w="412" w:type="pct"/>
            <w:vAlign w:val="center"/>
          </w:tcPr>
          <w:p w14:paraId="17B4C39C">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lang w:val="en-US" w:eastAsia="zh-CN"/>
              </w:rPr>
              <w:t>项</w:t>
            </w:r>
          </w:p>
        </w:tc>
        <w:tc>
          <w:tcPr>
            <w:tcW w:w="1009" w:type="pct"/>
            <w:vAlign w:val="center"/>
          </w:tcPr>
          <w:p w14:paraId="56D93CA0">
            <w:pPr>
              <w:jc w:val="center"/>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637D930B">
      <w:pPr>
        <w:tabs>
          <w:tab w:val="left" w:pos="284"/>
        </w:tabs>
        <w:spacing w:line="360" w:lineRule="auto"/>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合同履行期限：</w:t>
      </w:r>
      <w:r>
        <w:rPr>
          <w:rFonts w:hint="eastAsia" w:asciiTheme="minorEastAsia" w:hAnsiTheme="minorEastAsia" w:eastAsiaTheme="minorEastAsia"/>
          <w:color w:val="auto"/>
          <w:szCs w:val="21"/>
          <w:highlight w:val="none"/>
          <w:lang w:val="en-US" w:eastAsia="zh-CN"/>
        </w:rPr>
        <w:t>自合同签订之日起1年。</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w:t>
      </w:r>
      <w:r>
        <w:rPr>
          <w:rFonts w:hint="eastAsia" w:asciiTheme="minorEastAsia" w:hAnsiTheme="minorEastAsia" w:eastAsiaTheme="minorEastAsia"/>
          <w:color w:val="auto"/>
          <w:szCs w:val="21"/>
          <w:highlight w:val="none"/>
          <w:lang w:val="en-US" w:eastAsia="zh-CN"/>
        </w:rPr>
        <w:t>响应</w:t>
      </w:r>
      <w:r>
        <w:rPr>
          <w:rFonts w:hint="eastAsia" w:asciiTheme="minorEastAsia" w:hAnsiTheme="minorEastAsia" w:eastAsiaTheme="minorEastAsia"/>
          <w:color w:val="auto"/>
          <w:szCs w:val="21"/>
          <w:highlight w:val="none"/>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0"/>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w:t>
      </w:r>
      <w:r>
        <w:rPr>
          <w:rFonts w:ascii="宋体" w:hAnsi="宋体"/>
          <w:bCs/>
          <w:color w:val="auto"/>
          <w:kern w:val="0"/>
          <w:szCs w:val="21"/>
          <w:highlight w:val="none"/>
        </w:rPr>
        <w:t>2023年财务状况报告或者基本户开户银行出具的资信证明或提供资格条件承诺函（详见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w:t>
      </w:r>
      <w:r>
        <w:rPr>
          <w:rFonts w:hint="eastAsia" w:ascii="宋体" w:hAnsi="宋体"/>
          <w:bCs/>
          <w:color w:val="auto"/>
          <w:kern w:val="0"/>
          <w:szCs w:val="21"/>
          <w:highlight w:val="none"/>
          <w:lang w:eastAsia="zh-CN"/>
        </w:rPr>
        <w:t>：</w:t>
      </w:r>
      <w:r>
        <w:rPr>
          <w:rFonts w:hint="eastAsia" w:ascii="宋体" w:hAnsi="宋体"/>
          <w:bCs/>
          <w:color w:val="auto"/>
          <w:kern w:val="0"/>
          <w:szCs w:val="21"/>
          <w:highlight w:val="none"/>
        </w:rPr>
        <w:t>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color w:val="auto"/>
          <w:kern w:val="0"/>
          <w:szCs w:val="21"/>
          <w:highlight w:val="none"/>
        </w:rPr>
      </w:pPr>
      <w:bookmarkStart w:id="4" w:name="_Hlk169874618"/>
      <w:r>
        <w:rPr>
          <w:rFonts w:ascii="宋体" w:hAnsi="宋体"/>
          <w:b/>
          <w:color w:val="auto"/>
          <w:kern w:val="0"/>
          <w:szCs w:val="21"/>
          <w:highlight w:val="none"/>
          <w:lang w:eastAsia="zh-Hans"/>
        </w:rPr>
        <w:t>落实政府采购政策需满足的资格要求：</w:t>
      </w:r>
      <w:r>
        <w:rPr>
          <w:rFonts w:hint="eastAsia" w:ascii="宋体" w:hAnsi="宋体"/>
          <w:color w:val="auto"/>
          <w:szCs w:val="21"/>
          <w:highlight w:val="none"/>
        </w:rPr>
        <w:t>本项目专门面向中小企业采购，供应商应为中小微企业、监狱企业、残疾人福利性单位。（提供《中小企业声明函》或属于监狱企业的证明材料或《残疾人福利性单位声明函》）详见响应文件格式；</w:t>
      </w:r>
    </w:p>
    <w:p w14:paraId="44C225EB">
      <w:pPr>
        <w:pStyle w:val="70"/>
        <w:widowControl/>
        <w:numPr>
          <w:ilvl w:val="0"/>
          <w:numId w:val="2"/>
        </w:numPr>
        <w:spacing w:line="360" w:lineRule="auto"/>
        <w:ind w:left="422" w:hanging="422" w:hangingChars="200"/>
        <w:jc w:val="left"/>
        <w:outlineLvl w:val="3"/>
        <w:rPr>
          <w:rFonts w:ascii="宋体" w:hAnsi="宋体"/>
          <w:b/>
          <w:color w:val="auto"/>
          <w:kern w:val="0"/>
          <w:sz w:val="24"/>
          <w:szCs w:val="20"/>
          <w:highlight w:val="none"/>
          <w:lang w:eastAsia="zh-Hans"/>
        </w:rPr>
      </w:pPr>
      <w:r>
        <w:rPr>
          <w:rFonts w:ascii="宋体" w:hAnsi="宋体"/>
          <w:b/>
          <w:color w:val="auto"/>
          <w:kern w:val="0"/>
          <w:szCs w:val="21"/>
          <w:highlight w:val="none"/>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宋体" w:hAnsi="宋体"/>
          <w:bCs/>
          <w:color w:val="auto"/>
          <w:kern w:val="0"/>
          <w:szCs w:val="21"/>
          <w:highlight w:val="none"/>
        </w:rPr>
        <w:t>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non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none"/>
        </w:rPr>
        <w:t>月</w:t>
      </w:r>
      <w:r>
        <w:rPr>
          <w:rFonts w:hint="eastAsia" w:cs="宋体" w:asciiTheme="minorEastAsia" w:hAnsiTheme="minorEastAsia" w:eastAsiaTheme="minorEastAsia"/>
          <w:color w:val="auto"/>
          <w:szCs w:val="21"/>
          <w:highlight w:val="none"/>
          <w:u w:val="single"/>
          <w:lang w:val="en-US" w:eastAsia="zh-CN"/>
        </w:rPr>
        <w:t>02</w:t>
      </w:r>
      <w:r>
        <w:rPr>
          <w:rFonts w:hint="eastAsia" w:cs="宋体" w:asciiTheme="minorEastAsia" w:hAnsiTheme="minorEastAsia" w:eastAsiaTheme="minorEastAsia"/>
          <w:color w:val="auto"/>
          <w:szCs w:val="21"/>
          <w:highlight w:val="none"/>
          <w:u w:val="non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non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none"/>
        </w:rPr>
        <w:t>月</w:t>
      </w:r>
      <w:r>
        <w:rPr>
          <w:rFonts w:hint="eastAsia" w:cs="宋体" w:asciiTheme="minorEastAsia" w:hAnsiTheme="minorEastAsia" w:eastAsiaTheme="minorEastAsia"/>
          <w:color w:val="auto"/>
          <w:szCs w:val="21"/>
          <w:highlight w:val="none"/>
          <w:u w:val="single"/>
          <w:lang w:val="en-US" w:eastAsia="zh-CN"/>
        </w:rPr>
        <w:t>10</w:t>
      </w:r>
      <w:r>
        <w:rPr>
          <w:rFonts w:hint="eastAsia" w:cs="宋体" w:asciiTheme="minorEastAsia" w:hAnsiTheme="minorEastAsia" w:eastAsiaTheme="minorEastAsia"/>
          <w:color w:val="auto"/>
          <w:szCs w:val="21"/>
          <w:highlight w:val="none"/>
          <w:u w:val="none"/>
        </w:rPr>
        <w:t>日</w:t>
      </w:r>
      <w:r>
        <w:rPr>
          <w:rFonts w:hint="eastAsia" w:cs="宋体" w:asciiTheme="minorEastAsia" w:hAnsiTheme="minorEastAsia" w:eastAsiaTheme="minorEastAsia"/>
          <w:iCs/>
          <w:color w:val="auto"/>
          <w:szCs w:val="21"/>
          <w:highlight w:val="none"/>
          <w:u w:val="none"/>
        </w:rPr>
        <w:t>（磋商文件的发售期限自开始之日起不得少于5个工作日）</w:t>
      </w:r>
      <w:r>
        <w:rPr>
          <w:rFonts w:hint="eastAsia" w:cs="宋体" w:asciiTheme="minorEastAsia" w:hAnsiTheme="minorEastAsia" w:eastAsiaTheme="minorEastAsia"/>
          <w:color w:val="auto"/>
          <w:szCs w:val="21"/>
          <w:highlight w:val="none"/>
        </w:rPr>
        <w:t>，每天上午9：00至12：00，下午2：30至5：30（北京时间，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0"/>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lang w:val="en-US" w:eastAsia="zh-CN"/>
        </w:rPr>
        <w:t>时间：</w:t>
      </w:r>
      <w:r>
        <w:rPr>
          <w:rFonts w:hint="eastAsia" w:asciiTheme="minorEastAsia" w:hAnsiTheme="minorEastAsia" w:eastAsiaTheme="minorEastAsia"/>
          <w:color w:val="auto"/>
          <w:szCs w:val="21"/>
          <w:highlight w:val="none"/>
        </w:rPr>
        <w:t>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u w:val="singl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u w:val="single"/>
          <w:lang w:val="en-US" w:eastAsia="zh-CN"/>
        </w:rPr>
        <w:t>00</w:t>
      </w:r>
      <w:r>
        <w:rPr>
          <w:rFonts w:hint="eastAsia" w:asciiTheme="minorEastAsia" w:hAnsiTheme="minorEastAsia" w:eastAsiaTheme="minorEastAsia"/>
          <w:color w:val="auto"/>
          <w:szCs w:val="21"/>
          <w:highlight w:val="none"/>
        </w:rPr>
        <w:t>分（北京时间）（从磋商文件开始发出之日起至供应商提交首次响应文件截止之日止不得少于10日）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地点：东莞市道滘镇道厚路创新岛2号4楼招投标服务所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u w:val="singl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u w:val="single"/>
          <w:lang w:val="en-US" w:eastAsia="zh-CN"/>
        </w:rPr>
        <w:t>15</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u w:val="single"/>
          <w:lang w:val="en-US" w:eastAsia="zh-CN"/>
        </w:rPr>
        <w:t>00</w:t>
      </w:r>
      <w:bookmarkStart w:id="69" w:name="_GoBack"/>
      <w:bookmarkEnd w:id="69"/>
      <w:r>
        <w:rPr>
          <w:rFonts w:hint="eastAsia" w:asciiTheme="minorEastAsia" w:hAnsiTheme="minorEastAsia" w:eastAsiaTheme="minorEastAsia"/>
          <w:color w:val="auto"/>
          <w:szCs w:val="21"/>
          <w:highlight w:val="none"/>
        </w:rPr>
        <w:t>分（北京时间）</w:t>
      </w:r>
    </w:p>
    <w:p w14:paraId="4F514DF3">
      <w:pPr>
        <w:pStyle w:val="70"/>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地点：东莞市道滘镇道厚路创新岛2号4楼招投标服务所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软件和信息技术服务业</w:t>
      </w:r>
      <w:r>
        <w:rPr>
          <w:rFonts w:hint="eastAsia" w:asciiTheme="minorEastAsia" w:hAnsiTheme="minorEastAsia" w:eastAsiaTheme="minorEastAsia"/>
          <w:bCs/>
          <w:color w:val="auto"/>
          <w:szCs w:val="21"/>
          <w:highlight w:val="none"/>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0"/>
        <w:keepNext w:val="0"/>
        <w:keepLines w:val="0"/>
        <w:pageBreakBefore w:val="0"/>
        <w:widowControl w:val="0"/>
        <w:kinsoku/>
        <w:wordWrap w:val="0"/>
        <w:overflowPunct/>
        <w:topLinePunct w:val="0"/>
        <w:autoSpaceDE/>
        <w:autoSpaceDN/>
        <w:bidi w:val="0"/>
        <w:adjustRightInd/>
        <w:snapToGrid/>
        <w:spacing w:line="360" w:lineRule="auto"/>
        <w:ind w:left="420" w:firstLine="0" w:firstLineChars="0"/>
        <w:textAlignment w:val="auto"/>
        <w:rPr>
          <w:rFonts w:asciiTheme="minorEastAsia" w:hAnsiTheme="minorEastAsia" w:eastAsiaTheme="minorEastAsia"/>
          <w:bCs/>
          <w:color w:val="auto"/>
          <w:spacing w:val="0"/>
          <w:sz w:val="21"/>
          <w:szCs w:val="21"/>
          <w:highlight w:val="none"/>
        </w:rPr>
      </w:pPr>
      <w:r>
        <w:rPr>
          <w:rFonts w:hint="eastAsia" w:ascii="宋体" w:hAnsi="宋体"/>
          <w:color w:val="auto"/>
          <w:spacing w:val="0"/>
          <w:sz w:val="21"/>
          <w:szCs w:val="21"/>
          <w:highlight w:val="none"/>
        </w:rPr>
        <w:t>中国采购与招标网</w:t>
      </w:r>
      <w:r>
        <w:rPr>
          <w:rFonts w:ascii="宋体" w:hAnsi="宋体"/>
          <w:color w:val="auto"/>
          <w:spacing w:val="0"/>
          <w:sz w:val="21"/>
          <w:szCs w:val="21"/>
          <w:highlight w:val="none"/>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称：东莞市公安局道滘分局</w:t>
      </w:r>
    </w:p>
    <w:p w14:paraId="384E59E3">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址：东莞市道滘镇粤晖路246号</w:t>
      </w:r>
    </w:p>
    <w:p w14:paraId="30DB3D45">
      <w:pPr>
        <w:tabs>
          <w:tab w:val="left" w:pos="567"/>
        </w:tabs>
        <w:spacing w:line="360" w:lineRule="auto"/>
        <w:ind w:left="424" w:leftChars="202"/>
        <w:rPr>
          <w:rFonts w:hint="default" w:eastAsia="宋体" w:asciiTheme="minorEastAsia" w:hAnsiTheme="minorEastAsia"/>
          <w:b/>
          <w:color w:val="auto"/>
          <w:szCs w:val="21"/>
          <w:highlight w:val="none"/>
          <w:lang w:val="en-US" w:eastAsia="zh-CN"/>
        </w:rPr>
      </w:pPr>
      <w:r>
        <w:rPr>
          <w:rFonts w:hint="eastAsia" w:ascii="宋体" w:hAnsi="宋体"/>
          <w:bCs/>
          <w:color w:val="auto"/>
          <w:szCs w:val="21"/>
          <w:highlight w:val="none"/>
        </w:rPr>
        <w:t>联系方式：</w:t>
      </w:r>
      <w:r>
        <w:rPr>
          <w:rFonts w:hint="eastAsia" w:ascii="宋体" w:hAnsi="宋体"/>
          <w:bCs/>
          <w:color w:val="auto"/>
          <w:szCs w:val="21"/>
          <w:highlight w:val="none"/>
          <w:lang w:val="en-US" w:eastAsia="zh-CN"/>
        </w:rPr>
        <w:t>叶先生 0769-88316151</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hint="default" w:ascii="宋体" w:hAnsi="宋体" w:eastAsia="宋体"/>
          <w:bCs/>
          <w:color w:val="auto"/>
          <w:szCs w:val="21"/>
          <w:highlight w:val="none"/>
          <w:lang w:val="en-US" w:eastAsia="zh-CN"/>
        </w:rPr>
      </w:pPr>
      <w:r>
        <w:rPr>
          <w:rFonts w:hint="eastAsia" w:ascii="宋体" w:hAnsi="宋体"/>
          <w:bCs/>
          <w:color w:val="auto"/>
          <w:szCs w:val="21"/>
          <w:highlight w:val="none"/>
        </w:rPr>
        <w:t xml:space="preserve">名 </w:t>
      </w:r>
      <w:r>
        <w:rPr>
          <w:rFonts w:hint="eastAsia" w:ascii="宋体" w:hAnsi="宋体"/>
          <w:bCs/>
          <w:color w:val="auto"/>
          <w:szCs w:val="21"/>
          <w:highlight w:val="none"/>
          <w:lang w:val="en-US" w:eastAsia="zh-CN"/>
        </w:rPr>
        <w:t xml:space="preserve">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r>
        <w:rPr>
          <w:rFonts w:hint="eastAsia" w:ascii="宋体" w:hAnsi="宋体"/>
          <w:bCs/>
          <w:color w:val="auto"/>
          <w:szCs w:val="21"/>
          <w:highlight w:val="none"/>
          <w:lang w:val="en-US" w:eastAsia="zh-CN"/>
        </w:rPr>
        <w:t>东莞分公司</w:t>
      </w:r>
    </w:p>
    <w:p w14:paraId="3C2A19C1">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w:t>
      </w:r>
      <w:r>
        <w:rPr>
          <w:rFonts w:hint="eastAsia" w:ascii="宋体" w:hAnsi="宋体"/>
          <w:bCs/>
          <w:color w:val="auto"/>
          <w:szCs w:val="21"/>
          <w:highlight w:val="none"/>
          <w:lang w:val="en-US" w:eastAsia="zh-CN"/>
        </w:rPr>
        <w:t xml:space="preserve">    </w:t>
      </w:r>
      <w:r>
        <w:rPr>
          <w:rFonts w:hint="eastAsia" w:ascii="宋体" w:hAnsi="宋体"/>
          <w:bCs/>
          <w:color w:val="auto"/>
          <w:szCs w:val="21"/>
          <w:highlight w:val="none"/>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w:t>
      </w:r>
      <w:bookmarkStart w:id="6" w:name="OLE_LINK1"/>
      <w:r>
        <w:rPr>
          <w:rFonts w:hint="eastAsia" w:ascii="宋体" w:hAnsi="宋体"/>
          <w:bCs/>
          <w:color w:val="auto"/>
          <w:szCs w:val="21"/>
          <w:highlight w:val="none"/>
        </w:rPr>
        <w:t>0769</w:t>
      </w:r>
      <w:r>
        <w:rPr>
          <w:rFonts w:hint="eastAsia" w:ascii="宋体" w:hAnsi="宋体"/>
          <w:bCs/>
          <w:color w:val="auto"/>
          <w:szCs w:val="21"/>
          <w:highlight w:val="none"/>
          <w:lang w:val="en-US" w:eastAsia="zh-CN"/>
        </w:rPr>
        <w:t>-</w:t>
      </w:r>
      <w:r>
        <w:rPr>
          <w:rFonts w:hint="eastAsia" w:ascii="宋体" w:hAnsi="宋体"/>
          <w:bCs/>
          <w:color w:val="auto"/>
          <w:szCs w:val="21"/>
          <w:highlight w:val="none"/>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w:t>
      </w:r>
      <w:r>
        <w:rPr>
          <w:rFonts w:hint="eastAsia" w:asciiTheme="minorEastAsia" w:hAnsiTheme="minorEastAsia" w:eastAsiaTheme="minorEastAsia"/>
          <w:bCs/>
          <w:color w:val="auto"/>
          <w:szCs w:val="21"/>
          <w:highlight w:val="none"/>
          <w:lang w:val="en-US" w:eastAsia="zh-CN"/>
        </w:rPr>
        <w:t xml:space="preserve">      </w:t>
      </w:r>
      <w:r>
        <w:rPr>
          <w:rFonts w:hint="eastAsia" w:asciiTheme="minorEastAsia" w:hAnsiTheme="minorEastAsia" w:eastAsiaTheme="minorEastAsia"/>
          <w:bCs/>
          <w:color w:val="auto"/>
          <w:szCs w:val="21"/>
          <w:highlight w:val="none"/>
        </w:rPr>
        <w:t>话：0769</w:t>
      </w:r>
      <w:r>
        <w:rPr>
          <w:rFonts w:hint="eastAsia" w:asciiTheme="minorEastAsia" w:hAnsiTheme="minorEastAsia" w:eastAsiaTheme="minorEastAsia"/>
          <w:bCs/>
          <w:color w:val="auto"/>
          <w:szCs w:val="21"/>
          <w:highlight w:val="none"/>
          <w:lang w:val="en-US" w:eastAsia="zh-CN"/>
        </w:rPr>
        <w:t>-</w:t>
      </w:r>
      <w:r>
        <w:rPr>
          <w:rFonts w:hint="eastAsia" w:asciiTheme="minorEastAsia" w:hAnsiTheme="minorEastAsia" w:eastAsiaTheme="minorEastAsia"/>
          <w:bCs/>
          <w:color w:val="auto"/>
          <w:szCs w:val="21"/>
          <w:highlight w:val="none"/>
        </w:rPr>
        <w:t>22367009</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840" w:line="360" w:lineRule="auto"/>
        <w:jc w:val="right"/>
        <w:rPr>
          <w:rFonts w:hint="default" w:asciiTheme="minorEastAsia" w:hAnsiTheme="minorEastAsia" w:eastAsiaTheme="minorEastAsia"/>
          <w:b/>
          <w:color w:val="auto"/>
          <w:szCs w:val="21"/>
          <w:highlight w:val="none"/>
          <w:lang w:val="en-US" w:eastAsia="zh-CN"/>
        </w:rPr>
      </w:pPr>
      <w:r>
        <w:rPr>
          <w:rFonts w:hint="eastAsia" w:asciiTheme="minorEastAsia" w:hAnsiTheme="minorEastAsia" w:eastAsiaTheme="minorEastAsia"/>
          <w:b/>
          <w:color w:val="auto"/>
          <w:szCs w:val="21"/>
          <w:highlight w:val="none"/>
        </w:rPr>
        <w:t>发布人：广东智汇城市招标采购有限公司</w:t>
      </w:r>
      <w:r>
        <w:rPr>
          <w:rFonts w:hint="eastAsia" w:asciiTheme="minorEastAsia" w:hAnsiTheme="minorEastAsia" w:eastAsiaTheme="minorEastAsia"/>
          <w:b/>
          <w:color w:val="auto"/>
          <w:szCs w:val="21"/>
          <w:highlight w:val="none"/>
          <w:lang w:val="en-US" w:eastAsia="zh-CN"/>
        </w:rPr>
        <w:t>东莞分公司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发布时间：</w:t>
      </w:r>
      <w:r>
        <w:rPr>
          <w:rFonts w:hint="eastAsia" w:asciiTheme="minorEastAsia" w:hAnsiTheme="minorEastAsia" w:eastAsiaTheme="minorEastAsia"/>
          <w:b/>
          <w:color w:val="auto"/>
          <w:szCs w:val="21"/>
          <w:highlight w:val="none"/>
          <w:lang w:val="en-US" w:eastAsia="zh-CN"/>
        </w:rPr>
        <w:t>2025</w:t>
      </w:r>
      <w:r>
        <w:rPr>
          <w:rFonts w:hint="eastAsia" w:asciiTheme="minorEastAsia" w:hAnsiTheme="minorEastAsia" w:eastAsiaTheme="minorEastAsia"/>
          <w:b/>
          <w:color w:val="auto"/>
          <w:szCs w:val="21"/>
          <w:highlight w:val="none"/>
        </w:rPr>
        <w:t xml:space="preserve">年 </w:t>
      </w:r>
      <w:r>
        <w:rPr>
          <w:rFonts w:asciiTheme="minorEastAsia" w:hAnsiTheme="minorEastAsia" w:eastAsiaTheme="minorEastAsia"/>
          <w:b/>
          <w:color w:val="auto"/>
          <w:szCs w:val="21"/>
          <w:highlight w:val="none"/>
        </w:rPr>
        <w:t xml:space="preserve"> </w:t>
      </w:r>
      <w:r>
        <w:rPr>
          <w:rFonts w:hint="eastAsia" w:asciiTheme="minorEastAsia" w:hAnsiTheme="minorEastAsia" w:eastAsiaTheme="minorEastAsia"/>
          <w:b/>
          <w:color w:val="auto"/>
          <w:szCs w:val="21"/>
          <w:highlight w:val="none"/>
        </w:rPr>
        <w:t>月</w:t>
      </w:r>
      <w:r>
        <w:rPr>
          <w:rFonts w:asciiTheme="minorEastAsia" w:hAnsiTheme="minorEastAsia" w:eastAsiaTheme="minorEastAsia"/>
          <w:b/>
          <w:color w:val="auto"/>
          <w:szCs w:val="21"/>
          <w:highlight w:val="none"/>
        </w:rPr>
        <w:t xml:space="preserve">  </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color w:val="auto"/>
          <w:highlight w:val="none"/>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7" w:name="_Toc170228129"/>
      <w:bookmarkStart w:id="8" w:name="_Toc90976500"/>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7"/>
      <w:bookmarkEnd w:id="8"/>
    </w:p>
    <w:p w14:paraId="1917F190">
      <w:pPr>
        <w:snapToGrid w:val="0"/>
        <w:spacing w:line="360" w:lineRule="auto"/>
        <w:contextualSpacing/>
        <w:rPr>
          <w:rFonts w:ascii="宋体" w:hAnsi="宋体"/>
          <w:b/>
          <w:color w:val="auto"/>
          <w:szCs w:val="21"/>
          <w:highlight w:val="none"/>
        </w:rPr>
      </w:pPr>
      <w:bookmarkStart w:id="9" w:name="_Hlk90919605"/>
      <w:r>
        <w:rPr>
          <w:rFonts w:hint="eastAsia" w:ascii="宋体" w:hAnsi="宋体"/>
          <w:b/>
          <w:color w:val="auto"/>
          <w:szCs w:val="21"/>
          <w:highlight w:val="none"/>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1201FDF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color w:val="auto"/>
          <w:highlight w:val="none"/>
        </w:rPr>
      </w:pPr>
    </w:p>
    <w:p w14:paraId="52B4396B">
      <w:pPr>
        <w:numPr>
          <w:ilvl w:val="0"/>
          <w:numId w:val="8"/>
        </w:numPr>
        <w:snapToGrid w:val="0"/>
        <w:spacing w:line="360" w:lineRule="auto"/>
        <w:ind w:left="442" w:hanging="442"/>
        <w:contextualSpacing/>
        <w:rPr>
          <w:rFonts w:ascii="等线" w:hAnsi="等线" w:eastAsia="等线"/>
          <w:color w:val="auto"/>
          <w:highlight w:val="none"/>
        </w:rPr>
      </w:pPr>
      <w:r>
        <w:rPr>
          <w:rFonts w:ascii="宋体" w:hAnsi="宋体"/>
          <w:b/>
          <w:bCs/>
          <w:color w:val="auto"/>
          <w:highlight w:val="none"/>
        </w:rPr>
        <w:t>项目概况</w:t>
      </w:r>
    </w:p>
    <w:p w14:paraId="670BA91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default" w:ascii="宋体" w:hAnsi="宋体" w:eastAsia="宋体" w:cs="Times New Roman"/>
          <w:iCs/>
          <w:color w:val="auto"/>
          <w:szCs w:val="21"/>
          <w:highlight w:val="none"/>
          <w:lang w:val="en-US" w:eastAsia="zh-CN"/>
        </w:rPr>
      </w:pPr>
      <w:r>
        <w:rPr>
          <w:rFonts w:hint="eastAsia" w:ascii="宋体" w:hAnsi="宋体" w:cs="Times New Roman"/>
          <w:iCs/>
          <w:color w:val="auto"/>
          <w:szCs w:val="21"/>
          <w:highlight w:val="none"/>
          <w:lang w:val="en-US" w:eastAsia="zh-CN"/>
        </w:rPr>
        <w:t>东莞市公安局道滘分局2025-2026年度电子警察及道路交通信号灯运维项目</w:t>
      </w:r>
      <w:r>
        <w:rPr>
          <w:rFonts w:hint="eastAsia" w:ascii="宋体" w:hAnsi="宋体" w:eastAsia="宋体" w:cs="Times New Roman"/>
          <w:iCs/>
          <w:color w:val="auto"/>
          <w:szCs w:val="21"/>
          <w:highlight w:val="none"/>
          <w:lang w:val="en-US" w:eastAsia="zh-CN"/>
        </w:rPr>
        <w:t>服务内容分为电子警察和道路交通信号灯两部分。其中电子警察运维服务范围包含18个路口（或路段）的40套电子警察违法抓拍设备及机房后台系统设备等；道路交通信号灯运维服务范围主要包含对道滘镇12个路口交通信号灯维修保养以及定期对辖区内12个路口的交通信号灯巡检等。</w:t>
      </w:r>
    </w:p>
    <w:p w14:paraId="4562D4C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9"/>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2999"/>
        <w:gridCol w:w="1546"/>
        <w:gridCol w:w="1559"/>
        <w:gridCol w:w="2357"/>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78181132">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序号</w:t>
            </w:r>
          </w:p>
        </w:tc>
        <w:tc>
          <w:tcPr>
            <w:tcW w:w="1614" w:type="pct"/>
            <w:vAlign w:val="center"/>
          </w:tcPr>
          <w:p w14:paraId="4E5891E4">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标的名称</w:t>
            </w:r>
          </w:p>
        </w:tc>
        <w:tc>
          <w:tcPr>
            <w:tcW w:w="832" w:type="pct"/>
            <w:vAlign w:val="center"/>
          </w:tcPr>
          <w:p w14:paraId="36E1B2DE">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数量</w:t>
            </w:r>
          </w:p>
        </w:tc>
        <w:tc>
          <w:tcPr>
            <w:tcW w:w="839" w:type="pct"/>
            <w:vAlign w:val="center"/>
          </w:tcPr>
          <w:p w14:paraId="0B97BCBA">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单位</w:t>
            </w:r>
          </w:p>
        </w:tc>
        <w:tc>
          <w:tcPr>
            <w:tcW w:w="1268" w:type="pct"/>
            <w:vAlign w:val="center"/>
          </w:tcPr>
          <w:p w14:paraId="572FE963">
            <w:pPr>
              <w:spacing w:line="360" w:lineRule="auto"/>
              <w:jc w:val="center"/>
              <w:rPr>
                <w:rFonts w:ascii="宋体" w:hAnsi="宋体" w:eastAsia="宋体"/>
                <w:b/>
                <w:bCs w:val="0"/>
                <w:color w:val="auto"/>
                <w:szCs w:val="21"/>
                <w:highlight w:val="none"/>
              </w:rPr>
            </w:pPr>
            <w:r>
              <w:rPr>
                <w:rFonts w:hint="eastAsia" w:ascii="宋体" w:hAnsi="宋体" w:eastAsia="宋体"/>
                <w:b/>
                <w:bCs w:val="0"/>
                <w:color w:val="auto"/>
                <w:szCs w:val="21"/>
                <w:highlight w:val="none"/>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39FF9E35">
            <w:pPr>
              <w:spacing w:line="360" w:lineRule="auto"/>
              <w:jc w:val="center"/>
              <w:rPr>
                <w:rFonts w:hint="eastAsia" w:ascii="宋体" w:hAnsi="宋体" w:eastAsia="宋体"/>
                <w:bCs/>
                <w:color w:val="auto"/>
                <w:szCs w:val="21"/>
                <w:highlight w:val="none"/>
                <w:lang w:val="en-US" w:eastAsia="zh-CN"/>
              </w:rPr>
            </w:pPr>
            <w:r>
              <w:rPr>
                <w:rFonts w:hint="eastAsia" w:ascii="宋体" w:hAnsi="宋体"/>
                <w:b/>
                <w:bCs w:val="0"/>
                <w:color w:val="auto"/>
                <w:szCs w:val="21"/>
                <w:highlight w:val="none"/>
                <w:lang w:val="en-US" w:eastAsia="zh-CN"/>
              </w:rPr>
              <w:t>1</w:t>
            </w:r>
          </w:p>
        </w:tc>
        <w:tc>
          <w:tcPr>
            <w:tcW w:w="1614" w:type="pct"/>
            <w:vAlign w:val="center"/>
          </w:tcPr>
          <w:p w14:paraId="1E6532D2">
            <w:pPr>
              <w:spacing w:line="360" w:lineRule="auto"/>
              <w:jc w:val="center"/>
              <w:rPr>
                <w:rFonts w:ascii="宋体" w:hAnsi="宋体" w:eastAsia="宋体"/>
                <w:bCs/>
                <w:color w:val="auto"/>
                <w:szCs w:val="21"/>
                <w:highlight w:val="none"/>
              </w:rPr>
            </w:pPr>
            <w:r>
              <w:rPr>
                <w:rFonts w:hint="eastAsia" w:asciiTheme="minorEastAsia" w:hAnsiTheme="minorEastAsia" w:eastAsiaTheme="minorEastAsia"/>
                <w:color w:val="auto"/>
                <w:szCs w:val="21"/>
                <w:highlight w:val="none"/>
              </w:rPr>
              <w:t>2025</w:t>
            </w:r>
            <w:r>
              <w:rPr>
                <w:rFonts w:hint="eastAsia" w:asciiTheme="minorEastAsia" w:hAnsiTheme="minorEastAsia" w:eastAsiaTheme="minorEastAsia"/>
                <w:color w:val="auto"/>
                <w:szCs w:val="21"/>
                <w:highlight w:val="none"/>
                <w:lang w:val="en-US" w:eastAsia="zh-CN"/>
              </w:rPr>
              <w:t>-2026</w:t>
            </w:r>
            <w:r>
              <w:rPr>
                <w:rFonts w:hint="eastAsia" w:asciiTheme="minorEastAsia" w:hAnsiTheme="minorEastAsia" w:eastAsiaTheme="minorEastAsia"/>
                <w:color w:val="auto"/>
                <w:szCs w:val="21"/>
                <w:highlight w:val="none"/>
              </w:rPr>
              <w:t>年度电子警察及道路交通信号灯运维</w:t>
            </w:r>
            <w:r>
              <w:rPr>
                <w:rFonts w:hint="eastAsia" w:asciiTheme="minorEastAsia" w:hAnsiTheme="minorEastAsia" w:eastAsiaTheme="minorEastAsia"/>
                <w:color w:val="auto"/>
                <w:szCs w:val="21"/>
                <w:highlight w:val="none"/>
                <w:lang w:val="en-US" w:eastAsia="zh-CN"/>
              </w:rPr>
              <w:t>服务</w:t>
            </w:r>
          </w:p>
        </w:tc>
        <w:tc>
          <w:tcPr>
            <w:tcW w:w="832" w:type="pct"/>
            <w:vAlign w:val="center"/>
          </w:tcPr>
          <w:p w14:paraId="2B5B546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839" w:type="pct"/>
            <w:vAlign w:val="center"/>
          </w:tcPr>
          <w:p w14:paraId="69C25433">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项</w:t>
            </w:r>
          </w:p>
        </w:tc>
        <w:tc>
          <w:tcPr>
            <w:tcW w:w="1268" w:type="pct"/>
            <w:vAlign w:val="center"/>
          </w:tcPr>
          <w:p w14:paraId="5F2525BB">
            <w:pPr>
              <w:spacing w:line="360" w:lineRule="auto"/>
              <w:jc w:val="center"/>
              <w:rPr>
                <w:rFonts w:ascii="宋体" w:hAnsi="宋体" w:eastAsia="宋体"/>
                <w:bCs/>
                <w:color w:val="auto"/>
                <w:szCs w:val="21"/>
                <w:highlight w:val="none"/>
              </w:rPr>
            </w:pPr>
            <w:r>
              <w:rPr>
                <w:rFonts w:hint="eastAsia" w:asciiTheme="minorEastAsia" w:hAnsiTheme="minorEastAsia" w:eastAsiaTheme="minorEastAsia"/>
                <w:bCs/>
                <w:color w:val="auto"/>
                <w:szCs w:val="21"/>
                <w:highlight w:val="none"/>
                <w:u w:val="none"/>
              </w:rPr>
              <w:t>软件和信息技术服务业</w:t>
            </w:r>
          </w:p>
        </w:tc>
      </w:tr>
    </w:tbl>
    <w:p w14:paraId="48980B12">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服务时间</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自合同签订之日起1年。</w:t>
      </w:r>
    </w:p>
    <w:p w14:paraId="34CC259B">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东莞市道滘镇或采购人指定地点。</w:t>
      </w:r>
    </w:p>
    <w:p w14:paraId="3BFCC3AC">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报价说明：</w:t>
      </w:r>
    </w:p>
    <w:p w14:paraId="3C350A4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lang w:eastAsia="zh-CN"/>
        </w:rPr>
      </w:pPr>
      <w:r>
        <w:rPr>
          <w:rFonts w:hint="eastAsia" w:ascii="宋体" w:hAnsi="宋体"/>
          <w:iCs/>
          <w:color w:val="auto"/>
          <w:szCs w:val="21"/>
          <w:highlight w:val="none"/>
          <w:lang w:val="en-US" w:eastAsia="zh-CN"/>
        </w:rPr>
        <w:t>响应</w:t>
      </w:r>
      <w:r>
        <w:rPr>
          <w:rFonts w:hint="eastAsia" w:ascii="宋体" w:hAnsi="宋体"/>
          <w:iCs/>
          <w:color w:val="auto"/>
          <w:szCs w:val="21"/>
          <w:highlight w:val="none"/>
        </w:rPr>
        <w:t>报价应包含税费、设备费、车辆费、管理费、专利费、人工费（包括工资、奖金、津贴补贴、节假日加班和日常加班加点工资、特殊情况下支付的工资等）、</w:t>
      </w:r>
      <w:r>
        <w:rPr>
          <w:rFonts w:hint="eastAsia" w:ascii="宋体" w:hAnsi="宋体"/>
          <w:iCs/>
          <w:color w:val="auto"/>
          <w:szCs w:val="21"/>
          <w:highlight w:val="none"/>
          <w:lang w:val="en-US" w:eastAsia="zh-CN"/>
        </w:rPr>
        <w:t>辅材</w:t>
      </w:r>
      <w:r>
        <w:rPr>
          <w:rFonts w:hint="eastAsia" w:ascii="宋体" w:hAnsi="宋体"/>
          <w:iCs/>
          <w:color w:val="auto"/>
          <w:szCs w:val="21"/>
          <w:highlight w:val="none"/>
        </w:rPr>
        <w:t>费、</w:t>
      </w:r>
      <w:r>
        <w:rPr>
          <w:rFonts w:hint="eastAsia" w:ascii="宋体" w:hAnsi="宋体"/>
          <w:iCs/>
          <w:color w:val="auto"/>
          <w:szCs w:val="21"/>
          <w:highlight w:val="none"/>
          <w:lang w:val="en-US" w:eastAsia="zh-CN"/>
        </w:rPr>
        <w:t>备品备件、</w:t>
      </w:r>
      <w:r>
        <w:rPr>
          <w:rFonts w:hint="eastAsia" w:ascii="宋体" w:hAnsi="宋体"/>
          <w:iCs/>
          <w:color w:val="auto"/>
          <w:szCs w:val="21"/>
          <w:highlight w:val="none"/>
        </w:rPr>
        <w:t>软件租赁（使用）费、社保费（包括医疗、失业、养老、生育、工伤）、公积金、住宿费、利润、办公经费</w:t>
      </w:r>
      <w:r>
        <w:rPr>
          <w:rFonts w:hint="eastAsia" w:ascii="宋体" w:hAnsi="宋体"/>
          <w:iCs/>
          <w:color w:val="auto"/>
          <w:szCs w:val="21"/>
          <w:highlight w:val="none"/>
          <w:lang w:eastAsia="zh-CN"/>
        </w:rPr>
        <w:t>、</w:t>
      </w:r>
      <w:r>
        <w:rPr>
          <w:rFonts w:hint="eastAsia" w:ascii="宋体" w:hAnsi="宋体"/>
          <w:iCs/>
          <w:color w:val="auto"/>
          <w:szCs w:val="21"/>
          <w:highlight w:val="none"/>
        </w:rPr>
        <w:t>应急保障费、电子警察测速设备年检费、电子警察设备违法取证所需配套的标志标线完善费</w:t>
      </w:r>
      <w:r>
        <w:rPr>
          <w:rFonts w:hint="eastAsia" w:ascii="宋体" w:hAnsi="宋体"/>
          <w:iCs/>
          <w:color w:val="auto"/>
          <w:szCs w:val="21"/>
          <w:highlight w:val="none"/>
          <w:lang w:eastAsia="zh-CN"/>
        </w:rPr>
        <w:t>、</w:t>
      </w:r>
      <w:r>
        <w:rPr>
          <w:rFonts w:hint="eastAsia" w:ascii="宋体" w:hAnsi="宋体"/>
          <w:iCs/>
          <w:color w:val="auto"/>
          <w:szCs w:val="21"/>
          <w:highlight w:val="none"/>
        </w:rPr>
        <w:t>合同实施过程中的应预见、不可预见费用等完成合同规定责任和义务、达到合同目的的一切费用</w:t>
      </w:r>
      <w:r>
        <w:rPr>
          <w:rFonts w:hint="eastAsia" w:ascii="宋体" w:hAnsi="宋体"/>
          <w:iCs/>
          <w:color w:val="auto"/>
          <w:szCs w:val="21"/>
          <w:highlight w:val="none"/>
          <w:lang w:eastAsia="zh-CN"/>
        </w:rPr>
        <w:t>。</w:t>
      </w:r>
    </w:p>
    <w:p w14:paraId="16CB89DF">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付款方式</w:t>
      </w:r>
      <w:r>
        <w:rPr>
          <w:rFonts w:hint="eastAsia" w:ascii="宋体" w:hAnsi="宋体"/>
          <w:iCs/>
          <w:color w:val="auto"/>
          <w:szCs w:val="21"/>
          <w:highlight w:val="none"/>
          <w:lang w:eastAsia="zh-CN"/>
        </w:rPr>
        <w:t>：</w:t>
      </w:r>
    </w:p>
    <w:p w14:paraId="743D2150">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iCs/>
          <w:color w:val="auto"/>
          <w:szCs w:val="21"/>
          <w:highlight w:val="none"/>
        </w:rPr>
      </w:pPr>
      <w:r>
        <w:rPr>
          <w:rFonts w:hint="eastAsia" w:ascii="宋体" w:hAnsi="宋体"/>
          <w:iCs/>
          <w:color w:val="auto"/>
          <w:szCs w:val="21"/>
          <w:highlight w:val="none"/>
          <w:lang w:val="en-US" w:eastAsia="zh-CN"/>
        </w:rPr>
        <w:t>服务</w:t>
      </w:r>
      <w:r>
        <w:rPr>
          <w:rFonts w:hint="eastAsia" w:ascii="宋体" w:hAnsi="宋体"/>
          <w:iCs/>
          <w:color w:val="auto"/>
          <w:szCs w:val="21"/>
          <w:highlight w:val="none"/>
        </w:rPr>
        <w:t>费用按月</w:t>
      </w:r>
      <w:r>
        <w:rPr>
          <w:rFonts w:hint="eastAsia" w:ascii="宋体" w:hAnsi="宋体"/>
          <w:iCs/>
          <w:color w:val="auto"/>
          <w:szCs w:val="21"/>
          <w:highlight w:val="none"/>
          <w:lang w:val="en-US" w:eastAsia="zh-CN"/>
        </w:rPr>
        <w:t>度进行</w:t>
      </w:r>
      <w:r>
        <w:rPr>
          <w:rFonts w:hint="eastAsia" w:ascii="宋体" w:hAnsi="宋体"/>
          <w:iCs/>
          <w:color w:val="auto"/>
          <w:szCs w:val="21"/>
          <w:highlight w:val="none"/>
        </w:rPr>
        <w:t>核算</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成交供应商服务每满3个月为一个服务周期</w:t>
      </w:r>
      <w:r>
        <w:rPr>
          <w:rFonts w:hint="eastAsia" w:ascii="宋体" w:hAnsi="宋体"/>
          <w:iCs/>
          <w:color w:val="auto"/>
          <w:szCs w:val="21"/>
          <w:highlight w:val="none"/>
        </w:rPr>
        <w:t>，</w:t>
      </w:r>
      <w:r>
        <w:rPr>
          <w:rFonts w:hint="eastAsia" w:ascii="宋体" w:hAnsi="宋体"/>
          <w:iCs/>
          <w:color w:val="auto"/>
          <w:szCs w:val="21"/>
          <w:highlight w:val="none"/>
          <w:lang w:val="en-US" w:eastAsia="zh-CN"/>
        </w:rPr>
        <w:t>每一服务周期满后10日内，</w:t>
      </w:r>
      <w:r>
        <w:rPr>
          <w:rFonts w:hint="eastAsia" w:ascii="宋体" w:hAnsi="宋体"/>
          <w:iCs/>
          <w:color w:val="auto"/>
          <w:szCs w:val="21"/>
          <w:highlight w:val="none"/>
        </w:rPr>
        <w:t>采购人</w:t>
      </w:r>
      <w:r>
        <w:rPr>
          <w:rFonts w:hint="eastAsia" w:ascii="宋体" w:hAnsi="宋体"/>
          <w:iCs/>
          <w:color w:val="auto"/>
          <w:szCs w:val="21"/>
          <w:highlight w:val="none"/>
          <w:lang w:val="en-US" w:eastAsia="zh-CN"/>
        </w:rPr>
        <w:t>根据对成交供应商该周期内运维服务情况</w:t>
      </w:r>
      <w:r>
        <w:rPr>
          <w:rFonts w:hint="eastAsia" w:ascii="宋体" w:hAnsi="宋体"/>
          <w:iCs/>
          <w:color w:val="auto"/>
          <w:szCs w:val="21"/>
          <w:highlight w:val="none"/>
        </w:rPr>
        <w:t>的考核（详见</w:t>
      </w:r>
      <w:r>
        <w:rPr>
          <w:rFonts w:hint="eastAsia" w:ascii="宋体" w:hAnsi="宋体"/>
          <w:iCs/>
          <w:color w:val="auto"/>
          <w:szCs w:val="21"/>
          <w:highlight w:val="none"/>
          <w:lang w:val="en-US" w:eastAsia="zh-CN"/>
        </w:rPr>
        <w:t>采购需求“考核要求”</w:t>
      </w:r>
      <w:r>
        <w:rPr>
          <w:rFonts w:hint="eastAsia" w:ascii="宋体" w:hAnsi="宋体"/>
          <w:iCs/>
          <w:color w:val="auto"/>
          <w:szCs w:val="21"/>
          <w:highlight w:val="none"/>
        </w:rPr>
        <w:t>），考核结果无扣减费用情形，全额支付</w:t>
      </w:r>
      <w:r>
        <w:rPr>
          <w:rFonts w:hint="eastAsia" w:ascii="宋体" w:hAnsi="宋体"/>
          <w:iCs/>
          <w:color w:val="auto"/>
          <w:szCs w:val="21"/>
          <w:highlight w:val="none"/>
          <w:lang w:val="en-US" w:eastAsia="zh-CN"/>
        </w:rPr>
        <w:t>该周期服务费</w:t>
      </w:r>
      <w:r>
        <w:rPr>
          <w:rFonts w:hint="eastAsia" w:ascii="宋体" w:hAnsi="宋体"/>
          <w:iCs/>
          <w:color w:val="auto"/>
          <w:szCs w:val="21"/>
          <w:highlight w:val="none"/>
        </w:rPr>
        <w:t>给</w:t>
      </w: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；考核出现扣减费用情形，</w:t>
      </w:r>
      <w:r>
        <w:rPr>
          <w:rFonts w:hint="eastAsia" w:ascii="宋体" w:hAnsi="宋体"/>
          <w:iCs/>
          <w:color w:val="auto"/>
          <w:szCs w:val="21"/>
          <w:highlight w:val="none"/>
          <w:lang w:val="en-US" w:eastAsia="zh-CN"/>
        </w:rPr>
        <w:t>按照经</w:t>
      </w:r>
      <w:r>
        <w:rPr>
          <w:rFonts w:hint="eastAsia" w:ascii="宋体" w:hAnsi="宋体"/>
          <w:iCs/>
          <w:color w:val="auto"/>
          <w:szCs w:val="21"/>
          <w:highlight w:val="none"/>
        </w:rPr>
        <w:t>双方确认采购人通报的月考核评分结果，依据“</w:t>
      </w:r>
      <w:r>
        <w:rPr>
          <w:rFonts w:hint="eastAsia" w:ascii="宋体" w:hAnsi="宋体"/>
          <w:iCs/>
          <w:color w:val="auto"/>
          <w:szCs w:val="21"/>
          <w:highlight w:val="none"/>
          <w:lang w:val="en-US" w:eastAsia="zh-CN"/>
        </w:rPr>
        <w:t>考核要求”</w:t>
      </w:r>
      <w:r>
        <w:rPr>
          <w:rFonts w:hint="eastAsia" w:ascii="宋体" w:hAnsi="宋体"/>
          <w:iCs/>
          <w:color w:val="auto"/>
          <w:szCs w:val="21"/>
          <w:highlight w:val="none"/>
        </w:rPr>
        <w:t>的规定</w:t>
      </w:r>
      <w:r>
        <w:rPr>
          <w:rFonts w:hint="eastAsia" w:ascii="宋体" w:hAnsi="宋体"/>
          <w:iCs/>
          <w:color w:val="auto"/>
          <w:szCs w:val="21"/>
          <w:highlight w:val="none"/>
          <w:lang w:val="en-US" w:eastAsia="zh-CN"/>
        </w:rPr>
        <w:t>支付实际应付款项</w:t>
      </w:r>
      <w:r>
        <w:rPr>
          <w:rFonts w:hint="eastAsia" w:ascii="宋体" w:hAnsi="宋体"/>
          <w:iCs/>
          <w:color w:val="auto"/>
          <w:szCs w:val="21"/>
          <w:highlight w:val="none"/>
        </w:rPr>
        <w:t>；</w:t>
      </w:r>
    </w:p>
    <w:p w14:paraId="59409968">
      <w:pPr>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iCs/>
          <w:color w:val="auto"/>
          <w:szCs w:val="21"/>
          <w:highlight w:val="none"/>
        </w:rPr>
      </w:pP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根据实际应付款数额向采购人提交请款申请及等额合法发票，采购人应在收到</w:t>
      </w: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合格请款资料的10个工作日内支付完毕，若因</w:t>
      </w:r>
      <w:r>
        <w:rPr>
          <w:rFonts w:hint="eastAsia" w:ascii="宋体" w:hAnsi="宋体"/>
          <w:iCs/>
          <w:color w:val="auto"/>
          <w:szCs w:val="21"/>
          <w:highlight w:val="none"/>
          <w:lang w:val="en-US" w:eastAsia="zh-CN"/>
        </w:rPr>
        <w:t>成交供应商</w:t>
      </w:r>
      <w:r>
        <w:rPr>
          <w:rFonts w:hint="eastAsia" w:ascii="宋体" w:hAnsi="宋体"/>
          <w:iCs/>
          <w:color w:val="auto"/>
          <w:szCs w:val="21"/>
          <w:highlight w:val="none"/>
        </w:rPr>
        <w:t>迟延提供请款材料</w:t>
      </w:r>
      <w:r>
        <w:rPr>
          <w:rFonts w:hint="eastAsia" w:ascii="宋体" w:hAnsi="宋体"/>
          <w:iCs/>
          <w:color w:val="auto"/>
          <w:szCs w:val="21"/>
          <w:highlight w:val="none"/>
          <w:lang w:val="en-US" w:eastAsia="zh-CN"/>
        </w:rPr>
        <w:t>或请款材料不合格</w:t>
      </w:r>
      <w:r>
        <w:rPr>
          <w:rFonts w:hint="eastAsia" w:ascii="宋体" w:hAnsi="宋体"/>
          <w:iCs/>
          <w:color w:val="auto"/>
          <w:szCs w:val="21"/>
          <w:highlight w:val="none"/>
        </w:rPr>
        <w:t>导致采购人未在如上时间内付款的，采购人不构成违约，并不承担任何相关责任。</w:t>
      </w:r>
    </w:p>
    <w:p w14:paraId="1974EC5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验收方法：</w:t>
      </w:r>
    </w:p>
    <w:p w14:paraId="11325AB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highlight w:val="none"/>
          <w:lang w:eastAsia="zh-CN"/>
        </w:rPr>
      </w:pPr>
      <w:r>
        <w:rPr>
          <w:rFonts w:hint="eastAsia" w:ascii="宋体" w:hAnsi="宋体"/>
          <w:iCs/>
          <w:color w:val="auto"/>
          <w:szCs w:val="21"/>
          <w:highlight w:val="none"/>
          <w:lang w:val="en-US" w:eastAsia="zh-CN"/>
        </w:rPr>
        <w:t>服务期内，成交供应商服务每满1个月后的10日内，由采购人对成交供应商上</w:t>
      </w:r>
      <w:r>
        <w:rPr>
          <w:rFonts w:hint="eastAsia" w:ascii="宋体" w:hAnsi="宋体"/>
          <w:iCs/>
          <w:color w:val="auto"/>
          <w:szCs w:val="21"/>
          <w:highlight w:val="none"/>
        </w:rPr>
        <w:t>月运维工作</w:t>
      </w:r>
      <w:r>
        <w:rPr>
          <w:rFonts w:hint="eastAsia" w:ascii="宋体" w:hAnsi="宋体"/>
          <w:iCs/>
          <w:color w:val="auto"/>
          <w:szCs w:val="21"/>
          <w:highlight w:val="none"/>
          <w:lang w:val="en-US" w:eastAsia="zh-CN"/>
        </w:rPr>
        <w:t>进行</w:t>
      </w:r>
      <w:r>
        <w:rPr>
          <w:rFonts w:hint="eastAsia" w:ascii="宋体" w:hAnsi="宋体"/>
          <w:iCs/>
          <w:color w:val="auto"/>
          <w:szCs w:val="21"/>
          <w:highlight w:val="none"/>
        </w:rPr>
        <w:t>月度考核，由采购人指定责任民警组成月度考核团队，对每月的运维工作进行阶段性考评</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考核内容详见本项目采购需求“考核要求”</w:t>
      </w:r>
      <w:r>
        <w:rPr>
          <w:rFonts w:hint="eastAsia" w:ascii="宋体" w:hAnsi="宋体"/>
          <w:iCs/>
          <w:color w:val="auto"/>
          <w:szCs w:val="21"/>
          <w:highlight w:val="none"/>
          <w:lang w:eastAsia="zh-CN"/>
        </w:rPr>
        <w:t>。</w:t>
      </w:r>
    </w:p>
    <w:p w14:paraId="08634CF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技术要求</w:t>
      </w:r>
    </w:p>
    <w:p w14:paraId="648C984A">
      <w:pPr>
        <w:numPr>
          <w:ilvl w:val="0"/>
          <w:numId w:val="12"/>
        </w:numPr>
        <w:snapToGrid w:val="0"/>
        <w:spacing w:line="360" w:lineRule="auto"/>
        <w:contextualSpacing/>
        <w:rPr>
          <w:rFonts w:ascii="宋体" w:hAnsi="宋体"/>
          <w:b/>
          <w:bCs/>
          <w:color w:val="auto"/>
          <w:szCs w:val="21"/>
          <w:highlight w:val="none"/>
        </w:rPr>
      </w:pPr>
      <w:r>
        <w:rPr>
          <w:rFonts w:hint="eastAsia" w:ascii="宋体" w:hAnsi="宋体"/>
          <w:b/>
          <w:bCs/>
          <w:color w:val="auto"/>
          <w:szCs w:val="21"/>
          <w:highlight w:val="none"/>
          <w:lang w:val="en-US" w:eastAsia="zh-CN"/>
        </w:rPr>
        <w:t>总体服务</w:t>
      </w:r>
      <w:r>
        <w:rPr>
          <w:rFonts w:ascii="宋体" w:hAnsi="宋体"/>
          <w:b/>
          <w:bCs/>
          <w:color w:val="auto"/>
          <w:szCs w:val="21"/>
          <w:highlight w:val="none"/>
        </w:rPr>
        <w:t>要求</w:t>
      </w:r>
    </w:p>
    <w:p w14:paraId="00BB32B1">
      <w:pPr>
        <w:numPr>
          <w:ilvl w:val="0"/>
          <w:numId w:val="13"/>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服务人员数量及管理要求</w:t>
      </w:r>
    </w:p>
    <w:p w14:paraId="36F5EA79">
      <w:pPr>
        <w:keepNext w:val="0"/>
        <w:keepLines w:val="0"/>
        <w:pageBreakBefore w:val="0"/>
        <w:widowControl w:val="0"/>
        <w:numPr>
          <w:ilvl w:val="0"/>
          <w:numId w:val="14"/>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服务人员数量要求</w:t>
      </w:r>
    </w:p>
    <w:p w14:paraId="18CD6787">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color w:val="auto"/>
          <w:szCs w:val="21"/>
          <w:highlight w:val="none"/>
        </w:rPr>
      </w:pPr>
      <w:r>
        <w:rPr>
          <w:rFonts w:hint="eastAsia" w:ascii="宋体" w:hAnsi="宋体"/>
          <w:color w:val="auto"/>
          <w:szCs w:val="21"/>
          <w:highlight w:val="none"/>
          <w:lang w:val="en-US" w:eastAsia="zh-CN"/>
        </w:rPr>
        <w:t>本项目</w:t>
      </w:r>
      <w:r>
        <w:rPr>
          <w:rFonts w:hint="eastAsia" w:ascii="宋体" w:hAnsi="宋体"/>
          <w:color w:val="auto"/>
          <w:szCs w:val="21"/>
          <w:highlight w:val="none"/>
        </w:rPr>
        <w:t>运维服务人员</w:t>
      </w:r>
      <w:r>
        <w:rPr>
          <w:rFonts w:hint="eastAsia" w:ascii="宋体" w:hAnsi="宋体"/>
          <w:color w:val="auto"/>
          <w:szCs w:val="21"/>
          <w:highlight w:val="none"/>
          <w:lang w:val="en-US" w:eastAsia="zh-CN"/>
        </w:rPr>
        <w:t>不少于</w:t>
      </w:r>
      <w:r>
        <w:rPr>
          <w:rFonts w:hint="eastAsia" w:ascii="宋体" w:hAnsi="宋体"/>
          <w:color w:val="auto"/>
          <w:szCs w:val="21"/>
          <w:highlight w:val="none"/>
        </w:rPr>
        <w:t>5人，</w:t>
      </w:r>
      <w:r>
        <w:rPr>
          <w:rFonts w:hint="eastAsia" w:ascii="宋体" w:hAnsi="宋体"/>
          <w:color w:val="auto"/>
          <w:szCs w:val="21"/>
          <w:highlight w:val="none"/>
          <w:lang w:val="en-US" w:eastAsia="zh-CN"/>
        </w:rPr>
        <w:t>其中</w:t>
      </w:r>
      <w:r>
        <w:rPr>
          <w:rFonts w:hint="eastAsia" w:ascii="宋体" w:hAnsi="宋体"/>
          <w:color w:val="auto"/>
          <w:szCs w:val="21"/>
          <w:highlight w:val="none"/>
        </w:rPr>
        <w:t>含项目负责人1人</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具体要求如下：</w:t>
      </w:r>
    </w:p>
    <w:tbl>
      <w:tblPr>
        <w:tblStyle w:val="80"/>
        <w:tblW w:w="505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1"/>
        <w:gridCol w:w="1570"/>
        <w:gridCol w:w="1300"/>
        <w:gridCol w:w="5629"/>
      </w:tblGrid>
      <w:tr w14:paraId="695F2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371" w:type="pct"/>
            <w:vAlign w:val="center"/>
          </w:tcPr>
          <w:p w14:paraId="4B61A1E5">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序号</w:t>
            </w:r>
          </w:p>
        </w:tc>
        <w:tc>
          <w:tcPr>
            <w:tcW w:w="855" w:type="pct"/>
            <w:vAlign w:val="center"/>
          </w:tcPr>
          <w:p w14:paraId="6F9C84F6">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岗位名称</w:t>
            </w:r>
          </w:p>
        </w:tc>
        <w:tc>
          <w:tcPr>
            <w:tcW w:w="708" w:type="pct"/>
            <w:vAlign w:val="center"/>
          </w:tcPr>
          <w:p w14:paraId="6891DC7D">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人数</w:t>
            </w:r>
          </w:p>
        </w:tc>
        <w:tc>
          <w:tcPr>
            <w:tcW w:w="3064" w:type="pct"/>
            <w:vAlign w:val="center"/>
          </w:tcPr>
          <w:p w14:paraId="70A5BDEA">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人员资质及技能</w:t>
            </w:r>
          </w:p>
        </w:tc>
      </w:tr>
      <w:tr w14:paraId="55DED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371" w:type="pct"/>
            <w:vAlign w:val="center"/>
          </w:tcPr>
          <w:p w14:paraId="27DD0A6A">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1</w:t>
            </w:r>
          </w:p>
        </w:tc>
        <w:tc>
          <w:tcPr>
            <w:tcW w:w="855" w:type="pct"/>
            <w:vAlign w:val="center"/>
          </w:tcPr>
          <w:p w14:paraId="59E43C2F">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前端运维人员</w:t>
            </w:r>
          </w:p>
        </w:tc>
        <w:tc>
          <w:tcPr>
            <w:tcW w:w="708" w:type="pct"/>
            <w:vAlign w:val="center"/>
          </w:tcPr>
          <w:p w14:paraId="266023D7">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eastAsia="en-US"/>
              </w:rPr>
              <w:t>3</w:t>
            </w:r>
            <w:r>
              <w:rPr>
                <w:rFonts w:hint="eastAsia" w:ascii="宋体" w:hAnsi="宋体" w:cs="宋体"/>
                <w:snapToGrid w:val="0"/>
                <w:color w:val="auto"/>
                <w:kern w:val="0"/>
                <w:sz w:val="21"/>
                <w:szCs w:val="21"/>
                <w:highlight w:val="none"/>
                <w:lang w:eastAsia="zh-CN"/>
              </w:rPr>
              <w:t>人</w:t>
            </w:r>
          </w:p>
        </w:tc>
        <w:tc>
          <w:tcPr>
            <w:tcW w:w="3064" w:type="pct"/>
            <w:vAlign w:val="center"/>
          </w:tcPr>
          <w:p w14:paraId="630FD098">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有2年或以上电子警察系统管理平台操作相关维护工作经验。</w:t>
            </w:r>
          </w:p>
        </w:tc>
      </w:tr>
      <w:tr w14:paraId="1E3DE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jc w:val="center"/>
        </w:trPr>
        <w:tc>
          <w:tcPr>
            <w:tcW w:w="371" w:type="pct"/>
            <w:vAlign w:val="center"/>
          </w:tcPr>
          <w:p w14:paraId="07D651EE">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2</w:t>
            </w:r>
          </w:p>
        </w:tc>
        <w:tc>
          <w:tcPr>
            <w:tcW w:w="855" w:type="pct"/>
            <w:vAlign w:val="center"/>
          </w:tcPr>
          <w:p w14:paraId="538C33A4">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eastAsia="宋体" w:cs="宋体"/>
                <w:snapToGrid w:val="0"/>
                <w:color w:val="auto"/>
                <w:kern w:val="0"/>
                <w:sz w:val="21"/>
                <w:szCs w:val="21"/>
                <w:highlight w:val="none"/>
                <w:lang w:eastAsia="en-US"/>
              </w:rPr>
              <w:t>网络维护人员</w:t>
            </w:r>
          </w:p>
        </w:tc>
        <w:tc>
          <w:tcPr>
            <w:tcW w:w="708" w:type="pct"/>
            <w:vAlign w:val="center"/>
          </w:tcPr>
          <w:p w14:paraId="679533C1">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val="en-US" w:eastAsia="zh-CN"/>
              </w:rPr>
              <w:t>1</w:t>
            </w:r>
            <w:r>
              <w:rPr>
                <w:rFonts w:hint="eastAsia" w:ascii="宋体" w:hAnsi="宋体" w:cs="宋体"/>
                <w:snapToGrid w:val="0"/>
                <w:color w:val="auto"/>
                <w:kern w:val="0"/>
                <w:sz w:val="21"/>
                <w:szCs w:val="21"/>
                <w:highlight w:val="none"/>
                <w:lang w:eastAsia="zh-CN"/>
              </w:rPr>
              <w:t>人</w:t>
            </w:r>
          </w:p>
        </w:tc>
        <w:tc>
          <w:tcPr>
            <w:tcW w:w="3064" w:type="pct"/>
            <w:vAlign w:val="center"/>
          </w:tcPr>
          <w:p w14:paraId="76748012">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有1年或以上数据中心或网络运维经验，掌握TCP/IP、LAN、WAN等相关网络知识，熟悉机房网络设备的连接及日常维护，熟悉主流网络厂商设备的安装与调试。</w:t>
            </w:r>
          </w:p>
        </w:tc>
      </w:tr>
      <w:tr w14:paraId="35F57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jc w:val="center"/>
        </w:trPr>
        <w:tc>
          <w:tcPr>
            <w:tcW w:w="371" w:type="pct"/>
            <w:vAlign w:val="center"/>
          </w:tcPr>
          <w:p w14:paraId="72280E16">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3</w:t>
            </w:r>
          </w:p>
        </w:tc>
        <w:tc>
          <w:tcPr>
            <w:tcW w:w="855" w:type="pct"/>
            <w:vAlign w:val="center"/>
          </w:tcPr>
          <w:p w14:paraId="15FDC486">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eastAsia="宋体" w:cs="宋体"/>
                <w:snapToGrid w:val="0"/>
                <w:color w:val="auto"/>
                <w:kern w:val="0"/>
                <w:sz w:val="21"/>
                <w:szCs w:val="21"/>
                <w:highlight w:val="none"/>
                <w:lang w:eastAsia="en-US"/>
              </w:rPr>
              <w:t>后台服务器维护人员</w:t>
            </w:r>
          </w:p>
        </w:tc>
        <w:tc>
          <w:tcPr>
            <w:tcW w:w="708" w:type="pct"/>
            <w:vAlign w:val="center"/>
          </w:tcPr>
          <w:p w14:paraId="42D60F4E">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val="en-US" w:eastAsia="zh-CN"/>
              </w:rPr>
              <w:t>1</w:t>
            </w:r>
            <w:r>
              <w:rPr>
                <w:rFonts w:hint="eastAsia" w:ascii="宋体" w:hAnsi="宋体" w:cs="宋体"/>
                <w:snapToGrid w:val="0"/>
                <w:color w:val="auto"/>
                <w:kern w:val="0"/>
                <w:sz w:val="21"/>
                <w:szCs w:val="21"/>
                <w:highlight w:val="none"/>
                <w:lang w:eastAsia="zh-CN"/>
              </w:rPr>
              <w:t>人</w:t>
            </w:r>
          </w:p>
        </w:tc>
        <w:tc>
          <w:tcPr>
            <w:tcW w:w="3064" w:type="pct"/>
            <w:vAlign w:val="center"/>
          </w:tcPr>
          <w:p w14:paraId="0098525E">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有2年或以上相关工作经验，熟悉机房运维，包括网络、服务器、小型机、存储、虚拟化、软件系统、安全设备等，具有较强的沟通协调能力和应急处理能力。</w:t>
            </w:r>
          </w:p>
        </w:tc>
      </w:tr>
    </w:tbl>
    <w:p w14:paraId="154459E4">
      <w:pPr>
        <w:keepNext w:val="0"/>
        <w:keepLines w:val="0"/>
        <w:pageBreakBefore w:val="0"/>
        <w:widowControl w:val="0"/>
        <w:numPr>
          <w:ilvl w:val="0"/>
          <w:numId w:val="14"/>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服务人员管理要求</w:t>
      </w:r>
    </w:p>
    <w:p w14:paraId="18F2D55E">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成交供应商需</w:t>
      </w:r>
      <w:r>
        <w:rPr>
          <w:rFonts w:hint="eastAsia" w:ascii="宋体" w:hAnsi="宋体"/>
          <w:color w:val="auto"/>
          <w:szCs w:val="21"/>
          <w:highlight w:val="none"/>
        </w:rPr>
        <w:t>统一运维服务团队人员的制服</w:t>
      </w:r>
      <w:r>
        <w:rPr>
          <w:rFonts w:hint="eastAsia" w:ascii="宋体" w:hAnsi="宋体"/>
          <w:color w:val="auto"/>
          <w:szCs w:val="21"/>
          <w:highlight w:val="none"/>
          <w:lang w:val="en-US" w:eastAsia="zh-CN"/>
        </w:rPr>
        <w:t>并保持</w:t>
      </w:r>
      <w:r>
        <w:rPr>
          <w:rFonts w:hint="eastAsia" w:ascii="宋体" w:hAnsi="宋体"/>
          <w:color w:val="auto"/>
          <w:szCs w:val="21"/>
          <w:highlight w:val="none"/>
        </w:rPr>
        <w:t>形象</w:t>
      </w:r>
      <w:r>
        <w:rPr>
          <w:rFonts w:hint="eastAsia" w:ascii="宋体" w:hAnsi="宋体"/>
          <w:color w:val="auto"/>
          <w:szCs w:val="21"/>
          <w:highlight w:val="none"/>
          <w:lang w:val="en-US" w:eastAsia="zh-CN"/>
        </w:rPr>
        <w:t>整洁</w:t>
      </w:r>
      <w:r>
        <w:rPr>
          <w:rFonts w:hint="eastAsia" w:ascii="宋体" w:hAnsi="宋体"/>
          <w:color w:val="auto"/>
          <w:szCs w:val="21"/>
          <w:highlight w:val="none"/>
        </w:rPr>
        <w:t>，运维服务人员装备应包含但不限于以下装备：笔记本电脑</w:t>
      </w:r>
      <w:r>
        <w:rPr>
          <w:rFonts w:hint="eastAsia" w:ascii="宋体" w:hAnsi="宋体"/>
          <w:color w:val="auto"/>
          <w:szCs w:val="21"/>
          <w:highlight w:val="none"/>
          <w:lang w:eastAsia="zh-CN"/>
        </w:rPr>
        <w:t>、</w:t>
      </w:r>
      <w:r>
        <w:rPr>
          <w:rFonts w:hint="eastAsia" w:ascii="宋体" w:hAnsi="宋体"/>
          <w:color w:val="auto"/>
          <w:szCs w:val="21"/>
          <w:highlight w:val="none"/>
        </w:rPr>
        <w:t>智能手机</w:t>
      </w:r>
      <w:r>
        <w:rPr>
          <w:rFonts w:hint="eastAsia" w:ascii="宋体" w:hAnsi="宋体"/>
          <w:color w:val="auto"/>
          <w:szCs w:val="21"/>
          <w:highlight w:val="none"/>
          <w:lang w:eastAsia="zh-CN"/>
        </w:rPr>
        <w:t>、</w:t>
      </w:r>
      <w:r>
        <w:rPr>
          <w:rFonts w:hint="eastAsia" w:ascii="宋体" w:hAnsi="宋体"/>
          <w:color w:val="auto"/>
          <w:szCs w:val="21"/>
          <w:highlight w:val="none"/>
        </w:rPr>
        <w:t>仪表套装</w:t>
      </w:r>
      <w:r>
        <w:rPr>
          <w:rFonts w:hint="eastAsia" w:ascii="宋体" w:hAnsi="宋体"/>
          <w:color w:val="auto"/>
          <w:szCs w:val="21"/>
          <w:highlight w:val="none"/>
          <w:lang w:eastAsia="zh-CN"/>
        </w:rPr>
        <w:t>（</w:t>
      </w:r>
      <w:r>
        <w:rPr>
          <w:rFonts w:hint="eastAsia" w:ascii="宋体" w:hAnsi="宋体"/>
          <w:color w:val="auto"/>
          <w:szCs w:val="21"/>
          <w:highlight w:val="none"/>
        </w:rPr>
        <w:t>测线仪，标签机，专业定位设备，万能表，感应式多功能线仪，光功率计，红光笔</w:t>
      </w:r>
      <w:r>
        <w:rPr>
          <w:rFonts w:hint="eastAsia" w:ascii="宋体" w:hAnsi="宋体"/>
          <w:color w:val="auto"/>
          <w:szCs w:val="21"/>
          <w:highlight w:val="none"/>
          <w:lang w:eastAsia="zh-CN"/>
        </w:rPr>
        <w:t>）、</w:t>
      </w:r>
      <w:r>
        <w:rPr>
          <w:rFonts w:hint="eastAsia" w:ascii="宋体" w:hAnsi="宋体"/>
          <w:color w:val="auto"/>
          <w:szCs w:val="21"/>
          <w:highlight w:val="none"/>
        </w:rPr>
        <w:t>工具套装</w:t>
      </w:r>
      <w:r>
        <w:rPr>
          <w:rFonts w:hint="eastAsia" w:ascii="宋体" w:hAnsi="宋体"/>
          <w:color w:val="auto"/>
          <w:szCs w:val="21"/>
          <w:highlight w:val="none"/>
          <w:lang w:eastAsia="zh-CN"/>
        </w:rPr>
        <w:t>（</w:t>
      </w:r>
      <w:r>
        <w:rPr>
          <w:rFonts w:hint="eastAsia" w:ascii="宋体" w:hAnsi="宋体"/>
          <w:color w:val="auto"/>
          <w:szCs w:val="21"/>
          <w:highlight w:val="none"/>
        </w:rPr>
        <w:t>含一字和十字螺丝刀、尖嘴钳、斜口钳、扎带、标签纸、快干笔、鞋套、防静电手环、垃圾袋、白色手套</w:t>
      </w:r>
      <w:r>
        <w:rPr>
          <w:rFonts w:hint="eastAsia" w:ascii="宋体" w:hAnsi="宋体"/>
          <w:color w:val="auto"/>
          <w:szCs w:val="21"/>
          <w:highlight w:val="none"/>
          <w:lang w:eastAsia="zh-CN"/>
        </w:rPr>
        <w:t>）、</w:t>
      </w:r>
      <w:r>
        <w:rPr>
          <w:rFonts w:hint="eastAsia" w:ascii="宋体" w:hAnsi="宋体"/>
          <w:color w:val="auto"/>
          <w:szCs w:val="21"/>
          <w:highlight w:val="none"/>
        </w:rPr>
        <w:t>统一运维工作服等</w:t>
      </w:r>
      <w:r>
        <w:rPr>
          <w:rFonts w:hint="eastAsia" w:ascii="宋体" w:hAnsi="宋体"/>
          <w:color w:val="auto"/>
          <w:szCs w:val="21"/>
          <w:highlight w:val="none"/>
          <w:lang w:eastAsia="zh-CN"/>
        </w:rPr>
        <w:t>；</w:t>
      </w:r>
      <w:r>
        <w:rPr>
          <w:rFonts w:hint="eastAsia" w:ascii="宋体" w:hAnsi="宋体"/>
          <w:color w:val="auto"/>
          <w:szCs w:val="21"/>
          <w:highlight w:val="none"/>
        </w:rPr>
        <w:t>外场设备抢修装备</w:t>
      </w:r>
      <w:r>
        <w:rPr>
          <w:rFonts w:hint="eastAsia" w:ascii="宋体" w:hAnsi="宋体"/>
          <w:color w:val="auto"/>
          <w:szCs w:val="21"/>
          <w:highlight w:val="none"/>
          <w:lang w:eastAsia="zh-CN"/>
        </w:rPr>
        <w:t>：</w:t>
      </w:r>
      <w:r>
        <w:rPr>
          <w:rFonts w:hint="eastAsia" w:ascii="宋体" w:hAnsi="宋体"/>
          <w:color w:val="auto"/>
          <w:szCs w:val="21"/>
          <w:highlight w:val="none"/>
        </w:rPr>
        <w:t>运维机动车辆，高空特种作业车辆，应急发电机，移动交通信号灯等。</w:t>
      </w:r>
    </w:p>
    <w:p w14:paraId="66687AD3">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rPr>
        <w:t>如果</w:t>
      </w:r>
      <w:r>
        <w:rPr>
          <w:rFonts w:hint="eastAsia" w:ascii="宋体" w:hAnsi="宋体"/>
          <w:color w:val="auto"/>
          <w:szCs w:val="21"/>
          <w:highlight w:val="none"/>
          <w:lang w:val="en-US" w:eastAsia="zh-CN"/>
        </w:rPr>
        <w:t>运维服务</w:t>
      </w:r>
      <w:r>
        <w:rPr>
          <w:rFonts w:hint="eastAsia" w:ascii="宋体" w:hAnsi="宋体"/>
          <w:color w:val="auto"/>
          <w:szCs w:val="21"/>
          <w:highlight w:val="none"/>
        </w:rPr>
        <w:t>人员存在工作态度、责任心、技术能力、协调能力等方面之一的问题时，</w:t>
      </w:r>
      <w:r>
        <w:rPr>
          <w:rFonts w:hint="eastAsia" w:ascii="宋体" w:hAnsi="宋体"/>
          <w:color w:val="auto"/>
          <w:szCs w:val="21"/>
          <w:highlight w:val="none"/>
          <w:lang w:val="en-US" w:eastAsia="zh-CN"/>
        </w:rPr>
        <w:t>采购人</w:t>
      </w:r>
      <w:r>
        <w:rPr>
          <w:rFonts w:hint="eastAsia" w:ascii="宋体" w:hAnsi="宋体"/>
          <w:color w:val="auto"/>
          <w:szCs w:val="21"/>
          <w:highlight w:val="none"/>
        </w:rPr>
        <w:t>有权要求</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更换</w:t>
      </w:r>
      <w:r>
        <w:rPr>
          <w:rFonts w:hint="eastAsia" w:ascii="宋体" w:hAnsi="宋体"/>
          <w:color w:val="auto"/>
          <w:szCs w:val="21"/>
          <w:highlight w:val="none"/>
          <w:lang w:val="en-US" w:eastAsia="zh-CN"/>
        </w:rPr>
        <w:t>服务</w:t>
      </w:r>
      <w:r>
        <w:rPr>
          <w:rFonts w:hint="eastAsia" w:ascii="宋体" w:hAnsi="宋体"/>
          <w:color w:val="auto"/>
          <w:szCs w:val="21"/>
          <w:highlight w:val="none"/>
        </w:rPr>
        <w:t>人员，</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须在收到书面通知1周内更换</w:t>
      </w:r>
      <w:r>
        <w:rPr>
          <w:rFonts w:hint="eastAsia" w:ascii="宋体" w:hAnsi="宋体"/>
          <w:color w:val="auto"/>
          <w:szCs w:val="21"/>
          <w:highlight w:val="none"/>
          <w:lang w:val="en-US" w:eastAsia="zh-CN"/>
        </w:rPr>
        <w:t>服务</w:t>
      </w:r>
      <w:r>
        <w:rPr>
          <w:rFonts w:hint="eastAsia" w:ascii="宋体" w:hAnsi="宋体"/>
          <w:color w:val="auto"/>
          <w:szCs w:val="21"/>
          <w:highlight w:val="none"/>
        </w:rPr>
        <w:t>人员</w:t>
      </w:r>
      <w:r>
        <w:rPr>
          <w:rFonts w:hint="eastAsia" w:ascii="宋体" w:hAnsi="宋体"/>
          <w:color w:val="auto"/>
          <w:szCs w:val="21"/>
          <w:highlight w:val="none"/>
          <w:lang w:eastAsia="zh-CN"/>
        </w:rPr>
        <w:t>。</w:t>
      </w:r>
    </w:p>
    <w:p w14:paraId="2FF32E08">
      <w:pPr>
        <w:keepNext w:val="0"/>
        <w:keepLines w:val="0"/>
        <w:pageBreakBefore w:val="0"/>
        <w:widowControl w:val="0"/>
        <w:numPr>
          <w:ilvl w:val="0"/>
          <w:numId w:val="15"/>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w:t>
      </w:r>
      <w:r>
        <w:rPr>
          <w:rFonts w:hint="eastAsia" w:ascii="宋体" w:hAnsi="宋体"/>
          <w:color w:val="auto"/>
          <w:szCs w:val="21"/>
          <w:highlight w:val="none"/>
        </w:rPr>
        <w:t>应为</w:t>
      </w:r>
      <w:r>
        <w:rPr>
          <w:rFonts w:hint="eastAsia" w:ascii="宋体" w:hAnsi="宋体"/>
          <w:color w:val="auto"/>
          <w:szCs w:val="21"/>
          <w:highlight w:val="none"/>
          <w:lang w:val="en-US" w:eastAsia="zh-CN"/>
        </w:rPr>
        <w:t>服务</w:t>
      </w:r>
      <w:r>
        <w:rPr>
          <w:rFonts w:hint="eastAsia" w:ascii="宋体" w:hAnsi="宋体"/>
          <w:color w:val="auto"/>
          <w:szCs w:val="21"/>
          <w:highlight w:val="none"/>
        </w:rPr>
        <w:t>人员购买必要的保险，对于</w:t>
      </w:r>
      <w:r>
        <w:rPr>
          <w:rFonts w:hint="eastAsia" w:ascii="宋体" w:hAnsi="宋体"/>
          <w:color w:val="auto"/>
          <w:szCs w:val="21"/>
          <w:highlight w:val="none"/>
          <w:lang w:val="en-US" w:eastAsia="zh-CN"/>
        </w:rPr>
        <w:t>服务</w:t>
      </w:r>
      <w:r>
        <w:rPr>
          <w:rFonts w:hint="eastAsia" w:ascii="宋体" w:hAnsi="宋体"/>
          <w:color w:val="auto"/>
          <w:szCs w:val="21"/>
          <w:highlight w:val="none"/>
        </w:rPr>
        <w:t>人员因为工作在</w:t>
      </w:r>
      <w:r>
        <w:rPr>
          <w:rFonts w:hint="eastAsia" w:ascii="宋体" w:hAnsi="宋体"/>
          <w:color w:val="auto"/>
          <w:szCs w:val="21"/>
          <w:highlight w:val="none"/>
          <w:lang w:val="en-US" w:eastAsia="zh-CN"/>
        </w:rPr>
        <w:t>本项目服务期间发生</w:t>
      </w:r>
      <w:r>
        <w:rPr>
          <w:rFonts w:hint="eastAsia" w:ascii="宋体" w:hAnsi="宋体"/>
          <w:color w:val="auto"/>
          <w:szCs w:val="21"/>
          <w:highlight w:val="none"/>
        </w:rPr>
        <w:t>的各种工伤、安全事件和事故，</w:t>
      </w:r>
      <w:r>
        <w:rPr>
          <w:rFonts w:hint="eastAsia" w:ascii="宋体" w:hAnsi="宋体"/>
          <w:color w:val="auto"/>
          <w:szCs w:val="21"/>
          <w:highlight w:val="none"/>
          <w:lang w:val="en-US" w:eastAsia="zh-CN"/>
        </w:rPr>
        <w:t>由成交供应商承担一切的法律和经济赔偿责任</w:t>
      </w:r>
      <w:r>
        <w:rPr>
          <w:rFonts w:hint="eastAsia" w:ascii="宋体" w:hAnsi="宋体"/>
          <w:color w:val="auto"/>
          <w:szCs w:val="21"/>
          <w:highlight w:val="none"/>
        </w:rPr>
        <w:t>。</w:t>
      </w:r>
    </w:p>
    <w:p w14:paraId="7368A15F">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设备要求：成交供应商须提供不少于1台吊臂车和1台小客车用于本项目运维服务。</w:t>
      </w:r>
    </w:p>
    <w:p w14:paraId="289461AE">
      <w:pPr>
        <w:numPr>
          <w:ilvl w:val="0"/>
          <w:numId w:val="13"/>
        </w:numPr>
        <w:tabs>
          <w:tab w:val="left" w:pos="284"/>
        </w:tabs>
        <w:snapToGrid w:val="0"/>
        <w:spacing w:line="360" w:lineRule="auto"/>
        <w:ind w:left="284" w:hanging="284"/>
        <w:contextualSpacing/>
        <w:rPr>
          <w:rFonts w:ascii="宋体" w:hAnsi="宋体"/>
          <w:b/>
          <w:bCs/>
          <w:color w:val="auto"/>
          <w:szCs w:val="21"/>
          <w:highlight w:val="none"/>
          <w:u w:val="single"/>
        </w:rPr>
      </w:pPr>
      <w:r>
        <w:rPr>
          <w:rFonts w:hint="eastAsia" w:ascii="宋体" w:hAnsi="宋体"/>
          <w:b/>
          <w:bCs/>
          <w:color w:val="auto"/>
          <w:szCs w:val="21"/>
          <w:highlight w:val="none"/>
          <w:u w:val="single"/>
        </w:rPr>
        <w:t>★</w:t>
      </w:r>
      <w:r>
        <w:rPr>
          <w:rFonts w:hint="eastAsia" w:ascii="宋体" w:hAnsi="宋体"/>
          <w:b/>
          <w:bCs/>
          <w:color w:val="auto"/>
          <w:szCs w:val="21"/>
          <w:highlight w:val="none"/>
          <w:u w:val="single"/>
          <w:lang w:val="en-US" w:eastAsia="zh-CN"/>
        </w:rPr>
        <w:t>保密要求（须提供单独承诺函并加盖供应商公章，承诺函格式自拟）</w:t>
      </w:r>
    </w:p>
    <w:p w14:paraId="223E261E">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及其服务人员必须与采购人签订保密协议，不得泄密系统数据、密码、用户手册资料等内容；如有故障，成交供应商需要临时聘请专家进行现场解决的，须书面通知并征得采购人同意，同时须签订保密协议，不得泄密系统数据、密码、用户手册资料等内容。</w:t>
      </w:r>
    </w:p>
    <w:p w14:paraId="2E8570B1">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成交供应商对履行本合同期间知悉的采购人信息负有保密责任，且成交供应商的保密责任不因本项目合同的终止而终止。</w:t>
      </w:r>
    </w:p>
    <w:p w14:paraId="1B416530">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成交供应商不得向任何第三方透露采购人工作人员的信息。</w:t>
      </w:r>
    </w:p>
    <w:p w14:paraId="2C1F66C5">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未经采购人同意，成交供应商服务人员不得擅自记录、复印、拍摄、摘抄、收藏采购人单位的任何文件资料和信息，不得随意翻阅与工作无关的文件和资料，严禁将采购人单位内部会议、谈话内容泄露给第三方。</w:t>
      </w:r>
    </w:p>
    <w:p w14:paraId="046DCECD">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严禁私自下载、拷贝采购人计算机内的信息资料，不得擅自携带采购人记载工作内容的硬盘、软盘和打印资料外出；严禁将工作中使用计算机储存的敏感内容、内部程序、口令、密码等泄露给无关人员。</w:t>
      </w:r>
    </w:p>
    <w:p w14:paraId="79271142">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成交供应商在对外部门、单位交流中，不得泄露和发表涉及采购人及警务工作秘密的技术文档和论文。</w:t>
      </w:r>
    </w:p>
    <w:p w14:paraId="107AC7D6">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成交供应商不得带领无关人员进入办公场所。</w:t>
      </w:r>
    </w:p>
    <w:p w14:paraId="43DB68C5">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成交供应商工作人员如离开采购人工作岗位，不得泄露从采购人所知悉的资料信息。</w:t>
      </w:r>
    </w:p>
    <w:p w14:paraId="78A4298F">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成交供应商不得利用项目实施期间获取的信息谋取不正当利益。</w:t>
      </w:r>
    </w:p>
    <w:p w14:paraId="198437B6">
      <w:pPr>
        <w:keepNext w:val="0"/>
        <w:keepLines w:val="0"/>
        <w:pageBreakBefore w:val="0"/>
        <w:widowControl w:val="0"/>
        <w:numPr>
          <w:ilvl w:val="0"/>
          <w:numId w:val="1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lang w:val="en-US" w:eastAsia="zh-CN"/>
        </w:rPr>
      </w:pPr>
      <w:r>
        <w:rPr>
          <w:rFonts w:hint="eastAsia" w:ascii="宋体" w:hAnsi="宋体"/>
          <w:b/>
          <w:bCs/>
          <w:color w:val="auto"/>
          <w:szCs w:val="21"/>
          <w:highlight w:val="none"/>
          <w:u w:val="single"/>
          <w:lang w:val="en-US" w:eastAsia="zh-CN"/>
        </w:rPr>
        <w:t>本项目过程中至项目完成后任何时间段，成交供应商必须采取有效措施对获悉和取得的数据、资料保密；未经采购人书面授权同意，成交供应商禁止将上述数据、资料为第三人知晓，否则，采购人有权追究成交供应商法律和经济赔偿责任。</w:t>
      </w:r>
    </w:p>
    <w:p w14:paraId="7AE3C1E7">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运维服务说明</w:t>
      </w:r>
    </w:p>
    <w:p w14:paraId="0369B7B8">
      <w:pPr>
        <w:keepNext w:val="0"/>
        <w:keepLines w:val="0"/>
        <w:pageBreakBefore w:val="0"/>
        <w:widowControl w:val="0"/>
        <w:numPr>
          <w:ilvl w:val="0"/>
          <w:numId w:val="1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服务期内前端交通抓拍机、红外高清监控摄像机、全景球机、信号灯及相关配套设备需要维修且涉及原厂配件的，由货物原厂提供维修服务，维修期间由成交供应商提供备品替换使用。</w:t>
      </w:r>
    </w:p>
    <w:p w14:paraId="79E9A2B8">
      <w:pPr>
        <w:keepNext w:val="0"/>
        <w:keepLines w:val="0"/>
        <w:pageBreakBefore w:val="0"/>
        <w:widowControl w:val="0"/>
        <w:numPr>
          <w:ilvl w:val="0"/>
          <w:numId w:val="1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rPr>
      </w:pPr>
      <w:r>
        <w:rPr>
          <w:rFonts w:hint="eastAsia" w:ascii="宋体" w:hAnsi="宋体"/>
          <w:b/>
          <w:bCs/>
          <w:color w:val="auto"/>
          <w:szCs w:val="21"/>
          <w:highlight w:val="none"/>
          <w:u w:val="single"/>
        </w:rPr>
        <w:t>★成交供应商需对电子警察</w:t>
      </w:r>
      <w:r>
        <w:rPr>
          <w:rFonts w:hint="eastAsia" w:ascii="宋体" w:hAnsi="宋体"/>
          <w:b/>
          <w:bCs/>
          <w:color w:val="auto"/>
          <w:szCs w:val="21"/>
          <w:highlight w:val="none"/>
          <w:u w:val="single"/>
          <w:lang w:val="en-US" w:eastAsia="zh-CN"/>
        </w:rPr>
        <w:t>在线率</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lang w:val="en-US" w:eastAsia="zh-CN"/>
        </w:rPr>
        <w:t>及时率和</w:t>
      </w:r>
      <w:r>
        <w:rPr>
          <w:rFonts w:hint="eastAsia" w:ascii="宋体" w:hAnsi="宋体"/>
          <w:b/>
          <w:bCs/>
          <w:color w:val="auto"/>
          <w:szCs w:val="21"/>
          <w:highlight w:val="none"/>
          <w:u w:val="single"/>
        </w:rPr>
        <w:t>道路交通信号灯</w:t>
      </w:r>
      <w:r>
        <w:rPr>
          <w:rFonts w:hint="eastAsia" w:ascii="宋体" w:hAnsi="宋体"/>
          <w:b/>
          <w:bCs/>
          <w:color w:val="auto"/>
          <w:szCs w:val="21"/>
          <w:highlight w:val="none"/>
          <w:u w:val="single"/>
          <w:lang w:val="en-US" w:eastAsia="zh-CN"/>
        </w:rPr>
        <w:t>联网率进行检查，检查频率不少于每天2次（即每天上午、下午各不少于1次）。检查由成交供应商指定专人负责，每次检查结果及数据反馈形式须按采购人要求进行汇总反馈。成交供应商各项巡检工作须形成对应工作台账，每次巡检结束后当日提交至采购人处存档备查。（须提供单独承诺函并加盖供应商公章，承诺函格式自拟）</w:t>
      </w:r>
    </w:p>
    <w:p w14:paraId="65290444">
      <w:pPr>
        <w:keepNext w:val="0"/>
        <w:keepLines w:val="0"/>
        <w:pageBreakBefore w:val="0"/>
        <w:widowControl w:val="0"/>
        <w:numPr>
          <w:ilvl w:val="0"/>
          <w:numId w:val="1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bCs/>
          <w:color w:val="auto"/>
          <w:szCs w:val="21"/>
          <w:highlight w:val="none"/>
          <w:u w:val="single"/>
        </w:rPr>
      </w:pPr>
      <w:r>
        <w:rPr>
          <w:rFonts w:hint="eastAsia" w:ascii="宋体" w:hAnsi="宋体"/>
          <w:b/>
          <w:bCs/>
          <w:color w:val="auto"/>
          <w:szCs w:val="21"/>
          <w:highlight w:val="none"/>
          <w:u w:val="single"/>
        </w:rPr>
        <w:t>★</w:t>
      </w:r>
      <w:r>
        <w:rPr>
          <w:rFonts w:hint="eastAsia" w:ascii="宋体" w:hAnsi="宋体"/>
          <w:b/>
          <w:bCs/>
          <w:color w:val="auto"/>
          <w:szCs w:val="21"/>
          <w:highlight w:val="none"/>
          <w:u w:val="single"/>
          <w:lang w:val="en-US" w:eastAsia="zh-CN"/>
        </w:rPr>
        <w:t>本项目运维服务情况受东莞市公安局监督考核，成交供应商履约过程中出现被东莞市公安局发现问题并提出的情形的，每出现1次，按本项目合同总额的5%扣除成交供应商违约金，服务期内累计出现3次的，采购人有权追究成交供应商违约责任并解除本项目服务合同。</w:t>
      </w:r>
    </w:p>
    <w:p w14:paraId="520444C3">
      <w:pPr>
        <w:numPr>
          <w:ilvl w:val="0"/>
          <w:numId w:val="13"/>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考核要求</w:t>
      </w:r>
    </w:p>
    <w:p w14:paraId="2ED12A6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服务评价内容包括但不限于服务绩效、服务人员素质及问题解决质量、服务管理规范化程度等，具体评价标准如下：</w:t>
      </w:r>
    </w:p>
    <w:p w14:paraId="4BEC501B">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考核要求</w:t>
      </w:r>
      <w:r>
        <w:rPr>
          <w:rFonts w:hint="eastAsia" w:ascii="宋体" w:hAnsi="宋体"/>
          <w:color w:val="auto"/>
          <w:szCs w:val="21"/>
          <w:highlight w:val="none"/>
          <w:lang w:eastAsia="zh-CN"/>
        </w:rPr>
        <w:t>——</w:t>
      </w:r>
      <w:r>
        <w:rPr>
          <w:rFonts w:hint="eastAsia" w:ascii="宋体" w:hAnsi="宋体"/>
          <w:color w:val="auto"/>
          <w:szCs w:val="21"/>
          <w:highlight w:val="none"/>
        </w:rPr>
        <w:t>减分项</w:t>
      </w:r>
    </w:p>
    <w:tbl>
      <w:tblPr>
        <w:tblStyle w:val="80"/>
        <w:tblW w:w="500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2"/>
        <w:gridCol w:w="1132"/>
        <w:gridCol w:w="3839"/>
        <w:gridCol w:w="823"/>
        <w:gridCol w:w="2058"/>
      </w:tblGrid>
      <w:tr w14:paraId="7AF7E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1301" w:type="pct"/>
            <w:gridSpan w:val="2"/>
            <w:tcBorders>
              <w:bottom w:val="nil"/>
            </w:tcBorders>
            <w:vAlign w:val="center"/>
          </w:tcPr>
          <w:p w14:paraId="5B0447E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2"/>
                <w:sz w:val="21"/>
                <w:szCs w:val="21"/>
                <w:highlight w:val="none"/>
                <w:lang w:val="en-US" w:eastAsia="zh-CN"/>
              </w:rPr>
            </w:pPr>
            <w:r>
              <w:rPr>
                <w:rFonts w:hint="eastAsia" w:cs="宋体"/>
                <w:b/>
                <w:bCs/>
                <w:color w:val="auto"/>
                <w:spacing w:val="2"/>
                <w:sz w:val="21"/>
                <w:szCs w:val="21"/>
                <w:highlight w:val="none"/>
                <w:lang w:val="en-US" w:eastAsia="zh-CN"/>
              </w:rPr>
              <w:t>考核项目</w:t>
            </w:r>
          </w:p>
        </w:tc>
        <w:tc>
          <w:tcPr>
            <w:tcW w:w="2112" w:type="pct"/>
            <w:vAlign w:val="center"/>
          </w:tcPr>
          <w:p w14:paraId="6243AF58">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3"/>
                <w:sz w:val="21"/>
                <w:szCs w:val="21"/>
                <w:highlight w:val="none"/>
                <w:lang w:val="en-US" w:eastAsia="zh-CN"/>
              </w:rPr>
            </w:pPr>
            <w:r>
              <w:rPr>
                <w:rFonts w:hint="eastAsia" w:cs="宋体"/>
                <w:b/>
                <w:bCs/>
                <w:color w:val="auto"/>
                <w:spacing w:val="-3"/>
                <w:sz w:val="21"/>
                <w:szCs w:val="21"/>
                <w:highlight w:val="none"/>
                <w:lang w:val="en-US" w:eastAsia="zh-CN"/>
              </w:rPr>
              <w:t>考核内容</w:t>
            </w:r>
          </w:p>
        </w:tc>
        <w:tc>
          <w:tcPr>
            <w:tcW w:w="453" w:type="pct"/>
            <w:vAlign w:val="center"/>
          </w:tcPr>
          <w:p w14:paraId="5A91F321">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b/>
                <w:bCs/>
                <w:color w:val="auto"/>
                <w:spacing w:val="-7"/>
                <w:sz w:val="21"/>
                <w:szCs w:val="21"/>
                <w:highlight w:val="none"/>
                <w:lang w:val="en-US" w:eastAsia="zh-CN"/>
              </w:rPr>
            </w:pPr>
            <w:r>
              <w:rPr>
                <w:rFonts w:hint="eastAsia" w:cs="宋体"/>
                <w:b/>
                <w:bCs/>
                <w:color w:val="auto"/>
                <w:spacing w:val="-7"/>
                <w:sz w:val="21"/>
                <w:szCs w:val="21"/>
                <w:highlight w:val="none"/>
                <w:lang w:val="en-US" w:eastAsia="zh-CN"/>
              </w:rPr>
              <w:t>分值</w:t>
            </w:r>
          </w:p>
        </w:tc>
        <w:tc>
          <w:tcPr>
            <w:tcW w:w="1132" w:type="pct"/>
            <w:vAlign w:val="center"/>
          </w:tcPr>
          <w:p w14:paraId="5D29A00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2"/>
                <w:sz w:val="21"/>
                <w:szCs w:val="21"/>
                <w:highlight w:val="none"/>
                <w:lang w:val="en-US" w:eastAsia="zh-CN"/>
              </w:rPr>
            </w:pPr>
            <w:r>
              <w:rPr>
                <w:rFonts w:hint="eastAsia" w:cs="宋体"/>
                <w:b/>
                <w:bCs/>
                <w:color w:val="auto"/>
                <w:spacing w:val="-2"/>
                <w:sz w:val="21"/>
                <w:szCs w:val="21"/>
                <w:highlight w:val="none"/>
                <w:lang w:val="en-US" w:eastAsia="zh-CN"/>
              </w:rPr>
              <w:t>考核方法</w:t>
            </w:r>
          </w:p>
        </w:tc>
      </w:tr>
      <w:tr w14:paraId="1FC4C6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tcBorders>
              <w:bottom w:val="nil"/>
            </w:tcBorders>
            <w:vAlign w:val="center"/>
          </w:tcPr>
          <w:p w14:paraId="7335A03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运维质量</w:t>
            </w:r>
          </w:p>
        </w:tc>
        <w:tc>
          <w:tcPr>
            <w:tcW w:w="623" w:type="pct"/>
            <w:vAlign w:val="center"/>
          </w:tcPr>
          <w:p w14:paraId="6B5056C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日巡查工作</w:t>
            </w:r>
            <w:r>
              <w:rPr>
                <w:rFonts w:hint="eastAsia" w:ascii="宋体" w:hAnsi="宋体" w:eastAsia="宋体" w:cs="宋体"/>
                <w:color w:val="auto"/>
                <w:spacing w:val="-3"/>
                <w:sz w:val="21"/>
                <w:szCs w:val="21"/>
                <w:highlight w:val="none"/>
              </w:rPr>
              <w:t>执行</w:t>
            </w:r>
          </w:p>
        </w:tc>
        <w:tc>
          <w:tcPr>
            <w:tcW w:w="2112" w:type="pct"/>
            <w:vAlign w:val="center"/>
          </w:tcPr>
          <w:p w14:paraId="041D6F8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每日未按运维服务要求开展巡查</w:t>
            </w:r>
            <w:r>
              <w:rPr>
                <w:rFonts w:hint="eastAsia" w:ascii="宋体" w:hAnsi="宋体" w:eastAsia="宋体" w:cs="宋体"/>
                <w:color w:val="auto"/>
                <w:spacing w:val="-2"/>
                <w:sz w:val="21"/>
                <w:szCs w:val="21"/>
                <w:highlight w:val="none"/>
                <w:lang w:eastAsia="zh-CN"/>
              </w:rPr>
              <w:t>工作，错、漏检一项每次扣</w:t>
            </w:r>
            <w:r>
              <w:rPr>
                <w:rFonts w:hint="eastAsia" w:cs="宋体"/>
                <w:color w:val="auto"/>
                <w:spacing w:val="-2"/>
                <w:sz w:val="21"/>
                <w:szCs w:val="21"/>
                <w:highlight w:val="none"/>
                <w:lang w:val="en-US" w:eastAsia="zh-CN"/>
              </w:rPr>
              <w:t>5</w:t>
            </w:r>
            <w:r>
              <w:rPr>
                <w:rFonts w:hint="eastAsia" w:ascii="宋体" w:hAnsi="宋体" w:eastAsia="宋体" w:cs="宋体"/>
                <w:color w:val="auto"/>
                <w:spacing w:val="-2"/>
                <w:sz w:val="21"/>
                <w:szCs w:val="21"/>
                <w:highlight w:val="none"/>
                <w:lang w:eastAsia="zh-CN"/>
              </w:rPr>
              <w:t>分。</w:t>
            </w:r>
          </w:p>
        </w:tc>
        <w:tc>
          <w:tcPr>
            <w:tcW w:w="453" w:type="pct"/>
            <w:vAlign w:val="center"/>
          </w:tcPr>
          <w:p w14:paraId="784D3FA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7"/>
                <w:sz w:val="21"/>
                <w:szCs w:val="21"/>
                <w:highlight w:val="none"/>
              </w:rPr>
              <w:t>1</w:t>
            </w:r>
            <w:r>
              <w:rPr>
                <w:rFonts w:hint="eastAsia" w:cs="宋体"/>
                <w:color w:val="auto"/>
                <w:spacing w:val="-7"/>
                <w:sz w:val="21"/>
                <w:szCs w:val="21"/>
                <w:highlight w:val="none"/>
                <w:lang w:val="en-US" w:eastAsia="zh-CN"/>
              </w:rPr>
              <w:t>5</w:t>
            </w:r>
          </w:p>
        </w:tc>
        <w:tc>
          <w:tcPr>
            <w:tcW w:w="1132" w:type="pct"/>
            <w:vAlign w:val="center"/>
          </w:tcPr>
          <w:p w14:paraId="32A5DAB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lang w:eastAsia="zh-CN"/>
              </w:rPr>
              <w:t>通过运维管理</w:t>
            </w:r>
            <w:r>
              <w:rPr>
                <w:rFonts w:hint="eastAsia" w:ascii="宋体" w:hAnsi="宋体" w:eastAsia="宋体" w:cs="宋体"/>
                <w:color w:val="auto"/>
                <w:spacing w:val="1"/>
                <w:sz w:val="21"/>
                <w:szCs w:val="21"/>
                <w:highlight w:val="none"/>
                <w:lang w:eastAsia="zh-CN"/>
              </w:rPr>
              <w:t>系统和相关巡</w:t>
            </w:r>
            <w:r>
              <w:rPr>
                <w:rFonts w:hint="eastAsia" w:ascii="宋体" w:hAnsi="宋体" w:eastAsia="宋体" w:cs="宋体"/>
                <w:color w:val="auto"/>
                <w:spacing w:val="-2"/>
                <w:sz w:val="21"/>
                <w:szCs w:val="21"/>
                <w:highlight w:val="none"/>
              </w:rPr>
              <w:t>检日志检查</w:t>
            </w:r>
          </w:p>
        </w:tc>
      </w:tr>
      <w:tr w14:paraId="292B6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5B076C2F">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en-US"/>
              </w:rPr>
            </w:pPr>
          </w:p>
        </w:tc>
        <w:tc>
          <w:tcPr>
            <w:tcW w:w="623" w:type="pct"/>
            <w:vAlign w:val="center"/>
          </w:tcPr>
          <w:p w14:paraId="46CE38E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文书质量</w:t>
            </w:r>
          </w:p>
        </w:tc>
        <w:tc>
          <w:tcPr>
            <w:tcW w:w="2112" w:type="pct"/>
            <w:vAlign w:val="center"/>
          </w:tcPr>
          <w:p w14:paraId="7069594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因文书质量被</w:t>
            </w:r>
            <w:r>
              <w:rPr>
                <w:rFonts w:hint="eastAsia" w:cs="宋体"/>
                <w:color w:val="auto"/>
                <w:sz w:val="21"/>
                <w:szCs w:val="21"/>
                <w:highlight w:val="none"/>
                <w:lang w:val="en-US" w:eastAsia="zh-CN"/>
              </w:rPr>
              <w:t>采购人</w:t>
            </w:r>
            <w:r>
              <w:rPr>
                <w:rFonts w:hint="eastAsia" w:ascii="宋体" w:hAnsi="宋体" w:eastAsia="宋体" w:cs="宋体"/>
                <w:color w:val="auto"/>
                <w:sz w:val="21"/>
                <w:szCs w:val="21"/>
                <w:highlight w:val="none"/>
                <w:lang w:eastAsia="zh-CN"/>
              </w:rPr>
              <w:t>驳回，被驳回3次及以上，每发生一次扣1分。</w:t>
            </w:r>
          </w:p>
        </w:tc>
        <w:tc>
          <w:tcPr>
            <w:tcW w:w="453" w:type="pct"/>
            <w:vAlign w:val="center"/>
          </w:tcPr>
          <w:p w14:paraId="1493839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cs="宋体"/>
                <w:color w:val="auto"/>
                <w:spacing w:val="-7"/>
                <w:sz w:val="21"/>
                <w:szCs w:val="21"/>
                <w:highlight w:val="none"/>
                <w:lang w:val="en-US" w:eastAsia="zh-CN"/>
              </w:rPr>
              <w:t>5</w:t>
            </w:r>
          </w:p>
        </w:tc>
        <w:tc>
          <w:tcPr>
            <w:tcW w:w="1132" w:type="pct"/>
            <w:vAlign w:val="center"/>
          </w:tcPr>
          <w:p w14:paraId="7A2CF121">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根据提交的相</w:t>
            </w:r>
            <w:r>
              <w:rPr>
                <w:rFonts w:hint="eastAsia" w:ascii="宋体" w:hAnsi="宋体" w:eastAsia="宋体" w:cs="宋体"/>
                <w:color w:val="auto"/>
                <w:spacing w:val="1"/>
                <w:sz w:val="21"/>
                <w:szCs w:val="21"/>
                <w:highlight w:val="none"/>
                <w:lang w:eastAsia="zh-CN"/>
              </w:rPr>
              <w:t>关报告，由</w:t>
            </w:r>
            <w:r>
              <w:rPr>
                <w:rFonts w:hint="eastAsia" w:cs="宋体"/>
                <w:color w:val="auto"/>
                <w:sz w:val="21"/>
                <w:szCs w:val="21"/>
                <w:highlight w:val="none"/>
                <w:lang w:val="en-US" w:eastAsia="zh-CN"/>
              </w:rPr>
              <w:t>采购人</w:t>
            </w:r>
            <w:r>
              <w:rPr>
                <w:rFonts w:hint="eastAsia" w:ascii="宋体" w:hAnsi="宋体" w:eastAsia="宋体" w:cs="宋体"/>
                <w:color w:val="auto"/>
                <w:spacing w:val="7"/>
                <w:sz w:val="21"/>
                <w:szCs w:val="21"/>
                <w:highlight w:val="none"/>
                <w:lang w:eastAsia="zh-CN"/>
              </w:rPr>
              <w:t>检查。</w:t>
            </w:r>
          </w:p>
        </w:tc>
      </w:tr>
      <w:tr w14:paraId="713DF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01825198">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7F80E0B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运维月工作</w:t>
            </w:r>
            <w:r>
              <w:rPr>
                <w:rFonts w:hint="eastAsia" w:ascii="宋体" w:hAnsi="宋体" w:eastAsia="宋体" w:cs="宋体"/>
                <w:color w:val="auto"/>
                <w:spacing w:val="3"/>
                <w:sz w:val="21"/>
                <w:szCs w:val="21"/>
                <w:highlight w:val="none"/>
              </w:rPr>
              <w:t xml:space="preserve"> </w:t>
            </w:r>
            <w:r>
              <w:rPr>
                <w:rFonts w:hint="eastAsia" w:ascii="宋体" w:hAnsi="宋体" w:eastAsia="宋体" w:cs="宋体"/>
                <w:color w:val="auto"/>
                <w:spacing w:val="-3"/>
                <w:sz w:val="21"/>
                <w:szCs w:val="21"/>
                <w:highlight w:val="none"/>
              </w:rPr>
              <w:t>情况</w:t>
            </w:r>
          </w:p>
        </w:tc>
        <w:tc>
          <w:tcPr>
            <w:tcW w:w="2112" w:type="pct"/>
            <w:vAlign w:val="center"/>
          </w:tcPr>
          <w:p w14:paraId="0E3A155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10日</w:t>
            </w:r>
            <w:r>
              <w:rPr>
                <w:rFonts w:hint="eastAsia" w:cs="宋体"/>
                <w:color w:val="auto"/>
                <w:spacing w:val="1"/>
                <w:sz w:val="21"/>
                <w:szCs w:val="21"/>
                <w:highlight w:val="none"/>
                <w:lang w:val="en-US" w:eastAsia="zh-CN"/>
              </w:rPr>
              <w:t>内</w:t>
            </w:r>
            <w:r>
              <w:rPr>
                <w:rFonts w:hint="eastAsia" w:ascii="宋体" w:hAnsi="宋体" w:eastAsia="宋体" w:cs="宋体"/>
                <w:color w:val="auto"/>
                <w:spacing w:val="1"/>
                <w:sz w:val="21"/>
                <w:szCs w:val="21"/>
                <w:highlight w:val="none"/>
                <w:lang w:eastAsia="zh-CN"/>
              </w:rPr>
              <w:t>未按时完成上月维护</w:t>
            </w:r>
            <w:r>
              <w:rPr>
                <w:rFonts w:hint="eastAsia" w:ascii="宋体" w:hAnsi="宋体" w:eastAsia="宋体" w:cs="宋体"/>
                <w:color w:val="auto"/>
                <w:sz w:val="21"/>
                <w:szCs w:val="21"/>
                <w:highlight w:val="none"/>
                <w:lang w:eastAsia="zh-CN"/>
              </w:rPr>
              <w:t>工作报告最终稿电子档，每次扣5</w:t>
            </w:r>
            <w:r>
              <w:rPr>
                <w:rFonts w:hint="eastAsia" w:ascii="宋体" w:hAnsi="宋体" w:eastAsia="宋体" w:cs="宋体"/>
                <w:color w:val="auto"/>
                <w:spacing w:val="49"/>
                <w:sz w:val="21"/>
                <w:szCs w:val="21"/>
                <w:highlight w:val="none"/>
                <w:lang w:eastAsia="zh-CN"/>
              </w:rPr>
              <w:t>分。</w:t>
            </w:r>
          </w:p>
        </w:tc>
        <w:tc>
          <w:tcPr>
            <w:tcW w:w="453" w:type="pct"/>
            <w:vAlign w:val="center"/>
          </w:tcPr>
          <w:p w14:paraId="6552756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276F3B2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由</w:t>
            </w:r>
            <w:r>
              <w:rPr>
                <w:rFonts w:hint="eastAsia" w:cs="宋体"/>
                <w:color w:val="auto"/>
                <w:sz w:val="21"/>
                <w:szCs w:val="21"/>
                <w:highlight w:val="none"/>
                <w:lang w:val="en-US" w:eastAsia="zh-CN"/>
              </w:rPr>
              <w:t>采购人</w:t>
            </w:r>
            <w:r>
              <w:rPr>
                <w:rFonts w:hint="eastAsia" w:ascii="宋体" w:hAnsi="宋体" w:eastAsia="宋体" w:cs="宋体"/>
                <w:color w:val="auto"/>
                <w:spacing w:val="1"/>
                <w:sz w:val="21"/>
                <w:szCs w:val="21"/>
                <w:highlight w:val="none"/>
                <w:lang w:eastAsia="zh-CN"/>
              </w:rPr>
              <w:t>根据每月工作情况打</w:t>
            </w:r>
            <w:r>
              <w:rPr>
                <w:rFonts w:hint="eastAsia" w:ascii="宋体" w:hAnsi="宋体" w:eastAsia="宋体" w:cs="宋体"/>
                <w:color w:val="auto"/>
                <w:spacing w:val="4"/>
                <w:sz w:val="21"/>
                <w:szCs w:val="21"/>
                <w:highlight w:val="none"/>
                <w:lang w:eastAsia="zh-CN"/>
              </w:rPr>
              <w:t>分。</w:t>
            </w:r>
          </w:p>
        </w:tc>
      </w:tr>
      <w:tr w14:paraId="5A047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tcBorders>
            <w:vAlign w:val="center"/>
          </w:tcPr>
          <w:p w14:paraId="70E36DEC">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5FFCE075">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事件预防</w:t>
            </w:r>
          </w:p>
        </w:tc>
        <w:tc>
          <w:tcPr>
            <w:tcW w:w="2112" w:type="pct"/>
            <w:vAlign w:val="center"/>
          </w:tcPr>
          <w:p w14:paraId="033BCDB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问题或故障在事后被确认为可预防的，运维人员未进行风险预警</w:t>
            </w:r>
            <w:r>
              <w:rPr>
                <w:rFonts w:hint="eastAsia" w:ascii="宋体" w:hAnsi="宋体" w:eastAsia="宋体" w:cs="宋体"/>
                <w:color w:val="auto"/>
                <w:spacing w:val="4"/>
                <w:sz w:val="21"/>
                <w:szCs w:val="21"/>
                <w:highlight w:val="none"/>
                <w:lang w:eastAsia="zh-CN"/>
              </w:rPr>
              <w:t>的，每次扣1分。</w:t>
            </w:r>
          </w:p>
        </w:tc>
        <w:tc>
          <w:tcPr>
            <w:tcW w:w="453" w:type="pct"/>
            <w:vAlign w:val="center"/>
          </w:tcPr>
          <w:p w14:paraId="285067F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2FB1FB5A">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发生事件后，</w:t>
            </w:r>
            <w:r>
              <w:rPr>
                <w:rFonts w:hint="eastAsia" w:ascii="宋体" w:hAnsi="宋体" w:eastAsia="宋体" w:cs="宋体"/>
                <w:color w:val="auto"/>
                <w:spacing w:val="-2"/>
                <w:sz w:val="21"/>
                <w:szCs w:val="21"/>
                <w:highlight w:val="none"/>
                <w:lang w:eastAsia="zh-CN"/>
              </w:rPr>
              <w:t>通过</w:t>
            </w:r>
            <w:r>
              <w:rPr>
                <w:rFonts w:hint="eastAsia" w:cs="宋体"/>
                <w:color w:val="auto"/>
                <w:sz w:val="21"/>
                <w:szCs w:val="21"/>
                <w:highlight w:val="none"/>
                <w:lang w:val="en-US" w:eastAsia="zh-CN"/>
              </w:rPr>
              <w:t>采购人</w:t>
            </w:r>
            <w:r>
              <w:rPr>
                <w:rFonts w:hint="eastAsia" w:ascii="宋体" w:hAnsi="宋体" w:eastAsia="宋体" w:cs="宋体"/>
                <w:color w:val="auto"/>
                <w:spacing w:val="-2"/>
                <w:sz w:val="21"/>
                <w:szCs w:val="21"/>
                <w:highlight w:val="none"/>
                <w:lang w:eastAsia="zh-CN"/>
              </w:rPr>
              <w:t>讨论</w:t>
            </w:r>
            <w:r>
              <w:rPr>
                <w:rFonts w:hint="eastAsia" w:ascii="宋体" w:hAnsi="宋体" w:eastAsia="宋体" w:cs="宋体"/>
                <w:color w:val="auto"/>
                <w:spacing w:val="7"/>
                <w:sz w:val="21"/>
                <w:szCs w:val="21"/>
                <w:highlight w:val="none"/>
                <w:lang w:eastAsia="zh-CN"/>
              </w:rPr>
              <w:t>形成意见。</w:t>
            </w:r>
          </w:p>
        </w:tc>
      </w:tr>
      <w:tr w14:paraId="06C998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tcBorders>
              <w:bottom w:val="nil"/>
            </w:tcBorders>
            <w:vAlign w:val="center"/>
          </w:tcPr>
          <w:p w14:paraId="7941B8E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运维服务</w:t>
            </w:r>
          </w:p>
        </w:tc>
        <w:tc>
          <w:tcPr>
            <w:tcW w:w="623" w:type="pct"/>
            <w:vAlign w:val="center"/>
          </w:tcPr>
          <w:p w14:paraId="696036A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运维事件响</w:t>
            </w:r>
            <w:r>
              <w:rPr>
                <w:rFonts w:hint="eastAsia" w:ascii="宋体" w:hAnsi="宋体" w:eastAsia="宋体" w:cs="宋体"/>
                <w:color w:val="auto"/>
                <w:sz w:val="21"/>
                <w:szCs w:val="21"/>
                <w:highlight w:val="none"/>
              </w:rPr>
              <w:t>应</w:t>
            </w:r>
          </w:p>
        </w:tc>
        <w:tc>
          <w:tcPr>
            <w:tcW w:w="2112" w:type="pct"/>
            <w:vAlign w:val="center"/>
          </w:tcPr>
          <w:p w14:paraId="57041916">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每出现1宗超时违约情况</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超时</w:t>
            </w:r>
            <w:r>
              <w:rPr>
                <w:rFonts w:hint="eastAsia" w:ascii="宋体" w:hAnsi="宋体" w:eastAsia="宋体" w:cs="宋体"/>
                <w:color w:val="auto"/>
                <w:spacing w:val="3"/>
                <w:sz w:val="21"/>
                <w:szCs w:val="21"/>
                <w:highlight w:val="none"/>
                <w:lang w:eastAsia="zh-CN"/>
              </w:rPr>
              <w:t>违约是指</w:t>
            </w:r>
            <w:r>
              <w:rPr>
                <w:rFonts w:hint="eastAsia" w:cs="宋体"/>
                <w:color w:val="auto"/>
                <w:spacing w:val="3"/>
                <w:sz w:val="21"/>
                <w:szCs w:val="21"/>
                <w:highlight w:val="none"/>
                <w:lang w:val="en-US" w:eastAsia="zh-CN"/>
              </w:rPr>
              <w:t>成交供应商</w:t>
            </w:r>
            <w:r>
              <w:rPr>
                <w:rFonts w:hint="eastAsia" w:ascii="宋体" w:hAnsi="宋体" w:eastAsia="宋体" w:cs="宋体"/>
                <w:color w:val="auto"/>
                <w:spacing w:val="3"/>
                <w:sz w:val="21"/>
                <w:szCs w:val="21"/>
                <w:highlight w:val="none"/>
                <w:lang w:eastAsia="zh-CN"/>
              </w:rPr>
              <w:t>接收到</w:t>
            </w:r>
            <w:r>
              <w:rPr>
                <w:rFonts w:hint="eastAsia" w:cs="宋体"/>
                <w:color w:val="auto"/>
                <w:sz w:val="21"/>
                <w:szCs w:val="21"/>
                <w:highlight w:val="none"/>
                <w:lang w:val="en-US" w:eastAsia="zh-CN"/>
              </w:rPr>
              <w:t>采购人</w:t>
            </w:r>
            <w:r>
              <w:rPr>
                <w:rFonts w:hint="eastAsia" w:ascii="宋体" w:hAnsi="宋体" w:eastAsia="宋体" w:cs="宋体"/>
                <w:color w:val="auto"/>
                <w:spacing w:val="3"/>
                <w:sz w:val="21"/>
                <w:szCs w:val="21"/>
                <w:highlight w:val="none"/>
                <w:lang w:eastAsia="zh-CN"/>
              </w:rPr>
              <w:t>故</w:t>
            </w:r>
            <w:r>
              <w:rPr>
                <w:rFonts w:hint="eastAsia" w:ascii="宋体" w:hAnsi="宋体" w:eastAsia="宋体" w:cs="宋体"/>
                <w:color w:val="auto"/>
                <w:spacing w:val="5"/>
                <w:sz w:val="21"/>
                <w:szCs w:val="21"/>
                <w:highlight w:val="none"/>
                <w:lang w:eastAsia="zh-CN"/>
              </w:rPr>
              <w:t>障报障时间起算，未按合同要求响应超时、到场超时、修复超时</w:t>
            </w:r>
            <w:r>
              <w:rPr>
                <w:rFonts w:hint="eastAsia" w:ascii="宋体" w:hAnsi="宋体" w:eastAsia="宋体" w:cs="宋体"/>
                <w:color w:val="auto"/>
                <w:spacing w:val="4"/>
                <w:sz w:val="21"/>
                <w:szCs w:val="21"/>
                <w:highlight w:val="none"/>
                <w:lang w:eastAsia="zh-CN"/>
              </w:rPr>
              <w:t>均计为超时违约</w:t>
            </w:r>
            <w:r>
              <w:rPr>
                <w:rFonts w:hint="eastAsia" w:cs="宋体"/>
                <w:color w:val="auto"/>
                <w:sz w:val="21"/>
                <w:szCs w:val="21"/>
                <w:highlight w:val="none"/>
                <w:lang w:eastAsia="zh-CN"/>
              </w:rPr>
              <w:t>）</w:t>
            </w:r>
            <w:r>
              <w:rPr>
                <w:rFonts w:hint="eastAsia" w:ascii="宋体" w:hAnsi="宋体" w:eastAsia="宋体" w:cs="宋体"/>
                <w:color w:val="auto"/>
                <w:spacing w:val="4"/>
                <w:sz w:val="21"/>
                <w:szCs w:val="21"/>
                <w:highlight w:val="none"/>
                <w:lang w:eastAsia="zh-CN"/>
              </w:rPr>
              <w:t>的，每次扣1.5</w:t>
            </w:r>
            <w:r>
              <w:rPr>
                <w:rFonts w:hint="eastAsia" w:ascii="宋体" w:hAnsi="宋体" w:eastAsia="宋体" w:cs="宋体"/>
                <w:color w:val="auto"/>
                <w:sz w:val="21"/>
                <w:szCs w:val="21"/>
                <w:highlight w:val="none"/>
                <w:lang w:eastAsia="zh-CN"/>
              </w:rPr>
              <w:t>分；当月同一原因故障重复出现3</w:t>
            </w:r>
            <w:r>
              <w:rPr>
                <w:rFonts w:hint="eastAsia" w:ascii="宋体" w:hAnsi="宋体" w:eastAsia="宋体" w:cs="宋体"/>
                <w:color w:val="auto"/>
                <w:spacing w:val="12"/>
                <w:sz w:val="21"/>
                <w:szCs w:val="21"/>
                <w:highlight w:val="none"/>
                <w:lang w:eastAsia="zh-CN"/>
              </w:rPr>
              <w:t xml:space="preserve"> </w:t>
            </w:r>
            <w:r>
              <w:rPr>
                <w:rFonts w:hint="eastAsia" w:ascii="宋体" w:hAnsi="宋体" w:eastAsia="宋体" w:cs="宋体"/>
                <w:color w:val="auto"/>
                <w:spacing w:val="6"/>
                <w:sz w:val="21"/>
                <w:szCs w:val="21"/>
                <w:highlight w:val="none"/>
                <w:lang w:eastAsia="zh-CN"/>
              </w:rPr>
              <w:t>次或以上</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lang w:eastAsia="zh-CN"/>
              </w:rPr>
              <w:t>含3次</w:t>
            </w:r>
            <w:r>
              <w:rPr>
                <w:rFonts w:hint="eastAsia" w:cs="宋体"/>
                <w:color w:val="auto"/>
                <w:sz w:val="21"/>
                <w:szCs w:val="21"/>
                <w:highlight w:val="none"/>
                <w:lang w:eastAsia="zh-CN"/>
              </w:rPr>
              <w:t>）</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lang w:eastAsia="zh-CN"/>
              </w:rPr>
              <w:t>每次扣0.5</w:t>
            </w:r>
            <w:r>
              <w:rPr>
                <w:rFonts w:hint="eastAsia" w:ascii="宋体" w:hAnsi="宋体" w:eastAsia="宋体" w:cs="宋体"/>
                <w:color w:val="auto"/>
                <w:sz w:val="21"/>
                <w:szCs w:val="21"/>
                <w:highlight w:val="none"/>
                <w:lang w:eastAsia="zh-CN"/>
              </w:rPr>
              <w:t>分；出现申请故障及服务延时20</w:t>
            </w:r>
            <w:r>
              <w:rPr>
                <w:rFonts w:hint="eastAsia" w:ascii="宋体" w:hAnsi="宋体" w:eastAsia="宋体" w:cs="宋体"/>
                <w:color w:val="auto"/>
                <w:spacing w:val="-1"/>
                <w:sz w:val="21"/>
                <w:szCs w:val="21"/>
                <w:highlight w:val="none"/>
                <w:lang w:eastAsia="zh-CN"/>
              </w:rPr>
              <w:t>单以内不扣分，超过20单后，每</w:t>
            </w:r>
            <w:r>
              <w:rPr>
                <w:rFonts w:hint="eastAsia" w:ascii="宋体" w:hAnsi="宋体" w:eastAsia="宋体" w:cs="宋体"/>
                <w:color w:val="auto"/>
                <w:spacing w:val="4"/>
                <w:sz w:val="21"/>
                <w:szCs w:val="21"/>
                <w:highlight w:val="none"/>
                <w:lang w:eastAsia="zh-CN"/>
              </w:rPr>
              <w:t>增加一单扣0.1分。</w:t>
            </w:r>
          </w:p>
        </w:tc>
        <w:tc>
          <w:tcPr>
            <w:tcW w:w="453" w:type="pct"/>
            <w:vAlign w:val="center"/>
          </w:tcPr>
          <w:p w14:paraId="53435535">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15</w:t>
            </w:r>
          </w:p>
        </w:tc>
        <w:tc>
          <w:tcPr>
            <w:tcW w:w="1132" w:type="pct"/>
            <w:vAlign w:val="center"/>
          </w:tcPr>
          <w:p w14:paraId="5928A18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检查处理工单及有关电话记</w:t>
            </w:r>
            <w:r>
              <w:rPr>
                <w:rFonts w:hint="eastAsia" w:ascii="宋体" w:hAnsi="宋体" w:eastAsia="宋体" w:cs="宋体"/>
                <w:color w:val="auto"/>
                <w:spacing w:val="9"/>
                <w:sz w:val="21"/>
                <w:szCs w:val="21"/>
                <w:highlight w:val="none"/>
                <w:lang w:eastAsia="zh-CN"/>
              </w:rPr>
              <w:t>录。</w:t>
            </w:r>
          </w:p>
        </w:tc>
      </w:tr>
      <w:tr w14:paraId="00001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7EF11121">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012B2B7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核心设备及</w:t>
            </w:r>
            <w:r>
              <w:rPr>
                <w:rFonts w:hint="eastAsia" w:ascii="宋体" w:hAnsi="宋体" w:eastAsia="宋体" w:cs="宋体"/>
                <w:color w:val="auto"/>
                <w:spacing w:val="-2"/>
                <w:sz w:val="21"/>
                <w:szCs w:val="21"/>
                <w:highlight w:val="none"/>
                <w:lang w:eastAsia="zh-CN"/>
              </w:rPr>
              <w:t>重要系统运</w:t>
            </w:r>
            <w:r>
              <w:rPr>
                <w:rFonts w:hint="eastAsia" w:ascii="宋体" w:hAnsi="宋体" w:eastAsia="宋体" w:cs="宋体"/>
                <w:color w:val="auto"/>
                <w:spacing w:val="3"/>
                <w:sz w:val="21"/>
                <w:szCs w:val="21"/>
                <w:highlight w:val="none"/>
                <w:lang w:eastAsia="zh-CN"/>
              </w:rPr>
              <w:t>维保障</w:t>
            </w:r>
          </w:p>
        </w:tc>
        <w:tc>
          <w:tcPr>
            <w:tcW w:w="2112" w:type="pct"/>
            <w:vAlign w:val="center"/>
          </w:tcPr>
          <w:p w14:paraId="7664ED4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当本项目主要设备(包括网络、</w:t>
            </w:r>
            <w:r>
              <w:rPr>
                <w:rFonts w:hint="eastAsia" w:ascii="宋体" w:hAnsi="宋体" w:eastAsia="宋体" w:cs="宋体"/>
                <w:color w:val="auto"/>
                <w:spacing w:val="2"/>
                <w:sz w:val="21"/>
                <w:szCs w:val="21"/>
                <w:highlight w:val="none"/>
                <w:lang w:eastAsia="zh-CN"/>
              </w:rPr>
              <w:t>服务器及存储硬件、安全等设备)</w:t>
            </w:r>
            <w:r>
              <w:rPr>
                <w:rFonts w:hint="eastAsia" w:ascii="宋体" w:hAnsi="宋体" w:eastAsia="宋体" w:cs="宋体"/>
                <w:color w:val="auto"/>
                <w:spacing w:val="5"/>
                <w:sz w:val="21"/>
                <w:szCs w:val="21"/>
                <w:highlight w:val="none"/>
                <w:lang w:eastAsia="zh-CN"/>
              </w:rPr>
              <w:t>出现整机崩溃、宕机或信号灯、</w:t>
            </w:r>
            <w:r>
              <w:rPr>
                <w:rFonts w:hint="eastAsia" w:ascii="宋体" w:hAnsi="宋体" w:eastAsia="宋体" w:cs="宋体"/>
                <w:color w:val="auto"/>
                <w:spacing w:val="-2"/>
                <w:sz w:val="21"/>
                <w:szCs w:val="21"/>
                <w:highlight w:val="none"/>
                <w:lang w:eastAsia="zh-CN"/>
              </w:rPr>
              <w:t>电子警察设备出现大面积瘫痪等</w:t>
            </w:r>
            <w:r>
              <w:rPr>
                <w:rFonts w:hint="eastAsia" w:ascii="宋体" w:hAnsi="宋体" w:eastAsia="宋体" w:cs="宋体"/>
                <w:color w:val="auto"/>
                <w:sz w:val="21"/>
                <w:szCs w:val="21"/>
                <w:highlight w:val="none"/>
                <w:lang w:eastAsia="zh-CN"/>
              </w:rPr>
              <w:t>紧急故障时，需要按规定时间内修复，超时未完成修复的，每出</w:t>
            </w:r>
            <w:r>
              <w:rPr>
                <w:rFonts w:hint="eastAsia" w:ascii="宋体" w:hAnsi="宋体" w:eastAsia="宋体" w:cs="宋体"/>
                <w:color w:val="auto"/>
                <w:spacing w:val="2"/>
                <w:sz w:val="21"/>
                <w:szCs w:val="21"/>
                <w:highlight w:val="none"/>
                <w:lang w:eastAsia="zh-CN"/>
              </w:rPr>
              <w:t>现一次超时扣5分；如果判定在</w:t>
            </w:r>
            <w:r>
              <w:rPr>
                <w:rFonts w:hint="eastAsia" w:ascii="宋体" w:hAnsi="宋体" w:eastAsia="宋体" w:cs="宋体"/>
                <w:color w:val="auto"/>
                <w:spacing w:val="-1"/>
                <w:sz w:val="21"/>
                <w:szCs w:val="21"/>
                <w:highlight w:val="none"/>
                <w:lang w:eastAsia="zh-CN"/>
              </w:rPr>
              <w:t>短时间内无法修复，根据业务的需要，形成书面报告，报送</w:t>
            </w:r>
            <w:r>
              <w:rPr>
                <w:rFonts w:hint="eastAsia" w:cs="宋体"/>
                <w:color w:val="auto"/>
                <w:sz w:val="21"/>
                <w:szCs w:val="21"/>
                <w:highlight w:val="none"/>
                <w:lang w:val="en-US" w:eastAsia="zh-CN"/>
              </w:rPr>
              <w:t>采购人</w:t>
            </w:r>
            <w:r>
              <w:rPr>
                <w:rFonts w:hint="eastAsia" w:ascii="宋体" w:hAnsi="宋体" w:eastAsia="宋体" w:cs="宋体"/>
                <w:color w:val="auto"/>
                <w:spacing w:val="3"/>
                <w:sz w:val="21"/>
                <w:szCs w:val="21"/>
                <w:highlight w:val="none"/>
                <w:lang w:eastAsia="zh-CN"/>
              </w:rPr>
              <w:t>并给出解决方案，未报告的扣1</w:t>
            </w:r>
            <w:r>
              <w:rPr>
                <w:rFonts w:hint="eastAsia" w:ascii="宋体" w:hAnsi="宋体" w:eastAsia="宋体" w:cs="宋体"/>
                <w:color w:val="auto"/>
                <w:spacing w:val="8"/>
                <w:sz w:val="21"/>
                <w:szCs w:val="21"/>
                <w:highlight w:val="none"/>
                <w:lang w:eastAsia="zh-CN"/>
              </w:rPr>
              <w:t>分。</w:t>
            </w:r>
          </w:p>
        </w:tc>
        <w:tc>
          <w:tcPr>
            <w:tcW w:w="453" w:type="pct"/>
            <w:vAlign w:val="center"/>
          </w:tcPr>
          <w:p w14:paraId="18EFF63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15</w:t>
            </w:r>
          </w:p>
        </w:tc>
        <w:tc>
          <w:tcPr>
            <w:tcW w:w="1132" w:type="pct"/>
            <w:vAlign w:val="center"/>
          </w:tcPr>
          <w:p w14:paraId="48C6719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发生事件后，</w:t>
            </w:r>
            <w:r>
              <w:rPr>
                <w:rFonts w:hint="eastAsia" w:ascii="宋体" w:hAnsi="宋体" w:eastAsia="宋体" w:cs="宋体"/>
                <w:color w:val="auto"/>
                <w:spacing w:val="-2"/>
                <w:sz w:val="21"/>
                <w:szCs w:val="21"/>
                <w:highlight w:val="none"/>
                <w:lang w:eastAsia="zh-CN"/>
              </w:rPr>
              <w:t>通过</w:t>
            </w:r>
            <w:r>
              <w:rPr>
                <w:rFonts w:hint="eastAsia" w:cs="宋体"/>
                <w:color w:val="auto"/>
                <w:sz w:val="21"/>
                <w:szCs w:val="21"/>
                <w:highlight w:val="none"/>
                <w:lang w:val="en-US" w:eastAsia="zh-CN"/>
              </w:rPr>
              <w:t>采购人</w:t>
            </w:r>
            <w:r>
              <w:rPr>
                <w:rFonts w:hint="eastAsia" w:ascii="宋体" w:hAnsi="宋体" w:eastAsia="宋体" w:cs="宋体"/>
                <w:color w:val="auto"/>
                <w:spacing w:val="-2"/>
                <w:sz w:val="21"/>
                <w:szCs w:val="21"/>
                <w:highlight w:val="none"/>
                <w:lang w:eastAsia="zh-CN"/>
              </w:rPr>
              <w:t>讨论</w:t>
            </w:r>
            <w:r>
              <w:rPr>
                <w:rFonts w:hint="eastAsia" w:ascii="宋体" w:hAnsi="宋体" w:eastAsia="宋体" w:cs="宋体"/>
                <w:color w:val="auto"/>
                <w:spacing w:val="5"/>
                <w:sz w:val="21"/>
                <w:szCs w:val="21"/>
                <w:highlight w:val="none"/>
                <w:lang w:eastAsia="zh-CN"/>
              </w:rPr>
              <w:t>形成意见。</w:t>
            </w:r>
          </w:p>
        </w:tc>
      </w:tr>
      <w:tr w14:paraId="3BC1E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tcBorders>
            <w:vAlign w:val="center"/>
          </w:tcPr>
          <w:p w14:paraId="1EB5E963">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43C74200">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服务态度</w:t>
            </w:r>
          </w:p>
        </w:tc>
        <w:tc>
          <w:tcPr>
            <w:tcW w:w="2112" w:type="pct"/>
            <w:vAlign w:val="center"/>
          </w:tcPr>
          <w:p w14:paraId="3887F218">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w:t>
            </w:r>
            <w:r>
              <w:rPr>
                <w:rFonts w:hint="eastAsia" w:ascii="宋体" w:hAnsi="宋体" w:eastAsia="宋体" w:cs="宋体"/>
                <w:color w:val="auto"/>
                <w:spacing w:val="-6"/>
                <w:sz w:val="21"/>
                <w:szCs w:val="21"/>
                <w:highlight w:val="none"/>
                <w:lang w:eastAsia="zh-CN"/>
              </w:rPr>
              <w:t>服务态度恶劣，消极怠工，</w:t>
            </w:r>
            <w:r>
              <w:rPr>
                <w:rFonts w:hint="eastAsia" w:ascii="宋体" w:hAnsi="宋体" w:eastAsia="宋体" w:cs="宋体"/>
                <w:color w:val="auto"/>
                <w:sz w:val="21"/>
                <w:szCs w:val="21"/>
                <w:highlight w:val="none"/>
                <w:lang w:eastAsia="zh-CN"/>
              </w:rPr>
              <w:t>影响有关工作开展的，每次扣5分，连续两次以上，除扣分外，</w:t>
            </w:r>
            <w:r>
              <w:rPr>
                <w:rFonts w:hint="eastAsia" w:ascii="宋体" w:hAnsi="宋体" w:eastAsia="宋体" w:cs="宋体"/>
                <w:color w:val="auto"/>
                <w:spacing w:val="5"/>
                <w:sz w:val="21"/>
                <w:szCs w:val="21"/>
                <w:highlight w:val="none"/>
                <w:lang w:eastAsia="zh-CN"/>
              </w:rPr>
              <w:t>可要求</w:t>
            </w:r>
            <w:r>
              <w:rPr>
                <w:rFonts w:hint="eastAsia" w:cs="宋体"/>
                <w:color w:val="auto"/>
                <w:spacing w:val="5"/>
                <w:sz w:val="21"/>
                <w:szCs w:val="21"/>
                <w:highlight w:val="none"/>
                <w:lang w:val="en-US" w:eastAsia="zh-CN"/>
              </w:rPr>
              <w:t>成交供应商</w:t>
            </w:r>
            <w:r>
              <w:rPr>
                <w:rFonts w:hint="eastAsia" w:ascii="宋体" w:hAnsi="宋体" w:eastAsia="宋体" w:cs="宋体"/>
                <w:color w:val="auto"/>
                <w:spacing w:val="5"/>
                <w:sz w:val="21"/>
                <w:szCs w:val="21"/>
                <w:highlight w:val="none"/>
                <w:lang w:eastAsia="zh-CN"/>
              </w:rPr>
              <w:t>更换</w:t>
            </w:r>
            <w:r>
              <w:rPr>
                <w:rFonts w:hint="eastAsia" w:cs="宋体"/>
                <w:color w:val="auto"/>
                <w:spacing w:val="5"/>
                <w:sz w:val="21"/>
                <w:szCs w:val="21"/>
                <w:highlight w:val="none"/>
                <w:lang w:val="en-US" w:eastAsia="zh-CN"/>
              </w:rPr>
              <w:t>服务</w:t>
            </w:r>
            <w:r>
              <w:rPr>
                <w:rFonts w:hint="eastAsia" w:ascii="宋体" w:hAnsi="宋体" w:eastAsia="宋体" w:cs="宋体"/>
                <w:color w:val="auto"/>
                <w:spacing w:val="5"/>
                <w:sz w:val="21"/>
                <w:szCs w:val="21"/>
                <w:highlight w:val="none"/>
                <w:lang w:eastAsia="zh-CN"/>
              </w:rPr>
              <w:t>人员</w:t>
            </w:r>
            <w:r>
              <w:rPr>
                <w:rFonts w:hint="eastAsia" w:ascii="宋体" w:hAnsi="宋体" w:eastAsia="宋体" w:cs="宋体"/>
                <w:color w:val="auto"/>
                <w:spacing w:val="-2"/>
                <w:sz w:val="21"/>
                <w:szCs w:val="21"/>
                <w:highlight w:val="none"/>
                <w:lang w:eastAsia="zh-CN"/>
              </w:rPr>
              <w:t>。</w:t>
            </w:r>
          </w:p>
        </w:tc>
        <w:tc>
          <w:tcPr>
            <w:tcW w:w="453" w:type="pct"/>
            <w:vAlign w:val="center"/>
          </w:tcPr>
          <w:p w14:paraId="525F6061">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3001450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以投诉的事实</w:t>
            </w:r>
            <w:r>
              <w:rPr>
                <w:rFonts w:hint="eastAsia" w:ascii="宋体" w:hAnsi="宋体" w:eastAsia="宋体" w:cs="宋体"/>
                <w:color w:val="auto"/>
                <w:spacing w:val="-1"/>
                <w:sz w:val="21"/>
                <w:szCs w:val="21"/>
                <w:highlight w:val="none"/>
                <w:lang w:eastAsia="zh-CN"/>
              </w:rPr>
              <w:t>为考核依据。</w:t>
            </w:r>
          </w:p>
        </w:tc>
      </w:tr>
      <w:tr w14:paraId="66D22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vAlign w:val="center"/>
          </w:tcPr>
          <w:p w14:paraId="186ABCB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运维管理</w:t>
            </w:r>
          </w:p>
        </w:tc>
        <w:tc>
          <w:tcPr>
            <w:tcW w:w="623" w:type="pct"/>
            <w:vAlign w:val="center"/>
          </w:tcPr>
          <w:p w14:paraId="51D7504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人为失误</w:t>
            </w:r>
          </w:p>
        </w:tc>
        <w:tc>
          <w:tcPr>
            <w:tcW w:w="2112" w:type="pct"/>
            <w:vAlign w:val="center"/>
          </w:tcPr>
          <w:p w14:paraId="41C48A1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由于</w:t>
            </w:r>
            <w:r>
              <w:rPr>
                <w:rFonts w:hint="eastAsia" w:cs="宋体"/>
                <w:color w:val="auto"/>
                <w:spacing w:val="1"/>
                <w:sz w:val="21"/>
                <w:szCs w:val="21"/>
                <w:highlight w:val="none"/>
                <w:lang w:val="en-US" w:eastAsia="zh-CN"/>
              </w:rPr>
              <w:t>服务</w:t>
            </w:r>
            <w:r>
              <w:rPr>
                <w:rFonts w:hint="eastAsia" w:ascii="宋体" w:hAnsi="宋体" w:eastAsia="宋体" w:cs="宋体"/>
                <w:color w:val="auto"/>
                <w:spacing w:val="1"/>
                <w:sz w:val="21"/>
                <w:szCs w:val="21"/>
                <w:highlight w:val="none"/>
                <w:lang w:eastAsia="zh-CN"/>
              </w:rPr>
              <w:t>人员操作失误，导致系</w:t>
            </w:r>
            <w:r>
              <w:rPr>
                <w:rFonts w:hint="eastAsia" w:ascii="宋体" w:hAnsi="宋体" w:eastAsia="宋体" w:cs="宋体"/>
                <w:color w:val="auto"/>
                <w:sz w:val="21"/>
                <w:szCs w:val="21"/>
                <w:highlight w:val="none"/>
                <w:lang w:eastAsia="zh-CN"/>
              </w:rPr>
              <w:t>统无法正常运行影</w:t>
            </w:r>
            <w:r>
              <w:rPr>
                <w:rFonts w:hint="eastAsia" w:ascii="宋体" w:hAnsi="宋体" w:eastAsia="宋体" w:cs="宋体"/>
                <w:b w:val="0"/>
                <w:bCs w:val="0"/>
                <w:color w:val="auto"/>
                <w:sz w:val="21"/>
                <w:szCs w:val="21"/>
                <w:highlight w:val="none"/>
                <w:lang w:eastAsia="zh-CN"/>
              </w:rPr>
              <w:t>响运维服务</w:t>
            </w:r>
            <w:r>
              <w:rPr>
                <w:rFonts w:hint="eastAsia" w:ascii="宋体" w:hAnsi="宋体" w:eastAsia="宋体" w:cs="宋体"/>
                <w:b w:val="0"/>
                <w:bCs w:val="0"/>
                <w:color w:val="auto"/>
                <w:spacing w:val="-3"/>
                <w:sz w:val="21"/>
                <w:szCs w:val="21"/>
                <w:highlight w:val="none"/>
                <w:lang w:eastAsia="zh-CN"/>
              </w:rPr>
              <w:t>的，每次扣2-5分。</w:t>
            </w:r>
          </w:p>
        </w:tc>
        <w:tc>
          <w:tcPr>
            <w:tcW w:w="453" w:type="pct"/>
            <w:vAlign w:val="center"/>
          </w:tcPr>
          <w:p w14:paraId="2BF2593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0B556A0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由</w:t>
            </w:r>
            <w:r>
              <w:rPr>
                <w:rFonts w:hint="eastAsia" w:cs="宋体"/>
                <w:color w:val="auto"/>
                <w:sz w:val="21"/>
                <w:szCs w:val="21"/>
                <w:highlight w:val="none"/>
                <w:lang w:val="en-US" w:eastAsia="zh-CN"/>
              </w:rPr>
              <w:t>采购人</w:t>
            </w:r>
            <w:r>
              <w:rPr>
                <w:rFonts w:hint="eastAsia" w:ascii="宋体" w:hAnsi="宋体" w:eastAsia="宋体" w:cs="宋体"/>
                <w:color w:val="auto"/>
                <w:sz w:val="21"/>
                <w:szCs w:val="21"/>
                <w:highlight w:val="none"/>
                <w:lang w:eastAsia="zh-CN"/>
              </w:rPr>
              <w:t>提出</w:t>
            </w:r>
            <w:r>
              <w:rPr>
                <w:rFonts w:hint="eastAsia" w:cs="宋体"/>
                <w:color w:val="auto"/>
                <w:sz w:val="21"/>
                <w:szCs w:val="21"/>
                <w:highlight w:val="none"/>
                <w:lang w:eastAsia="zh-CN"/>
              </w:rPr>
              <w:t>，</w:t>
            </w:r>
            <w:r>
              <w:rPr>
                <w:rFonts w:hint="eastAsia" w:ascii="宋体" w:hAnsi="宋体" w:eastAsia="宋体" w:cs="宋体"/>
                <w:color w:val="auto"/>
                <w:spacing w:val="-2"/>
                <w:sz w:val="21"/>
                <w:szCs w:val="21"/>
                <w:highlight w:val="none"/>
                <w:lang w:eastAsia="zh-CN"/>
              </w:rPr>
              <w:t>经</w:t>
            </w:r>
            <w:r>
              <w:rPr>
                <w:rFonts w:hint="eastAsia" w:cs="宋体"/>
                <w:color w:val="auto"/>
                <w:spacing w:val="-2"/>
                <w:sz w:val="21"/>
                <w:szCs w:val="21"/>
                <w:highlight w:val="none"/>
                <w:lang w:val="en-US" w:eastAsia="zh-CN"/>
              </w:rPr>
              <w:t>相关</w:t>
            </w:r>
            <w:r>
              <w:rPr>
                <w:rFonts w:hint="eastAsia" w:ascii="宋体" w:hAnsi="宋体" w:eastAsia="宋体" w:cs="宋体"/>
                <w:color w:val="auto"/>
                <w:spacing w:val="-2"/>
                <w:sz w:val="21"/>
                <w:szCs w:val="21"/>
                <w:highlight w:val="none"/>
                <w:lang w:eastAsia="zh-CN"/>
              </w:rPr>
              <w:t>科室讨论决定。</w:t>
            </w:r>
          </w:p>
        </w:tc>
      </w:tr>
      <w:tr w14:paraId="5645C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Pr>
          <w:p w14:paraId="27BEB9C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rPr>
                <w:rFonts w:hint="eastAsia" w:ascii="宋体" w:hAnsi="宋体" w:eastAsia="宋体" w:cs="宋体"/>
                <w:color w:val="auto"/>
                <w:spacing w:val="-2"/>
                <w:sz w:val="21"/>
                <w:szCs w:val="21"/>
                <w:highlight w:val="none"/>
                <w:lang w:eastAsia="zh-CN"/>
              </w:rPr>
            </w:pPr>
          </w:p>
        </w:tc>
        <w:tc>
          <w:tcPr>
            <w:tcW w:w="623" w:type="pct"/>
            <w:vAlign w:val="center"/>
          </w:tcPr>
          <w:p w14:paraId="5AEAD43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pacing w:val="2"/>
                <w:sz w:val="21"/>
                <w:szCs w:val="21"/>
                <w:highlight w:val="none"/>
              </w:rPr>
            </w:pPr>
            <w:r>
              <w:rPr>
                <w:rFonts w:hint="eastAsia" w:ascii="宋体" w:hAnsi="宋体" w:eastAsia="宋体" w:cs="宋体"/>
                <w:color w:val="auto"/>
                <w:sz w:val="21"/>
                <w:szCs w:val="21"/>
                <w:highlight w:val="none"/>
              </w:rPr>
              <w:t>信息安全保密工作</w:t>
            </w:r>
          </w:p>
        </w:tc>
        <w:tc>
          <w:tcPr>
            <w:tcW w:w="2112" w:type="pct"/>
            <w:vAlign w:val="center"/>
          </w:tcPr>
          <w:p w14:paraId="7DDB837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pacing w:val="1"/>
                <w:sz w:val="21"/>
                <w:szCs w:val="21"/>
                <w:highlight w:val="none"/>
                <w:lang w:eastAsia="zh-CN"/>
              </w:rPr>
            </w:pP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人员未按规定签保密协议的，每人扣1分。</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人员未及时清理U盘或互联网电脑中可能会泄密的资料和数据的，每次扣1</w:t>
            </w:r>
            <w:r>
              <w:rPr>
                <w:rFonts w:hint="eastAsia" w:cs="宋体"/>
                <w:color w:val="auto"/>
                <w:sz w:val="21"/>
                <w:szCs w:val="21"/>
                <w:highlight w:val="none"/>
                <w:lang w:val="en-US" w:eastAsia="zh-CN"/>
              </w:rPr>
              <w:t>0</w:t>
            </w:r>
            <w:r>
              <w:rPr>
                <w:rFonts w:hint="eastAsia" w:ascii="宋体" w:hAnsi="宋体" w:eastAsia="宋体" w:cs="宋体"/>
                <w:color w:val="auto"/>
                <w:sz w:val="21"/>
                <w:szCs w:val="21"/>
                <w:highlight w:val="none"/>
                <w:lang w:eastAsia="zh-CN"/>
              </w:rPr>
              <w:t>分。因</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人员工作失误造成</w:t>
            </w:r>
            <w:r>
              <w:rPr>
                <w:rFonts w:hint="eastAsia" w:cs="宋体"/>
                <w:color w:val="auto"/>
                <w:sz w:val="21"/>
                <w:szCs w:val="21"/>
                <w:highlight w:val="none"/>
                <w:lang w:val="en-US" w:eastAsia="zh-CN"/>
              </w:rPr>
              <w:t>采购人</w:t>
            </w:r>
            <w:r>
              <w:rPr>
                <w:rFonts w:hint="eastAsia" w:ascii="宋体" w:hAnsi="宋体" w:eastAsia="宋体" w:cs="宋体"/>
                <w:color w:val="auto"/>
                <w:sz w:val="21"/>
                <w:szCs w:val="21"/>
                <w:highlight w:val="none"/>
                <w:lang w:eastAsia="zh-CN"/>
              </w:rPr>
              <w:t>被上级部门通报，每次扣1</w:t>
            </w:r>
            <w:r>
              <w:rPr>
                <w:rFonts w:hint="eastAsia" w:cs="宋体"/>
                <w:color w:val="auto"/>
                <w:sz w:val="21"/>
                <w:szCs w:val="21"/>
                <w:highlight w:val="none"/>
                <w:lang w:val="en-US" w:eastAsia="zh-CN"/>
              </w:rPr>
              <w:t>0</w:t>
            </w:r>
            <w:r>
              <w:rPr>
                <w:rFonts w:hint="eastAsia" w:ascii="宋体" w:hAnsi="宋体" w:eastAsia="宋体" w:cs="宋体"/>
                <w:color w:val="auto"/>
                <w:sz w:val="21"/>
                <w:szCs w:val="21"/>
                <w:highlight w:val="none"/>
                <w:lang w:eastAsia="zh-CN"/>
              </w:rPr>
              <w:t>分。</w:t>
            </w:r>
          </w:p>
        </w:tc>
        <w:tc>
          <w:tcPr>
            <w:tcW w:w="453" w:type="pct"/>
            <w:vAlign w:val="center"/>
          </w:tcPr>
          <w:p w14:paraId="69503FE1">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pacing w:val="-7"/>
                <w:sz w:val="21"/>
                <w:szCs w:val="21"/>
                <w:highlight w:val="none"/>
              </w:rPr>
            </w:pPr>
            <w:r>
              <w:rPr>
                <w:rFonts w:hint="eastAsia" w:ascii="宋体" w:hAnsi="宋体" w:eastAsia="宋体" w:cs="宋体"/>
                <w:color w:val="auto"/>
                <w:sz w:val="21"/>
                <w:szCs w:val="21"/>
                <w:highlight w:val="none"/>
              </w:rPr>
              <w:t>10</w:t>
            </w:r>
          </w:p>
        </w:tc>
        <w:tc>
          <w:tcPr>
            <w:tcW w:w="1132" w:type="pct"/>
            <w:vAlign w:val="center"/>
          </w:tcPr>
          <w:p w14:paraId="46AF831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由</w:t>
            </w:r>
            <w:r>
              <w:rPr>
                <w:rFonts w:hint="eastAsia" w:cs="宋体"/>
                <w:color w:val="auto"/>
                <w:sz w:val="21"/>
                <w:szCs w:val="21"/>
                <w:highlight w:val="none"/>
                <w:lang w:val="en-US" w:eastAsia="zh-CN"/>
              </w:rPr>
              <w:t>采购人</w:t>
            </w:r>
            <w:r>
              <w:rPr>
                <w:rFonts w:hint="eastAsia" w:ascii="宋体" w:hAnsi="宋体" w:eastAsia="宋体" w:cs="宋体"/>
                <w:color w:val="auto"/>
                <w:sz w:val="21"/>
                <w:szCs w:val="21"/>
                <w:highlight w:val="none"/>
              </w:rPr>
              <w:t>查验、决定。</w:t>
            </w:r>
          </w:p>
        </w:tc>
      </w:tr>
    </w:tbl>
    <w:p w14:paraId="129510FE">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考核评价——加分项</w:t>
      </w:r>
    </w:p>
    <w:tbl>
      <w:tblPr>
        <w:tblStyle w:val="80"/>
        <w:tblW w:w="506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75"/>
        <w:gridCol w:w="6148"/>
        <w:gridCol w:w="1573"/>
      </w:tblGrid>
      <w:tr w14:paraId="7057A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02" w:type="pct"/>
            <w:vAlign w:val="center"/>
          </w:tcPr>
          <w:p w14:paraId="16DAABB1">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6"/>
                <w:sz w:val="21"/>
                <w:szCs w:val="21"/>
                <w:highlight w:val="none"/>
              </w:rPr>
              <w:t>考核项目</w:t>
            </w:r>
          </w:p>
        </w:tc>
        <w:tc>
          <w:tcPr>
            <w:tcW w:w="3342" w:type="pct"/>
            <w:vAlign w:val="center"/>
          </w:tcPr>
          <w:p w14:paraId="5DF952B5">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4"/>
                <w:sz w:val="21"/>
                <w:szCs w:val="21"/>
                <w:highlight w:val="none"/>
              </w:rPr>
              <w:t>考核内容</w:t>
            </w:r>
          </w:p>
        </w:tc>
        <w:tc>
          <w:tcPr>
            <w:tcW w:w="855" w:type="pct"/>
            <w:vAlign w:val="center"/>
          </w:tcPr>
          <w:p w14:paraId="40E6C671">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4"/>
                <w:sz w:val="21"/>
                <w:szCs w:val="21"/>
                <w:highlight w:val="none"/>
              </w:rPr>
              <w:t>考核方法</w:t>
            </w:r>
          </w:p>
        </w:tc>
      </w:tr>
      <w:tr w14:paraId="2169E0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802" w:type="pct"/>
            <w:vAlign w:val="center"/>
          </w:tcPr>
          <w:p w14:paraId="6E470F0F">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日常运维及重</w:t>
            </w:r>
            <w:r>
              <w:rPr>
                <w:rFonts w:hint="eastAsia" w:ascii="宋体" w:hAnsi="宋体" w:eastAsia="宋体" w:cs="宋体"/>
                <w:color w:val="auto"/>
                <w:spacing w:val="-4"/>
                <w:sz w:val="21"/>
                <w:szCs w:val="21"/>
                <w:highlight w:val="none"/>
                <w:lang w:eastAsia="zh-CN"/>
              </w:rPr>
              <w:t>大安保期间表</w:t>
            </w:r>
            <w:r>
              <w:rPr>
                <w:rFonts w:hint="eastAsia" w:ascii="宋体" w:hAnsi="宋体" w:eastAsia="宋体" w:cs="宋体"/>
                <w:color w:val="auto"/>
                <w:spacing w:val="-3"/>
                <w:sz w:val="21"/>
                <w:szCs w:val="21"/>
                <w:highlight w:val="none"/>
                <w:lang w:eastAsia="zh-CN"/>
              </w:rPr>
              <w:t>现</w:t>
            </w:r>
          </w:p>
        </w:tc>
        <w:tc>
          <w:tcPr>
            <w:tcW w:w="3342" w:type="pct"/>
            <w:vAlign w:val="center"/>
          </w:tcPr>
          <w:p w14:paraId="3719B55A">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both"/>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在日常运维及重大安保运维期间</w:t>
            </w:r>
            <w:r>
              <w:rPr>
                <w:rFonts w:hint="eastAsia" w:cs="宋体"/>
                <w:color w:val="auto"/>
                <w:spacing w:val="-2"/>
                <w:sz w:val="21"/>
                <w:szCs w:val="21"/>
                <w:highlight w:val="none"/>
                <w:lang w:eastAsia="zh-CN"/>
              </w:rPr>
              <w:t>，</w:t>
            </w:r>
            <w:r>
              <w:rPr>
                <w:rFonts w:hint="eastAsia" w:cs="宋体"/>
                <w:color w:val="auto"/>
                <w:spacing w:val="-2"/>
                <w:sz w:val="21"/>
                <w:szCs w:val="21"/>
                <w:highlight w:val="none"/>
                <w:lang w:val="en-US" w:eastAsia="zh-CN"/>
              </w:rPr>
              <w:t>成交供应商服务人员</w:t>
            </w:r>
            <w:r>
              <w:rPr>
                <w:rFonts w:hint="eastAsia" w:ascii="宋体" w:hAnsi="宋体" w:eastAsia="宋体" w:cs="宋体"/>
                <w:color w:val="auto"/>
                <w:spacing w:val="-3"/>
                <w:sz w:val="21"/>
                <w:szCs w:val="21"/>
                <w:highlight w:val="none"/>
                <w:lang w:eastAsia="zh-CN"/>
              </w:rPr>
              <w:t>及时主动发现隐患，提出合理整改措施，并且及</w:t>
            </w:r>
            <w:r>
              <w:rPr>
                <w:rFonts w:hint="eastAsia" w:ascii="宋体" w:hAnsi="宋体" w:eastAsia="宋体" w:cs="宋体"/>
                <w:color w:val="auto"/>
                <w:spacing w:val="-2"/>
                <w:sz w:val="21"/>
                <w:szCs w:val="21"/>
                <w:highlight w:val="none"/>
                <w:lang w:eastAsia="zh-CN"/>
              </w:rPr>
              <w:t>时排除隐患，或能够按照</w:t>
            </w:r>
            <w:r>
              <w:rPr>
                <w:rFonts w:hint="eastAsia" w:cs="宋体"/>
                <w:color w:val="auto"/>
                <w:sz w:val="21"/>
                <w:szCs w:val="21"/>
                <w:highlight w:val="none"/>
                <w:lang w:val="en-US" w:eastAsia="zh-CN"/>
              </w:rPr>
              <w:t>采购人</w:t>
            </w:r>
            <w:r>
              <w:rPr>
                <w:rFonts w:hint="eastAsia" w:ascii="宋体" w:hAnsi="宋体" w:eastAsia="宋体" w:cs="宋体"/>
                <w:color w:val="auto"/>
                <w:spacing w:val="-2"/>
                <w:sz w:val="21"/>
                <w:szCs w:val="21"/>
                <w:highlight w:val="none"/>
                <w:lang w:eastAsia="zh-CN"/>
              </w:rPr>
              <w:t>要求，积极协调前后端</w:t>
            </w:r>
            <w:r>
              <w:rPr>
                <w:rFonts w:hint="eastAsia" w:ascii="宋体" w:hAnsi="宋体" w:eastAsia="宋体" w:cs="宋体"/>
                <w:color w:val="auto"/>
                <w:spacing w:val="-1"/>
                <w:sz w:val="21"/>
                <w:szCs w:val="21"/>
                <w:highlight w:val="none"/>
                <w:lang w:eastAsia="zh-CN"/>
              </w:rPr>
              <w:t>资源解决并最终及时处理故障的，最高加5分。</w:t>
            </w:r>
          </w:p>
        </w:tc>
        <w:tc>
          <w:tcPr>
            <w:tcW w:w="855" w:type="pct"/>
            <w:vAlign w:val="center"/>
          </w:tcPr>
          <w:p w14:paraId="704EFDC2">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由</w:t>
            </w:r>
            <w:r>
              <w:rPr>
                <w:rFonts w:hint="eastAsia" w:cs="宋体"/>
                <w:color w:val="auto"/>
                <w:sz w:val="21"/>
                <w:szCs w:val="21"/>
                <w:highlight w:val="none"/>
                <w:lang w:val="en-US" w:eastAsia="zh-CN"/>
              </w:rPr>
              <w:t>采购人</w:t>
            </w:r>
            <w:r>
              <w:rPr>
                <w:rFonts w:hint="eastAsia" w:ascii="宋体" w:hAnsi="宋体" w:eastAsia="宋体" w:cs="宋体"/>
                <w:color w:val="auto"/>
                <w:sz w:val="21"/>
                <w:szCs w:val="21"/>
                <w:highlight w:val="none"/>
                <w:lang w:eastAsia="zh-CN"/>
              </w:rPr>
              <w:t>根据</w:t>
            </w:r>
            <w:r>
              <w:rPr>
                <w:rFonts w:hint="eastAsia" w:cs="宋体"/>
                <w:color w:val="auto"/>
                <w:sz w:val="21"/>
                <w:szCs w:val="21"/>
                <w:highlight w:val="none"/>
                <w:lang w:val="en-US" w:eastAsia="zh-CN"/>
              </w:rPr>
              <w:t>成交供应商</w:t>
            </w:r>
            <w:r>
              <w:rPr>
                <w:rFonts w:hint="eastAsia" w:ascii="宋体" w:hAnsi="宋体" w:eastAsia="宋体" w:cs="宋体"/>
                <w:color w:val="auto"/>
                <w:sz w:val="21"/>
                <w:szCs w:val="21"/>
                <w:highlight w:val="none"/>
                <w:lang w:eastAsia="zh-CN"/>
              </w:rPr>
              <w:t>表现程度酌情加分。</w:t>
            </w:r>
          </w:p>
        </w:tc>
      </w:tr>
    </w:tbl>
    <w:p w14:paraId="70D596BB">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2" w:firstLineChars="200"/>
        <w:contextualSpacing/>
        <w:textAlignment w:val="auto"/>
        <w:rPr>
          <w:rFonts w:hint="eastAsia" w:ascii="宋体" w:hAnsi="宋体" w:eastAsia="宋体"/>
          <w:b/>
          <w:bCs/>
          <w:color w:val="auto"/>
          <w:szCs w:val="21"/>
          <w:highlight w:val="none"/>
          <w:lang w:eastAsia="zh-CN"/>
        </w:rPr>
      </w:pPr>
      <w:r>
        <w:rPr>
          <w:rFonts w:hint="eastAsia" w:ascii="宋体" w:hAnsi="宋体"/>
          <w:b/>
          <w:bCs/>
          <w:color w:val="auto"/>
          <w:szCs w:val="21"/>
          <w:highlight w:val="none"/>
        </w:rPr>
        <w:t>服务考核评分使用</w:t>
      </w:r>
      <w:r>
        <w:rPr>
          <w:rFonts w:hint="eastAsia" w:ascii="宋体" w:hAnsi="宋体"/>
          <w:b/>
          <w:bCs/>
          <w:color w:val="auto"/>
          <w:szCs w:val="21"/>
          <w:highlight w:val="none"/>
          <w:lang w:val="en-US" w:eastAsia="zh-CN"/>
        </w:rPr>
        <w:t>方法（考核评分四舍五入保留到个位）</w:t>
      </w:r>
      <w:r>
        <w:rPr>
          <w:rFonts w:hint="eastAsia" w:ascii="宋体" w:hAnsi="宋体"/>
          <w:b/>
          <w:bCs/>
          <w:color w:val="auto"/>
          <w:szCs w:val="21"/>
          <w:highlight w:val="none"/>
          <w:lang w:eastAsia="zh-CN"/>
        </w:rPr>
        <w:t>：</w:t>
      </w:r>
    </w:p>
    <w:p w14:paraId="7A477947">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成交供应商服务每满1个月后10日内</w:t>
      </w:r>
      <w:r>
        <w:rPr>
          <w:rFonts w:hint="eastAsia" w:ascii="宋体" w:hAnsi="宋体"/>
          <w:color w:val="auto"/>
          <w:szCs w:val="21"/>
          <w:highlight w:val="none"/>
        </w:rPr>
        <w:t>，</w:t>
      </w:r>
      <w:r>
        <w:rPr>
          <w:rFonts w:hint="eastAsia" w:ascii="宋体" w:hAnsi="宋体"/>
          <w:color w:val="auto"/>
          <w:szCs w:val="21"/>
          <w:highlight w:val="none"/>
          <w:lang w:val="en-US" w:eastAsia="zh-CN"/>
        </w:rPr>
        <w:t>采购人</w:t>
      </w:r>
      <w:r>
        <w:rPr>
          <w:rFonts w:hint="eastAsia" w:ascii="宋体" w:hAnsi="宋体"/>
          <w:color w:val="auto"/>
          <w:szCs w:val="21"/>
          <w:highlight w:val="none"/>
        </w:rPr>
        <w:t>根据</w:t>
      </w:r>
      <w:r>
        <w:rPr>
          <w:rFonts w:hint="eastAsia" w:ascii="宋体" w:hAnsi="宋体"/>
          <w:color w:val="auto"/>
          <w:szCs w:val="21"/>
          <w:highlight w:val="none"/>
          <w:lang w:val="en-US" w:eastAsia="zh-CN"/>
        </w:rPr>
        <w:t>该</w:t>
      </w:r>
      <w:r>
        <w:rPr>
          <w:rFonts w:hint="eastAsia" w:ascii="宋体" w:hAnsi="宋体"/>
          <w:color w:val="auto"/>
          <w:szCs w:val="21"/>
          <w:highlight w:val="none"/>
        </w:rPr>
        <w:t>月</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的实际服务情况作出服务考核评价得分</w:t>
      </w:r>
      <w:r>
        <w:rPr>
          <w:rFonts w:hint="eastAsia" w:ascii="宋体" w:hAnsi="宋体"/>
          <w:color w:val="auto"/>
          <w:szCs w:val="21"/>
          <w:highlight w:val="none"/>
          <w:lang w:val="en-US" w:eastAsia="zh-CN"/>
        </w:rPr>
        <w:t>并</w:t>
      </w:r>
      <w:r>
        <w:rPr>
          <w:rFonts w:hint="eastAsia" w:ascii="宋体" w:hAnsi="宋体"/>
          <w:color w:val="auto"/>
          <w:szCs w:val="21"/>
          <w:highlight w:val="none"/>
        </w:rPr>
        <w:t>送达</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。每个支付周期的服务考核评价分由各月服务评价组成，当月分值</w:t>
      </w:r>
      <w:r>
        <w:rPr>
          <w:rFonts w:hint="eastAsia" w:ascii="宋体" w:hAnsi="宋体"/>
          <w:color w:val="auto"/>
          <w:szCs w:val="21"/>
          <w:highlight w:val="none"/>
          <w:lang w:val="en-US" w:eastAsia="zh-CN"/>
        </w:rPr>
        <w:t>≥</w:t>
      </w:r>
      <w:r>
        <w:rPr>
          <w:rFonts w:hint="eastAsia" w:ascii="宋体" w:hAnsi="宋体"/>
          <w:color w:val="auto"/>
          <w:szCs w:val="21"/>
          <w:highlight w:val="none"/>
        </w:rPr>
        <w:t>90分为合格，不</w:t>
      </w:r>
      <w:r>
        <w:rPr>
          <w:rFonts w:hint="eastAsia" w:ascii="宋体" w:hAnsi="宋体"/>
          <w:color w:val="auto"/>
          <w:szCs w:val="21"/>
          <w:highlight w:val="none"/>
          <w:lang w:val="en-US" w:eastAsia="zh-CN"/>
        </w:rPr>
        <w:t>进行</w:t>
      </w:r>
      <w:r>
        <w:rPr>
          <w:rFonts w:hint="eastAsia" w:ascii="宋体" w:hAnsi="宋体"/>
          <w:color w:val="auto"/>
          <w:szCs w:val="21"/>
          <w:highlight w:val="none"/>
        </w:rPr>
        <w:t>服务考核扣款</w:t>
      </w:r>
      <w:r>
        <w:rPr>
          <w:rFonts w:hint="eastAsia" w:ascii="宋体" w:hAnsi="宋体"/>
          <w:color w:val="auto"/>
          <w:szCs w:val="21"/>
          <w:highlight w:val="none"/>
          <w:lang w:eastAsia="zh-CN"/>
        </w:rPr>
        <w:t>，</w:t>
      </w:r>
      <w:r>
        <w:rPr>
          <w:rFonts w:hint="eastAsia" w:ascii="宋体" w:hAnsi="宋体"/>
          <w:color w:val="auto"/>
          <w:szCs w:val="21"/>
          <w:highlight w:val="none"/>
        </w:rPr>
        <w:t>服务考核评价成绩</w:t>
      </w:r>
      <w:r>
        <w:rPr>
          <w:rFonts w:hint="eastAsia" w:ascii="宋体" w:hAnsi="宋体"/>
          <w:color w:val="auto"/>
          <w:szCs w:val="21"/>
          <w:highlight w:val="none"/>
          <w:lang w:val="en-US" w:eastAsia="zh-CN"/>
        </w:rPr>
        <w:t>＜</w:t>
      </w:r>
      <w:r>
        <w:rPr>
          <w:rFonts w:hint="eastAsia" w:ascii="宋体" w:hAnsi="宋体"/>
          <w:color w:val="auto"/>
          <w:szCs w:val="21"/>
          <w:highlight w:val="none"/>
        </w:rPr>
        <w:t>90分的</w:t>
      </w:r>
      <w:r>
        <w:rPr>
          <w:rFonts w:hint="eastAsia" w:ascii="宋体" w:hAnsi="宋体"/>
          <w:color w:val="auto"/>
          <w:szCs w:val="21"/>
          <w:highlight w:val="none"/>
          <w:lang w:val="en-US" w:eastAsia="zh-CN"/>
        </w:rPr>
        <w:t>为不合格，服务期内累计出现三次不合格或连续两次不合格的，除按约定进行服务考核扣款外，采购人有权解除合同</w:t>
      </w:r>
      <w:r>
        <w:rPr>
          <w:rFonts w:hint="eastAsia" w:ascii="宋体" w:hAnsi="宋体"/>
          <w:color w:val="auto"/>
          <w:szCs w:val="21"/>
          <w:highlight w:val="none"/>
        </w:rPr>
        <w:t>。</w:t>
      </w:r>
    </w:p>
    <w:p w14:paraId="1D73C59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每个月以合同总额的5%作为违约金和服务考核扣款之和的上限</w:t>
      </w:r>
      <w:r>
        <w:rPr>
          <w:rFonts w:hint="eastAsia" w:ascii="宋体" w:hAnsi="宋体"/>
          <w:color w:val="auto"/>
          <w:szCs w:val="21"/>
          <w:highlight w:val="none"/>
          <w:lang w:eastAsia="zh-CN"/>
        </w:rPr>
        <w:t>（</w:t>
      </w:r>
      <w:r>
        <w:rPr>
          <w:rFonts w:hint="eastAsia" w:ascii="宋体" w:hAnsi="宋体"/>
          <w:color w:val="auto"/>
          <w:szCs w:val="21"/>
          <w:highlight w:val="none"/>
        </w:rPr>
        <w:t>即本合同项上每月的违约金和每月服务考核扣款金额总和上限为合同总额的5%</w:t>
      </w:r>
      <w:r>
        <w:rPr>
          <w:rFonts w:hint="eastAsia" w:ascii="宋体" w:hAnsi="宋体"/>
          <w:color w:val="auto"/>
          <w:szCs w:val="21"/>
          <w:highlight w:val="none"/>
          <w:lang w:eastAsia="zh-CN"/>
        </w:rPr>
        <w:t>）</w:t>
      </w:r>
      <w:r>
        <w:rPr>
          <w:rFonts w:hint="eastAsia" w:ascii="宋体" w:hAnsi="宋体"/>
          <w:color w:val="auto"/>
          <w:szCs w:val="21"/>
          <w:highlight w:val="none"/>
        </w:rPr>
        <w:t>,服务考核评价成绩</w:t>
      </w:r>
      <w:r>
        <w:rPr>
          <w:rFonts w:hint="eastAsia" w:ascii="宋体" w:hAnsi="宋体"/>
          <w:color w:val="auto"/>
          <w:szCs w:val="21"/>
          <w:highlight w:val="none"/>
          <w:lang w:val="en-US" w:eastAsia="zh-CN"/>
        </w:rPr>
        <w:t>＜</w:t>
      </w:r>
      <w:r>
        <w:rPr>
          <w:rFonts w:hint="eastAsia" w:ascii="宋体" w:hAnsi="宋体"/>
          <w:color w:val="auto"/>
          <w:szCs w:val="21"/>
          <w:highlight w:val="none"/>
        </w:rPr>
        <w:t>90分的</w:t>
      </w:r>
      <w:r>
        <w:rPr>
          <w:rFonts w:hint="eastAsia" w:ascii="宋体" w:hAnsi="宋体"/>
          <w:color w:val="auto"/>
          <w:szCs w:val="21"/>
          <w:highlight w:val="none"/>
          <w:lang w:eastAsia="zh-CN"/>
        </w:rPr>
        <w:t>，</w:t>
      </w:r>
      <w:r>
        <w:rPr>
          <w:rFonts w:hint="eastAsia" w:ascii="宋体" w:hAnsi="宋体"/>
          <w:color w:val="auto"/>
          <w:szCs w:val="21"/>
          <w:highlight w:val="none"/>
        </w:rPr>
        <w:t>每</w:t>
      </w:r>
      <w:r>
        <w:rPr>
          <w:rFonts w:hint="eastAsia" w:ascii="宋体" w:hAnsi="宋体"/>
          <w:color w:val="auto"/>
          <w:szCs w:val="21"/>
          <w:highlight w:val="none"/>
          <w:lang w:val="en-US" w:eastAsia="zh-CN"/>
        </w:rPr>
        <w:t>低1</w:t>
      </w:r>
      <w:r>
        <w:rPr>
          <w:rFonts w:hint="eastAsia" w:ascii="宋体" w:hAnsi="宋体"/>
          <w:color w:val="auto"/>
          <w:szCs w:val="21"/>
          <w:highlight w:val="none"/>
        </w:rPr>
        <w:t>分，扣除合同总额的</w:t>
      </w:r>
      <w:r>
        <w:rPr>
          <w:rFonts w:hint="eastAsia" w:ascii="宋体" w:hAnsi="宋体"/>
          <w:color w:val="auto"/>
          <w:szCs w:val="21"/>
          <w:highlight w:val="none"/>
          <w:lang w:val="en-US" w:eastAsia="zh-CN"/>
        </w:rPr>
        <w:t>千分之一</w:t>
      </w:r>
      <w:r>
        <w:rPr>
          <w:rFonts w:hint="eastAsia" w:ascii="宋体" w:hAnsi="宋体"/>
          <w:color w:val="auto"/>
          <w:szCs w:val="21"/>
          <w:highlight w:val="none"/>
        </w:rPr>
        <w:t>作为服务考核扣款。</w:t>
      </w:r>
    </w:p>
    <w:p w14:paraId="0CC192EE">
      <w:pPr>
        <w:numPr>
          <w:ilvl w:val="0"/>
          <w:numId w:val="13"/>
        </w:numPr>
        <w:tabs>
          <w:tab w:val="left" w:pos="284"/>
        </w:tabs>
        <w:snapToGrid w:val="0"/>
        <w:spacing w:line="360" w:lineRule="auto"/>
        <w:ind w:left="284" w:hanging="284"/>
        <w:contextualSpacing/>
        <w:rPr>
          <w:rFonts w:ascii="宋体" w:hAnsi="宋体"/>
          <w:b/>
          <w:bCs/>
          <w:color w:val="auto"/>
          <w:szCs w:val="21"/>
          <w:highlight w:val="none"/>
          <w:u w:val="single"/>
        </w:rPr>
      </w:pPr>
      <w:r>
        <w:rPr>
          <w:rFonts w:hint="eastAsia" w:ascii="宋体" w:hAnsi="宋体"/>
          <w:b/>
          <w:bCs/>
          <w:color w:val="auto"/>
          <w:szCs w:val="21"/>
          <w:highlight w:val="none"/>
          <w:u w:val="single"/>
          <w:lang w:val="en-US" w:eastAsia="zh-CN"/>
        </w:rPr>
        <w:t>★其他服务要求</w:t>
      </w:r>
    </w:p>
    <w:p w14:paraId="6B77581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2" w:firstLineChars="200"/>
        <w:contextualSpacing/>
        <w:textAlignment w:val="auto"/>
        <w:rPr>
          <w:rFonts w:hint="eastAsia" w:ascii="宋体" w:hAnsi="宋体"/>
          <w:b/>
          <w:bCs/>
          <w:color w:val="auto"/>
          <w:szCs w:val="21"/>
          <w:highlight w:val="none"/>
          <w:u w:val="single"/>
        </w:rPr>
      </w:pPr>
      <w:r>
        <w:rPr>
          <w:rFonts w:hint="eastAsia" w:ascii="宋体" w:hAnsi="宋体"/>
          <w:b/>
          <w:bCs/>
          <w:color w:val="auto"/>
          <w:szCs w:val="21"/>
          <w:highlight w:val="none"/>
          <w:u w:val="single"/>
          <w:lang w:val="en-US" w:eastAsia="zh-CN"/>
        </w:rPr>
        <w:t>本</w:t>
      </w:r>
      <w:r>
        <w:rPr>
          <w:rFonts w:hint="eastAsia" w:ascii="宋体" w:hAnsi="宋体"/>
          <w:b/>
          <w:bCs/>
          <w:color w:val="auto"/>
          <w:szCs w:val="21"/>
          <w:highlight w:val="none"/>
          <w:u w:val="single"/>
        </w:rPr>
        <w:t>采购文件未尽事宜，将在合同签订或项目执行过程中</w:t>
      </w:r>
      <w:r>
        <w:rPr>
          <w:rFonts w:hint="eastAsia" w:ascii="宋体" w:hAnsi="宋体"/>
          <w:b/>
          <w:bCs/>
          <w:color w:val="auto"/>
          <w:szCs w:val="21"/>
          <w:highlight w:val="none"/>
          <w:u w:val="single"/>
          <w:lang w:val="en-US" w:eastAsia="zh-CN"/>
        </w:rPr>
        <w:t>由</w:t>
      </w:r>
      <w:r>
        <w:rPr>
          <w:rFonts w:hint="eastAsia" w:ascii="宋体" w:hAnsi="宋体"/>
          <w:b/>
          <w:bCs/>
          <w:color w:val="auto"/>
          <w:szCs w:val="21"/>
          <w:highlight w:val="none"/>
          <w:u w:val="single"/>
        </w:rPr>
        <w:t>双方协商确定，</w:t>
      </w:r>
      <w:r>
        <w:rPr>
          <w:rFonts w:hint="eastAsia" w:ascii="宋体" w:hAnsi="宋体"/>
          <w:b/>
          <w:bCs/>
          <w:color w:val="auto"/>
          <w:szCs w:val="21"/>
          <w:highlight w:val="none"/>
          <w:u w:val="single"/>
          <w:lang w:val="en-US" w:eastAsia="zh-CN"/>
        </w:rPr>
        <w:t>成交供应商</w:t>
      </w:r>
      <w:r>
        <w:rPr>
          <w:rFonts w:hint="eastAsia" w:ascii="宋体" w:hAnsi="宋体"/>
          <w:b/>
          <w:bCs/>
          <w:color w:val="auto"/>
          <w:szCs w:val="21"/>
          <w:highlight w:val="none"/>
          <w:u w:val="single"/>
        </w:rPr>
        <w:t>须无条件满足采购人的合理要求。</w:t>
      </w:r>
      <w:r>
        <w:rPr>
          <w:rFonts w:hint="eastAsia" w:ascii="宋体" w:hAnsi="宋体"/>
          <w:b/>
          <w:bCs/>
          <w:color w:val="auto"/>
          <w:szCs w:val="21"/>
          <w:highlight w:val="none"/>
          <w:u w:val="single"/>
          <w:lang w:val="en-US" w:eastAsia="zh-CN"/>
        </w:rPr>
        <w:t>（须提供单独承诺函并加盖供应商公章，承诺函格式自拟）</w:t>
      </w:r>
    </w:p>
    <w:p w14:paraId="5F741E96">
      <w:pPr>
        <w:numPr>
          <w:ilvl w:val="0"/>
          <w:numId w:val="12"/>
        </w:numPr>
        <w:snapToGrid w:val="0"/>
        <w:spacing w:line="360" w:lineRule="auto"/>
        <w:contextualSpacing/>
        <w:rPr>
          <w:rFonts w:ascii="宋体" w:hAnsi="宋体"/>
          <w:b/>
          <w:bCs/>
          <w:color w:val="auto"/>
          <w:szCs w:val="21"/>
          <w:highlight w:val="none"/>
        </w:rPr>
      </w:pPr>
      <w:r>
        <w:rPr>
          <w:rFonts w:hint="eastAsia" w:ascii="宋体" w:hAnsi="宋体"/>
          <w:b/>
          <w:bCs/>
          <w:color w:val="auto"/>
          <w:szCs w:val="21"/>
          <w:highlight w:val="none"/>
          <w:lang w:val="en-US" w:eastAsia="zh-CN"/>
        </w:rPr>
        <w:t>电子警察运维服务</w:t>
      </w:r>
    </w:p>
    <w:p w14:paraId="3F4014D7">
      <w:pPr>
        <w:numPr>
          <w:ilvl w:val="0"/>
          <w:numId w:val="19"/>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服务概述</w:t>
      </w:r>
    </w:p>
    <w:p w14:paraId="33106DA8">
      <w:pPr>
        <w:numPr>
          <w:ilvl w:val="0"/>
          <w:numId w:val="20"/>
        </w:numPr>
        <w:tabs>
          <w:tab w:val="left" w:pos="284"/>
        </w:tabs>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本电子警察运维服务范围包含18个路口</w:t>
      </w:r>
      <w:r>
        <w:rPr>
          <w:rFonts w:hint="eastAsia" w:ascii="宋体" w:hAnsi="宋体"/>
          <w:color w:val="auto"/>
          <w:szCs w:val="21"/>
          <w:highlight w:val="none"/>
          <w:lang w:eastAsia="zh-CN"/>
        </w:rPr>
        <w:t>（</w:t>
      </w:r>
      <w:r>
        <w:rPr>
          <w:rFonts w:hint="eastAsia" w:ascii="宋体" w:hAnsi="宋体"/>
          <w:color w:val="auto"/>
          <w:szCs w:val="21"/>
          <w:highlight w:val="none"/>
        </w:rPr>
        <w:t>或路段</w:t>
      </w:r>
      <w:r>
        <w:rPr>
          <w:rFonts w:hint="eastAsia" w:ascii="宋体" w:hAnsi="宋体"/>
          <w:color w:val="auto"/>
          <w:szCs w:val="21"/>
          <w:highlight w:val="none"/>
          <w:lang w:eastAsia="zh-CN"/>
        </w:rPr>
        <w:t>）</w:t>
      </w:r>
      <w:r>
        <w:rPr>
          <w:rFonts w:hint="eastAsia" w:ascii="宋体" w:hAnsi="宋体"/>
          <w:color w:val="auto"/>
          <w:szCs w:val="21"/>
          <w:highlight w:val="none"/>
        </w:rPr>
        <w:t>的40套电子警察违法抓拍设备及机房后台系统设备</w:t>
      </w:r>
      <w:r>
        <w:rPr>
          <w:rFonts w:hint="eastAsia" w:ascii="宋体" w:hAnsi="宋体"/>
          <w:color w:val="auto"/>
          <w:szCs w:val="21"/>
          <w:highlight w:val="none"/>
          <w:lang w:eastAsia="zh-CN"/>
        </w:rPr>
        <w:t>，</w:t>
      </w:r>
      <w:r>
        <w:rPr>
          <w:rFonts w:hint="eastAsia" w:ascii="宋体" w:hAnsi="宋体"/>
          <w:color w:val="auto"/>
          <w:szCs w:val="21"/>
          <w:highlight w:val="none"/>
        </w:rPr>
        <w:t>通过对前端40个方向的电子警察配套设施进行常规维护和保养巡检</w:t>
      </w:r>
      <w:r>
        <w:rPr>
          <w:rFonts w:hint="eastAsia" w:ascii="宋体" w:hAnsi="宋体"/>
          <w:color w:val="auto"/>
          <w:szCs w:val="21"/>
          <w:highlight w:val="none"/>
          <w:lang w:eastAsia="zh-CN"/>
        </w:rPr>
        <w:t>（</w:t>
      </w:r>
      <w:r>
        <w:rPr>
          <w:rFonts w:hint="eastAsia" w:ascii="宋体" w:hAnsi="宋体"/>
          <w:color w:val="auto"/>
          <w:szCs w:val="21"/>
          <w:highlight w:val="none"/>
        </w:rPr>
        <w:t>含设备自然损坏、人为损坏、交通事故、偷盗破坏、道路施工等造成损坏的维护</w:t>
      </w:r>
      <w:r>
        <w:rPr>
          <w:rFonts w:hint="eastAsia" w:ascii="宋体" w:hAnsi="宋体"/>
          <w:color w:val="auto"/>
          <w:szCs w:val="21"/>
          <w:highlight w:val="none"/>
          <w:lang w:eastAsia="zh-CN"/>
        </w:rPr>
        <w:t>）；</w:t>
      </w:r>
      <w:r>
        <w:rPr>
          <w:rFonts w:hint="eastAsia" w:ascii="宋体" w:hAnsi="宋体"/>
          <w:color w:val="auto"/>
          <w:szCs w:val="21"/>
          <w:highlight w:val="none"/>
        </w:rPr>
        <w:t>对电子警察后端服务器、存储设备、交换机、以及其他各种系统进行维护；定期检查电子警察在线率；对</w:t>
      </w:r>
      <w:r>
        <w:rPr>
          <w:rFonts w:hint="eastAsia" w:cs="宋体"/>
          <w:color w:val="auto"/>
          <w:sz w:val="21"/>
          <w:szCs w:val="21"/>
          <w:highlight w:val="none"/>
          <w:lang w:val="en-US" w:eastAsia="zh-CN"/>
        </w:rPr>
        <w:t>采购人</w:t>
      </w:r>
      <w:r>
        <w:rPr>
          <w:rFonts w:hint="eastAsia" w:ascii="宋体" w:hAnsi="宋体"/>
          <w:color w:val="auto"/>
          <w:szCs w:val="21"/>
          <w:highlight w:val="none"/>
        </w:rPr>
        <w:t>使用的所有测速设备做标定、区间测速做校时等；在</w:t>
      </w:r>
      <w:r>
        <w:rPr>
          <w:rFonts w:hint="eastAsia" w:ascii="宋体" w:hAnsi="宋体"/>
          <w:color w:val="auto"/>
          <w:szCs w:val="21"/>
          <w:highlight w:val="none"/>
          <w:lang w:val="en-US" w:eastAsia="zh-CN"/>
        </w:rPr>
        <w:t>服务</w:t>
      </w:r>
      <w:r>
        <w:rPr>
          <w:rFonts w:hint="eastAsia" w:ascii="宋体" w:hAnsi="宋体"/>
          <w:color w:val="auto"/>
          <w:szCs w:val="21"/>
          <w:highlight w:val="none"/>
        </w:rPr>
        <w:t>期内，</w:t>
      </w:r>
      <w:r>
        <w:rPr>
          <w:rFonts w:hint="eastAsia" w:cs="宋体"/>
          <w:color w:val="auto"/>
          <w:sz w:val="21"/>
          <w:szCs w:val="21"/>
          <w:highlight w:val="none"/>
          <w:lang w:val="en-US" w:eastAsia="zh-CN"/>
        </w:rPr>
        <w:t>采购人</w:t>
      </w:r>
      <w:r>
        <w:rPr>
          <w:rFonts w:hint="eastAsia" w:ascii="宋体" w:hAnsi="宋体"/>
          <w:color w:val="auto"/>
          <w:szCs w:val="21"/>
          <w:highlight w:val="none"/>
        </w:rPr>
        <w:t>接收外单位移交的电子警察设备，</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需配合</w:t>
      </w:r>
      <w:r>
        <w:rPr>
          <w:rFonts w:hint="eastAsia" w:cs="宋体"/>
          <w:color w:val="auto"/>
          <w:sz w:val="21"/>
          <w:szCs w:val="21"/>
          <w:highlight w:val="none"/>
          <w:lang w:val="en-US" w:eastAsia="zh-CN"/>
        </w:rPr>
        <w:t>采购人</w:t>
      </w:r>
      <w:r>
        <w:rPr>
          <w:rFonts w:hint="eastAsia" w:ascii="宋体" w:hAnsi="宋体"/>
          <w:color w:val="auto"/>
          <w:szCs w:val="21"/>
          <w:highlight w:val="none"/>
        </w:rPr>
        <w:t>核对移交的电子警察数量以及确认设备状态</w:t>
      </w:r>
      <w:r>
        <w:rPr>
          <w:rFonts w:hint="eastAsia" w:ascii="宋体" w:hAnsi="宋体"/>
          <w:color w:val="auto"/>
          <w:szCs w:val="21"/>
          <w:highlight w:val="none"/>
          <w:lang w:eastAsia="zh-CN"/>
        </w:rPr>
        <w:t>；</w:t>
      </w:r>
      <w:r>
        <w:rPr>
          <w:rFonts w:hint="eastAsia" w:cs="宋体"/>
          <w:color w:val="auto"/>
          <w:sz w:val="21"/>
          <w:szCs w:val="21"/>
          <w:highlight w:val="none"/>
          <w:lang w:val="en-US" w:eastAsia="zh-CN"/>
        </w:rPr>
        <w:t>采购人</w:t>
      </w:r>
      <w:r>
        <w:rPr>
          <w:rFonts w:hint="eastAsia" w:ascii="宋体" w:hAnsi="宋体"/>
          <w:color w:val="auto"/>
          <w:szCs w:val="21"/>
          <w:highlight w:val="none"/>
        </w:rPr>
        <w:t>与外单位办理好移交手续并接收的电子警察设备，从移交之日起也纳入</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运维范围并按照运维相关要求，开展维护、保养、巡检、检测标定</w:t>
      </w:r>
      <w:r>
        <w:rPr>
          <w:rFonts w:hint="eastAsia" w:ascii="宋体" w:hAnsi="宋体"/>
          <w:color w:val="auto"/>
          <w:szCs w:val="21"/>
          <w:highlight w:val="none"/>
          <w:lang w:eastAsia="zh-CN"/>
        </w:rPr>
        <w:t>（</w:t>
      </w:r>
      <w:r>
        <w:rPr>
          <w:rFonts w:hint="eastAsia" w:ascii="宋体" w:hAnsi="宋体"/>
          <w:color w:val="auto"/>
          <w:szCs w:val="21"/>
          <w:highlight w:val="none"/>
        </w:rPr>
        <w:t>测速设备</w:t>
      </w:r>
      <w:r>
        <w:rPr>
          <w:rFonts w:hint="eastAsia" w:ascii="宋体" w:hAnsi="宋体"/>
          <w:color w:val="auto"/>
          <w:szCs w:val="21"/>
          <w:highlight w:val="none"/>
          <w:lang w:eastAsia="zh-CN"/>
        </w:rPr>
        <w:t>）</w:t>
      </w:r>
      <w:r>
        <w:rPr>
          <w:rFonts w:hint="eastAsia" w:ascii="宋体" w:hAnsi="宋体"/>
          <w:color w:val="auto"/>
          <w:szCs w:val="21"/>
          <w:highlight w:val="none"/>
        </w:rPr>
        <w:t>。</w:t>
      </w:r>
    </w:p>
    <w:p w14:paraId="54989B83">
      <w:pPr>
        <w:numPr>
          <w:ilvl w:val="0"/>
          <w:numId w:val="20"/>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cs="宋体"/>
          <w:color w:val="auto"/>
          <w:sz w:val="21"/>
          <w:szCs w:val="21"/>
          <w:highlight w:val="none"/>
          <w:lang w:val="en-US" w:eastAsia="zh-CN"/>
        </w:rPr>
        <w:t>采购人</w:t>
      </w:r>
      <w:r>
        <w:rPr>
          <w:rFonts w:hint="eastAsia" w:ascii="宋体" w:hAnsi="宋体"/>
          <w:color w:val="auto"/>
          <w:szCs w:val="21"/>
          <w:highlight w:val="none"/>
        </w:rPr>
        <w:t>机房部署了一系列的小型机、存储设备、PC服务器、网络交换、网络安全设备等信息中心设备</w:t>
      </w:r>
      <w:r>
        <w:rPr>
          <w:rFonts w:hint="eastAsia" w:ascii="宋体" w:hAnsi="宋体"/>
          <w:color w:val="auto"/>
          <w:szCs w:val="21"/>
          <w:highlight w:val="none"/>
          <w:lang w:eastAsia="zh-CN"/>
        </w:rPr>
        <w:t>；</w:t>
      </w:r>
      <w:r>
        <w:rPr>
          <w:rFonts w:hint="eastAsia" w:ascii="宋体" w:hAnsi="宋体"/>
          <w:color w:val="auto"/>
          <w:szCs w:val="21"/>
          <w:highlight w:val="none"/>
        </w:rPr>
        <w:t>为保障</w:t>
      </w:r>
      <w:r>
        <w:rPr>
          <w:rFonts w:hint="eastAsia" w:cs="宋体"/>
          <w:color w:val="auto"/>
          <w:sz w:val="21"/>
          <w:szCs w:val="21"/>
          <w:highlight w:val="none"/>
          <w:lang w:val="en-US" w:eastAsia="zh-CN"/>
        </w:rPr>
        <w:t>采购人</w:t>
      </w:r>
      <w:r>
        <w:rPr>
          <w:rFonts w:hint="eastAsia" w:ascii="宋体" w:hAnsi="宋体"/>
          <w:color w:val="auto"/>
          <w:szCs w:val="21"/>
          <w:highlight w:val="none"/>
        </w:rPr>
        <w:t>信息机房设备、系统数据稳定、高效、安全地运行，需要</w:t>
      </w:r>
      <w:r>
        <w:rPr>
          <w:rFonts w:hint="eastAsia" w:ascii="宋体" w:hAnsi="宋体"/>
          <w:color w:val="auto"/>
          <w:szCs w:val="21"/>
          <w:highlight w:val="none"/>
          <w:lang w:val="en-US" w:eastAsia="zh-CN"/>
        </w:rPr>
        <w:t>服务</w:t>
      </w:r>
      <w:r>
        <w:rPr>
          <w:rFonts w:hint="eastAsia" w:ascii="宋体" w:hAnsi="宋体"/>
          <w:color w:val="auto"/>
          <w:szCs w:val="21"/>
          <w:highlight w:val="none"/>
        </w:rPr>
        <w:t>人员对机房存储设备、PC服务器、网络交换设备、网络安全设备等信息中心设备的日常维护保养与巡检和应对突发事件提供技术保障。</w:t>
      </w:r>
    </w:p>
    <w:p w14:paraId="04C645B0">
      <w:pPr>
        <w:numPr>
          <w:ilvl w:val="0"/>
          <w:numId w:val="19"/>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电子警察运维服务</w:t>
      </w:r>
      <w:r>
        <w:rPr>
          <w:rFonts w:hint="eastAsia" w:ascii="宋体" w:hAnsi="宋体"/>
          <w:color w:val="auto"/>
          <w:szCs w:val="21"/>
          <w:highlight w:val="none"/>
          <w:lang w:val="en-US" w:eastAsia="zh-CN"/>
        </w:rPr>
        <w:t>运维点位</w:t>
      </w:r>
      <w:r>
        <w:rPr>
          <w:rFonts w:hint="eastAsia" w:ascii="宋体" w:hAnsi="宋体"/>
          <w:color w:val="auto"/>
          <w:szCs w:val="21"/>
          <w:highlight w:val="none"/>
        </w:rPr>
        <w:t>情况一览表</w:t>
      </w:r>
    </w:p>
    <w:tbl>
      <w:tblPr>
        <w:tblStyle w:val="80"/>
        <w:tblW w:w="501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94"/>
        <w:gridCol w:w="1461"/>
        <w:gridCol w:w="3157"/>
        <w:gridCol w:w="717"/>
        <w:gridCol w:w="3284"/>
      </w:tblGrid>
      <w:tr w14:paraId="3C618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1" w:type="pct"/>
            <w:vAlign w:val="center"/>
          </w:tcPr>
          <w:p w14:paraId="503D3AD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6"/>
                <w:sz w:val="21"/>
                <w:szCs w:val="21"/>
                <w:highlight w:val="none"/>
              </w:rPr>
              <w:t>序号</w:t>
            </w:r>
          </w:p>
        </w:tc>
        <w:tc>
          <w:tcPr>
            <w:tcW w:w="801" w:type="pct"/>
            <w:vAlign w:val="center"/>
          </w:tcPr>
          <w:p w14:paraId="58063AF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设备类型</w:t>
            </w:r>
          </w:p>
        </w:tc>
        <w:tc>
          <w:tcPr>
            <w:tcW w:w="1731" w:type="pct"/>
            <w:vAlign w:val="center"/>
          </w:tcPr>
          <w:p w14:paraId="0211FEA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4"/>
                <w:sz w:val="21"/>
                <w:szCs w:val="21"/>
                <w:highlight w:val="none"/>
              </w:rPr>
              <w:t>所在地点</w:t>
            </w:r>
          </w:p>
        </w:tc>
        <w:tc>
          <w:tcPr>
            <w:tcW w:w="393" w:type="pct"/>
            <w:vAlign w:val="center"/>
          </w:tcPr>
          <w:p w14:paraId="076371D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方向数</w:t>
            </w:r>
          </w:p>
        </w:tc>
        <w:tc>
          <w:tcPr>
            <w:tcW w:w="1801" w:type="pct"/>
            <w:vAlign w:val="center"/>
          </w:tcPr>
          <w:p w14:paraId="05878E0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2"/>
                <w:sz w:val="21"/>
                <w:szCs w:val="21"/>
                <w:highlight w:val="none"/>
              </w:rPr>
              <w:t>违法抓拍类型</w:t>
            </w:r>
          </w:p>
        </w:tc>
      </w:tr>
      <w:tr w14:paraId="6A887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271" w:type="pct"/>
            <w:vAlign w:val="center"/>
          </w:tcPr>
          <w:p w14:paraId="4DB95BF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801" w:type="pct"/>
            <w:vAlign w:val="center"/>
          </w:tcPr>
          <w:p w14:paraId="7C6D5A5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1BD80B2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东莞市道滘镇粤晖路大罗沙</w:t>
            </w:r>
            <w:r>
              <w:rPr>
                <w:rFonts w:hint="eastAsia" w:ascii="宋体" w:hAnsi="宋体" w:eastAsia="宋体" w:cs="宋体"/>
                <w:color w:val="auto"/>
                <w:spacing w:val="-1"/>
                <w:sz w:val="21"/>
                <w:szCs w:val="21"/>
                <w:highlight w:val="none"/>
                <w:lang w:eastAsia="zh-CN"/>
              </w:rPr>
              <w:t>路段</w:t>
            </w:r>
          </w:p>
        </w:tc>
        <w:tc>
          <w:tcPr>
            <w:tcW w:w="393" w:type="pct"/>
            <w:vAlign w:val="center"/>
          </w:tcPr>
          <w:p w14:paraId="695618C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restart"/>
            <w:tcBorders>
              <w:bottom w:val="nil"/>
            </w:tcBorders>
            <w:vAlign w:val="center"/>
          </w:tcPr>
          <w:p w14:paraId="7C1FBF96">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w:t>
            </w:r>
            <w:r>
              <w:rPr>
                <w:rFonts w:hint="eastAsia" w:ascii="宋体" w:hAnsi="宋体" w:eastAsia="宋体" w:cs="宋体"/>
                <w:color w:val="auto"/>
                <w:spacing w:val="-1"/>
                <w:sz w:val="21"/>
                <w:szCs w:val="21"/>
                <w:highlight w:val="none"/>
                <w:lang w:eastAsia="zh-CN"/>
              </w:rPr>
              <w:t>全带的</w:t>
            </w:r>
            <w:r>
              <w:rPr>
                <w:rFonts w:hint="eastAsia" w:cs="宋体"/>
                <w:color w:val="auto"/>
                <w:spacing w:val="-1"/>
                <w:sz w:val="21"/>
                <w:szCs w:val="21"/>
                <w:highlight w:val="none"/>
                <w:lang w:eastAsia="zh-CN"/>
              </w:rPr>
              <w:t>；</w:t>
            </w:r>
          </w:p>
          <w:p w14:paraId="748CDFF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4"/>
                <w:sz w:val="21"/>
                <w:szCs w:val="21"/>
                <w:highlight w:val="none"/>
                <w:lang w:eastAsia="zh-CN"/>
              </w:rPr>
            </w:pPr>
            <w:r>
              <w:rPr>
                <w:rFonts w:hint="eastAsia" w:ascii="宋体" w:hAnsi="宋体" w:eastAsia="宋体" w:cs="宋体"/>
                <w:color w:val="auto"/>
                <w:spacing w:val="-1"/>
                <w:sz w:val="21"/>
                <w:szCs w:val="21"/>
                <w:highlight w:val="none"/>
                <w:lang w:eastAsia="zh-CN"/>
              </w:rPr>
              <w:t>2、驾驶</w:t>
            </w:r>
            <w:r>
              <w:rPr>
                <w:rFonts w:hint="eastAsia" w:ascii="宋体" w:hAnsi="宋体" w:eastAsia="宋体" w:cs="宋体"/>
                <w:color w:val="auto"/>
                <w:spacing w:val="1"/>
                <w:sz w:val="21"/>
                <w:szCs w:val="21"/>
                <w:highlight w:val="none"/>
                <w:lang w:eastAsia="zh-CN"/>
              </w:rPr>
              <w:t>时拨打接听手</w:t>
            </w:r>
            <w:r>
              <w:rPr>
                <w:rFonts w:hint="eastAsia" w:ascii="宋体" w:hAnsi="宋体" w:eastAsia="宋体" w:cs="宋体"/>
                <w:color w:val="auto"/>
                <w:spacing w:val="4"/>
                <w:sz w:val="21"/>
                <w:szCs w:val="21"/>
                <w:highlight w:val="none"/>
                <w:lang w:eastAsia="zh-CN"/>
              </w:rPr>
              <w:t>持电话的</w:t>
            </w:r>
            <w:r>
              <w:rPr>
                <w:rFonts w:hint="eastAsia" w:cs="宋体"/>
                <w:color w:val="auto"/>
                <w:spacing w:val="4"/>
                <w:sz w:val="21"/>
                <w:szCs w:val="21"/>
                <w:highlight w:val="none"/>
                <w:lang w:eastAsia="zh-CN"/>
              </w:rPr>
              <w:t>；</w:t>
            </w:r>
          </w:p>
          <w:p w14:paraId="434FE170">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4"/>
                <w:sz w:val="21"/>
                <w:szCs w:val="21"/>
                <w:highlight w:val="none"/>
                <w:lang w:eastAsia="zh-CN"/>
              </w:rPr>
              <w:t>3、驾</w:t>
            </w:r>
            <w:r>
              <w:rPr>
                <w:rFonts w:hint="eastAsia" w:ascii="宋体" w:hAnsi="宋体" w:eastAsia="宋体" w:cs="宋体"/>
                <w:color w:val="auto"/>
                <w:spacing w:val="-2"/>
                <w:sz w:val="21"/>
                <w:szCs w:val="21"/>
                <w:highlight w:val="none"/>
                <w:lang w:eastAsia="zh-CN"/>
              </w:rPr>
              <w:t>驶机动车在高</w:t>
            </w:r>
            <w:r>
              <w:rPr>
                <w:rFonts w:hint="eastAsia" w:ascii="宋体" w:hAnsi="宋体" w:eastAsia="宋体" w:cs="宋体"/>
                <w:color w:val="auto"/>
                <w:spacing w:val="-1"/>
                <w:sz w:val="21"/>
                <w:szCs w:val="21"/>
                <w:highlight w:val="none"/>
                <w:lang w:eastAsia="zh-CN"/>
              </w:rPr>
              <w:t>速公路、城市快</w:t>
            </w:r>
            <w:r>
              <w:rPr>
                <w:rFonts w:hint="eastAsia" w:ascii="宋体" w:hAnsi="宋体" w:eastAsia="宋体" w:cs="宋体"/>
                <w:color w:val="auto"/>
                <w:spacing w:val="-2"/>
                <w:sz w:val="21"/>
                <w:szCs w:val="21"/>
                <w:highlight w:val="none"/>
                <w:lang w:eastAsia="zh-CN"/>
              </w:rPr>
              <w:t>速路以外超过</w:t>
            </w:r>
            <w:r>
              <w:rPr>
                <w:rFonts w:hint="eastAsia" w:ascii="宋体" w:hAnsi="宋体" w:eastAsia="宋体" w:cs="宋体"/>
                <w:color w:val="auto"/>
                <w:sz w:val="21"/>
                <w:szCs w:val="21"/>
                <w:highlight w:val="none"/>
                <w:lang w:eastAsia="zh-CN"/>
              </w:rPr>
              <w:t>规定时速的。</w:t>
            </w:r>
          </w:p>
        </w:tc>
      </w:tr>
      <w:tr w14:paraId="22081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71" w:type="pct"/>
            <w:vAlign w:val="center"/>
          </w:tcPr>
          <w:p w14:paraId="48FB1BC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801" w:type="pct"/>
            <w:vAlign w:val="center"/>
          </w:tcPr>
          <w:p w14:paraId="6D7672A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3894AE7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东莞市道滘镇南阁东路南丫</w:t>
            </w:r>
            <w:r>
              <w:rPr>
                <w:rFonts w:hint="eastAsia" w:ascii="宋体" w:hAnsi="宋体" w:eastAsia="宋体" w:cs="宋体"/>
                <w:color w:val="auto"/>
                <w:spacing w:val="-1"/>
                <w:sz w:val="21"/>
                <w:szCs w:val="21"/>
                <w:highlight w:val="none"/>
                <w:lang w:eastAsia="zh-CN"/>
              </w:rPr>
              <w:t>路段</w:t>
            </w:r>
          </w:p>
        </w:tc>
        <w:tc>
          <w:tcPr>
            <w:tcW w:w="393" w:type="pct"/>
            <w:vAlign w:val="center"/>
          </w:tcPr>
          <w:p w14:paraId="0C85F56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continue"/>
            <w:tcBorders>
              <w:top w:val="nil"/>
            </w:tcBorders>
            <w:vAlign w:val="center"/>
          </w:tcPr>
          <w:p w14:paraId="44B9ABFE">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34F05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271" w:type="pct"/>
            <w:vAlign w:val="center"/>
          </w:tcPr>
          <w:p w14:paraId="0480FEE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801" w:type="pct"/>
            <w:vAlign w:val="center"/>
          </w:tcPr>
          <w:p w14:paraId="1ADA91E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5E4D6CF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东莞市道滘镇虹南路立交桥</w:t>
            </w:r>
            <w:r>
              <w:rPr>
                <w:rFonts w:hint="eastAsia" w:ascii="宋体" w:hAnsi="宋体" w:eastAsia="宋体" w:cs="宋体"/>
                <w:color w:val="auto"/>
                <w:spacing w:val="1"/>
                <w:sz w:val="21"/>
                <w:szCs w:val="21"/>
                <w:highlight w:val="none"/>
                <w:lang w:eastAsia="zh-CN"/>
              </w:rPr>
              <w:t>路段</w:t>
            </w:r>
          </w:p>
        </w:tc>
        <w:tc>
          <w:tcPr>
            <w:tcW w:w="393" w:type="pct"/>
            <w:vAlign w:val="center"/>
          </w:tcPr>
          <w:p w14:paraId="4CFBF17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Align w:val="center"/>
          </w:tcPr>
          <w:p w14:paraId="14B1E48E">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1、驾驶机动车在高速公路以外的道路上行驶时，驾驶人未按规定使用安全带的</w:t>
            </w:r>
            <w:r>
              <w:rPr>
                <w:rFonts w:hint="eastAsia" w:cs="宋体"/>
                <w:color w:val="auto"/>
                <w:spacing w:val="1"/>
                <w:sz w:val="21"/>
                <w:szCs w:val="21"/>
                <w:highlight w:val="none"/>
                <w:lang w:eastAsia="zh-CN"/>
              </w:rPr>
              <w:t>；</w:t>
            </w:r>
          </w:p>
          <w:p w14:paraId="35FFE491">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2、驾驶时拨打接听手持电话的。</w:t>
            </w:r>
          </w:p>
        </w:tc>
      </w:tr>
      <w:tr w14:paraId="465F4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5" w:hRule="atLeast"/>
        </w:trPr>
        <w:tc>
          <w:tcPr>
            <w:tcW w:w="271" w:type="pct"/>
            <w:vAlign w:val="center"/>
          </w:tcPr>
          <w:p w14:paraId="14CA3DB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801" w:type="pct"/>
            <w:vAlign w:val="center"/>
          </w:tcPr>
          <w:p w14:paraId="652003C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5C161AC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东莞市道滘镇振兴路花园大</w:t>
            </w:r>
            <w:r>
              <w:rPr>
                <w:rFonts w:hint="eastAsia" w:ascii="宋体" w:hAnsi="宋体" w:eastAsia="宋体" w:cs="宋体"/>
                <w:color w:val="auto"/>
                <w:spacing w:val="-1"/>
                <w:sz w:val="21"/>
                <w:szCs w:val="21"/>
                <w:highlight w:val="none"/>
                <w:lang w:eastAsia="zh-CN"/>
              </w:rPr>
              <w:t>街路口</w:t>
            </w:r>
          </w:p>
        </w:tc>
        <w:tc>
          <w:tcPr>
            <w:tcW w:w="393" w:type="pct"/>
            <w:vAlign w:val="center"/>
          </w:tcPr>
          <w:p w14:paraId="39C9617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Align w:val="center"/>
          </w:tcPr>
          <w:p w14:paraId="4BB49946">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5511F230">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9"/>
                <w:sz w:val="21"/>
                <w:szCs w:val="21"/>
                <w:highlight w:val="none"/>
                <w:lang w:eastAsia="zh-CN"/>
              </w:rPr>
            </w:pPr>
            <w:r>
              <w:rPr>
                <w:rFonts w:hint="eastAsia" w:ascii="宋体" w:hAnsi="宋体" w:eastAsia="宋体" w:cs="宋体"/>
                <w:color w:val="auto"/>
                <w:spacing w:val="2"/>
                <w:sz w:val="21"/>
                <w:szCs w:val="21"/>
                <w:highlight w:val="none"/>
                <w:lang w:eastAsia="zh-CN"/>
              </w:rPr>
              <w:t>2、驾驶时拨打接听</w:t>
            </w:r>
            <w:r>
              <w:rPr>
                <w:rFonts w:hint="eastAsia" w:ascii="宋体" w:hAnsi="宋体" w:eastAsia="宋体" w:cs="宋体"/>
                <w:color w:val="auto"/>
                <w:spacing w:val="-19"/>
                <w:sz w:val="21"/>
                <w:szCs w:val="21"/>
                <w:highlight w:val="none"/>
                <w:lang w:eastAsia="zh-CN"/>
              </w:rPr>
              <w:t>手持电话的</w:t>
            </w:r>
            <w:r>
              <w:rPr>
                <w:rFonts w:hint="eastAsia" w:cs="宋体"/>
                <w:color w:val="auto"/>
                <w:spacing w:val="-19"/>
                <w:sz w:val="21"/>
                <w:szCs w:val="21"/>
                <w:highlight w:val="none"/>
                <w:lang w:eastAsia="zh-CN"/>
              </w:rPr>
              <w:t>；</w:t>
            </w:r>
          </w:p>
          <w:p w14:paraId="74C861DD">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9"/>
                <w:sz w:val="21"/>
                <w:szCs w:val="21"/>
                <w:highlight w:val="none"/>
                <w:lang w:eastAsia="zh-CN"/>
              </w:rPr>
              <w:t>3、</w:t>
            </w:r>
            <w:r>
              <w:rPr>
                <w:rFonts w:hint="eastAsia" w:ascii="宋体" w:hAnsi="宋体" w:eastAsia="宋体" w:cs="宋体"/>
                <w:color w:val="auto"/>
                <w:spacing w:val="-8"/>
                <w:sz w:val="21"/>
                <w:szCs w:val="21"/>
                <w:highlight w:val="none"/>
                <w:lang w:eastAsia="zh-CN"/>
              </w:rPr>
              <w:t>遇行人正在通</w:t>
            </w:r>
            <w:r>
              <w:rPr>
                <w:rFonts w:hint="eastAsia" w:ascii="宋体" w:hAnsi="宋体" w:eastAsia="宋体" w:cs="宋体"/>
                <w:color w:val="auto"/>
                <w:spacing w:val="-5"/>
                <w:sz w:val="21"/>
                <w:szCs w:val="21"/>
                <w:highlight w:val="none"/>
                <w:lang w:eastAsia="zh-CN"/>
              </w:rPr>
              <w:t>过人行横道时</w:t>
            </w:r>
            <w:r>
              <w:rPr>
                <w:rFonts w:hint="eastAsia" w:ascii="宋体" w:hAnsi="宋体" w:eastAsia="宋体" w:cs="宋体"/>
                <w:color w:val="auto"/>
                <w:spacing w:val="-12"/>
                <w:sz w:val="21"/>
                <w:szCs w:val="21"/>
                <w:highlight w:val="none"/>
                <w:lang w:eastAsia="zh-CN"/>
              </w:rPr>
              <w:t>未停车让行的。</w:t>
            </w:r>
          </w:p>
        </w:tc>
      </w:tr>
      <w:tr w14:paraId="34887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71" w:type="pct"/>
            <w:vAlign w:val="center"/>
          </w:tcPr>
          <w:p w14:paraId="0B68B4D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w:t>
            </w:r>
          </w:p>
        </w:tc>
        <w:tc>
          <w:tcPr>
            <w:tcW w:w="801" w:type="pct"/>
            <w:vAlign w:val="center"/>
          </w:tcPr>
          <w:p w14:paraId="4AEDB5A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C5FA27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东莞市道滘镇振兴路路段</w:t>
            </w:r>
          </w:p>
        </w:tc>
        <w:tc>
          <w:tcPr>
            <w:tcW w:w="393" w:type="pct"/>
            <w:vAlign w:val="center"/>
          </w:tcPr>
          <w:p w14:paraId="1884B10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restart"/>
            <w:vAlign w:val="center"/>
          </w:tcPr>
          <w:p w14:paraId="71C63F92">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p>
          <w:p w14:paraId="56581003">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p>
          <w:p w14:paraId="3235B56B">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2DF2FDF3">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2"/>
                <w:sz w:val="21"/>
                <w:szCs w:val="21"/>
                <w:highlight w:val="none"/>
                <w:lang w:eastAsia="zh-CN"/>
              </w:rPr>
              <w:t>2、驾</w:t>
            </w:r>
            <w:r>
              <w:rPr>
                <w:rFonts w:hint="eastAsia" w:ascii="宋体" w:hAnsi="宋体" w:eastAsia="宋体" w:cs="宋体"/>
                <w:color w:val="auto"/>
                <w:spacing w:val="-2"/>
                <w:sz w:val="21"/>
                <w:szCs w:val="21"/>
                <w:highlight w:val="none"/>
                <w:lang w:eastAsia="zh-CN"/>
              </w:rPr>
              <w:t>驶机动车在高速公路、城市快速路以外的道</w:t>
            </w:r>
            <w:r>
              <w:rPr>
                <w:rFonts w:hint="eastAsia" w:ascii="宋体" w:hAnsi="宋体" w:eastAsia="宋体" w:cs="宋体"/>
                <w:color w:val="auto"/>
                <w:spacing w:val="6"/>
                <w:sz w:val="21"/>
                <w:szCs w:val="21"/>
                <w:highlight w:val="none"/>
                <w:lang w:eastAsia="zh-CN"/>
              </w:rPr>
              <w:t>路上逆向行驶</w:t>
            </w:r>
            <w:r>
              <w:rPr>
                <w:rFonts w:hint="eastAsia" w:ascii="宋体" w:hAnsi="宋体" w:eastAsia="宋体" w:cs="宋体"/>
                <w:color w:val="auto"/>
                <w:spacing w:val="1"/>
                <w:sz w:val="21"/>
                <w:szCs w:val="21"/>
                <w:highlight w:val="none"/>
                <w:lang w:eastAsia="zh-CN"/>
              </w:rPr>
              <w:t>的</w:t>
            </w:r>
            <w:r>
              <w:rPr>
                <w:rFonts w:hint="eastAsia" w:cs="宋体"/>
                <w:color w:val="auto"/>
                <w:spacing w:val="1"/>
                <w:sz w:val="21"/>
                <w:szCs w:val="21"/>
                <w:highlight w:val="none"/>
                <w:lang w:eastAsia="zh-CN"/>
              </w:rPr>
              <w:t>；</w:t>
            </w:r>
          </w:p>
          <w:p w14:paraId="26FF8B1C">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3、驾驶时</w:t>
            </w:r>
            <w:r>
              <w:rPr>
                <w:rFonts w:hint="eastAsia" w:ascii="宋体" w:hAnsi="宋体" w:eastAsia="宋体" w:cs="宋体"/>
                <w:color w:val="auto"/>
                <w:spacing w:val="6"/>
                <w:sz w:val="21"/>
                <w:szCs w:val="21"/>
                <w:highlight w:val="none"/>
                <w:lang w:eastAsia="zh-CN"/>
              </w:rPr>
              <w:t>拨打接听手持</w:t>
            </w:r>
            <w:r>
              <w:rPr>
                <w:rFonts w:hint="eastAsia" w:ascii="宋体" w:hAnsi="宋体" w:eastAsia="宋体" w:cs="宋体"/>
                <w:color w:val="auto"/>
                <w:spacing w:val="7"/>
                <w:sz w:val="21"/>
                <w:szCs w:val="21"/>
                <w:highlight w:val="none"/>
                <w:lang w:eastAsia="zh-CN"/>
              </w:rPr>
              <w:t>电话的</w:t>
            </w:r>
            <w:r>
              <w:rPr>
                <w:rFonts w:hint="eastAsia" w:cs="宋体"/>
                <w:color w:val="auto"/>
                <w:spacing w:val="7"/>
                <w:sz w:val="21"/>
                <w:szCs w:val="21"/>
                <w:highlight w:val="none"/>
                <w:lang w:eastAsia="zh-CN"/>
              </w:rPr>
              <w:t>。</w:t>
            </w:r>
          </w:p>
        </w:tc>
      </w:tr>
      <w:tr w14:paraId="4F71B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57B7558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6</w:t>
            </w:r>
          </w:p>
        </w:tc>
        <w:tc>
          <w:tcPr>
            <w:tcW w:w="801" w:type="pct"/>
            <w:vAlign w:val="center"/>
          </w:tcPr>
          <w:p w14:paraId="2F58827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7192F7E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东莞市道滘镇新田西路路段</w:t>
            </w:r>
          </w:p>
        </w:tc>
        <w:tc>
          <w:tcPr>
            <w:tcW w:w="393" w:type="pct"/>
            <w:vAlign w:val="center"/>
          </w:tcPr>
          <w:p w14:paraId="2D3620D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042D0DA9">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rPr>
            </w:pPr>
          </w:p>
        </w:tc>
      </w:tr>
      <w:tr w14:paraId="22554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2CB3A28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w:t>
            </w:r>
          </w:p>
        </w:tc>
        <w:tc>
          <w:tcPr>
            <w:tcW w:w="801" w:type="pct"/>
            <w:vAlign w:val="center"/>
          </w:tcPr>
          <w:p w14:paraId="026F6F5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080E081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东莞市道滘镇兴隆街路段</w:t>
            </w:r>
          </w:p>
        </w:tc>
        <w:tc>
          <w:tcPr>
            <w:tcW w:w="393" w:type="pct"/>
            <w:vAlign w:val="center"/>
          </w:tcPr>
          <w:p w14:paraId="1E2F888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5D2CFF91">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p>
        </w:tc>
      </w:tr>
      <w:tr w14:paraId="04C128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2008AE2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w:t>
            </w:r>
          </w:p>
        </w:tc>
        <w:tc>
          <w:tcPr>
            <w:tcW w:w="801" w:type="pct"/>
            <w:vAlign w:val="center"/>
          </w:tcPr>
          <w:p w14:paraId="080E939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02666A1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东莞市道滘镇南边街路段</w:t>
            </w:r>
          </w:p>
        </w:tc>
        <w:tc>
          <w:tcPr>
            <w:tcW w:w="393" w:type="pct"/>
            <w:vAlign w:val="center"/>
          </w:tcPr>
          <w:p w14:paraId="480E115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5156A9E9">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0634A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08B5C60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w:t>
            </w:r>
          </w:p>
        </w:tc>
        <w:tc>
          <w:tcPr>
            <w:tcW w:w="801" w:type="pct"/>
            <w:vAlign w:val="center"/>
          </w:tcPr>
          <w:p w14:paraId="4079B99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2A70A7B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东莞市道滘镇兴隆街路段</w:t>
            </w:r>
          </w:p>
          <w:p w14:paraId="18D238D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(街心公园)</w:t>
            </w:r>
          </w:p>
        </w:tc>
        <w:tc>
          <w:tcPr>
            <w:tcW w:w="393" w:type="pct"/>
            <w:vAlign w:val="center"/>
          </w:tcPr>
          <w:p w14:paraId="3376A28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1D63515A">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042E7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 w:hRule="atLeast"/>
        </w:trPr>
        <w:tc>
          <w:tcPr>
            <w:tcW w:w="271" w:type="pct"/>
            <w:vAlign w:val="center"/>
          </w:tcPr>
          <w:p w14:paraId="67C3C1D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10</w:t>
            </w:r>
          </w:p>
        </w:tc>
        <w:tc>
          <w:tcPr>
            <w:tcW w:w="801" w:type="pct"/>
            <w:vAlign w:val="center"/>
          </w:tcPr>
          <w:p w14:paraId="5BEFEFE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ED4585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东莞市道活镇闸口东路路段</w:t>
            </w:r>
          </w:p>
        </w:tc>
        <w:tc>
          <w:tcPr>
            <w:tcW w:w="393" w:type="pct"/>
            <w:vAlign w:val="center"/>
          </w:tcPr>
          <w:p w14:paraId="7A4DBBC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3100BBB9">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55094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05402F0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11</w:t>
            </w:r>
          </w:p>
        </w:tc>
        <w:tc>
          <w:tcPr>
            <w:tcW w:w="801" w:type="pct"/>
            <w:vAlign w:val="center"/>
          </w:tcPr>
          <w:p w14:paraId="0A59E3C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6E4ED85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东莞市道滘镇道滘大桥</w:t>
            </w:r>
          </w:p>
          <w:p w14:paraId="358361B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(桥</w:t>
            </w:r>
            <w:r>
              <w:rPr>
                <w:rFonts w:hint="eastAsia" w:ascii="宋体" w:hAnsi="宋体" w:eastAsia="宋体" w:cs="宋体"/>
                <w:color w:val="auto"/>
                <w:spacing w:val="6"/>
                <w:sz w:val="21"/>
                <w:szCs w:val="21"/>
                <w:highlight w:val="none"/>
                <w:lang w:eastAsia="zh-CN"/>
              </w:rPr>
              <w:t>东路道厚路路口)</w:t>
            </w:r>
          </w:p>
        </w:tc>
        <w:tc>
          <w:tcPr>
            <w:tcW w:w="393" w:type="pct"/>
            <w:vAlign w:val="center"/>
          </w:tcPr>
          <w:p w14:paraId="0C498ED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restart"/>
            <w:tcBorders>
              <w:bottom w:val="nil"/>
            </w:tcBorders>
            <w:vAlign w:val="center"/>
          </w:tcPr>
          <w:p w14:paraId="597BEE7B">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38169920">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2"/>
                <w:sz w:val="21"/>
                <w:szCs w:val="21"/>
                <w:highlight w:val="none"/>
                <w:lang w:eastAsia="zh-CN"/>
              </w:rPr>
              <w:t>2、驾</w:t>
            </w:r>
            <w:r>
              <w:rPr>
                <w:rFonts w:hint="eastAsia" w:ascii="宋体" w:hAnsi="宋体" w:eastAsia="宋体" w:cs="宋体"/>
                <w:color w:val="auto"/>
                <w:spacing w:val="-2"/>
                <w:sz w:val="21"/>
                <w:szCs w:val="21"/>
                <w:highlight w:val="none"/>
                <w:lang w:eastAsia="zh-CN"/>
              </w:rPr>
              <w:t>驶机动车违反</w:t>
            </w:r>
            <w:r>
              <w:rPr>
                <w:rFonts w:hint="eastAsia" w:ascii="宋体" w:hAnsi="宋体" w:eastAsia="宋体" w:cs="宋体"/>
                <w:color w:val="auto"/>
                <w:spacing w:val="2"/>
                <w:sz w:val="21"/>
                <w:szCs w:val="21"/>
                <w:highlight w:val="none"/>
                <w:lang w:eastAsia="zh-CN"/>
              </w:rPr>
              <w:t>道路交通信号灯通行的</w:t>
            </w:r>
            <w:r>
              <w:rPr>
                <w:rFonts w:hint="eastAsia" w:cs="宋体"/>
                <w:color w:val="auto"/>
                <w:spacing w:val="2"/>
                <w:sz w:val="21"/>
                <w:szCs w:val="21"/>
                <w:highlight w:val="none"/>
                <w:lang w:eastAsia="zh-CN"/>
              </w:rPr>
              <w:t>；</w:t>
            </w:r>
          </w:p>
          <w:p w14:paraId="2F9EB46A">
            <w:pPr>
              <w:pStyle w:val="79"/>
              <w:keepNext w:val="0"/>
              <w:keepLines w:val="0"/>
              <w:pageBreakBefore w:val="0"/>
              <w:wordWrap/>
              <w:overflowPunct/>
              <w:topLinePunct w:val="0"/>
              <w:bidi w:val="0"/>
              <w:adjustRightInd/>
              <w:snapToGrid/>
              <w:spacing w:after="0" w:line="240" w:lineRule="auto"/>
              <w:ind w:left="0" w:right="0" w:firstLine="0"/>
              <w:jc w:val="left"/>
              <w:rPr>
                <w:rFonts w:hint="eastAsia" w:cs="宋体"/>
                <w:color w:val="auto"/>
                <w:spacing w:val="7"/>
                <w:sz w:val="21"/>
                <w:szCs w:val="21"/>
                <w:highlight w:val="none"/>
                <w:lang w:eastAsia="zh-CN"/>
              </w:rPr>
            </w:pPr>
            <w:r>
              <w:rPr>
                <w:rFonts w:hint="eastAsia" w:ascii="宋体" w:hAnsi="宋体" w:eastAsia="宋体" w:cs="宋体"/>
                <w:color w:val="auto"/>
                <w:spacing w:val="2"/>
                <w:sz w:val="21"/>
                <w:szCs w:val="21"/>
                <w:highlight w:val="none"/>
                <w:lang w:eastAsia="zh-CN"/>
              </w:rPr>
              <w:t>3、驾</w:t>
            </w:r>
            <w:r>
              <w:rPr>
                <w:rFonts w:hint="eastAsia" w:ascii="宋体" w:hAnsi="宋体" w:eastAsia="宋体" w:cs="宋体"/>
                <w:color w:val="auto"/>
                <w:sz w:val="21"/>
                <w:szCs w:val="21"/>
                <w:highlight w:val="none"/>
                <w:lang w:eastAsia="zh-CN"/>
              </w:rPr>
              <w:t>驶时拨打接听</w:t>
            </w:r>
            <w:r>
              <w:rPr>
                <w:rFonts w:hint="eastAsia" w:ascii="宋体" w:hAnsi="宋体" w:eastAsia="宋体" w:cs="宋体"/>
                <w:color w:val="auto"/>
                <w:spacing w:val="7"/>
                <w:sz w:val="21"/>
                <w:szCs w:val="21"/>
                <w:highlight w:val="none"/>
                <w:lang w:eastAsia="zh-CN"/>
              </w:rPr>
              <w:t>手持电话的</w:t>
            </w:r>
            <w:r>
              <w:rPr>
                <w:rFonts w:hint="eastAsia" w:cs="宋体"/>
                <w:color w:val="auto"/>
                <w:spacing w:val="7"/>
                <w:sz w:val="21"/>
                <w:szCs w:val="21"/>
                <w:highlight w:val="none"/>
                <w:lang w:eastAsia="zh-CN"/>
              </w:rPr>
              <w:t>；</w:t>
            </w:r>
          </w:p>
          <w:p w14:paraId="7B2BA942">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7"/>
                <w:sz w:val="21"/>
                <w:szCs w:val="21"/>
                <w:highlight w:val="none"/>
                <w:lang w:eastAsia="zh-CN"/>
              </w:rPr>
              <w:t>4</w:t>
            </w:r>
            <w:r>
              <w:rPr>
                <w:rFonts w:hint="eastAsia" w:cs="宋体"/>
                <w:color w:val="auto"/>
                <w:spacing w:val="7"/>
                <w:sz w:val="21"/>
                <w:szCs w:val="21"/>
                <w:highlight w:val="none"/>
                <w:lang w:eastAsia="zh-CN"/>
              </w:rPr>
              <w:t>、</w:t>
            </w:r>
            <w:r>
              <w:rPr>
                <w:rFonts w:hint="eastAsia" w:ascii="宋体" w:hAnsi="宋体" w:eastAsia="宋体" w:cs="宋体"/>
                <w:color w:val="auto"/>
                <w:spacing w:val="-2"/>
                <w:sz w:val="21"/>
                <w:szCs w:val="21"/>
                <w:highlight w:val="none"/>
                <w:lang w:eastAsia="zh-CN"/>
              </w:rPr>
              <w:t>机动车违反规</w:t>
            </w:r>
            <w:r>
              <w:rPr>
                <w:rFonts w:hint="eastAsia" w:ascii="宋体" w:hAnsi="宋体" w:eastAsia="宋体" w:cs="宋体"/>
                <w:color w:val="auto"/>
                <w:spacing w:val="1"/>
                <w:sz w:val="21"/>
                <w:szCs w:val="21"/>
                <w:highlight w:val="none"/>
                <w:lang w:eastAsia="zh-CN"/>
              </w:rPr>
              <w:t>定停放、临时停</w:t>
            </w:r>
            <w:r>
              <w:rPr>
                <w:rFonts w:hint="eastAsia" w:ascii="宋体" w:hAnsi="宋体" w:eastAsia="宋体" w:cs="宋体"/>
                <w:color w:val="auto"/>
                <w:spacing w:val="-2"/>
                <w:sz w:val="21"/>
                <w:szCs w:val="21"/>
                <w:highlight w:val="none"/>
                <w:lang w:eastAsia="zh-CN"/>
              </w:rPr>
              <w:t>车，妨碍其它车</w:t>
            </w:r>
            <w:r>
              <w:rPr>
                <w:rFonts w:hint="eastAsia" w:ascii="宋体" w:hAnsi="宋体" w:eastAsia="宋体" w:cs="宋体"/>
                <w:color w:val="auto"/>
                <w:spacing w:val="10"/>
                <w:sz w:val="21"/>
                <w:szCs w:val="21"/>
                <w:highlight w:val="none"/>
                <w:lang w:eastAsia="zh-CN"/>
              </w:rPr>
              <w:t>辆行人通行。</w:t>
            </w:r>
          </w:p>
        </w:tc>
      </w:tr>
      <w:tr w14:paraId="0BD53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271" w:type="pct"/>
            <w:vAlign w:val="center"/>
          </w:tcPr>
          <w:p w14:paraId="60B9567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12</w:t>
            </w:r>
          </w:p>
        </w:tc>
        <w:tc>
          <w:tcPr>
            <w:tcW w:w="801" w:type="pct"/>
            <w:vAlign w:val="center"/>
          </w:tcPr>
          <w:p w14:paraId="4137D97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69EA53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东莞市道滘镇振兴路小河路</w:t>
            </w:r>
            <w:r>
              <w:rPr>
                <w:rFonts w:hint="eastAsia" w:ascii="宋体" w:hAnsi="宋体" w:eastAsia="宋体" w:cs="宋体"/>
                <w:color w:val="auto"/>
                <w:spacing w:val="6"/>
                <w:sz w:val="21"/>
                <w:szCs w:val="21"/>
                <w:highlight w:val="none"/>
                <w:lang w:eastAsia="zh-CN"/>
              </w:rPr>
              <w:t>道厚路路口</w:t>
            </w:r>
          </w:p>
        </w:tc>
        <w:tc>
          <w:tcPr>
            <w:tcW w:w="393" w:type="pct"/>
            <w:vAlign w:val="center"/>
          </w:tcPr>
          <w:p w14:paraId="5F33FF0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bottom w:val="nil"/>
            </w:tcBorders>
            <w:vAlign w:val="center"/>
          </w:tcPr>
          <w:p w14:paraId="030C5994">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01692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0DE4F65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13</w:t>
            </w:r>
          </w:p>
        </w:tc>
        <w:tc>
          <w:tcPr>
            <w:tcW w:w="801" w:type="pct"/>
            <w:vAlign w:val="center"/>
          </w:tcPr>
          <w:p w14:paraId="23CA694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7328E29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2"/>
                <w:sz w:val="21"/>
                <w:szCs w:val="21"/>
                <w:highlight w:val="none"/>
                <w:lang w:eastAsia="zh-CN"/>
              </w:rPr>
              <w:t>东莞市道滘镇大鱼沙路口</w:t>
            </w:r>
          </w:p>
          <w:p w14:paraId="27353D3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(九曲桥路口)</w:t>
            </w:r>
          </w:p>
        </w:tc>
        <w:tc>
          <w:tcPr>
            <w:tcW w:w="393" w:type="pct"/>
            <w:vAlign w:val="center"/>
          </w:tcPr>
          <w:p w14:paraId="407A519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01" w:type="pct"/>
            <w:vMerge w:val="continue"/>
            <w:tcBorders>
              <w:top w:val="nil"/>
              <w:bottom w:val="nil"/>
            </w:tcBorders>
            <w:vAlign w:val="center"/>
          </w:tcPr>
          <w:p w14:paraId="74D3EE48">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135A7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39C08A3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14</w:t>
            </w:r>
          </w:p>
        </w:tc>
        <w:tc>
          <w:tcPr>
            <w:tcW w:w="801" w:type="pct"/>
            <w:vAlign w:val="center"/>
          </w:tcPr>
          <w:p w14:paraId="2A8450C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311BC8F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东莞市道滘镇粤晖园路口</w:t>
            </w:r>
          </w:p>
        </w:tc>
        <w:tc>
          <w:tcPr>
            <w:tcW w:w="393" w:type="pct"/>
            <w:vAlign w:val="center"/>
          </w:tcPr>
          <w:p w14:paraId="11F8BFE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bottom w:val="nil"/>
            </w:tcBorders>
            <w:vAlign w:val="center"/>
          </w:tcPr>
          <w:p w14:paraId="52B20AF0">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12F82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0318453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15</w:t>
            </w:r>
          </w:p>
        </w:tc>
        <w:tc>
          <w:tcPr>
            <w:tcW w:w="801" w:type="pct"/>
            <w:vAlign w:val="center"/>
          </w:tcPr>
          <w:p w14:paraId="20E2DCC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02476FC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东莞市道滘镇南阁工业区红</w:t>
            </w:r>
            <w:r>
              <w:rPr>
                <w:rFonts w:hint="eastAsia" w:ascii="宋体" w:hAnsi="宋体" w:eastAsia="宋体" w:cs="宋体"/>
                <w:color w:val="auto"/>
                <w:spacing w:val="8"/>
                <w:sz w:val="21"/>
                <w:szCs w:val="21"/>
                <w:highlight w:val="none"/>
                <w:lang w:eastAsia="zh-CN"/>
              </w:rPr>
              <w:t>绿灯路口</w:t>
            </w:r>
          </w:p>
        </w:tc>
        <w:tc>
          <w:tcPr>
            <w:tcW w:w="393" w:type="pct"/>
            <w:vAlign w:val="center"/>
          </w:tcPr>
          <w:p w14:paraId="6CE4432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tcBorders>
            <w:vAlign w:val="center"/>
          </w:tcPr>
          <w:p w14:paraId="5528A2BD">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5CB5F9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5445BE5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16</w:t>
            </w:r>
          </w:p>
        </w:tc>
        <w:tc>
          <w:tcPr>
            <w:tcW w:w="801" w:type="pct"/>
            <w:vAlign w:val="center"/>
          </w:tcPr>
          <w:p w14:paraId="12A332E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19E5472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东莞市道滘镇道厚路律涌桥</w:t>
            </w:r>
            <w:r>
              <w:rPr>
                <w:rFonts w:hint="eastAsia" w:ascii="宋体" w:hAnsi="宋体" w:eastAsia="宋体" w:cs="宋体"/>
                <w:color w:val="auto"/>
                <w:spacing w:val="-3"/>
                <w:sz w:val="21"/>
                <w:szCs w:val="21"/>
                <w:highlight w:val="none"/>
                <w:lang w:eastAsia="zh-CN"/>
              </w:rPr>
              <w:t>路段</w:t>
            </w:r>
          </w:p>
        </w:tc>
        <w:tc>
          <w:tcPr>
            <w:tcW w:w="393" w:type="pct"/>
            <w:vAlign w:val="center"/>
          </w:tcPr>
          <w:p w14:paraId="0BE663B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restart"/>
            <w:tcBorders>
              <w:bottom w:val="nil"/>
            </w:tcBorders>
            <w:vAlign w:val="center"/>
          </w:tcPr>
          <w:p w14:paraId="3844EF7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w:t>
            </w:r>
            <w:r>
              <w:rPr>
                <w:rFonts w:hint="eastAsia" w:cs="宋体"/>
                <w:color w:val="auto"/>
                <w:spacing w:val="-2"/>
                <w:sz w:val="21"/>
                <w:szCs w:val="21"/>
                <w:highlight w:val="none"/>
                <w:lang w:eastAsia="zh-CN"/>
              </w:rPr>
              <w:t>，</w:t>
            </w:r>
            <w:r>
              <w:rPr>
                <w:rFonts w:hint="eastAsia" w:ascii="宋体" w:hAnsi="宋体" w:eastAsia="宋体" w:cs="宋体"/>
                <w:color w:val="auto"/>
                <w:spacing w:val="-2"/>
                <w:sz w:val="21"/>
                <w:szCs w:val="21"/>
                <w:highlight w:val="none"/>
                <w:lang w:eastAsia="zh-CN"/>
              </w:rPr>
              <w:t>驾驶人未</w:t>
            </w:r>
            <w:r>
              <w:rPr>
                <w:rFonts w:hint="eastAsia" w:ascii="宋体" w:hAnsi="宋体" w:eastAsia="宋体" w:cs="宋体"/>
                <w:color w:val="auto"/>
                <w:spacing w:val="2"/>
                <w:sz w:val="21"/>
                <w:szCs w:val="21"/>
                <w:highlight w:val="none"/>
                <w:lang w:eastAsia="zh-CN"/>
              </w:rPr>
              <w:t>按规定使用安</w:t>
            </w:r>
            <w:r>
              <w:rPr>
                <w:rFonts w:hint="eastAsia" w:ascii="宋体" w:hAnsi="宋体" w:eastAsia="宋体" w:cs="宋体"/>
                <w:color w:val="auto"/>
                <w:spacing w:val="-1"/>
                <w:sz w:val="21"/>
                <w:szCs w:val="21"/>
                <w:highlight w:val="none"/>
                <w:lang w:eastAsia="zh-CN"/>
              </w:rPr>
              <w:t>全带的</w:t>
            </w:r>
            <w:r>
              <w:rPr>
                <w:rFonts w:hint="eastAsia" w:cs="宋体"/>
                <w:color w:val="auto"/>
                <w:spacing w:val="-1"/>
                <w:sz w:val="21"/>
                <w:szCs w:val="21"/>
                <w:highlight w:val="none"/>
                <w:lang w:eastAsia="zh-CN"/>
              </w:rPr>
              <w:t>；</w:t>
            </w:r>
          </w:p>
          <w:p w14:paraId="44857392">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2、驾驶</w:t>
            </w:r>
            <w:r>
              <w:rPr>
                <w:rFonts w:hint="eastAsia" w:ascii="宋体" w:hAnsi="宋体" w:eastAsia="宋体" w:cs="宋体"/>
                <w:color w:val="auto"/>
                <w:spacing w:val="1"/>
                <w:sz w:val="21"/>
                <w:szCs w:val="21"/>
                <w:highlight w:val="none"/>
                <w:lang w:eastAsia="zh-CN"/>
              </w:rPr>
              <w:t>时拨打接听手</w:t>
            </w:r>
            <w:r>
              <w:rPr>
                <w:rFonts w:hint="eastAsia" w:ascii="宋体" w:hAnsi="宋体" w:eastAsia="宋体" w:cs="宋体"/>
                <w:color w:val="auto"/>
                <w:spacing w:val="2"/>
                <w:sz w:val="21"/>
                <w:szCs w:val="21"/>
                <w:highlight w:val="none"/>
                <w:lang w:eastAsia="zh-CN"/>
              </w:rPr>
              <w:t>持电话的</w:t>
            </w:r>
            <w:r>
              <w:rPr>
                <w:rFonts w:hint="eastAsia" w:cs="宋体"/>
                <w:color w:val="auto"/>
                <w:spacing w:val="2"/>
                <w:sz w:val="21"/>
                <w:szCs w:val="21"/>
                <w:highlight w:val="none"/>
                <w:lang w:eastAsia="zh-CN"/>
              </w:rPr>
              <w:t>；</w:t>
            </w:r>
          </w:p>
          <w:p w14:paraId="4A77459A">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3、驾</w:t>
            </w:r>
            <w:r>
              <w:rPr>
                <w:rFonts w:hint="eastAsia" w:ascii="宋体" w:hAnsi="宋体" w:eastAsia="宋体" w:cs="宋体"/>
                <w:color w:val="auto"/>
                <w:spacing w:val="-2"/>
                <w:sz w:val="21"/>
                <w:szCs w:val="21"/>
                <w:highlight w:val="none"/>
                <w:lang w:eastAsia="zh-CN"/>
              </w:rPr>
              <w:t>驶机动车在高速公路、城市快速路以外，超过</w:t>
            </w:r>
            <w:r>
              <w:rPr>
                <w:rFonts w:hint="eastAsia" w:ascii="宋体" w:hAnsi="宋体" w:eastAsia="宋体" w:cs="宋体"/>
                <w:color w:val="auto"/>
                <w:spacing w:val="8"/>
                <w:sz w:val="21"/>
                <w:szCs w:val="21"/>
                <w:highlight w:val="none"/>
                <w:lang w:eastAsia="zh-CN"/>
              </w:rPr>
              <w:t>规定时速的。</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主路3车道+</w:t>
            </w:r>
            <w:r>
              <w:rPr>
                <w:rFonts w:hint="eastAsia" w:ascii="宋体" w:hAnsi="宋体" w:eastAsia="宋体" w:cs="宋体"/>
                <w:color w:val="auto"/>
                <w:spacing w:val="8"/>
                <w:sz w:val="21"/>
                <w:szCs w:val="21"/>
                <w:highlight w:val="none"/>
                <w:lang w:eastAsia="zh-CN"/>
              </w:rPr>
              <w:t>辅道2车道</w:t>
            </w:r>
            <w:r>
              <w:rPr>
                <w:rFonts w:hint="eastAsia" w:cs="宋体"/>
                <w:color w:val="auto"/>
                <w:sz w:val="21"/>
                <w:szCs w:val="21"/>
                <w:highlight w:val="none"/>
                <w:lang w:eastAsia="zh-CN"/>
              </w:rPr>
              <w:t>）</w:t>
            </w:r>
          </w:p>
        </w:tc>
      </w:tr>
      <w:tr w14:paraId="78C47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4C35DF9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17</w:t>
            </w:r>
          </w:p>
        </w:tc>
        <w:tc>
          <w:tcPr>
            <w:tcW w:w="801" w:type="pct"/>
            <w:vAlign w:val="center"/>
          </w:tcPr>
          <w:p w14:paraId="49D0733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5CE19F8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东莞市道滘镇港口大道丽水</w:t>
            </w:r>
            <w:r>
              <w:rPr>
                <w:rFonts w:hint="eastAsia" w:ascii="宋体" w:hAnsi="宋体" w:eastAsia="宋体" w:cs="宋体"/>
                <w:color w:val="auto"/>
                <w:spacing w:val="-2"/>
                <w:sz w:val="21"/>
                <w:szCs w:val="21"/>
                <w:highlight w:val="none"/>
                <w:lang w:eastAsia="zh-CN"/>
              </w:rPr>
              <w:t>佳园路段</w:t>
            </w:r>
          </w:p>
        </w:tc>
        <w:tc>
          <w:tcPr>
            <w:tcW w:w="393" w:type="pct"/>
            <w:vAlign w:val="center"/>
          </w:tcPr>
          <w:p w14:paraId="56B2235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continue"/>
            <w:tcBorders>
              <w:top w:val="nil"/>
              <w:bottom w:val="nil"/>
            </w:tcBorders>
            <w:vAlign w:val="center"/>
          </w:tcPr>
          <w:p w14:paraId="76716F37">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2F173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79FC3AE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18</w:t>
            </w:r>
          </w:p>
        </w:tc>
        <w:tc>
          <w:tcPr>
            <w:tcW w:w="801" w:type="pct"/>
            <w:vAlign w:val="center"/>
          </w:tcPr>
          <w:p w14:paraId="3CD2E0F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0472EFF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东莞市道滘镇水乡大道四联</w:t>
            </w:r>
            <w:r>
              <w:rPr>
                <w:rFonts w:hint="eastAsia" w:ascii="宋体" w:hAnsi="宋体" w:eastAsia="宋体" w:cs="宋体"/>
                <w:color w:val="auto"/>
                <w:spacing w:val="2"/>
                <w:sz w:val="21"/>
                <w:szCs w:val="21"/>
                <w:highlight w:val="none"/>
                <w:lang w:eastAsia="zh-CN"/>
              </w:rPr>
              <w:t>小学路段</w:t>
            </w:r>
          </w:p>
        </w:tc>
        <w:tc>
          <w:tcPr>
            <w:tcW w:w="393" w:type="pct"/>
            <w:vAlign w:val="center"/>
          </w:tcPr>
          <w:p w14:paraId="20103C4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tcBorders>
            <w:vAlign w:val="center"/>
          </w:tcPr>
          <w:p w14:paraId="0F5E48B0">
            <w:pPr>
              <w:keepNext w:val="0"/>
              <w:keepLines w:val="0"/>
              <w:pageBreakBefore w:val="0"/>
              <w:wordWrap/>
              <w:overflowPunct/>
              <w:topLinePunct w:val="0"/>
              <w:bidi w:val="0"/>
              <w:adjustRightInd/>
              <w:snapToGrid/>
              <w:spacing w:after="160" w:line="240" w:lineRule="auto"/>
              <w:ind w:left="0" w:right="0" w:firstLine="0"/>
              <w:jc w:val="center"/>
              <w:rPr>
                <w:rFonts w:hint="eastAsia" w:ascii="宋体" w:hAnsi="宋体" w:eastAsia="宋体" w:cs="宋体"/>
                <w:snapToGrid w:val="0"/>
                <w:color w:val="auto"/>
                <w:kern w:val="0"/>
                <w:sz w:val="21"/>
                <w:szCs w:val="21"/>
                <w:highlight w:val="none"/>
                <w:lang w:eastAsia="en-US"/>
              </w:rPr>
            </w:pPr>
          </w:p>
        </w:tc>
      </w:tr>
    </w:tbl>
    <w:p w14:paraId="456C1CFF">
      <w:pPr>
        <w:numPr>
          <w:ilvl w:val="0"/>
          <w:numId w:val="19"/>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运维服务</w:t>
      </w:r>
      <w:r>
        <w:rPr>
          <w:rFonts w:hint="eastAsia" w:ascii="宋体" w:hAnsi="宋体"/>
          <w:color w:val="auto"/>
          <w:szCs w:val="21"/>
          <w:highlight w:val="none"/>
          <w:lang w:val="en-US" w:eastAsia="zh-CN"/>
        </w:rPr>
        <w:t>要求</w:t>
      </w:r>
    </w:p>
    <w:p w14:paraId="387D1267">
      <w:pPr>
        <w:numPr>
          <w:ilvl w:val="0"/>
          <w:numId w:val="21"/>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lang w:val="en-US" w:eastAsia="zh-CN"/>
        </w:rPr>
        <w:t>巡检项目及周期要求</w:t>
      </w:r>
    </w:p>
    <w:tbl>
      <w:tblPr>
        <w:tblStyle w:val="80"/>
        <w:tblW w:w="506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3"/>
        <w:gridCol w:w="2226"/>
        <w:gridCol w:w="6295"/>
      </w:tblGrid>
      <w:tr w14:paraId="0E1790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66" w:type="pct"/>
            <w:vAlign w:val="center"/>
          </w:tcPr>
          <w:p w14:paraId="3BB9F564">
            <w:pPr>
              <w:pStyle w:val="79"/>
              <w:keepNext w:val="0"/>
              <w:keepLines w:val="0"/>
              <w:pageBreakBefore w:val="0"/>
              <w:widowControl/>
              <w:kinsoku w:val="0"/>
              <w:wordWrap/>
              <w:overflowPunct/>
              <w:topLinePunct w:val="0"/>
              <w:autoSpaceDE w:val="0"/>
              <w:autoSpaceDN w:val="0"/>
              <w:bidi w:val="0"/>
              <w:adjustRightInd/>
              <w:snapToGrid/>
              <w:spacing w:after="0" w:line="360" w:lineRule="auto"/>
              <w:ind w:left="0"/>
              <w:jc w:val="center"/>
              <w:textAlignment w:val="baseline"/>
              <w:rPr>
                <w:rFonts w:hint="eastAsia" w:ascii="宋体" w:hAnsi="宋体" w:eastAsia="宋体" w:cs="宋体"/>
                <w:b/>
                <w:bCs/>
                <w:color w:val="auto"/>
                <w:spacing w:val="-6"/>
                <w:sz w:val="21"/>
                <w:szCs w:val="21"/>
                <w:highlight w:val="none"/>
                <w:lang w:val="en-US" w:eastAsia="zh-CN"/>
              </w:rPr>
            </w:pPr>
            <w:r>
              <w:rPr>
                <w:rFonts w:hint="eastAsia" w:cs="宋体"/>
                <w:b/>
                <w:bCs/>
                <w:color w:val="auto"/>
                <w:spacing w:val="-6"/>
                <w:sz w:val="21"/>
                <w:szCs w:val="21"/>
                <w:highlight w:val="none"/>
                <w:lang w:val="en-US" w:eastAsia="zh-CN"/>
              </w:rPr>
              <w:t>序号</w:t>
            </w:r>
          </w:p>
        </w:tc>
        <w:tc>
          <w:tcPr>
            <w:tcW w:w="1210" w:type="pct"/>
            <w:vAlign w:val="center"/>
          </w:tcPr>
          <w:p w14:paraId="2A8E01D3">
            <w:pPr>
              <w:pStyle w:val="79"/>
              <w:keepNext w:val="0"/>
              <w:keepLines w:val="0"/>
              <w:pageBreakBefore w:val="0"/>
              <w:widowControl/>
              <w:kinsoku w:val="0"/>
              <w:wordWrap/>
              <w:overflowPunct/>
              <w:topLinePunct w:val="0"/>
              <w:autoSpaceDE w:val="0"/>
              <w:autoSpaceDN w:val="0"/>
              <w:bidi w:val="0"/>
              <w:adjustRightInd/>
              <w:snapToGrid/>
              <w:spacing w:after="0" w:line="36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6"/>
                <w:sz w:val="21"/>
                <w:szCs w:val="21"/>
                <w:highlight w:val="none"/>
              </w:rPr>
              <w:t>项目</w:t>
            </w:r>
          </w:p>
        </w:tc>
        <w:tc>
          <w:tcPr>
            <w:tcW w:w="3422" w:type="pct"/>
            <w:vAlign w:val="center"/>
          </w:tcPr>
          <w:p w14:paraId="24E8B294">
            <w:pPr>
              <w:pStyle w:val="79"/>
              <w:keepNext w:val="0"/>
              <w:keepLines w:val="0"/>
              <w:pageBreakBefore w:val="0"/>
              <w:widowControl/>
              <w:kinsoku w:val="0"/>
              <w:wordWrap/>
              <w:overflowPunct/>
              <w:topLinePunct w:val="0"/>
              <w:autoSpaceDE w:val="0"/>
              <w:autoSpaceDN w:val="0"/>
              <w:bidi w:val="0"/>
              <w:adjustRightInd/>
              <w:snapToGrid/>
              <w:spacing w:after="0" w:line="36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2"/>
                <w:sz w:val="21"/>
                <w:szCs w:val="21"/>
                <w:highlight w:val="none"/>
              </w:rPr>
              <w:t>巡检周期要求</w:t>
            </w:r>
          </w:p>
        </w:tc>
      </w:tr>
      <w:tr w14:paraId="55305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366" w:type="pct"/>
            <w:vAlign w:val="center"/>
          </w:tcPr>
          <w:p w14:paraId="7C9D97E6">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1</w:t>
            </w:r>
          </w:p>
        </w:tc>
        <w:tc>
          <w:tcPr>
            <w:tcW w:w="1210" w:type="pct"/>
            <w:vAlign w:val="center"/>
          </w:tcPr>
          <w:p w14:paraId="391771C1">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cs="宋体"/>
                <w:color w:val="auto"/>
                <w:sz w:val="21"/>
                <w:szCs w:val="21"/>
                <w:highlight w:val="none"/>
                <w:lang w:val="en-US" w:eastAsia="zh-CN"/>
              </w:rPr>
              <w:t>本</w:t>
            </w:r>
            <w:r>
              <w:rPr>
                <w:rFonts w:hint="eastAsia" w:ascii="宋体" w:hAnsi="宋体" w:eastAsia="宋体" w:cs="宋体"/>
                <w:color w:val="auto"/>
                <w:sz w:val="21"/>
                <w:szCs w:val="21"/>
                <w:highlight w:val="none"/>
                <w:lang w:eastAsia="zh-CN"/>
              </w:rPr>
              <w:t>项目范围内道</w:t>
            </w:r>
            <w:r>
              <w:rPr>
                <w:rFonts w:hint="eastAsia" w:ascii="宋体" w:hAnsi="宋体" w:eastAsia="宋体" w:cs="宋体"/>
                <w:color w:val="auto"/>
                <w:spacing w:val="1"/>
                <w:sz w:val="21"/>
                <w:szCs w:val="21"/>
                <w:highlight w:val="none"/>
                <w:lang w:eastAsia="zh-CN"/>
              </w:rPr>
              <w:t>路交通设施日常维护项</w:t>
            </w:r>
            <w:r>
              <w:rPr>
                <w:rFonts w:hint="eastAsia" w:ascii="宋体" w:hAnsi="宋体" w:eastAsia="宋体" w:cs="宋体"/>
                <w:color w:val="auto"/>
                <w:sz w:val="21"/>
                <w:szCs w:val="21"/>
                <w:highlight w:val="none"/>
                <w:lang w:eastAsia="zh-CN"/>
              </w:rPr>
              <w:t>目</w:t>
            </w:r>
          </w:p>
        </w:tc>
        <w:tc>
          <w:tcPr>
            <w:tcW w:w="3422" w:type="pct"/>
          </w:tcPr>
          <w:p w14:paraId="1E48429E">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前端设备每</w:t>
            </w:r>
            <w:r>
              <w:rPr>
                <w:rFonts w:hint="eastAsia" w:cs="宋体"/>
                <w:color w:val="auto"/>
                <w:spacing w:val="3"/>
                <w:sz w:val="21"/>
                <w:szCs w:val="21"/>
                <w:highlight w:val="none"/>
                <w:lang w:val="en-US" w:eastAsia="zh-CN"/>
              </w:rPr>
              <w:t>2周不少于</w:t>
            </w:r>
            <w:r>
              <w:rPr>
                <w:rFonts w:hint="eastAsia" w:ascii="宋体" w:hAnsi="宋体" w:eastAsia="宋体" w:cs="宋体"/>
                <w:color w:val="auto"/>
                <w:spacing w:val="3"/>
                <w:sz w:val="21"/>
                <w:szCs w:val="21"/>
                <w:highlight w:val="none"/>
                <w:lang w:eastAsia="zh-CN"/>
              </w:rPr>
              <w:t>1次巡检</w:t>
            </w:r>
            <w:r>
              <w:rPr>
                <w:rFonts w:hint="eastAsia" w:cs="宋体"/>
                <w:color w:val="auto"/>
                <w:spacing w:val="3"/>
                <w:sz w:val="21"/>
                <w:szCs w:val="21"/>
                <w:highlight w:val="none"/>
                <w:lang w:eastAsia="zh-CN"/>
              </w:rPr>
              <w:t>，</w:t>
            </w:r>
            <w:r>
              <w:rPr>
                <w:rFonts w:hint="eastAsia" w:ascii="宋体" w:hAnsi="宋体" w:eastAsia="宋体" w:cs="宋体"/>
                <w:color w:val="auto"/>
                <w:spacing w:val="3"/>
                <w:sz w:val="21"/>
                <w:szCs w:val="21"/>
                <w:highlight w:val="none"/>
                <w:lang w:eastAsia="zh-CN"/>
              </w:rPr>
              <w:t>包括电警设备、杆件、沙井盖、线路、</w:t>
            </w:r>
            <w:r>
              <w:rPr>
                <w:rFonts w:hint="eastAsia" w:ascii="宋体" w:hAnsi="宋体" w:eastAsia="宋体" w:cs="宋体"/>
                <w:color w:val="auto"/>
                <w:sz w:val="21"/>
                <w:szCs w:val="21"/>
                <w:highlight w:val="none"/>
                <w:lang w:eastAsia="zh-CN"/>
              </w:rPr>
              <w:t>机箱门、机箱基础等，每周对终端服务器进行巡检</w:t>
            </w:r>
            <w:r>
              <w:rPr>
                <w:rFonts w:hint="eastAsia" w:ascii="宋体" w:hAnsi="宋体" w:eastAsia="宋体" w:cs="宋体"/>
                <w:color w:val="auto"/>
                <w:spacing w:val="-1"/>
                <w:sz w:val="21"/>
                <w:szCs w:val="21"/>
                <w:highlight w:val="none"/>
                <w:lang w:eastAsia="zh-CN"/>
              </w:rPr>
              <w:t>，巡检内容包括(但</w:t>
            </w:r>
            <w:r>
              <w:rPr>
                <w:rFonts w:hint="eastAsia" w:ascii="宋体" w:hAnsi="宋体" w:eastAsia="宋体" w:cs="宋体"/>
                <w:color w:val="auto"/>
                <w:sz w:val="21"/>
                <w:szCs w:val="21"/>
                <w:highlight w:val="none"/>
                <w:lang w:eastAsia="zh-CN"/>
              </w:rPr>
              <w:t>不限于以下指标)</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定期检查校时、服务器</w:t>
            </w:r>
            <w:r>
              <w:rPr>
                <w:rFonts w:hint="eastAsia" w:ascii="宋体" w:hAnsi="宋体" w:eastAsia="宋体" w:cs="宋体"/>
                <w:color w:val="auto"/>
                <w:spacing w:val="-1"/>
                <w:sz w:val="21"/>
                <w:szCs w:val="21"/>
                <w:highlight w:val="none"/>
                <w:lang w:eastAsia="zh-CN"/>
              </w:rPr>
              <w:t>进程、CPU使用率、内存使用率、网络端口情况。</w:t>
            </w:r>
          </w:p>
        </w:tc>
      </w:tr>
      <w:tr w14:paraId="3A4F0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366" w:type="pct"/>
            <w:vAlign w:val="center"/>
          </w:tcPr>
          <w:p w14:paraId="61106AE6">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2</w:t>
            </w:r>
          </w:p>
        </w:tc>
        <w:tc>
          <w:tcPr>
            <w:tcW w:w="1210" w:type="pct"/>
            <w:vAlign w:val="center"/>
          </w:tcPr>
          <w:p w14:paraId="3AB67993">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电子警察硬件</w:t>
            </w:r>
            <w:r>
              <w:rPr>
                <w:rFonts w:hint="eastAsia" w:ascii="宋体" w:hAnsi="宋体" w:eastAsia="宋体" w:cs="宋体"/>
                <w:color w:val="auto"/>
                <w:spacing w:val="9"/>
                <w:sz w:val="21"/>
                <w:szCs w:val="21"/>
                <w:highlight w:val="none"/>
                <w:lang w:eastAsia="zh-CN"/>
              </w:rPr>
              <w:t>维护项目</w:t>
            </w:r>
          </w:p>
        </w:tc>
        <w:tc>
          <w:tcPr>
            <w:tcW w:w="3422" w:type="pct"/>
            <w:vAlign w:val="center"/>
          </w:tcPr>
          <w:p w14:paraId="0562CC94">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left"/>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前端设备每</w:t>
            </w:r>
            <w:r>
              <w:rPr>
                <w:rFonts w:hint="eastAsia" w:cs="宋体"/>
                <w:color w:val="auto"/>
                <w:sz w:val="21"/>
                <w:szCs w:val="21"/>
                <w:highlight w:val="none"/>
                <w:lang w:val="en-US" w:eastAsia="zh-CN"/>
              </w:rPr>
              <w:t>2周不少于1次</w:t>
            </w:r>
            <w:r>
              <w:rPr>
                <w:rFonts w:hint="eastAsia" w:ascii="宋体" w:hAnsi="宋体" w:eastAsia="宋体" w:cs="宋体"/>
                <w:color w:val="auto"/>
                <w:sz w:val="21"/>
                <w:szCs w:val="21"/>
                <w:highlight w:val="none"/>
                <w:lang w:eastAsia="zh-CN"/>
              </w:rPr>
              <w:t>，每</w:t>
            </w:r>
            <w:r>
              <w:rPr>
                <w:rFonts w:hint="eastAsia"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个月对地标线开展</w:t>
            </w:r>
            <w:r>
              <w:rPr>
                <w:rFonts w:hint="eastAsia" w:cs="宋体"/>
                <w:color w:val="auto"/>
                <w:sz w:val="21"/>
                <w:szCs w:val="21"/>
                <w:highlight w:val="none"/>
                <w:lang w:val="en-US" w:eastAsia="zh-CN"/>
              </w:rPr>
              <w:t>不少于</w:t>
            </w:r>
            <w:r>
              <w:rPr>
                <w:rFonts w:hint="eastAsia" w:ascii="宋体" w:hAnsi="宋体" w:eastAsia="宋体" w:cs="宋体"/>
                <w:color w:val="auto"/>
                <w:sz w:val="21"/>
                <w:szCs w:val="21"/>
                <w:highlight w:val="none"/>
                <w:lang w:eastAsia="zh-CN"/>
              </w:rPr>
              <w:t>1次巡检</w:t>
            </w:r>
            <w:r>
              <w:rPr>
                <w:rFonts w:hint="eastAsia" w:ascii="宋体" w:hAnsi="宋体" w:eastAsia="宋体" w:cs="宋体"/>
                <w:color w:val="auto"/>
                <w:spacing w:val="-1"/>
                <w:sz w:val="21"/>
                <w:szCs w:val="21"/>
                <w:highlight w:val="none"/>
                <w:lang w:eastAsia="zh-CN"/>
              </w:rPr>
              <w:t>。</w:t>
            </w:r>
          </w:p>
        </w:tc>
      </w:tr>
      <w:tr w14:paraId="29EBA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366" w:type="pct"/>
            <w:vAlign w:val="center"/>
          </w:tcPr>
          <w:p w14:paraId="22AE4917">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w:t>
            </w:r>
          </w:p>
        </w:tc>
        <w:tc>
          <w:tcPr>
            <w:tcW w:w="1210" w:type="pct"/>
            <w:vAlign w:val="center"/>
          </w:tcPr>
          <w:p w14:paraId="05612DA9">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机房、网络设备</w:t>
            </w:r>
            <w:r>
              <w:rPr>
                <w:rFonts w:hint="eastAsia" w:ascii="宋体" w:hAnsi="宋体" w:eastAsia="宋体" w:cs="宋体"/>
                <w:color w:val="auto"/>
                <w:spacing w:val="9"/>
                <w:sz w:val="21"/>
                <w:szCs w:val="21"/>
                <w:highlight w:val="none"/>
                <w:lang w:eastAsia="zh-CN"/>
              </w:rPr>
              <w:t>维护项目</w:t>
            </w:r>
          </w:p>
        </w:tc>
        <w:tc>
          <w:tcPr>
            <w:tcW w:w="3422" w:type="pct"/>
            <w:vAlign w:val="center"/>
          </w:tcPr>
          <w:p w14:paraId="7C2170A7">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left"/>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每月1次巡检对服务器，存储设备，网络设备等</w:t>
            </w:r>
            <w:r>
              <w:rPr>
                <w:rFonts w:hint="eastAsia" w:ascii="宋体" w:hAnsi="宋体" w:eastAsia="宋体" w:cs="宋体"/>
                <w:color w:val="auto"/>
                <w:spacing w:val="-1"/>
                <w:sz w:val="21"/>
                <w:szCs w:val="21"/>
                <w:highlight w:val="none"/>
                <w:lang w:eastAsia="zh-CN"/>
              </w:rPr>
              <w:t>系统检查，运行状态接</w:t>
            </w:r>
            <w:r>
              <w:rPr>
                <w:rFonts w:hint="eastAsia" w:ascii="宋体" w:hAnsi="宋体" w:eastAsia="宋体" w:cs="宋体"/>
                <w:color w:val="auto"/>
                <w:sz w:val="21"/>
                <w:szCs w:val="21"/>
                <w:highlight w:val="none"/>
                <w:lang w:eastAsia="zh-CN"/>
              </w:rPr>
              <w:t>入服务检查等；机房中心设备每周开展1次巡查工</w:t>
            </w:r>
            <w:r>
              <w:rPr>
                <w:rFonts w:hint="eastAsia" w:ascii="宋体" w:hAnsi="宋体" w:eastAsia="宋体" w:cs="宋体"/>
                <w:color w:val="auto"/>
                <w:spacing w:val="-1"/>
                <w:sz w:val="21"/>
                <w:szCs w:val="21"/>
                <w:highlight w:val="none"/>
                <w:lang w:eastAsia="zh-CN"/>
              </w:rPr>
              <w:t>作。</w:t>
            </w:r>
          </w:p>
        </w:tc>
      </w:tr>
      <w:tr w14:paraId="61CF93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66" w:type="pct"/>
            <w:vAlign w:val="center"/>
          </w:tcPr>
          <w:p w14:paraId="61E5A07C">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4</w:t>
            </w:r>
          </w:p>
        </w:tc>
        <w:tc>
          <w:tcPr>
            <w:tcW w:w="1210" w:type="pct"/>
            <w:vAlign w:val="center"/>
          </w:tcPr>
          <w:p w14:paraId="4FCE1D9F">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业务系统维护</w:t>
            </w:r>
            <w:r>
              <w:rPr>
                <w:rFonts w:hint="eastAsia" w:ascii="宋体" w:hAnsi="宋体" w:eastAsia="宋体" w:cs="宋体"/>
                <w:color w:val="auto"/>
                <w:spacing w:val="-6"/>
                <w:sz w:val="21"/>
                <w:szCs w:val="21"/>
                <w:highlight w:val="none"/>
                <w:lang w:eastAsia="zh-CN"/>
              </w:rPr>
              <w:t>项目</w:t>
            </w:r>
          </w:p>
        </w:tc>
        <w:tc>
          <w:tcPr>
            <w:tcW w:w="3422" w:type="pct"/>
          </w:tcPr>
          <w:p w14:paraId="3153401E">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每两个月1次巡检对系统性能检查，数据库运行</w:t>
            </w:r>
            <w:r>
              <w:rPr>
                <w:rFonts w:hint="eastAsia" w:ascii="宋体" w:hAnsi="宋体" w:eastAsia="宋体" w:cs="宋体"/>
                <w:color w:val="auto"/>
                <w:spacing w:val="-1"/>
                <w:sz w:val="21"/>
                <w:szCs w:val="21"/>
                <w:highlight w:val="none"/>
                <w:lang w:eastAsia="zh-CN"/>
              </w:rPr>
              <w:t>状态接入服务检查，数</w:t>
            </w:r>
            <w:r>
              <w:rPr>
                <w:rFonts w:hint="eastAsia" w:ascii="宋体" w:hAnsi="宋体" w:eastAsia="宋体" w:cs="宋体"/>
                <w:color w:val="auto"/>
                <w:sz w:val="21"/>
                <w:szCs w:val="21"/>
                <w:highlight w:val="none"/>
                <w:lang w:eastAsia="zh-CN"/>
              </w:rPr>
              <w:t>据库运行状态检查，对业务系统应用功能的测试等并提交巡检报告</w:t>
            </w:r>
            <w:r>
              <w:rPr>
                <w:rFonts w:hint="eastAsia" w:cs="宋体"/>
                <w:color w:val="auto"/>
                <w:sz w:val="21"/>
                <w:szCs w:val="21"/>
                <w:highlight w:val="none"/>
                <w:lang w:eastAsia="zh-CN"/>
              </w:rPr>
              <w:t>。</w:t>
            </w:r>
          </w:p>
        </w:tc>
      </w:tr>
    </w:tbl>
    <w:p w14:paraId="205FC3B2">
      <w:pPr>
        <w:numPr>
          <w:ilvl w:val="0"/>
          <w:numId w:val="21"/>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电子警察</w:t>
      </w:r>
      <w:r>
        <w:rPr>
          <w:rFonts w:hint="eastAsia" w:ascii="宋体" w:hAnsi="宋体"/>
          <w:color w:val="auto"/>
          <w:szCs w:val="21"/>
          <w:highlight w:val="none"/>
          <w:lang w:val="en-US" w:eastAsia="zh-CN"/>
        </w:rPr>
        <w:t>前端设备运维服务内容</w:t>
      </w:r>
    </w:p>
    <w:p w14:paraId="1037362D">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为了确保电子警察系统能够正常、良好、稳定地运行，</w:t>
      </w:r>
      <w:r>
        <w:rPr>
          <w:rFonts w:hint="eastAsia" w:ascii="宋体" w:hAnsi="宋体"/>
          <w:color w:val="auto"/>
          <w:szCs w:val="21"/>
          <w:highlight w:val="none"/>
          <w:lang w:val="en-US" w:eastAsia="zh-CN"/>
        </w:rPr>
        <w:t>成交供应商须</w:t>
      </w:r>
      <w:r>
        <w:rPr>
          <w:rFonts w:hint="eastAsia" w:ascii="宋体" w:hAnsi="宋体"/>
          <w:color w:val="auto"/>
          <w:szCs w:val="21"/>
          <w:highlight w:val="none"/>
        </w:rPr>
        <w:t>对前端约40个方向的电子警察前端系统设备、配套设施及其后台系统进行常规维护。</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应按行业技术、质量和以往的系统设计、设备生产制造、维护管理经验进行深化设计，合格优质</w:t>
      </w:r>
      <w:r>
        <w:rPr>
          <w:rFonts w:hint="eastAsia" w:ascii="宋体" w:hAnsi="宋体"/>
          <w:color w:val="auto"/>
          <w:szCs w:val="21"/>
          <w:highlight w:val="none"/>
          <w:lang w:val="en-US" w:eastAsia="zh-CN"/>
        </w:rPr>
        <w:t>地</w:t>
      </w:r>
      <w:r>
        <w:rPr>
          <w:rFonts w:hint="eastAsia" w:ascii="宋体" w:hAnsi="宋体"/>
          <w:color w:val="auto"/>
          <w:szCs w:val="21"/>
          <w:highlight w:val="none"/>
        </w:rPr>
        <w:t>完成采购内容和包含的全部实际工序及服务。</w:t>
      </w:r>
    </w:p>
    <w:p w14:paraId="4EFE866F">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w:t>
      </w:r>
      <w:r>
        <w:rPr>
          <w:rFonts w:hint="eastAsia" w:ascii="宋体" w:hAnsi="宋体"/>
          <w:color w:val="auto"/>
          <w:szCs w:val="21"/>
          <w:highlight w:val="none"/>
        </w:rPr>
        <w:t>在</w:t>
      </w:r>
      <w:r>
        <w:rPr>
          <w:rFonts w:hint="eastAsia" w:ascii="宋体" w:hAnsi="宋体"/>
          <w:color w:val="auto"/>
          <w:szCs w:val="21"/>
          <w:highlight w:val="none"/>
          <w:lang w:val="en-US" w:eastAsia="zh-CN"/>
        </w:rPr>
        <w:t>服务</w:t>
      </w:r>
      <w:r>
        <w:rPr>
          <w:rFonts w:hint="eastAsia" w:ascii="宋体" w:hAnsi="宋体"/>
          <w:color w:val="auto"/>
          <w:szCs w:val="21"/>
          <w:highlight w:val="none"/>
        </w:rPr>
        <w:t>期内，要保障本项目相关范围内的电子警察系统正常运行，对设备维护</w:t>
      </w:r>
      <w:r>
        <w:rPr>
          <w:rFonts w:hint="eastAsia" w:ascii="宋体" w:hAnsi="宋体"/>
          <w:color w:val="auto"/>
          <w:szCs w:val="21"/>
          <w:highlight w:val="none"/>
          <w:lang w:eastAsia="zh-CN"/>
        </w:rPr>
        <w:t>（</w:t>
      </w:r>
      <w:r>
        <w:rPr>
          <w:rFonts w:hint="eastAsia" w:ascii="宋体" w:hAnsi="宋体"/>
          <w:color w:val="auto"/>
          <w:szCs w:val="21"/>
          <w:highlight w:val="none"/>
        </w:rPr>
        <w:t>含设备自然损坏、人为损坏、交通事故、偷盗破坏、道路施工等造成损坏的维护</w:t>
      </w:r>
      <w:r>
        <w:rPr>
          <w:rFonts w:hint="eastAsia" w:ascii="宋体" w:hAnsi="宋体"/>
          <w:color w:val="auto"/>
          <w:szCs w:val="21"/>
          <w:highlight w:val="none"/>
          <w:lang w:eastAsia="zh-CN"/>
        </w:rPr>
        <w:t>）</w:t>
      </w:r>
      <w:r>
        <w:rPr>
          <w:rFonts w:hint="eastAsia" w:ascii="宋体" w:hAnsi="宋体"/>
          <w:color w:val="auto"/>
          <w:szCs w:val="21"/>
          <w:highlight w:val="none"/>
        </w:rPr>
        <w:t>、</w:t>
      </w:r>
      <w:r>
        <w:rPr>
          <w:rFonts w:hint="eastAsia" w:ascii="宋体" w:hAnsi="宋体"/>
          <w:color w:val="auto"/>
          <w:szCs w:val="21"/>
          <w:highlight w:val="none"/>
          <w:lang w:eastAsia="zh-CN"/>
        </w:rPr>
        <w:t>（</w:t>
      </w:r>
      <w:r>
        <w:rPr>
          <w:rFonts w:hint="eastAsia" w:ascii="宋体" w:hAnsi="宋体"/>
          <w:color w:val="auto"/>
          <w:szCs w:val="21"/>
          <w:highlight w:val="none"/>
        </w:rPr>
        <w:t>设备人为损坏的，</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有自行追偿的权利</w:t>
      </w:r>
      <w:r>
        <w:rPr>
          <w:rFonts w:hint="eastAsia" w:ascii="宋体" w:hAnsi="宋体"/>
          <w:color w:val="auto"/>
          <w:szCs w:val="21"/>
          <w:highlight w:val="none"/>
          <w:lang w:eastAsia="zh-CN"/>
        </w:rPr>
        <w:t>）</w:t>
      </w:r>
      <w:r>
        <w:rPr>
          <w:rFonts w:hint="eastAsia" w:ascii="宋体" w:hAnsi="宋体"/>
          <w:color w:val="auto"/>
          <w:szCs w:val="21"/>
          <w:highlight w:val="none"/>
        </w:rPr>
        <w:t>；</w:t>
      </w:r>
    </w:p>
    <w:p w14:paraId="31EEEA9D">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维护过程中的安全问题由</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负责；</w:t>
      </w:r>
    </w:p>
    <w:p w14:paraId="02793433">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w:t>
      </w:r>
      <w:r>
        <w:rPr>
          <w:rFonts w:hint="eastAsia" w:ascii="宋体" w:hAnsi="宋体"/>
          <w:color w:val="auto"/>
          <w:szCs w:val="21"/>
          <w:highlight w:val="none"/>
        </w:rPr>
        <w:t>不得将本项目涉及到的车辆数据、管理信息等公安管理及公民隐私等内容外传或另作他用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需对项目内所有资料进行保密，并签署相关保密协议；</w:t>
      </w:r>
    </w:p>
    <w:p w14:paraId="5811FAF8">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成交供应商</w:t>
      </w:r>
      <w:r>
        <w:rPr>
          <w:rFonts w:hint="eastAsia" w:ascii="宋体" w:hAnsi="宋体"/>
          <w:color w:val="auto"/>
          <w:szCs w:val="21"/>
          <w:highlight w:val="none"/>
        </w:rPr>
        <w:t>每</w:t>
      </w:r>
      <w:r>
        <w:rPr>
          <w:rFonts w:hint="eastAsia" w:ascii="宋体" w:hAnsi="宋体"/>
          <w:color w:val="auto"/>
          <w:szCs w:val="21"/>
          <w:highlight w:val="none"/>
          <w:lang w:val="en-US" w:eastAsia="zh-CN"/>
        </w:rPr>
        <w:t>2</w:t>
      </w:r>
      <w:r>
        <w:rPr>
          <w:rFonts w:hint="eastAsia" w:ascii="宋体" w:hAnsi="宋体"/>
          <w:color w:val="auto"/>
          <w:szCs w:val="21"/>
          <w:highlight w:val="none"/>
        </w:rPr>
        <w:t>个月需对地标线</w:t>
      </w:r>
      <w:r>
        <w:rPr>
          <w:rFonts w:hint="eastAsia" w:ascii="宋体" w:hAnsi="宋体"/>
          <w:color w:val="auto"/>
          <w:szCs w:val="21"/>
          <w:highlight w:val="none"/>
          <w:lang w:val="en-US" w:eastAsia="zh-CN"/>
        </w:rPr>
        <w:t>开展不少于1次</w:t>
      </w:r>
      <w:r>
        <w:rPr>
          <w:rFonts w:hint="eastAsia" w:ascii="宋体" w:hAnsi="宋体"/>
          <w:color w:val="auto"/>
          <w:szCs w:val="21"/>
          <w:highlight w:val="none"/>
        </w:rPr>
        <w:t>巡检工作，地标线巡检工作结束后的2周内完成对影响电警设备抓拍执法不清晰的地标线翻新；</w:t>
      </w:r>
    </w:p>
    <w:p w14:paraId="1D25CED1">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设备超过7个自然日无数据回传至集成指挥平台，</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须检查设备运行状态并举证设备正常运转；</w:t>
      </w:r>
    </w:p>
    <w:p w14:paraId="38032542">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数据传输系统</w:t>
      </w:r>
      <w:r>
        <w:rPr>
          <w:rFonts w:hint="eastAsia" w:ascii="宋体" w:hAnsi="宋体"/>
          <w:color w:val="auto"/>
          <w:szCs w:val="21"/>
          <w:highlight w:val="none"/>
          <w:lang w:eastAsia="zh-CN"/>
        </w:rPr>
        <w:t>（</w:t>
      </w:r>
      <w:r>
        <w:rPr>
          <w:rFonts w:hint="eastAsia" w:ascii="宋体" w:hAnsi="宋体"/>
          <w:color w:val="auto"/>
          <w:szCs w:val="21"/>
          <w:highlight w:val="none"/>
        </w:rPr>
        <w:t>数据传输不限于光纤故障</w:t>
      </w:r>
      <w:r>
        <w:rPr>
          <w:rFonts w:hint="eastAsia" w:ascii="宋体" w:hAnsi="宋体"/>
          <w:color w:val="auto"/>
          <w:szCs w:val="21"/>
          <w:highlight w:val="none"/>
          <w:lang w:eastAsia="zh-CN"/>
        </w:rPr>
        <w:t>）</w:t>
      </w:r>
      <w:r>
        <w:rPr>
          <w:rFonts w:hint="eastAsia" w:ascii="宋体" w:hAnsi="宋体"/>
          <w:color w:val="auto"/>
          <w:szCs w:val="21"/>
          <w:highlight w:val="none"/>
        </w:rPr>
        <w:t>停止运行期间，由</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负责按每24小时一次到现场采集受影响设备数据</w:t>
      </w:r>
      <w:r>
        <w:rPr>
          <w:rFonts w:hint="eastAsia" w:ascii="宋体" w:hAnsi="宋体"/>
          <w:color w:val="auto"/>
          <w:szCs w:val="21"/>
          <w:highlight w:val="none"/>
          <w:lang w:val="en-US" w:eastAsia="zh-CN"/>
        </w:rPr>
        <w:t>报送采购人</w:t>
      </w:r>
      <w:r>
        <w:rPr>
          <w:rFonts w:hint="eastAsia" w:ascii="宋体" w:hAnsi="宋体"/>
          <w:color w:val="auto"/>
          <w:szCs w:val="21"/>
          <w:highlight w:val="none"/>
        </w:rPr>
        <w:t>；</w:t>
      </w:r>
    </w:p>
    <w:p w14:paraId="6463B35D">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故障报障修复要求：要求提供固定报障电话，提供7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24小时系统任何故障响应服务，收到报障必须要30分钟内响应，</w:t>
      </w:r>
      <w:r>
        <w:rPr>
          <w:rFonts w:hint="eastAsia" w:ascii="宋体" w:hAnsi="宋体"/>
          <w:color w:val="auto"/>
          <w:szCs w:val="21"/>
          <w:highlight w:val="none"/>
          <w:lang w:val="en-US" w:eastAsia="zh-CN"/>
        </w:rPr>
        <w:t>3</w:t>
      </w:r>
      <w:r>
        <w:rPr>
          <w:rFonts w:hint="eastAsia" w:ascii="宋体" w:hAnsi="宋体"/>
          <w:color w:val="auto"/>
          <w:szCs w:val="21"/>
          <w:highlight w:val="none"/>
        </w:rPr>
        <w:t>小时内赶到现场，到达现场后需拍照取证</w:t>
      </w:r>
      <w:r>
        <w:rPr>
          <w:rFonts w:hint="eastAsia" w:ascii="宋体" w:hAnsi="宋体"/>
          <w:color w:val="auto"/>
          <w:szCs w:val="21"/>
          <w:highlight w:val="none"/>
          <w:lang w:eastAsia="zh-CN"/>
        </w:rPr>
        <w:t>，</w:t>
      </w:r>
      <w:r>
        <w:rPr>
          <w:rFonts w:hint="eastAsia" w:ascii="宋体" w:hAnsi="宋体"/>
          <w:color w:val="auto"/>
          <w:szCs w:val="21"/>
          <w:highlight w:val="none"/>
        </w:rPr>
        <w:t>如遇不可抗拒的原因无法按时到达现场的，需提供书面详细情况说明原因。</w:t>
      </w:r>
      <w:r>
        <w:rPr>
          <w:rFonts w:hint="eastAsia" w:ascii="宋体" w:hAnsi="宋体"/>
          <w:color w:val="auto"/>
          <w:szCs w:val="21"/>
          <w:highlight w:val="none"/>
          <w:lang w:val="en-US" w:eastAsia="zh-CN"/>
        </w:rPr>
        <w:t>本项目履约过程中如果遇到需要与第三方（包括但不限于网络运营商、设备厂商、市政部门等）协调处理的问题，原则上由成交供应商全权负责沟通解决，必要时可由采购人进行协助。本项目相关</w:t>
      </w:r>
      <w:r>
        <w:rPr>
          <w:rFonts w:hint="eastAsia" w:ascii="宋体" w:hAnsi="宋体"/>
          <w:color w:val="auto"/>
          <w:szCs w:val="21"/>
          <w:highlight w:val="none"/>
        </w:rPr>
        <w:t>故障修复时间要求如下：</w:t>
      </w:r>
    </w:p>
    <w:p w14:paraId="6D5253C4">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常规故障：采用更换零配件的方式维修后可保证现场设备正常运行的，24小时内修复现场故障，涉及到设备返厂维修的故障，返厂维修期间需提供同等档次备机更换并在更换后确保设备保持正常运行状态，直到故障设备维修好后送返现场返厂维修时限需在双方约定时间期限内完成；无法维修的设备，</w:t>
      </w:r>
      <w:r>
        <w:rPr>
          <w:rFonts w:hint="eastAsia" w:ascii="宋体" w:hAnsi="宋体"/>
          <w:color w:val="auto"/>
          <w:szCs w:val="21"/>
          <w:highlight w:val="none"/>
          <w:lang w:eastAsia="zh-CN"/>
        </w:rPr>
        <w:t>成交供应商</w:t>
      </w:r>
      <w:r>
        <w:rPr>
          <w:rFonts w:hint="eastAsia" w:ascii="宋体" w:hAnsi="宋体"/>
          <w:color w:val="auto"/>
          <w:szCs w:val="21"/>
          <w:highlight w:val="none"/>
        </w:rPr>
        <w:t>需提供同等</w:t>
      </w:r>
      <w:r>
        <w:rPr>
          <w:rFonts w:hint="eastAsia" w:ascii="宋体" w:hAnsi="宋体"/>
          <w:color w:val="auto"/>
          <w:szCs w:val="21"/>
          <w:highlight w:val="none"/>
          <w:lang w:val="en-US" w:eastAsia="zh-CN"/>
        </w:rPr>
        <w:t>或更强</w:t>
      </w:r>
      <w:r>
        <w:rPr>
          <w:rFonts w:hint="eastAsia" w:ascii="宋体" w:hAnsi="宋体"/>
          <w:color w:val="auto"/>
          <w:szCs w:val="21"/>
          <w:highlight w:val="none"/>
        </w:rPr>
        <w:t>性能的设备进行替换。</w:t>
      </w:r>
    </w:p>
    <w:p w14:paraId="218CBA8E">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运营商光纤线路故障，经抢修人员电话或邮件与报障人员确认后，由</w:t>
      </w:r>
      <w:r>
        <w:rPr>
          <w:rFonts w:hint="eastAsia" w:ascii="宋体" w:hAnsi="宋体"/>
          <w:color w:val="auto"/>
          <w:szCs w:val="21"/>
          <w:highlight w:val="none"/>
          <w:lang w:eastAsia="zh-CN"/>
        </w:rPr>
        <w:t>成交供应商</w:t>
      </w:r>
      <w:r>
        <w:rPr>
          <w:rFonts w:hint="eastAsia" w:ascii="宋体" w:hAnsi="宋体"/>
          <w:color w:val="auto"/>
          <w:szCs w:val="21"/>
          <w:highlight w:val="none"/>
        </w:rPr>
        <w:t>与运营商沟通修复时限。非运营商光纤线路故障</w:t>
      </w:r>
      <w:r>
        <w:rPr>
          <w:rFonts w:hint="eastAsia" w:ascii="宋体" w:hAnsi="宋体"/>
          <w:color w:val="auto"/>
          <w:szCs w:val="21"/>
          <w:highlight w:val="none"/>
          <w:lang w:eastAsia="zh-CN"/>
        </w:rPr>
        <w:t>（</w:t>
      </w:r>
      <w:r>
        <w:rPr>
          <w:rFonts w:hint="eastAsia" w:ascii="宋体" w:hAnsi="宋体"/>
          <w:color w:val="auto"/>
          <w:szCs w:val="21"/>
          <w:highlight w:val="none"/>
        </w:rPr>
        <w:t>机箱ONU到前端设备的尾纤或网线以及电警杆上连接设备的网线</w:t>
      </w:r>
      <w:r>
        <w:rPr>
          <w:rFonts w:hint="eastAsia" w:ascii="宋体" w:hAnsi="宋体"/>
          <w:color w:val="auto"/>
          <w:szCs w:val="21"/>
          <w:highlight w:val="none"/>
          <w:lang w:eastAsia="zh-CN"/>
        </w:rPr>
        <w:t>），</w:t>
      </w:r>
      <w:r>
        <w:rPr>
          <w:rFonts w:hint="eastAsia" w:ascii="宋体" w:hAnsi="宋体"/>
          <w:color w:val="auto"/>
          <w:szCs w:val="21"/>
          <w:highlight w:val="none"/>
        </w:rPr>
        <w:t>故障解决时限为72小时内修复。当故障查明是运营商光纤线路故障，由</w:t>
      </w:r>
      <w:r>
        <w:rPr>
          <w:rFonts w:hint="eastAsia" w:ascii="宋体" w:hAnsi="宋体"/>
          <w:color w:val="auto"/>
          <w:szCs w:val="21"/>
          <w:highlight w:val="none"/>
          <w:lang w:eastAsia="zh-CN"/>
        </w:rPr>
        <w:t>成交供应商</w:t>
      </w:r>
      <w:r>
        <w:rPr>
          <w:rFonts w:hint="eastAsia" w:ascii="宋体" w:hAnsi="宋体"/>
          <w:color w:val="auto"/>
          <w:szCs w:val="21"/>
          <w:highlight w:val="none"/>
        </w:rPr>
        <w:t>负责与光纤运营商报障并跟进故障修复进度，直到故障修复完成后才算完成结单。若报给运营商光纤故障修复进度缓慢，</w:t>
      </w:r>
      <w:r>
        <w:rPr>
          <w:rFonts w:hint="eastAsia" w:ascii="宋体" w:hAnsi="宋体"/>
          <w:color w:val="auto"/>
          <w:szCs w:val="21"/>
          <w:highlight w:val="none"/>
          <w:lang w:eastAsia="zh-CN"/>
        </w:rPr>
        <w:t>成交供应商</w:t>
      </w:r>
      <w:r>
        <w:rPr>
          <w:rFonts w:hint="eastAsia" w:ascii="宋体" w:hAnsi="宋体"/>
          <w:color w:val="auto"/>
          <w:szCs w:val="21"/>
          <w:highlight w:val="none"/>
        </w:rPr>
        <w:t>需及时报告</w:t>
      </w:r>
      <w:r>
        <w:rPr>
          <w:rFonts w:hint="eastAsia" w:ascii="宋体" w:hAnsi="宋体"/>
          <w:color w:val="auto"/>
          <w:szCs w:val="21"/>
          <w:highlight w:val="none"/>
          <w:lang w:val="en-US" w:eastAsia="zh-CN"/>
        </w:rPr>
        <w:t>采购人</w:t>
      </w:r>
      <w:r>
        <w:rPr>
          <w:rFonts w:hint="eastAsia" w:ascii="宋体" w:hAnsi="宋体"/>
          <w:color w:val="auto"/>
          <w:szCs w:val="21"/>
          <w:highlight w:val="none"/>
        </w:rPr>
        <w:t>，并把该故障单申请挂单。</w:t>
      </w:r>
    </w:p>
    <w:p w14:paraId="71D94571">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取电等涉及的线路故障</w:t>
      </w:r>
      <w:r>
        <w:rPr>
          <w:rFonts w:hint="eastAsia" w:ascii="宋体" w:hAnsi="宋体"/>
          <w:color w:val="auto"/>
          <w:szCs w:val="21"/>
          <w:highlight w:val="none"/>
          <w:lang w:eastAsia="zh-CN"/>
        </w:rPr>
        <w:t>（</w:t>
      </w:r>
      <w:r>
        <w:rPr>
          <w:rFonts w:hint="eastAsia" w:ascii="宋体" w:hAnsi="宋体"/>
          <w:color w:val="auto"/>
          <w:szCs w:val="21"/>
          <w:highlight w:val="none"/>
        </w:rPr>
        <w:t>电源取电点到机箱端线路断路、短路</w:t>
      </w:r>
      <w:r>
        <w:rPr>
          <w:rFonts w:hint="eastAsia" w:ascii="宋体" w:hAnsi="宋体"/>
          <w:color w:val="auto"/>
          <w:szCs w:val="21"/>
          <w:highlight w:val="none"/>
          <w:lang w:eastAsia="zh-CN"/>
        </w:rPr>
        <w:t>），</w:t>
      </w:r>
      <w:r>
        <w:rPr>
          <w:rFonts w:hint="eastAsia" w:ascii="宋体" w:hAnsi="宋体"/>
          <w:color w:val="auto"/>
          <w:szCs w:val="21"/>
          <w:highlight w:val="none"/>
        </w:rPr>
        <w:t>经抢修人员电话或邮件与报障人员确认后，需在</w:t>
      </w:r>
      <w:r>
        <w:rPr>
          <w:rFonts w:hint="eastAsia" w:ascii="宋体" w:hAnsi="宋体"/>
          <w:color w:val="auto"/>
          <w:szCs w:val="21"/>
          <w:highlight w:val="none"/>
          <w:lang w:val="en-US" w:eastAsia="zh-CN"/>
        </w:rPr>
        <w:t>24</w:t>
      </w:r>
      <w:r>
        <w:rPr>
          <w:rFonts w:hint="eastAsia" w:ascii="宋体" w:hAnsi="宋体"/>
          <w:color w:val="auto"/>
          <w:szCs w:val="21"/>
          <w:highlight w:val="none"/>
        </w:rPr>
        <w:t>小时内修复故障。电警机箱内部电源线路、机箱到杆上设备线路以及设备端接电源线路故障，经抢修人员电话或邮件与报障人员确认后，需在24小时内修复故障。因第三方原因，如道路施工，造成短期停电做挂单或者停维，如果是取电位置长时间没电或取电位置不存在，</w:t>
      </w:r>
      <w:r>
        <w:rPr>
          <w:rFonts w:hint="eastAsia" w:ascii="宋体" w:hAnsi="宋体"/>
          <w:color w:val="auto"/>
          <w:szCs w:val="21"/>
          <w:highlight w:val="none"/>
          <w:lang w:eastAsia="zh-CN"/>
        </w:rPr>
        <w:t>成交供应商</w:t>
      </w:r>
      <w:r>
        <w:rPr>
          <w:rFonts w:hint="eastAsia" w:ascii="宋体" w:hAnsi="宋体"/>
          <w:color w:val="auto"/>
          <w:szCs w:val="21"/>
          <w:highlight w:val="none"/>
        </w:rPr>
        <w:t>需制定新的取电方案，实施费用由</w:t>
      </w:r>
      <w:r>
        <w:rPr>
          <w:rFonts w:hint="eastAsia" w:ascii="宋体" w:hAnsi="宋体"/>
          <w:color w:val="auto"/>
          <w:szCs w:val="21"/>
          <w:highlight w:val="none"/>
          <w:lang w:eastAsia="zh-CN"/>
        </w:rPr>
        <w:t>成交供应商</w:t>
      </w:r>
      <w:r>
        <w:rPr>
          <w:rFonts w:hint="eastAsia" w:ascii="宋体" w:hAnsi="宋体"/>
          <w:color w:val="auto"/>
          <w:szCs w:val="21"/>
          <w:highlight w:val="none"/>
        </w:rPr>
        <w:t>支付。</w:t>
      </w:r>
      <w:r>
        <w:rPr>
          <w:rFonts w:hint="eastAsia" w:ascii="宋体" w:hAnsi="宋体"/>
          <w:color w:val="auto"/>
          <w:szCs w:val="21"/>
          <w:highlight w:val="none"/>
          <w:lang w:eastAsia="zh-CN"/>
        </w:rPr>
        <w:t>（</w:t>
      </w:r>
      <w:r>
        <w:rPr>
          <w:rFonts w:hint="eastAsia" w:ascii="宋体" w:hAnsi="宋体"/>
          <w:color w:val="auto"/>
          <w:szCs w:val="21"/>
          <w:highlight w:val="none"/>
        </w:rPr>
        <w:t>超过10个自然日仍无法恢复设备正常使用，经双方确认，由</w:t>
      </w:r>
      <w:r>
        <w:rPr>
          <w:rFonts w:hint="eastAsia" w:ascii="宋体" w:hAnsi="宋体"/>
          <w:color w:val="auto"/>
          <w:szCs w:val="21"/>
          <w:highlight w:val="none"/>
          <w:lang w:eastAsia="zh-CN"/>
        </w:rPr>
        <w:t>成交供应商</w:t>
      </w:r>
      <w:r>
        <w:rPr>
          <w:rFonts w:hint="eastAsia" w:ascii="宋体" w:hAnsi="宋体"/>
          <w:color w:val="auto"/>
          <w:szCs w:val="21"/>
          <w:highlight w:val="none"/>
        </w:rPr>
        <w:t>向</w:t>
      </w:r>
      <w:r>
        <w:rPr>
          <w:rFonts w:hint="eastAsia" w:ascii="宋体" w:hAnsi="宋体"/>
          <w:color w:val="auto"/>
          <w:szCs w:val="21"/>
          <w:highlight w:val="none"/>
          <w:lang w:val="en-US" w:eastAsia="zh-CN"/>
        </w:rPr>
        <w:t>采购人</w:t>
      </w:r>
      <w:r>
        <w:rPr>
          <w:rFonts w:hint="eastAsia" w:ascii="宋体" w:hAnsi="宋体"/>
          <w:color w:val="auto"/>
          <w:szCs w:val="21"/>
          <w:highlight w:val="none"/>
        </w:rPr>
        <w:t>申请该故障设备作停维处理</w:t>
      </w:r>
      <w:r>
        <w:rPr>
          <w:rFonts w:hint="eastAsia" w:ascii="宋体" w:hAnsi="宋体"/>
          <w:color w:val="auto"/>
          <w:szCs w:val="21"/>
          <w:highlight w:val="none"/>
          <w:lang w:eastAsia="zh-CN"/>
        </w:rPr>
        <w:t>）</w:t>
      </w:r>
      <w:r>
        <w:rPr>
          <w:rFonts w:hint="eastAsia" w:ascii="宋体" w:hAnsi="宋体"/>
          <w:color w:val="auto"/>
          <w:szCs w:val="21"/>
          <w:highlight w:val="none"/>
        </w:rPr>
        <w:t>。</w:t>
      </w:r>
    </w:p>
    <w:p w14:paraId="25B4B1F9">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涉及基础、地下管线施工等需要报批施工的故障，经抢修人员电话或邮件与报障人员确认，具备恢复条件并取得审批许可后，需在</w:t>
      </w:r>
      <w:r>
        <w:rPr>
          <w:rFonts w:hint="eastAsia" w:ascii="宋体" w:hAnsi="宋体"/>
          <w:color w:val="auto"/>
          <w:szCs w:val="21"/>
          <w:highlight w:val="none"/>
          <w:lang w:val="en-US" w:eastAsia="zh-CN"/>
        </w:rPr>
        <w:t>72小时</w:t>
      </w:r>
      <w:r>
        <w:rPr>
          <w:rFonts w:hint="eastAsia" w:ascii="宋体" w:hAnsi="宋体"/>
          <w:color w:val="auto"/>
          <w:szCs w:val="21"/>
          <w:highlight w:val="none"/>
        </w:rPr>
        <w:t>内修复故障，如果修复涉及必须消耗的施工时间</w:t>
      </w:r>
      <w:r>
        <w:rPr>
          <w:rFonts w:hint="eastAsia" w:ascii="宋体" w:hAnsi="宋体"/>
          <w:color w:val="auto"/>
          <w:szCs w:val="21"/>
          <w:highlight w:val="none"/>
          <w:lang w:eastAsia="zh-CN"/>
        </w:rPr>
        <w:t>（</w:t>
      </w:r>
      <w:r>
        <w:rPr>
          <w:rFonts w:hint="eastAsia" w:ascii="宋体" w:hAnsi="宋体"/>
          <w:color w:val="auto"/>
          <w:szCs w:val="21"/>
          <w:highlight w:val="none"/>
        </w:rPr>
        <w:t>如倒基础必须等水泥干后才能进行下一步的施工等</w:t>
      </w:r>
      <w:r>
        <w:rPr>
          <w:rFonts w:hint="eastAsia" w:ascii="宋体" w:hAnsi="宋体"/>
          <w:color w:val="auto"/>
          <w:szCs w:val="21"/>
          <w:highlight w:val="none"/>
          <w:lang w:eastAsia="zh-CN"/>
        </w:rPr>
        <w:t>），</w:t>
      </w:r>
      <w:r>
        <w:rPr>
          <w:rFonts w:hint="eastAsia" w:ascii="宋体" w:hAnsi="宋体"/>
          <w:color w:val="auto"/>
          <w:szCs w:val="21"/>
          <w:highlight w:val="none"/>
        </w:rPr>
        <w:t>可以根据具体情况延长修复时间，但</w:t>
      </w:r>
      <w:r>
        <w:rPr>
          <w:rFonts w:hint="eastAsia" w:ascii="宋体" w:hAnsi="宋体"/>
          <w:color w:val="auto"/>
          <w:szCs w:val="21"/>
          <w:highlight w:val="none"/>
          <w:lang w:eastAsia="zh-CN"/>
        </w:rPr>
        <w:t>成交供应商</w:t>
      </w:r>
      <w:r>
        <w:rPr>
          <w:rFonts w:hint="eastAsia" w:ascii="宋体" w:hAnsi="宋体"/>
          <w:color w:val="auto"/>
          <w:szCs w:val="21"/>
          <w:highlight w:val="none"/>
        </w:rPr>
        <w:t>必须提供施工的进度报告说明情况。</w:t>
      </w:r>
    </w:p>
    <w:p w14:paraId="01DA5E34">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遇紧急安全情况</w:t>
      </w:r>
      <w:r>
        <w:rPr>
          <w:rFonts w:hint="eastAsia" w:ascii="宋体" w:hAnsi="宋体"/>
          <w:color w:val="auto"/>
          <w:szCs w:val="21"/>
          <w:highlight w:val="none"/>
          <w:lang w:eastAsia="zh-CN"/>
        </w:rPr>
        <w:t>（</w:t>
      </w:r>
      <w:r>
        <w:rPr>
          <w:rFonts w:hint="eastAsia" w:ascii="宋体" w:hAnsi="宋体"/>
          <w:color w:val="auto"/>
          <w:szCs w:val="21"/>
          <w:highlight w:val="none"/>
        </w:rPr>
        <w:t>交通事故损坏、设备掉落等造成现场存在其他安全隐患的情况</w:t>
      </w:r>
      <w:r>
        <w:rPr>
          <w:rFonts w:hint="eastAsia" w:ascii="宋体" w:hAnsi="宋体"/>
          <w:color w:val="auto"/>
          <w:szCs w:val="21"/>
          <w:highlight w:val="none"/>
          <w:lang w:eastAsia="zh-CN"/>
        </w:rPr>
        <w:t>），成交供应商</w:t>
      </w:r>
      <w:r>
        <w:rPr>
          <w:rFonts w:hint="eastAsia" w:ascii="宋体" w:hAnsi="宋体"/>
          <w:color w:val="auto"/>
          <w:szCs w:val="21"/>
          <w:highlight w:val="none"/>
        </w:rPr>
        <w:t>接任何报障通知后，必须30分钟内</w:t>
      </w:r>
      <w:r>
        <w:rPr>
          <w:rFonts w:hint="eastAsia" w:ascii="宋体" w:hAnsi="宋体"/>
          <w:color w:val="auto"/>
          <w:szCs w:val="21"/>
          <w:highlight w:val="none"/>
          <w:lang w:val="en-US" w:eastAsia="zh-CN"/>
        </w:rPr>
        <w:t>响应</w:t>
      </w:r>
      <w:r>
        <w:rPr>
          <w:rFonts w:hint="eastAsia" w:ascii="宋体" w:hAnsi="宋体"/>
          <w:color w:val="auto"/>
          <w:szCs w:val="21"/>
          <w:highlight w:val="none"/>
        </w:rPr>
        <w:t>，3小时内</w:t>
      </w:r>
      <w:r>
        <w:rPr>
          <w:rFonts w:hint="eastAsia" w:ascii="宋体" w:hAnsi="宋体"/>
          <w:color w:val="auto"/>
          <w:szCs w:val="21"/>
          <w:highlight w:val="none"/>
          <w:lang w:val="en-US" w:eastAsia="zh-CN"/>
        </w:rPr>
        <w:t>到达现场</w:t>
      </w:r>
      <w:r>
        <w:rPr>
          <w:rFonts w:hint="eastAsia" w:ascii="宋体" w:hAnsi="宋体"/>
          <w:color w:val="auto"/>
          <w:szCs w:val="21"/>
          <w:highlight w:val="none"/>
        </w:rPr>
        <w:t>消除安全隐患，可以根据具体情况延长修复时间，但</w:t>
      </w:r>
      <w:r>
        <w:rPr>
          <w:rFonts w:hint="eastAsia" w:ascii="宋体" w:hAnsi="宋体"/>
          <w:color w:val="auto"/>
          <w:szCs w:val="21"/>
          <w:highlight w:val="none"/>
          <w:lang w:eastAsia="zh-CN"/>
        </w:rPr>
        <w:t>成交供应商</w:t>
      </w:r>
      <w:r>
        <w:rPr>
          <w:rFonts w:hint="eastAsia" w:ascii="宋体" w:hAnsi="宋体"/>
          <w:color w:val="auto"/>
          <w:szCs w:val="21"/>
          <w:highlight w:val="none"/>
        </w:rPr>
        <w:t>必须提供施工的进度报告说明情况。</w:t>
      </w:r>
    </w:p>
    <w:p w14:paraId="44CF5167">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第三方协调：涉及第三方施工破坏、管道修复、城市建设需要土建报批施工等的故障经抢修人员电话或邮件与报障人员确认，具备恢复条件并取得审批许可后，需在15个自然日内修复故障并提供专题修复报告说明情况。相关施工许可须在一个月内完成，未能完成的须向</w:t>
      </w:r>
      <w:r>
        <w:rPr>
          <w:rFonts w:hint="eastAsia" w:ascii="宋体" w:hAnsi="宋体"/>
          <w:color w:val="auto"/>
          <w:szCs w:val="21"/>
          <w:highlight w:val="none"/>
          <w:lang w:val="en-US" w:eastAsia="zh-CN"/>
        </w:rPr>
        <w:t>采购人</w:t>
      </w:r>
      <w:r>
        <w:rPr>
          <w:rFonts w:hint="eastAsia" w:ascii="宋体" w:hAnsi="宋体"/>
          <w:color w:val="auto"/>
          <w:szCs w:val="21"/>
          <w:highlight w:val="none"/>
        </w:rPr>
        <w:t>书面申请。</w:t>
      </w:r>
    </w:p>
    <w:p w14:paraId="0F05E031">
      <w:pPr>
        <w:keepNext w:val="0"/>
        <w:keepLines w:val="0"/>
        <w:pageBreakBefore w:val="0"/>
        <w:widowControl w:val="0"/>
        <w:numPr>
          <w:ilvl w:val="0"/>
          <w:numId w:val="23"/>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报障涉及对抓拍效果、违法图片合规性优化或调整，需要厂家对设备或平台的算法优化、修复设备安全漏洞、软件二次开发及升级，需在</w:t>
      </w:r>
      <w:r>
        <w:rPr>
          <w:rFonts w:hint="eastAsia" w:ascii="宋体" w:hAnsi="宋体"/>
          <w:color w:val="auto"/>
          <w:szCs w:val="21"/>
          <w:highlight w:val="none"/>
          <w:lang w:val="en-US" w:eastAsia="zh-CN"/>
        </w:rPr>
        <w:t>48小时</w:t>
      </w:r>
      <w:r>
        <w:rPr>
          <w:rFonts w:hint="eastAsia" w:ascii="宋体" w:hAnsi="宋体"/>
          <w:color w:val="auto"/>
          <w:szCs w:val="21"/>
          <w:highlight w:val="none"/>
        </w:rPr>
        <w:t>内</w:t>
      </w:r>
      <w:r>
        <w:rPr>
          <w:rFonts w:hint="eastAsia" w:ascii="宋体" w:hAnsi="宋体"/>
          <w:color w:val="auto"/>
          <w:szCs w:val="21"/>
          <w:highlight w:val="none"/>
          <w:lang w:val="en-US" w:eastAsia="zh-CN"/>
        </w:rPr>
        <w:t>完成</w:t>
      </w:r>
      <w:r>
        <w:rPr>
          <w:rFonts w:hint="eastAsia" w:ascii="宋体" w:hAnsi="宋体"/>
          <w:color w:val="auto"/>
          <w:szCs w:val="21"/>
          <w:highlight w:val="none"/>
        </w:rPr>
        <w:t>。</w:t>
      </w:r>
    </w:p>
    <w:p w14:paraId="58E99877">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故障报障修复延期或挂单的机制要求：</w:t>
      </w:r>
    </w:p>
    <w:p w14:paraId="0D5B50E5">
      <w:pPr>
        <w:keepNext w:val="0"/>
        <w:keepLines w:val="0"/>
        <w:pageBreakBefore w:val="0"/>
        <w:widowControl w:val="0"/>
        <w:numPr>
          <w:ilvl w:val="0"/>
          <w:numId w:val="24"/>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当遇到客观困难情况</w:t>
      </w:r>
      <w:r>
        <w:rPr>
          <w:rFonts w:hint="eastAsia" w:ascii="宋体" w:hAnsi="宋体"/>
          <w:color w:val="auto"/>
          <w:szCs w:val="21"/>
          <w:highlight w:val="none"/>
          <w:lang w:eastAsia="zh-CN"/>
        </w:rPr>
        <w:t>（</w:t>
      </w:r>
      <w:r>
        <w:rPr>
          <w:rFonts w:hint="eastAsia" w:ascii="宋体" w:hAnsi="宋体"/>
          <w:color w:val="auto"/>
          <w:szCs w:val="21"/>
          <w:highlight w:val="none"/>
        </w:rPr>
        <w:t>例如：道路严重堵车、交通事故、恶劣天气、车流高峰期、第三方维护的机房环境或各种不可抗力情况</w:t>
      </w:r>
      <w:r>
        <w:rPr>
          <w:rFonts w:hint="eastAsia" w:ascii="宋体" w:hAnsi="宋体"/>
          <w:color w:val="auto"/>
          <w:szCs w:val="21"/>
          <w:highlight w:val="none"/>
          <w:lang w:eastAsia="zh-CN"/>
        </w:rPr>
        <w:t>），</w:t>
      </w:r>
      <w:r>
        <w:rPr>
          <w:rFonts w:hint="eastAsia" w:ascii="宋体" w:hAnsi="宋体"/>
          <w:color w:val="auto"/>
          <w:szCs w:val="21"/>
          <w:highlight w:val="none"/>
        </w:rPr>
        <w:t>对故障修复时效造成影响，</w:t>
      </w:r>
      <w:r>
        <w:rPr>
          <w:rFonts w:hint="eastAsia" w:ascii="宋体" w:hAnsi="宋体"/>
          <w:color w:val="auto"/>
          <w:szCs w:val="21"/>
          <w:highlight w:val="none"/>
          <w:lang w:eastAsia="zh-CN"/>
        </w:rPr>
        <w:t>成交供应商</w:t>
      </w:r>
      <w:r>
        <w:rPr>
          <w:rFonts w:hint="eastAsia" w:ascii="宋体" w:hAnsi="宋体"/>
          <w:color w:val="auto"/>
          <w:szCs w:val="21"/>
          <w:highlight w:val="none"/>
        </w:rPr>
        <w:t>可24小时内以书面方式向</w:t>
      </w:r>
      <w:r>
        <w:rPr>
          <w:rFonts w:hint="eastAsia" w:ascii="宋体" w:hAnsi="宋体"/>
          <w:color w:val="auto"/>
          <w:szCs w:val="21"/>
          <w:highlight w:val="none"/>
          <w:lang w:val="en-US" w:eastAsia="zh-CN"/>
        </w:rPr>
        <w:t>采购人</w:t>
      </w:r>
      <w:r>
        <w:rPr>
          <w:rFonts w:hint="eastAsia" w:ascii="宋体" w:hAnsi="宋体"/>
          <w:color w:val="auto"/>
          <w:szCs w:val="21"/>
          <w:highlight w:val="none"/>
        </w:rPr>
        <w:t>提出故障修复时效延期或挂单。</w:t>
      </w:r>
      <w:r>
        <w:rPr>
          <w:rFonts w:hint="eastAsia" w:ascii="宋体" w:hAnsi="宋体"/>
          <w:color w:val="auto"/>
          <w:szCs w:val="21"/>
          <w:highlight w:val="none"/>
          <w:lang w:eastAsia="zh-CN"/>
        </w:rPr>
        <w:t>成交供应商</w:t>
      </w:r>
      <w:r>
        <w:rPr>
          <w:rFonts w:hint="eastAsia" w:ascii="宋体" w:hAnsi="宋体"/>
          <w:color w:val="auto"/>
          <w:szCs w:val="21"/>
          <w:highlight w:val="none"/>
        </w:rPr>
        <w:t>工程作业车通行证、年检过期不属于客观困难，故不能申请延期或挂单；</w:t>
      </w:r>
      <w:r>
        <w:rPr>
          <w:rFonts w:hint="eastAsia" w:ascii="宋体" w:hAnsi="宋体"/>
          <w:color w:val="auto"/>
          <w:szCs w:val="21"/>
          <w:highlight w:val="none"/>
          <w:lang w:eastAsia="zh-CN"/>
        </w:rPr>
        <w:t>成交供应商</w:t>
      </w:r>
      <w:r>
        <w:rPr>
          <w:rFonts w:hint="eastAsia" w:ascii="宋体" w:hAnsi="宋体"/>
          <w:color w:val="auto"/>
          <w:szCs w:val="21"/>
          <w:highlight w:val="none"/>
        </w:rPr>
        <w:t>不能以工程作业车数量不足无法修复故障为由，申请故障延期或挂单。</w:t>
      </w:r>
    </w:p>
    <w:p w14:paraId="7067FDE3">
      <w:pPr>
        <w:keepNext w:val="0"/>
        <w:keepLines w:val="0"/>
        <w:pageBreakBefore w:val="0"/>
        <w:widowControl w:val="0"/>
        <w:numPr>
          <w:ilvl w:val="0"/>
          <w:numId w:val="24"/>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延期或挂单申请在取得</w:t>
      </w:r>
      <w:r>
        <w:rPr>
          <w:rFonts w:hint="eastAsia" w:ascii="宋体" w:hAnsi="宋体"/>
          <w:color w:val="auto"/>
          <w:szCs w:val="21"/>
          <w:highlight w:val="none"/>
          <w:lang w:val="en-US" w:eastAsia="zh-CN"/>
        </w:rPr>
        <w:t>采购人</w:t>
      </w:r>
      <w:r>
        <w:rPr>
          <w:rFonts w:hint="eastAsia" w:ascii="宋体" w:hAnsi="宋体"/>
          <w:color w:val="auto"/>
          <w:szCs w:val="21"/>
          <w:highlight w:val="none"/>
        </w:rPr>
        <w:t>同意后，延期或挂单机制才生效</w:t>
      </w:r>
      <w:r>
        <w:rPr>
          <w:rFonts w:hint="eastAsia" w:ascii="宋体" w:hAnsi="宋体"/>
          <w:color w:val="auto"/>
          <w:szCs w:val="21"/>
          <w:highlight w:val="none"/>
          <w:lang w:eastAsia="zh-CN"/>
        </w:rPr>
        <w:t>，</w:t>
      </w:r>
      <w:r>
        <w:rPr>
          <w:rFonts w:hint="eastAsia" w:ascii="宋体" w:hAnsi="宋体"/>
          <w:color w:val="auto"/>
          <w:szCs w:val="21"/>
          <w:highlight w:val="none"/>
        </w:rPr>
        <w:t>当故障已排除修复困难后，可重新计算故障修复时间。</w:t>
      </w:r>
    </w:p>
    <w:p w14:paraId="55845048">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采购人</w:t>
      </w:r>
      <w:r>
        <w:rPr>
          <w:rFonts w:hint="eastAsia" w:ascii="宋体" w:hAnsi="宋体"/>
          <w:color w:val="auto"/>
          <w:szCs w:val="21"/>
          <w:highlight w:val="none"/>
        </w:rPr>
        <w:t>技术服务要求及性能指标：</w:t>
      </w:r>
    </w:p>
    <w:p w14:paraId="0C6C7AF2">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采购人</w:t>
      </w:r>
      <w:r>
        <w:rPr>
          <w:rFonts w:hint="eastAsia" w:ascii="宋体" w:hAnsi="宋体"/>
          <w:color w:val="auto"/>
          <w:szCs w:val="21"/>
          <w:highlight w:val="none"/>
        </w:rPr>
        <w:t>下发服务单，</w:t>
      </w:r>
      <w:r>
        <w:rPr>
          <w:rFonts w:hint="eastAsia" w:ascii="宋体" w:hAnsi="宋体"/>
          <w:color w:val="auto"/>
          <w:szCs w:val="21"/>
          <w:highlight w:val="none"/>
          <w:lang w:eastAsia="zh-CN"/>
        </w:rPr>
        <w:t>成交供应商</w:t>
      </w:r>
      <w:r>
        <w:rPr>
          <w:rFonts w:hint="eastAsia" w:ascii="宋体" w:hAnsi="宋体"/>
          <w:color w:val="auto"/>
          <w:szCs w:val="21"/>
          <w:highlight w:val="none"/>
        </w:rPr>
        <w:t>则按照</w:t>
      </w:r>
      <w:r>
        <w:rPr>
          <w:rFonts w:hint="eastAsia" w:ascii="宋体" w:hAnsi="宋体"/>
          <w:color w:val="auto"/>
          <w:szCs w:val="21"/>
          <w:highlight w:val="none"/>
          <w:lang w:val="en-US" w:eastAsia="zh-CN"/>
        </w:rPr>
        <w:t>采购人</w:t>
      </w:r>
      <w:r>
        <w:rPr>
          <w:rFonts w:hint="eastAsia" w:ascii="宋体" w:hAnsi="宋体"/>
          <w:color w:val="auto"/>
          <w:szCs w:val="21"/>
          <w:highlight w:val="none"/>
        </w:rPr>
        <w:t>提出的技术服务需求，提供技术支撑服务，服务内容包含但不限于：电警抓拍效果优化、数据统计及整理、抓拍功能适时启停用、配套标牌标线的排查、地标线翻新、设备迁移、设备拆除、重大节假日、应急保障及活动现场保障、</w:t>
      </w:r>
      <w:r>
        <w:rPr>
          <w:rFonts w:hint="eastAsia" w:ascii="宋体" w:hAnsi="宋体"/>
          <w:color w:val="auto"/>
          <w:szCs w:val="21"/>
          <w:highlight w:val="none"/>
          <w:lang w:val="en-US" w:eastAsia="zh-CN"/>
        </w:rPr>
        <w:t>服务</w:t>
      </w:r>
      <w:r>
        <w:rPr>
          <w:rFonts w:hint="eastAsia" w:ascii="宋体" w:hAnsi="宋体"/>
          <w:color w:val="auto"/>
          <w:szCs w:val="21"/>
          <w:highlight w:val="none"/>
        </w:rPr>
        <w:t>清单内所有测速设备标定、周期性巡检工作、及一机一档、一杆一档信息修改服务等。</w:t>
      </w:r>
    </w:p>
    <w:p w14:paraId="677BBA39">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期内，设备厂家按</w:t>
      </w:r>
      <w:r>
        <w:rPr>
          <w:rFonts w:hint="eastAsia" w:ascii="宋体" w:hAnsi="宋体"/>
          <w:color w:val="auto"/>
          <w:szCs w:val="21"/>
          <w:highlight w:val="none"/>
          <w:lang w:val="en-US" w:eastAsia="zh-CN"/>
        </w:rPr>
        <w:t>采购人</w:t>
      </w:r>
      <w:r>
        <w:rPr>
          <w:rFonts w:hint="eastAsia" w:ascii="宋体" w:hAnsi="宋体"/>
          <w:color w:val="auto"/>
          <w:szCs w:val="21"/>
          <w:highlight w:val="none"/>
        </w:rPr>
        <w:t>业务需求，研发出前端设备新功能的程序安装包，</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须提供人力资源和技术力量的服务，按照</w:t>
      </w:r>
      <w:r>
        <w:rPr>
          <w:rFonts w:hint="eastAsia" w:ascii="宋体" w:hAnsi="宋体"/>
          <w:color w:val="auto"/>
          <w:szCs w:val="21"/>
          <w:highlight w:val="none"/>
          <w:lang w:val="en-US" w:eastAsia="zh-CN"/>
        </w:rPr>
        <w:t>采购人</w:t>
      </w:r>
      <w:r>
        <w:rPr>
          <w:rFonts w:hint="eastAsia" w:ascii="宋体" w:hAnsi="宋体"/>
          <w:color w:val="auto"/>
          <w:szCs w:val="21"/>
          <w:highlight w:val="none"/>
        </w:rPr>
        <w:t>业务功能需求，完成程序安装包的安装、更新、升级的工作。</w:t>
      </w:r>
    </w:p>
    <w:p w14:paraId="39AA20C2">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服务单的完成时限，由双方通过书面服务单形式约定的时间内完成。</w:t>
      </w:r>
    </w:p>
    <w:p w14:paraId="329BC3EA">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在线率检查及无数据巡查作为服务中的其中一项工作内容，检查结果需提交</w:t>
      </w:r>
      <w:r>
        <w:rPr>
          <w:rFonts w:hint="eastAsia" w:ascii="宋体" w:hAnsi="宋体"/>
          <w:color w:val="auto"/>
          <w:szCs w:val="21"/>
          <w:highlight w:val="none"/>
          <w:lang w:val="en-US" w:eastAsia="zh-CN"/>
        </w:rPr>
        <w:t>采购人</w:t>
      </w:r>
      <w:r>
        <w:rPr>
          <w:rFonts w:hint="eastAsia" w:ascii="宋体" w:hAnsi="宋体"/>
          <w:color w:val="auto"/>
          <w:szCs w:val="21"/>
          <w:highlight w:val="none"/>
        </w:rPr>
        <w:t>确认，检查发现为设备故障的点位则当天转入报障抢修流程，修复时限与故障修复时限要求一致，</w:t>
      </w:r>
      <w:r>
        <w:rPr>
          <w:rFonts w:hint="eastAsia" w:ascii="宋体" w:hAnsi="宋体"/>
          <w:color w:val="auto"/>
          <w:szCs w:val="21"/>
          <w:highlight w:val="none"/>
          <w:lang w:eastAsia="zh-CN"/>
        </w:rPr>
        <w:t>成交供应商</w:t>
      </w:r>
      <w:r>
        <w:rPr>
          <w:rFonts w:hint="eastAsia" w:ascii="宋体" w:hAnsi="宋体"/>
          <w:color w:val="auto"/>
          <w:szCs w:val="21"/>
          <w:highlight w:val="none"/>
        </w:rPr>
        <w:t>必须保障设备每月在线率</w:t>
      </w:r>
      <w:r>
        <w:rPr>
          <w:rFonts w:hint="eastAsia" w:ascii="宋体" w:hAnsi="宋体"/>
          <w:color w:val="auto"/>
          <w:szCs w:val="21"/>
          <w:highlight w:val="none"/>
          <w:lang w:val="en-US" w:eastAsia="zh-CN"/>
        </w:rPr>
        <w:t>≥</w:t>
      </w:r>
      <w:r>
        <w:rPr>
          <w:rFonts w:hint="eastAsia" w:ascii="宋体" w:hAnsi="宋体"/>
          <w:color w:val="auto"/>
          <w:szCs w:val="21"/>
          <w:highlight w:val="none"/>
        </w:rPr>
        <w:t>95%。</w:t>
      </w:r>
    </w:p>
    <w:p w14:paraId="259D53EC">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w:t>
      </w:r>
      <w:r>
        <w:rPr>
          <w:rFonts w:hint="eastAsia" w:ascii="宋体" w:hAnsi="宋体"/>
          <w:color w:val="auto"/>
          <w:szCs w:val="21"/>
          <w:highlight w:val="none"/>
          <w:lang w:eastAsia="zh-CN"/>
        </w:rPr>
        <w:t>成交供应商</w:t>
      </w:r>
      <w:r>
        <w:rPr>
          <w:rFonts w:hint="eastAsia" w:ascii="宋体" w:hAnsi="宋体"/>
          <w:color w:val="auto"/>
          <w:szCs w:val="21"/>
          <w:highlight w:val="none"/>
        </w:rPr>
        <w:t>必须对电子警察设备的建档率做到100%一机一档、一杆一档信息的修改。</w:t>
      </w:r>
    </w:p>
    <w:p w14:paraId="1D59259A">
      <w:pPr>
        <w:keepNext w:val="0"/>
        <w:keepLines w:val="0"/>
        <w:pageBreakBefore w:val="0"/>
        <w:widowControl w:val="0"/>
        <w:numPr>
          <w:ilvl w:val="0"/>
          <w:numId w:val="2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维护性能指标要求，各类型闯红灯标准环境：</w:t>
      </w:r>
    </w:p>
    <w:p w14:paraId="7A83FAAD">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不按导向车道行车标准环境捕获率：≥95%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违法变线、压线，捕获率：≥95%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逆行、不按规定倒车标准环境，捕获率：≥95%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违法占用专用车道标准环境捕获率：≥95%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违法调头标准环境捕获率：≥95%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违法停车标准环境捕获率：≥95%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卡口抓拍标准环境车辆捕获率：≥99%</w:t>
      </w:r>
      <w:r>
        <w:rPr>
          <w:rFonts w:hint="eastAsia" w:ascii="宋体" w:hAnsi="宋体"/>
          <w:color w:val="auto"/>
          <w:szCs w:val="21"/>
          <w:highlight w:val="none"/>
          <w:lang w:eastAsia="zh-CN"/>
        </w:rPr>
        <w:t>；</w:t>
      </w:r>
      <w:r>
        <w:rPr>
          <w:rFonts w:hint="eastAsia" w:ascii="宋体" w:hAnsi="宋体"/>
          <w:color w:val="auto"/>
          <w:szCs w:val="21"/>
          <w:highlight w:val="none"/>
        </w:rPr>
        <w:t>号牌识别正确率：≥95%</w:t>
      </w:r>
      <w:r>
        <w:rPr>
          <w:rFonts w:hint="eastAsia" w:ascii="宋体" w:hAnsi="宋体"/>
          <w:color w:val="auto"/>
          <w:szCs w:val="21"/>
          <w:highlight w:val="none"/>
          <w:lang w:eastAsia="zh-CN"/>
        </w:rPr>
        <w:t>；</w:t>
      </w:r>
      <w:r>
        <w:rPr>
          <w:rFonts w:hint="eastAsia" w:ascii="宋体" w:hAnsi="宋体"/>
          <w:color w:val="auto"/>
          <w:szCs w:val="21"/>
          <w:highlight w:val="none"/>
        </w:rPr>
        <w:t>车牌识别，白天车辆号牌识别率</w:t>
      </w:r>
      <w:r>
        <w:rPr>
          <w:rFonts w:hint="eastAsia" w:ascii="宋体" w:hAnsi="宋体"/>
          <w:color w:val="auto"/>
          <w:szCs w:val="21"/>
          <w:highlight w:val="none"/>
          <w:lang w:val="en-US" w:eastAsia="zh-CN"/>
        </w:rPr>
        <w:t>≥</w:t>
      </w:r>
      <w:r>
        <w:rPr>
          <w:rFonts w:hint="eastAsia" w:ascii="宋体" w:hAnsi="宋体"/>
          <w:color w:val="auto"/>
          <w:szCs w:val="21"/>
          <w:highlight w:val="none"/>
        </w:rPr>
        <w:t>95%</w:t>
      </w:r>
      <w:r>
        <w:rPr>
          <w:rFonts w:hint="eastAsia" w:ascii="宋体" w:hAnsi="宋体"/>
          <w:color w:val="auto"/>
          <w:szCs w:val="21"/>
          <w:highlight w:val="none"/>
          <w:lang w:eastAsia="zh-CN"/>
        </w:rPr>
        <w:t>，</w:t>
      </w:r>
      <w:r>
        <w:rPr>
          <w:rFonts w:hint="eastAsia" w:ascii="宋体" w:hAnsi="宋体"/>
          <w:color w:val="auto"/>
          <w:szCs w:val="21"/>
          <w:highlight w:val="none"/>
        </w:rPr>
        <w:t>号牌识别准确率</w:t>
      </w:r>
      <w:r>
        <w:rPr>
          <w:rFonts w:hint="eastAsia" w:ascii="宋体" w:hAnsi="宋体"/>
          <w:color w:val="auto"/>
          <w:szCs w:val="21"/>
          <w:highlight w:val="none"/>
          <w:lang w:val="en-US" w:eastAsia="zh-CN"/>
        </w:rPr>
        <w:t>≥</w:t>
      </w:r>
      <w:r>
        <w:rPr>
          <w:rFonts w:hint="eastAsia" w:ascii="宋体" w:hAnsi="宋体"/>
          <w:color w:val="auto"/>
          <w:szCs w:val="21"/>
          <w:highlight w:val="none"/>
        </w:rPr>
        <w:t>90%</w:t>
      </w:r>
      <w:r>
        <w:rPr>
          <w:rFonts w:hint="eastAsia" w:ascii="宋体" w:hAnsi="宋体"/>
          <w:color w:val="auto"/>
          <w:szCs w:val="21"/>
          <w:highlight w:val="none"/>
          <w:lang w:eastAsia="zh-CN"/>
        </w:rPr>
        <w:t>；</w:t>
      </w:r>
      <w:r>
        <w:rPr>
          <w:rFonts w:hint="eastAsia" w:ascii="宋体" w:hAnsi="宋体"/>
          <w:color w:val="auto"/>
          <w:szCs w:val="21"/>
          <w:highlight w:val="none"/>
        </w:rPr>
        <w:t>夜间车辆号牌识别准确率</w:t>
      </w:r>
      <w:r>
        <w:rPr>
          <w:rFonts w:hint="eastAsia" w:ascii="宋体" w:hAnsi="宋体"/>
          <w:color w:val="auto"/>
          <w:szCs w:val="21"/>
          <w:highlight w:val="none"/>
          <w:lang w:val="en-US" w:eastAsia="zh-CN"/>
        </w:rPr>
        <w:t>≥</w:t>
      </w:r>
      <w:r>
        <w:rPr>
          <w:rFonts w:hint="eastAsia" w:ascii="宋体" w:hAnsi="宋体"/>
          <w:color w:val="auto"/>
          <w:szCs w:val="21"/>
          <w:highlight w:val="none"/>
        </w:rPr>
        <w:t>85%。</w:t>
      </w:r>
    </w:p>
    <w:p w14:paraId="5667E083">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375" w:leftChars="0" w:hanging="375" w:hangingChars="179"/>
        <w:contextualSpacing/>
        <w:textAlignment w:val="auto"/>
        <w:rPr>
          <w:rFonts w:hint="eastAsia" w:ascii="宋体" w:hAnsi="宋体"/>
          <w:color w:val="auto"/>
          <w:szCs w:val="21"/>
          <w:highlight w:val="none"/>
        </w:rPr>
      </w:pPr>
      <w:r>
        <w:rPr>
          <w:rFonts w:hint="eastAsia" w:ascii="宋体" w:hAnsi="宋体"/>
          <w:color w:val="auto"/>
          <w:szCs w:val="21"/>
          <w:highlight w:val="none"/>
        </w:rPr>
        <w:t>报障方式及故障修复确认方式：</w:t>
      </w:r>
      <w:r>
        <w:rPr>
          <w:rFonts w:hint="eastAsia" w:ascii="宋体" w:hAnsi="宋体"/>
          <w:color w:val="auto"/>
          <w:szCs w:val="21"/>
          <w:highlight w:val="none"/>
          <w:lang w:val="en-US" w:eastAsia="zh-CN"/>
        </w:rPr>
        <w:t>采购人</w:t>
      </w:r>
      <w:r>
        <w:rPr>
          <w:rFonts w:hint="eastAsia" w:ascii="宋体" w:hAnsi="宋体"/>
          <w:color w:val="auto"/>
          <w:szCs w:val="21"/>
          <w:highlight w:val="none"/>
        </w:rPr>
        <w:t>以电话、微信、电子邮件及现场会议方式申报故障。故障修复时间由</w:t>
      </w:r>
      <w:r>
        <w:rPr>
          <w:rFonts w:hint="eastAsia" w:ascii="宋体" w:hAnsi="宋体"/>
          <w:color w:val="auto"/>
          <w:szCs w:val="21"/>
          <w:highlight w:val="none"/>
          <w:lang w:val="en-US" w:eastAsia="zh-CN"/>
        </w:rPr>
        <w:t>采购人</w:t>
      </w:r>
      <w:r>
        <w:rPr>
          <w:rFonts w:hint="eastAsia" w:ascii="宋体" w:hAnsi="宋体"/>
          <w:color w:val="auto"/>
          <w:szCs w:val="21"/>
          <w:highlight w:val="none"/>
        </w:rPr>
        <w:t>发出故障时间为起点，以</w:t>
      </w:r>
      <w:r>
        <w:rPr>
          <w:rFonts w:hint="eastAsia" w:ascii="宋体" w:hAnsi="宋体"/>
          <w:color w:val="auto"/>
          <w:szCs w:val="21"/>
          <w:highlight w:val="none"/>
          <w:lang w:eastAsia="zh-CN"/>
        </w:rPr>
        <w:t>成交供应商</w:t>
      </w:r>
      <w:r>
        <w:rPr>
          <w:rFonts w:hint="eastAsia" w:ascii="宋体" w:hAnsi="宋体"/>
          <w:color w:val="auto"/>
          <w:szCs w:val="21"/>
          <w:highlight w:val="none"/>
        </w:rPr>
        <w:t>回复已修复时间截止。对于</w:t>
      </w:r>
      <w:r>
        <w:rPr>
          <w:rFonts w:hint="eastAsia" w:ascii="宋体" w:hAnsi="宋体"/>
          <w:color w:val="auto"/>
          <w:szCs w:val="21"/>
          <w:highlight w:val="none"/>
          <w:lang w:eastAsia="zh-CN"/>
        </w:rPr>
        <w:t>成交供应商</w:t>
      </w:r>
      <w:r>
        <w:rPr>
          <w:rFonts w:hint="eastAsia" w:ascii="宋体" w:hAnsi="宋体"/>
          <w:color w:val="auto"/>
          <w:szCs w:val="21"/>
          <w:highlight w:val="none"/>
        </w:rPr>
        <w:t>已修复故障单未及时回复的情况按实际回复时间为准。若设备修复后后续12小时内还是出现相同的故障，</w:t>
      </w:r>
      <w:r>
        <w:rPr>
          <w:rFonts w:hint="eastAsia" w:ascii="宋体" w:hAnsi="宋体"/>
          <w:color w:val="auto"/>
          <w:szCs w:val="21"/>
          <w:highlight w:val="none"/>
          <w:lang w:val="en-US" w:eastAsia="zh-CN"/>
        </w:rPr>
        <w:t>采购人</w:t>
      </w:r>
      <w:r>
        <w:rPr>
          <w:rFonts w:hint="eastAsia" w:ascii="宋体" w:hAnsi="宋体"/>
          <w:color w:val="auto"/>
          <w:szCs w:val="21"/>
          <w:highlight w:val="none"/>
        </w:rPr>
        <w:t>则按最后修复故障的时间进行计算。</w:t>
      </w:r>
    </w:p>
    <w:p w14:paraId="5528567D">
      <w:pPr>
        <w:keepNext w:val="0"/>
        <w:keepLines w:val="0"/>
        <w:pageBreakBefore w:val="0"/>
        <w:widowControl w:val="0"/>
        <w:numPr>
          <w:ilvl w:val="0"/>
          <w:numId w:val="22"/>
        </w:numPr>
        <w:tabs>
          <w:tab w:val="left" w:pos="284"/>
        </w:tabs>
        <w:kinsoku/>
        <w:wordWrap/>
        <w:overflowPunct/>
        <w:topLinePunct w:val="0"/>
        <w:autoSpaceDE/>
        <w:autoSpaceDN/>
        <w:bidi w:val="0"/>
        <w:adjustRightInd/>
        <w:snapToGrid w:val="0"/>
        <w:spacing w:line="360" w:lineRule="auto"/>
        <w:ind w:left="375" w:leftChars="0" w:hanging="375" w:hangingChars="17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期结束，</w:t>
      </w:r>
      <w:r>
        <w:rPr>
          <w:rFonts w:hint="eastAsia" w:ascii="宋体" w:hAnsi="宋体"/>
          <w:color w:val="auto"/>
          <w:szCs w:val="21"/>
          <w:highlight w:val="none"/>
          <w:lang w:eastAsia="zh-CN"/>
        </w:rPr>
        <w:t>成交供应商</w:t>
      </w:r>
      <w:r>
        <w:rPr>
          <w:rFonts w:hint="eastAsia" w:ascii="宋体" w:hAnsi="宋体"/>
          <w:color w:val="auto"/>
          <w:szCs w:val="21"/>
          <w:highlight w:val="none"/>
        </w:rPr>
        <w:t>须保证维护设备状态正常，并在</w:t>
      </w:r>
      <w:r>
        <w:rPr>
          <w:rFonts w:hint="eastAsia" w:ascii="宋体" w:hAnsi="宋体"/>
          <w:color w:val="auto"/>
          <w:szCs w:val="21"/>
          <w:highlight w:val="none"/>
          <w:lang w:val="en-US" w:eastAsia="zh-CN"/>
        </w:rPr>
        <w:t>采购人</w:t>
      </w:r>
      <w:r>
        <w:rPr>
          <w:rFonts w:hint="eastAsia" w:ascii="宋体" w:hAnsi="宋体"/>
          <w:color w:val="auto"/>
          <w:szCs w:val="21"/>
          <w:highlight w:val="none"/>
        </w:rPr>
        <w:t>监督下与下一年度</w:t>
      </w:r>
      <w:r>
        <w:rPr>
          <w:rFonts w:hint="eastAsia" w:ascii="宋体" w:hAnsi="宋体"/>
          <w:color w:val="auto"/>
          <w:szCs w:val="21"/>
          <w:highlight w:val="none"/>
          <w:lang w:val="en-US" w:eastAsia="zh-CN"/>
        </w:rPr>
        <w:t>服务供应商</w:t>
      </w:r>
      <w:r>
        <w:rPr>
          <w:rFonts w:hint="eastAsia" w:ascii="宋体" w:hAnsi="宋体"/>
          <w:color w:val="auto"/>
          <w:szCs w:val="21"/>
          <w:highlight w:val="none"/>
        </w:rPr>
        <w:t>交接。</w:t>
      </w:r>
    </w:p>
    <w:p w14:paraId="39942452">
      <w:pPr>
        <w:numPr>
          <w:ilvl w:val="0"/>
          <w:numId w:val="21"/>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电子警察后台机房、网络设备</w:t>
      </w:r>
      <w:r>
        <w:rPr>
          <w:rFonts w:hint="eastAsia" w:ascii="宋体" w:hAnsi="宋体"/>
          <w:color w:val="auto"/>
          <w:szCs w:val="21"/>
          <w:highlight w:val="none"/>
          <w:lang w:val="en-US" w:eastAsia="zh-CN"/>
        </w:rPr>
        <w:t>运维服务内容</w:t>
      </w:r>
    </w:p>
    <w:p w14:paraId="4428512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本项目主要目标是保障交警</w:t>
      </w:r>
      <w:r>
        <w:rPr>
          <w:rFonts w:hint="eastAsia" w:ascii="宋体" w:hAnsi="宋体"/>
          <w:color w:val="auto"/>
          <w:szCs w:val="21"/>
          <w:highlight w:val="none"/>
          <w:lang w:val="en-US" w:eastAsia="zh-CN"/>
        </w:rPr>
        <w:t>采购人</w:t>
      </w:r>
      <w:r>
        <w:rPr>
          <w:rFonts w:hint="eastAsia" w:ascii="宋体" w:hAnsi="宋体"/>
          <w:color w:val="auto"/>
          <w:szCs w:val="21"/>
          <w:highlight w:val="none"/>
        </w:rPr>
        <w:t>机房及网络设备24小时无故障稳定运行，确保系统数据绝对的安全。</w:t>
      </w:r>
    </w:p>
    <w:p w14:paraId="3721939A">
      <w:pPr>
        <w:keepNext w:val="0"/>
        <w:keepLines w:val="0"/>
        <w:pageBreakBefore w:val="0"/>
        <w:widowControl w:val="0"/>
        <w:numPr>
          <w:ilvl w:val="0"/>
          <w:numId w:val="2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根据相关文件要求安排合格的人员驻场进行维护工作。</w:t>
      </w:r>
    </w:p>
    <w:p w14:paraId="2BC1BA67">
      <w:pPr>
        <w:keepNext w:val="0"/>
        <w:keepLines w:val="0"/>
        <w:pageBreakBefore w:val="0"/>
        <w:widowControl w:val="0"/>
        <w:numPr>
          <w:ilvl w:val="0"/>
          <w:numId w:val="26"/>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在规定的时限内根据故障等级处理完毕。</w:t>
      </w:r>
    </w:p>
    <w:p w14:paraId="50061296">
      <w:pPr>
        <w:keepNext w:val="0"/>
        <w:keepLines w:val="0"/>
        <w:pageBreakBefore w:val="0"/>
        <w:widowControl w:val="0"/>
        <w:numPr>
          <w:ilvl w:val="0"/>
          <w:numId w:val="26"/>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期内机房改造如：UPS、空调更换等在新建设备交接前采标人正常维护，新建设备交接后保修日期内为原厂保修服务，保修期后交由相应的维保单位维护。</w:t>
      </w:r>
    </w:p>
    <w:p w14:paraId="16C95553">
      <w:pPr>
        <w:keepNext w:val="0"/>
        <w:keepLines w:val="0"/>
        <w:pageBreakBefore w:val="0"/>
        <w:widowControl w:val="0"/>
        <w:numPr>
          <w:ilvl w:val="0"/>
          <w:numId w:val="26"/>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故障修复要求：要求提供7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24小时系统任何故障响应服务，各种故障类型按如下时限修复要求完成修复：</w:t>
      </w:r>
    </w:p>
    <w:p w14:paraId="5CF28E10">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系统无响应故障：软件故障，48小时内解决；</w:t>
      </w:r>
    </w:p>
    <w:p w14:paraId="5A4C53D3">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非本地应用故障和</w:t>
      </w:r>
      <w:r>
        <w:rPr>
          <w:rFonts w:hint="eastAsia" w:ascii="宋体" w:hAnsi="宋体"/>
          <w:color w:val="auto"/>
          <w:szCs w:val="21"/>
          <w:highlight w:val="none"/>
          <w:lang w:val="en-US" w:eastAsia="zh-CN"/>
        </w:rPr>
        <w:t>采购人</w:t>
      </w:r>
      <w:r>
        <w:rPr>
          <w:rFonts w:hint="eastAsia" w:ascii="宋体" w:hAnsi="宋体"/>
          <w:color w:val="auto"/>
          <w:szCs w:val="21"/>
          <w:highlight w:val="none"/>
        </w:rPr>
        <w:t>应用故障：非本地部署的应用，需48小时内解决；</w:t>
      </w:r>
      <w:r>
        <w:rPr>
          <w:rFonts w:hint="eastAsia" w:ascii="宋体" w:hAnsi="宋体"/>
          <w:color w:val="auto"/>
          <w:szCs w:val="21"/>
          <w:highlight w:val="none"/>
          <w:lang w:val="en-US" w:eastAsia="zh-CN"/>
        </w:rPr>
        <w:t>采购人</w:t>
      </w:r>
      <w:r>
        <w:rPr>
          <w:rFonts w:hint="eastAsia" w:ascii="宋体" w:hAnsi="宋体"/>
          <w:color w:val="auto"/>
          <w:szCs w:val="21"/>
          <w:highlight w:val="none"/>
        </w:rPr>
        <w:t>部署的应用，需24小时内解决；</w:t>
      </w:r>
    </w:p>
    <w:p w14:paraId="137CFE05">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非原厂服务故障和原厂服务故障：非原厂服务系统故障，需48小时完成；原厂服务系统故障，需24小时完成；</w:t>
      </w:r>
    </w:p>
    <w:p w14:paraId="17DBD572">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数据库故障：软件故障，需48小时处理；</w:t>
      </w:r>
    </w:p>
    <w:p w14:paraId="27302162">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服务器故障类：</w:t>
      </w:r>
    </w:p>
    <w:p w14:paraId="38CC7D20">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系统故障类：检测为操作系统损坏，系统宕机，涉及业务较多，需要重装系统需要48小时解决；检测为系统资源不足、应用服务启动不了，48小时解决；</w:t>
      </w:r>
    </w:p>
    <w:p w14:paraId="0614AF5A">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硬件故障类：检测为服务器硬件</w:t>
      </w:r>
      <w:r>
        <w:rPr>
          <w:rFonts w:hint="eastAsia" w:ascii="宋体" w:hAnsi="宋体"/>
          <w:color w:val="auto"/>
          <w:szCs w:val="21"/>
          <w:highlight w:val="none"/>
          <w:lang w:eastAsia="zh-CN"/>
        </w:rPr>
        <w:t>（</w:t>
      </w:r>
      <w:r>
        <w:rPr>
          <w:rFonts w:hint="eastAsia" w:ascii="宋体" w:hAnsi="宋体"/>
          <w:color w:val="auto"/>
          <w:szCs w:val="21"/>
          <w:highlight w:val="none"/>
        </w:rPr>
        <w:t>cpu、内存、硬盘、风扇、电源、主板</w:t>
      </w:r>
      <w:r>
        <w:rPr>
          <w:rFonts w:hint="eastAsia" w:ascii="宋体" w:hAnsi="宋体"/>
          <w:color w:val="auto"/>
          <w:szCs w:val="21"/>
          <w:highlight w:val="none"/>
          <w:lang w:eastAsia="zh-CN"/>
        </w:rPr>
        <w:t>）</w:t>
      </w:r>
      <w:r>
        <w:rPr>
          <w:rFonts w:hint="eastAsia" w:ascii="宋体" w:hAnsi="宋体"/>
          <w:color w:val="auto"/>
          <w:szCs w:val="21"/>
          <w:highlight w:val="none"/>
        </w:rPr>
        <w:t>故障，需要返厂，需申请挂单处理，需72小时解决；软件故障类：检测为软件故障，需要重装软件48小时解决；检测为软件配置故障，48小时解决；</w:t>
      </w:r>
    </w:p>
    <w:p w14:paraId="6CF069F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ftp服务类：需要新增账户及文件夹权限，24小时解决；检测为ftp服务无法启动，24小时解决；</w:t>
      </w:r>
    </w:p>
    <w:p w14:paraId="5620BCAC">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消防故障类：硬件类24小时解决；</w:t>
      </w:r>
    </w:p>
    <w:p w14:paraId="5456414D">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ups类：硬件类24小时解决；</w:t>
      </w:r>
    </w:p>
    <w:p w14:paraId="7E893445">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空调类：检测空调故障类，24小时解决；硬件48小时解决；</w:t>
      </w:r>
    </w:p>
    <w:p w14:paraId="273C8D4E">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小机故障，软件类，需要重启服务24小时解决；系统故障类，需要重装系统48小时解决；硬件类、硬盘故障、内存故障、风扇故障、主板故障、CPU故障、电源故障、48小时解决；存储故障检测为硬件故障(模块、硬盘、内存)需要更换模块48小时解决；</w:t>
      </w:r>
    </w:p>
    <w:p w14:paraId="32695AED">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链路故障：</w:t>
      </w:r>
    </w:p>
    <w:p w14:paraId="47C8F22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w:t>
      </w:r>
      <w:r>
        <w:rPr>
          <w:rFonts w:hint="eastAsia" w:ascii="宋体" w:hAnsi="宋体"/>
          <w:color w:val="auto"/>
          <w:szCs w:val="21"/>
          <w:highlight w:val="none"/>
          <w:lang w:val="en-US" w:eastAsia="zh-CN"/>
        </w:rPr>
        <w:t>采购人</w:t>
      </w:r>
      <w:r>
        <w:rPr>
          <w:rFonts w:hint="eastAsia" w:ascii="宋体" w:hAnsi="宋体"/>
          <w:color w:val="auto"/>
          <w:szCs w:val="21"/>
          <w:highlight w:val="none"/>
        </w:rPr>
        <w:t>本端公安网交换机端口模块故障、端口配置、交换机配置故障导致，24小时内解决；</w:t>
      </w:r>
    </w:p>
    <w:p w14:paraId="31825CB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诊断为电信光纤链路、尾纤故障，则挂单交由运营商处理，直到运营商处理完故障后，验证故障，48小时解决；</w:t>
      </w:r>
    </w:p>
    <w:p w14:paraId="7F9D650F">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诊断为对端交换机、端口模块、配置故障导致，则挂单转给对方单位进行处理，直到对方故障解决后，验证故障，48小时内解决；</w:t>
      </w:r>
    </w:p>
    <w:p w14:paraId="4D25978F">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配置故障：</w:t>
      </w:r>
    </w:p>
    <w:p w14:paraId="3EA78B27">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配置新增链路、Vlan、子网、端口等24小时内解决；接入层交换机新机配置，24小时内解决；</w:t>
      </w:r>
    </w:p>
    <w:p w14:paraId="23F4FB2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汇聚层、核心层新机配置，48小时内解决；防火墙新机配置，48小时内解决；</w:t>
      </w:r>
    </w:p>
    <w:p w14:paraId="7E105909">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硬件故障：</w:t>
      </w:r>
    </w:p>
    <w:p w14:paraId="115AD004">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机房或楼层配线间接入层交换机端口、端口模块、端口配置、网线光纤链路、交换机配置或交换机硬件损坏导致网络中断故障，48小时内解决；</w:t>
      </w:r>
    </w:p>
    <w:p w14:paraId="6976AA2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核心层或汇聚层交换机端口、端口配置、端口模块、链路故障导致网络中断，48小时内解决；</w:t>
      </w:r>
    </w:p>
    <w:p w14:paraId="3F617C9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网络核心层交换机、汇聚层交换机设备或硬件板卡损坏，根据实际零部件采购所需时间申请相应延时，在申请时效内解决故障；如建筑物电源故障导致网络设备断电网络不通，则挂单转给物业单位处理，直到物业解决电源故障后，验证故障，48小时解决；</w:t>
      </w:r>
    </w:p>
    <w:p w14:paraId="78A91366">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软件故障：交换机、路由器系统假死导致设备无响应，48小时内解决；系统、版本等其它软件故障48小时内解决；</w:t>
      </w:r>
    </w:p>
    <w:p w14:paraId="3FDD5228">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边界故障：诊断为边界设备故障，48小时内解决；诊断为其它网络中的服务器、网络、服务引起，挂单转给对方处理，直到对方处理完成后，验证故障，48小时内解决；其它边界类故障则根据实际情况在申请时效内解决；跨网络环境故障：涉及到跨网络环境(公安网、政务网、视频网、车管网及边界)需48小时完成；涉及到跨网络环境从政务网ftp传数据至公安网ftp,需48小时完成；</w:t>
      </w:r>
    </w:p>
    <w:p w14:paraId="750C585A">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协助配合：诊断为负责范围内的常规网络故障(交换机配置、端口模块、光纤链路故障、接入层交换机故障)48小时内解决；诊断为负责范围内网络正常，反馈诊断结果并转给相应单位处理；其它根据实际情况申请时效；</w:t>
      </w:r>
    </w:p>
    <w:p w14:paraId="440102B2">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网络建设项目：中大型网络及安全项目建设，48小时解决；新建项目等分配VLANID号、子网，48小时内解决；机房上架5台以下服务器、防火墙、网闸、交换机等，分配IP地址及确定机柜位置，24小时内解决；机房上架5台以上服务器、防火墙、网闸、交换机等，分配IP地址及确定机柜位置，48小时内解决；</w:t>
      </w:r>
    </w:p>
    <w:p w14:paraId="76C42AD0">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采购人</w:t>
      </w:r>
      <w:r>
        <w:rPr>
          <w:rFonts w:hint="eastAsia" w:ascii="宋体" w:hAnsi="宋体"/>
          <w:color w:val="auto"/>
          <w:szCs w:val="21"/>
          <w:highlight w:val="none"/>
        </w:rPr>
        <w:t>网络故障：PC主机网络不通，网卡、IP地址、网关配置错误或冲突导致，24小时内解决；PC主机网络不通，网线或水晶头接触不良故障导致，48小时内解决；PC主机网络不通，路线所连接的面板故障导致，48小时解决；接入层交换机配置、端口、端口配置、端口模块导致，48小时内解决；如建筑物电源故障导致网络设备断电网络不通，则挂单转给物业单位处理，直到物业解决电源故障后，验证故障，48小时解决；</w:t>
      </w:r>
    </w:p>
    <w:p w14:paraId="4808F01C">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对</w:t>
      </w:r>
      <w:r>
        <w:rPr>
          <w:rFonts w:hint="eastAsia" w:ascii="宋体" w:hAnsi="宋体"/>
          <w:color w:val="auto"/>
          <w:szCs w:val="21"/>
          <w:highlight w:val="none"/>
          <w:lang w:val="en-US" w:eastAsia="zh-CN"/>
        </w:rPr>
        <w:t>采购人</w:t>
      </w:r>
      <w:r>
        <w:rPr>
          <w:rFonts w:hint="eastAsia" w:ascii="宋体" w:hAnsi="宋体"/>
          <w:color w:val="auto"/>
          <w:szCs w:val="21"/>
          <w:highlight w:val="none"/>
        </w:rPr>
        <w:t>PC终端类的维护，只对软件类进行维护，不包括硬件维护；</w:t>
      </w:r>
    </w:p>
    <w:p w14:paraId="72E464C6">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挂单：</w:t>
      </w:r>
    </w:p>
    <w:p w14:paraId="4F881DEE">
      <w:pPr>
        <w:keepNext w:val="0"/>
        <w:keepLines w:val="0"/>
        <w:pageBreakBefore w:val="0"/>
        <w:widowControl w:val="0"/>
        <w:numPr>
          <w:ilvl w:val="0"/>
          <w:numId w:val="28"/>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诊断为第三方负责管理范围故障，把诊断情况反馈给第三方负责人；</w:t>
      </w:r>
    </w:p>
    <w:p w14:paraId="31C46772">
      <w:pPr>
        <w:keepNext w:val="0"/>
        <w:keepLines w:val="0"/>
        <w:pageBreakBefore w:val="0"/>
        <w:widowControl w:val="0"/>
        <w:numPr>
          <w:ilvl w:val="0"/>
          <w:numId w:val="28"/>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硬件设备(核心设备)需要返厂维修，需采购核心设备，根据厂家维修预估完成时间，进行时效申请，待厂家维修好设备，在申请时效内处理好；</w:t>
      </w:r>
    </w:p>
    <w:p w14:paraId="2B11718C">
      <w:pPr>
        <w:keepNext w:val="0"/>
        <w:keepLines w:val="0"/>
        <w:pageBreakBefore w:val="0"/>
        <w:widowControl w:val="0"/>
        <w:numPr>
          <w:ilvl w:val="0"/>
          <w:numId w:val="28"/>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非原厂服务(上级系统)需评估修复故障时间；</w:t>
      </w:r>
    </w:p>
    <w:p w14:paraId="319E0EE2">
      <w:pPr>
        <w:keepNext w:val="0"/>
        <w:keepLines w:val="0"/>
        <w:pageBreakBefore w:val="0"/>
        <w:widowControl w:val="0"/>
        <w:numPr>
          <w:ilvl w:val="0"/>
          <w:numId w:val="27"/>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申请延时：</w:t>
      </w:r>
    </w:p>
    <w:p w14:paraId="73A41D1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申请购买设备、零部件，需申请延时处理；</w:t>
      </w:r>
    </w:p>
    <w:p w14:paraId="7341AF0B">
      <w:pPr>
        <w:keepNext w:val="0"/>
        <w:keepLines w:val="0"/>
        <w:pageBreakBefore w:val="0"/>
        <w:widowControl w:val="0"/>
        <w:numPr>
          <w:ilvl w:val="0"/>
          <w:numId w:val="2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24小时的服务请求响应服务，并保证报障电话24小时畅通，接到服务单后，工作日：30分钟内响应，1个工作日内完成，如有困难无法解决的，经</w:t>
      </w:r>
      <w:r>
        <w:rPr>
          <w:rFonts w:hint="eastAsia" w:ascii="宋体" w:hAnsi="宋体"/>
          <w:color w:val="auto"/>
          <w:szCs w:val="21"/>
          <w:highlight w:val="none"/>
          <w:lang w:val="en-US" w:eastAsia="zh-CN"/>
        </w:rPr>
        <w:t>采购人</w:t>
      </w:r>
      <w:r>
        <w:rPr>
          <w:rFonts w:hint="eastAsia" w:ascii="宋体" w:hAnsi="宋体"/>
          <w:color w:val="auto"/>
          <w:szCs w:val="21"/>
          <w:highlight w:val="none"/>
        </w:rPr>
        <w:t>同意，可延长至3个工作日；若有特殊情况3个工作日无法解决的，需将情况报</w:t>
      </w:r>
      <w:r>
        <w:rPr>
          <w:rFonts w:hint="eastAsia" w:ascii="宋体" w:hAnsi="宋体"/>
          <w:color w:val="auto"/>
          <w:szCs w:val="21"/>
          <w:highlight w:val="none"/>
          <w:lang w:val="en-US" w:eastAsia="zh-CN"/>
        </w:rPr>
        <w:t>采购人</w:t>
      </w:r>
      <w:r>
        <w:rPr>
          <w:rFonts w:hint="eastAsia" w:ascii="宋体" w:hAnsi="宋体"/>
          <w:color w:val="auto"/>
          <w:szCs w:val="21"/>
          <w:highlight w:val="none"/>
        </w:rPr>
        <w:t>核准同意后延期完成。非工作日：原则上不派发服务工单，如遇特殊情况的以实际商议时限按时完成。</w:t>
      </w:r>
    </w:p>
    <w:p w14:paraId="1CADF43D">
      <w:pPr>
        <w:keepNext w:val="0"/>
        <w:keepLines w:val="0"/>
        <w:pageBreakBefore w:val="0"/>
        <w:widowControl w:val="0"/>
        <w:numPr>
          <w:ilvl w:val="0"/>
          <w:numId w:val="2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如遇到重大故障，驻场人员无法处理的，</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应马上委派二线人员支援；需现场解决的，二线人员应在2个工作日内到达现场，到达后1个工作日内解决问题。</w:t>
      </w:r>
    </w:p>
    <w:p w14:paraId="0B4612E6">
      <w:pPr>
        <w:keepNext w:val="0"/>
        <w:keepLines w:val="0"/>
        <w:pageBreakBefore w:val="0"/>
        <w:widowControl w:val="0"/>
        <w:numPr>
          <w:ilvl w:val="0"/>
          <w:numId w:val="2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对系统按月、季度定期巡检：每月最后一周进行一次常规的整体运行巡检服务，包括软件系统的稳定性情况、硬件设备的运行情况；每个季度的最后一周进行一次业务系统全面的巡检，包括并不限于软件系统运行情况分析，存在问题的原因剖析(例如性能瓶颈可能是缺乏内存或CPU资源),数据库、中间件、备份系统的运行状态等，</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应给出分析报表和改进意见报</w:t>
      </w:r>
      <w:r>
        <w:rPr>
          <w:rFonts w:hint="eastAsia" w:ascii="宋体" w:hAnsi="宋体"/>
          <w:color w:val="auto"/>
          <w:szCs w:val="21"/>
          <w:highlight w:val="none"/>
          <w:lang w:val="en-US" w:eastAsia="zh-CN"/>
        </w:rPr>
        <w:t>采购人</w:t>
      </w:r>
      <w:r>
        <w:rPr>
          <w:rFonts w:hint="eastAsia" w:ascii="宋体" w:hAnsi="宋体"/>
          <w:color w:val="auto"/>
          <w:szCs w:val="21"/>
          <w:highlight w:val="none"/>
        </w:rPr>
        <w:t>审核。上述巡检服务应按双方约定格式提交巡检报告，装订成册提交</w:t>
      </w:r>
      <w:r>
        <w:rPr>
          <w:rFonts w:hint="eastAsia" w:ascii="宋体" w:hAnsi="宋体"/>
          <w:color w:val="auto"/>
          <w:szCs w:val="21"/>
          <w:highlight w:val="none"/>
          <w:lang w:val="en-US" w:eastAsia="zh-CN"/>
        </w:rPr>
        <w:t>采购人</w:t>
      </w:r>
      <w:r>
        <w:rPr>
          <w:rFonts w:hint="eastAsia" w:ascii="宋体" w:hAnsi="宋体"/>
          <w:color w:val="auto"/>
          <w:szCs w:val="21"/>
          <w:highlight w:val="none"/>
          <w:lang w:eastAsia="zh-CN"/>
        </w:rPr>
        <w:t>，</w:t>
      </w:r>
      <w:r>
        <w:rPr>
          <w:rFonts w:hint="eastAsia" w:ascii="宋体" w:hAnsi="宋体"/>
          <w:color w:val="auto"/>
          <w:szCs w:val="21"/>
          <w:highlight w:val="none"/>
        </w:rPr>
        <w:t>各类文档应在工作完成后5个工作日内提供。</w:t>
      </w:r>
    </w:p>
    <w:p w14:paraId="6CF158E2">
      <w:pPr>
        <w:keepNext w:val="0"/>
        <w:keepLines w:val="0"/>
        <w:pageBreakBefore w:val="0"/>
        <w:widowControl w:val="0"/>
        <w:numPr>
          <w:ilvl w:val="0"/>
          <w:numId w:val="2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期内上述业务系统会随机被上级部门抽取参加信息安全等级保护评定，在评定过程中</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就检测机构提出的系统隐患、安全漏洞等存在问题进行相应的整改，确保被抽查系统通过网监部门的等保评定。</w:t>
      </w:r>
    </w:p>
    <w:p w14:paraId="72AA33BD">
      <w:pPr>
        <w:keepNext w:val="0"/>
        <w:keepLines w:val="0"/>
        <w:pageBreakBefore w:val="0"/>
        <w:widowControl w:val="0"/>
        <w:numPr>
          <w:ilvl w:val="0"/>
          <w:numId w:val="2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期内上述业务系统遇到省厅、市府、市局等上级网信部门发出的安全漏洞通报，</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应根据通报问题有针对性的进行整改修复，并将处理情况形成书面报告回复</w:t>
      </w:r>
      <w:r>
        <w:rPr>
          <w:rFonts w:hint="eastAsia" w:ascii="宋体" w:hAnsi="宋体"/>
          <w:color w:val="auto"/>
          <w:szCs w:val="21"/>
          <w:highlight w:val="none"/>
          <w:lang w:val="en-US" w:eastAsia="zh-CN"/>
        </w:rPr>
        <w:t>采购人</w:t>
      </w:r>
      <w:r>
        <w:rPr>
          <w:rFonts w:hint="eastAsia" w:ascii="宋体" w:hAnsi="宋体"/>
          <w:color w:val="auto"/>
          <w:szCs w:val="21"/>
          <w:highlight w:val="none"/>
        </w:rPr>
        <w:t>。</w:t>
      </w:r>
    </w:p>
    <w:p w14:paraId="6A9A710C">
      <w:pPr>
        <w:keepNext w:val="0"/>
        <w:keepLines w:val="0"/>
        <w:pageBreakBefore w:val="0"/>
        <w:widowControl w:val="0"/>
        <w:numPr>
          <w:ilvl w:val="0"/>
          <w:numId w:val="26"/>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ascii="宋体" w:hAnsi="宋体"/>
          <w:color w:val="auto"/>
          <w:szCs w:val="21"/>
          <w:highlight w:val="none"/>
        </w:rPr>
      </w:pPr>
      <w:r>
        <w:rPr>
          <w:rFonts w:hint="eastAsia" w:ascii="宋体" w:hAnsi="宋体"/>
          <w:color w:val="auto"/>
          <w:szCs w:val="21"/>
          <w:highlight w:val="none"/>
          <w:lang w:val="en-US" w:eastAsia="zh-CN"/>
        </w:rPr>
        <w:t>服务流程及应急保障</w:t>
      </w:r>
    </w:p>
    <w:p w14:paraId="157A4334">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参照运维服务标准体系，建立各项运维服务标准流程，制定服务规章制度，应按照流程要求提供高质量、快响应的服务。服务流程应该包括服务台管理、事件管理、问题管理、配置管理、服务质量管理、服务考核评估等。针对重大或特定保障任务，提供应急保障服务。在接到保障任务后及时安排工作，保障运维人员按照</w:t>
      </w:r>
      <w:r>
        <w:rPr>
          <w:rFonts w:hint="eastAsia" w:ascii="宋体" w:hAnsi="宋体"/>
          <w:color w:val="auto"/>
          <w:szCs w:val="21"/>
          <w:highlight w:val="none"/>
          <w:lang w:val="en-US" w:eastAsia="zh-CN"/>
        </w:rPr>
        <w:t>采购人</w:t>
      </w:r>
      <w:r>
        <w:rPr>
          <w:rFonts w:hint="eastAsia" w:ascii="宋体" w:hAnsi="宋体"/>
          <w:color w:val="auto"/>
          <w:szCs w:val="21"/>
          <w:highlight w:val="none"/>
        </w:rPr>
        <w:t>要求到位。</w:t>
      </w:r>
    </w:p>
    <w:p w14:paraId="23E05AEF">
      <w:pPr>
        <w:numPr>
          <w:ilvl w:val="0"/>
          <w:numId w:val="30"/>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重大保障期间按照</w:t>
      </w:r>
      <w:r>
        <w:rPr>
          <w:rFonts w:hint="eastAsia" w:ascii="宋体" w:hAnsi="宋体"/>
          <w:color w:val="auto"/>
          <w:szCs w:val="21"/>
          <w:highlight w:val="none"/>
          <w:lang w:val="en-US" w:eastAsia="zh-CN"/>
        </w:rPr>
        <w:t>采购人</w:t>
      </w:r>
      <w:r>
        <w:rPr>
          <w:rFonts w:hint="eastAsia" w:ascii="宋体" w:hAnsi="宋体"/>
          <w:color w:val="auto"/>
          <w:szCs w:val="21"/>
          <w:highlight w:val="none"/>
        </w:rPr>
        <w:t>要求完成保障工作。</w:t>
      </w:r>
    </w:p>
    <w:p w14:paraId="3351CB4F">
      <w:pPr>
        <w:numPr>
          <w:ilvl w:val="0"/>
          <w:numId w:val="30"/>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按</w:t>
      </w:r>
      <w:r>
        <w:rPr>
          <w:rFonts w:hint="eastAsia" w:ascii="宋体" w:hAnsi="宋体"/>
          <w:color w:val="auto"/>
          <w:szCs w:val="21"/>
          <w:highlight w:val="none"/>
          <w:lang w:val="en-US" w:eastAsia="zh-CN"/>
        </w:rPr>
        <w:t>采购人</w:t>
      </w:r>
      <w:r>
        <w:rPr>
          <w:rFonts w:hint="eastAsia" w:ascii="宋体" w:hAnsi="宋体"/>
          <w:color w:val="auto"/>
          <w:szCs w:val="21"/>
          <w:highlight w:val="none"/>
        </w:rPr>
        <w:t>要求安排工程师常驻现场服务。</w:t>
      </w:r>
    </w:p>
    <w:p w14:paraId="25862066">
      <w:pPr>
        <w:numPr>
          <w:ilvl w:val="0"/>
          <w:numId w:val="30"/>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场外及驻点工程师服务时间不限于上班时间，24小时接受工作安排。</w:t>
      </w:r>
    </w:p>
    <w:p w14:paraId="67E90A8E">
      <w:pPr>
        <w:numPr>
          <w:ilvl w:val="0"/>
          <w:numId w:val="30"/>
        </w:numPr>
        <w:tabs>
          <w:tab w:val="left" w:pos="284"/>
        </w:tabs>
        <w:snapToGrid w:val="0"/>
        <w:spacing w:line="360" w:lineRule="auto"/>
        <w:ind w:left="0" w:leftChars="0" w:firstLine="420" w:firstLineChars="200"/>
        <w:contextualSpacing/>
        <w:rPr>
          <w:rFonts w:ascii="宋体" w:hAnsi="宋体"/>
          <w:color w:val="auto"/>
          <w:szCs w:val="21"/>
          <w:highlight w:val="none"/>
        </w:rPr>
      </w:pPr>
      <w:r>
        <w:rPr>
          <w:rFonts w:hint="eastAsia" w:ascii="宋体" w:hAnsi="宋体"/>
          <w:color w:val="auto"/>
          <w:szCs w:val="21"/>
          <w:highlight w:val="none"/>
        </w:rPr>
        <w:t>及时增加运维人员和设备，以保障任务顺利完成。</w:t>
      </w:r>
    </w:p>
    <w:p w14:paraId="1B046762">
      <w:pPr>
        <w:numPr>
          <w:ilvl w:val="0"/>
          <w:numId w:val="12"/>
        </w:numPr>
        <w:snapToGrid w:val="0"/>
        <w:spacing w:line="360" w:lineRule="auto"/>
        <w:contextualSpacing/>
        <w:rPr>
          <w:rFonts w:ascii="宋体" w:hAnsi="宋体"/>
          <w:b/>
          <w:bCs/>
          <w:color w:val="auto"/>
          <w:szCs w:val="21"/>
          <w:highlight w:val="none"/>
        </w:rPr>
      </w:pPr>
      <w:r>
        <w:rPr>
          <w:rFonts w:hint="eastAsia" w:ascii="宋体" w:hAnsi="宋体"/>
          <w:b/>
          <w:bCs/>
          <w:iCs/>
          <w:color w:val="auto"/>
          <w:szCs w:val="21"/>
          <w:highlight w:val="none"/>
        </w:rPr>
        <w:t>道路交通信号灯运维服务</w:t>
      </w:r>
    </w:p>
    <w:p w14:paraId="77C57874">
      <w:pPr>
        <w:numPr>
          <w:ilvl w:val="0"/>
          <w:numId w:val="31"/>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道路交通信号灯运维服务路口和路段情况一览表</w:t>
      </w:r>
    </w:p>
    <w:tbl>
      <w:tblPr>
        <w:tblStyle w:val="8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4"/>
        <w:gridCol w:w="3303"/>
        <w:gridCol w:w="2092"/>
        <w:gridCol w:w="2837"/>
      </w:tblGrid>
      <w:tr w14:paraId="2CE81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764BAB12">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序号</w:t>
            </w:r>
          </w:p>
        </w:tc>
        <w:tc>
          <w:tcPr>
            <w:tcW w:w="1819" w:type="pct"/>
            <w:vAlign w:val="center"/>
          </w:tcPr>
          <w:p w14:paraId="4FEED497">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1"/>
                <w:sz w:val="21"/>
                <w:szCs w:val="21"/>
                <w:highlight w:val="none"/>
              </w:rPr>
              <w:t>路口/路段名称</w:t>
            </w:r>
          </w:p>
        </w:tc>
        <w:tc>
          <w:tcPr>
            <w:tcW w:w="1152" w:type="pct"/>
            <w:vAlign w:val="center"/>
          </w:tcPr>
          <w:p w14:paraId="185E72DC">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路口类型</w:t>
            </w:r>
          </w:p>
        </w:tc>
        <w:tc>
          <w:tcPr>
            <w:tcW w:w="1562" w:type="pct"/>
            <w:vAlign w:val="center"/>
          </w:tcPr>
          <w:p w14:paraId="7A6918C4">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控制机类型</w:t>
            </w:r>
          </w:p>
        </w:tc>
      </w:tr>
      <w:tr w14:paraId="10BD9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E9D451D">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819" w:type="pct"/>
            <w:vAlign w:val="center"/>
          </w:tcPr>
          <w:p w14:paraId="52714F96">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沿江中路江月湾路口</w:t>
            </w:r>
          </w:p>
        </w:tc>
        <w:tc>
          <w:tcPr>
            <w:tcW w:w="1152" w:type="pct"/>
            <w:vAlign w:val="center"/>
          </w:tcPr>
          <w:p w14:paraId="60071677">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丁字</w:t>
            </w:r>
          </w:p>
        </w:tc>
        <w:tc>
          <w:tcPr>
            <w:tcW w:w="1562" w:type="pct"/>
            <w:vAlign w:val="center"/>
          </w:tcPr>
          <w:p w14:paraId="0AF5BF6E">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67A57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5511138">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819" w:type="pct"/>
            <w:vAlign w:val="center"/>
          </w:tcPr>
          <w:p w14:paraId="220E6EA2">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道厚路道滘大桥路口</w:t>
            </w:r>
          </w:p>
        </w:tc>
        <w:tc>
          <w:tcPr>
            <w:tcW w:w="1152" w:type="pct"/>
            <w:vAlign w:val="center"/>
          </w:tcPr>
          <w:p w14:paraId="1EB6F5CD">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C006EBF">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-B</w:t>
            </w:r>
          </w:p>
        </w:tc>
      </w:tr>
      <w:tr w14:paraId="65D5C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1806C31">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819" w:type="pct"/>
            <w:vAlign w:val="center"/>
          </w:tcPr>
          <w:p w14:paraId="46C378F4">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道厚路新兴派出所路口</w:t>
            </w:r>
          </w:p>
        </w:tc>
        <w:tc>
          <w:tcPr>
            <w:tcW w:w="1152" w:type="pct"/>
            <w:vAlign w:val="center"/>
          </w:tcPr>
          <w:p w14:paraId="54040AB9">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3A1C2C21">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2C44A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65CD64E">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1819" w:type="pct"/>
            <w:vAlign w:val="center"/>
          </w:tcPr>
          <w:p w14:paraId="42965CB5">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道洪路九曲路口</w:t>
            </w:r>
          </w:p>
        </w:tc>
        <w:tc>
          <w:tcPr>
            <w:tcW w:w="1152" w:type="pct"/>
            <w:vAlign w:val="center"/>
          </w:tcPr>
          <w:p w14:paraId="1D6F5496">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530CC73F">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法马QR-C</w:t>
            </w:r>
          </w:p>
        </w:tc>
      </w:tr>
      <w:tr w14:paraId="39871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6055D98A">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w:t>
            </w:r>
          </w:p>
        </w:tc>
        <w:tc>
          <w:tcPr>
            <w:tcW w:w="1819" w:type="pct"/>
            <w:vAlign w:val="center"/>
          </w:tcPr>
          <w:p w14:paraId="58876F07">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粤晖路粤晖园路口</w:t>
            </w:r>
          </w:p>
        </w:tc>
        <w:tc>
          <w:tcPr>
            <w:tcW w:w="1152" w:type="pct"/>
            <w:vAlign w:val="center"/>
          </w:tcPr>
          <w:p w14:paraId="5EBB4EF6">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52D11107">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-C</w:t>
            </w:r>
          </w:p>
        </w:tc>
      </w:tr>
      <w:tr w14:paraId="3AA3AA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0E4A24EA">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6</w:t>
            </w:r>
          </w:p>
        </w:tc>
        <w:tc>
          <w:tcPr>
            <w:tcW w:w="1819" w:type="pct"/>
            <w:vAlign w:val="center"/>
          </w:tcPr>
          <w:p w14:paraId="4D76DFFA">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粤晖路大罗沙路口</w:t>
            </w:r>
          </w:p>
        </w:tc>
        <w:tc>
          <w:tcPr>
            <w:tcW w:w="1152" w:type="pct"/>
            <w:vAlign w:val="center"/>
          </w:tcPr>
          <w:p w14:paraId="647B51C9">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9FD6F4C">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青松</w:t>
            </w:r>
            <w:r>
              <w:rPr>
                <w:rFonts w:hint="eastAsia" w:ascii="宋体" w:hAnsi="宋体" w:eastAsia="宋体" w:cs="宋体"/>
                <w:color w:val="auto"/>
                <w:sz w:val="21"/>
                <w:szCs w:val="21"/>
                <w:highlight w:val="none"/>
              </w:rPr>
              <w:t>TC</w:t>
            </w:r>
            <w:r>
              <w:rPr>
                <w:rFonts w:hint="eastAsia" w:ascii="宋体" w:hAnsi="宋体" w:eastAsia="宋体" w:cs="宋体"/>
                <w:color w:val="auto"/>
                <w:spacing w:val="1"/>
                <w:sz w:val="21"/>
                <w:szCs w:val="21"/>
                <w:highlight w:val="none"/>
              </w:rPr>
              <w:t>-3100</w:t>
            </w:r>
          </w:p>
        </w:tc>
      </w:tr>
      <w:tr w14:paraId="37D74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33C910D5">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w:t>
            </w:r>
          </w:p>
        </w:tc>
        <w:tc>
          <w:tcPr>
            <w:tcW w:w="1819" w:type="pct"/>
            <w:vAlign w:val="center"/>
          </w:tcPr>
          <w:p w14:paraId="43979272">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南阁中路卫屋路口</w:t>
            </w:r>
          </w:p>
        </w:tc>
        <w:tc>
          <w:tcPr>
            <w:tcW w:w="1152" w:type="pct"/>
            <w:vAlign w:val="center"/>
          </w:tcPr>
          <w:p w14:paraId="28D9FBCD">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4D9DBFE3">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-B</w:t>
            </w:r>
          </w:p>
        </w:tc>
      </w:tr>
      <w:tr w14:paraId="7951A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9DF88C3">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w:t>
            </w:r>
          </w:p>
        </w:tc>
        <w:tc>
          <w:tcPr>
            <w:tcW w:w="1819" w:type="pct"/>
            <w:vAlign w:val="center"/>
          </w:tcPr>
          <w:p w14:paraId="6F8E8E4F">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南阁中路南阁路口</w:t>
            </w:r>
          </w:p>
        </w:tc>
        <w:tc>
          <w:tcPr>
            <w:tcW w:w="1152" w:type="pct"/>
            <w:vAlign w:val="center"/>
          </w:tcPr>
          <w:p w14:paraId="4AF65500">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727B4D8">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79063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4C5EE36E">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w:t>
            </w:r>
          </w:p>
        </w:tc>
        <w:tc>
          <w:tcPr>
            <w:tcW w:w="1819" w:type="pct"/>
            <w:vAlign w:val="center"/>
          </w:tcPr>
          <w:p w14:paraId="6F47C9A7">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南阁东路南丫大桥路口</w:t>
            </w:r>
          </w:p>
        </w:tc>
        <w:tc>
          <w:tcPr>
            <w:tcW w:w="1152" w:type="pct"/>
            <w:vAlign w:val="center"/>
          </w:tcPr>
          <w:p w14:paraId="300FEB94">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DCD536C">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04DE1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7F15A7B6">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10</w:t>
            </w:r>
          </w:p>
        </w:tc>
        <w:tc>
          <w:tcPr>
            <w:tcW w:w="1819" w:type="pct"/>
            <w:vAlign w:val="center"/>
          </w:tcPr>
          <w:p w14:paraId="7CCFE088">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小河路创意路口</w:t>
            </w:r>
          </w:p>
        </w:tc>
        <w:tc>
          <w:tcPr>
            <w:tcW w:w="1152" w:type="pct"/>
            <w:vAlign w:val="center"/>
          </w:tcPr>
          <w:p w14:paraId="4DE5C581">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02D6C8B3">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青松</w:t>
            </w:r>
          </w:p>
        </w:tc>
      </w:tr>
      <w:tr w14:paraId="238C4F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8469815">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11</w:t>
            </w:r>
          </w:p>
        </w:tc>
        <w:tc>
          <w:tcPr>
            <w:tcW w:w="1819" w:type="pct"/>
            <w:vAlign w:val="center"/>
          </w:tcPr>
          <w:p w14:paraId="27454971">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港口大道丽水佳园路口</w:t>
            </w:r>
          </w:p>
        </w:tc>
        <w:tc>
          <w:tcPr>
            <w:tcW w:w="1152" w:type="pct"/>
            <w:vAlign w:val="center"/>
          </w:tcPr>
          <w:p w14:paraId="281F4D38">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行人过街红绿灯</w:t>
            </w:r>
          </w:p>
        </w:tc>
        <w:tc>
          <w:tcPr>
            <w:tcW w:w="1562" w:type="pct"/>
            <w:vAlign w:val="center"/>
          </w:tcPr>
          <w:p w14:paraId="53E216AA">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青松</w:t>
            </w:r>
            <w:r>
              <w:rPr>
                <w:rFonts w:hint="eastAsia" w:ascii="宋体" w:hAnsi="宋体" w:eastAsia="宋体" w:cs="宋体"/>
                <w:color w:val="auto"/>
                <w:sz w:val="21"/>
                <w:szCs w:val="21"/>
                <w:highlight w:val="none"/>
              </w:rPr>
              <w:t>QS</w:t>
            </w:r>
            <w:r>
              <w:rPr>
                <w:rFonts w:hint="eastAsia" w:ascii="宋体" w:hAnsi="宋体" w:eastAsia="宋体" w:cs="宋体"/>
                <w:color w:val="auto"/>
                <w:spacing w:val="4"/>
                <w:sz w:val="21"/>
                <w:szCs w:val="21"/>
                <w:highlight w:val="none"/>
              </w:rPr>
              <w:t>-B1</w:t>
            </w:r>
          </w:p>
        </w:tc>
      </w:tr>
      <w:tr w14:paraId="1FFDD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trPr>
        <w:tc>
          <w:tcPr>
            <w:tcW w:w="465" w:type="pct"/>
            <w:vAlign w:val="center"/>
          </w:tcPr>
          <w:p w14:paraId="58E10F3A">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12</w:t>
            </w:r>
          </w:p>
        </w:tc>
        <w:tc>
          <w:tcPr>
            <w:tcW w:w="1819" w:type="pct"/>
            <w:vAlign w:val="center"/>
          </w:tcPr>
          <w:p w14:paraId="4D120F84">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大罗沙天桥</w:t>
            </w:r>
          </w:p>
        </w:tc>
        <w:tc>
          <w:tcPr>
            <w:tcW w:w="1152" w:type="pct"/>
            <w:vAlign w:val="center"/>
          </w:tcPr>
          <w:p w14:paraId="48EA26ED">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行人过街红绿灯</w:t>
            </w:r>
          </w:p>
        </w:tc>
        <w:tc>
          <w:tcPr>
            <w:tcW w:w="1562" w:type="pct"/>
            <w:vAlign w:val="center"/>
          </w:tcPr>
          <w:p w14:paraId="59E4221F">
            <w:pPr>
              <w:pStyle w:val="79"/>
              <w:keepNext w:val="0"/>
              <w:keepLines w:val="0"/>
              <w:pageBreakBefore w:val="0"/>
              <w:widowControl/>
              <w:kinsoku w:val="0"/>
              <w:wordWrap/>
              <w:overflowPunct/>
              <w:topLinePunct w:val="0"/>
              <w:autoSpaceDE w:val="0"/>
              <w:autoSpaceDN w:val="0"/>
              <w:bidi w:val="0"/>
              <w:adjustRightInd w:val="0"/>
              <w:snapToGrid w:val="0"/>
              <w:spacing w:after="0"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法马QR-C</w:t>
            </w:r>
          </w:p>
        </w:tc>
      </w:tr>
    </w:tbl>
    <w:p w14:paraId="7AF356A8">
      <w:pPr>
        <w:numPr>
          <w:ilvl w:val="0"/>
          <w:numId w:val="31"/>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运维服务要求</w:t>
      </w:r>
    </w:p>
    <w:p w14:paraId="1B751B1C">
      <w:pPr>
        <w:numPr>
          <w:ilvl w:val="0"/>
          <w:numId w:val="32"/>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要确保</w:t>
      </w:r>
      <w:r>
        <w:rPr>
          <w:rFonts w:hint="eastAsia" w:ascii="宋体" w:hAnsi="宋体"/>
          <w:color w:val="auto"/>
          <w:szCs w:val="21"/>
          <w:highlight w:val="none"/>
          <w:lang w:val="en-US" w:eastAsia="zh-CN"/>
        </w:rPr>
        <w:t>本项目范围内</w:t>
      </w:r>
      <w:r>
        <w:rPr>
          <w:rFonts w:hint="eastAsia" w:ascii="宋体" w:hAnsi="宋体"/>
          <w:color w:val="auto"/>
          <w:szCs w:val="21"/>
          <w:highlight w:val="none"/>
        </w:rPr>
        <w:t>所有设备的正常使用，负责设备及其它配件的维修保养、保管，确保资产不受损失</w:t>
      </w:r>
      <w:r>
        <w:rPr>
          <w:rFonts w:hint="eastAsia" w:ascii="宋体" w:hAnsi="宋体"/>
          <w:color w:val="auto"/>
          <w:szCs w:val="21"/>
          <w:highlight w:val="none"/>
          <w:lang w:eastAsia="zh-CN"/>
        </w:rPr>
        <w:t>；</w:t>
      </w:r>
      <w:r>
        <w:rPr>
          <w:rFonts w:hint="eastAsia" w:ascii="宋体" w:hAnsi="宋体"/>
          <w:color w:val="auto"/>
          <w:szCs w:val="21"/>
          <w:highlight w:val="none"/>
        </w:rPr>
        <w:t>维修保养、保管的范围包括设备自然损坏、道路施工、人为破坏、车辆撞击损坏、被盗的损坏。</w:t>
      </w:r>
    </w:p>
    <w:p w14:paraId="5A218253">
      <w:pPr>
        <w:numPr>
          <w:ilvl w:val="0"/>
          <w:numId w:val="32"/>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配备专业技术人员队伍、维修设备及其他专用工具，定期派出专业维修人员到</w:t>
      </w:r>
      <w:r>
        <w:rPr>
          <w:rFonts w:hint="eastAsia" w:ascii="宋体" w:hAnsi="宋体"/>
          <w:color w:val="auto"/>
          <w:szCs w:val="21"/>
          <w:highlight w:val="none"/>
          <w:lang w:val="en-US" w:eastAsia="zh-CN"/>
        </w:rPr>
        <w:t>本项目服务范围内</w:t>
      </w:r>
      <w:r>
        <w:rPr>
          <w:rFonts w:hint="eastAsia" w:ascii="宋体" w:hAnsi="宋体"/>
          <w:color w:val="auto"/>
          <w:szCs w:val="21"/>
          <w:highlight w:val="none"/>
        </w:rPr>
        <w:t>的</w:t>
      </w:r>
      <w:r>
        <w:rPr>
          <w:rFonts w:hint="eastAsia" w:ascii="宋体" w:hAnsi="宋体"/>
          <w:color w:val="auto"/>
          <w:szCs w:val="21"/>
          <w:highlight w:val="none"/>
          <w:lang w:val="en-US" w:eastAsia="zh-CN"/>
        </w:rPr>
        <w:t>各个</w:t>
      </w:r>
      <w:r>
        <w:rPr>
          <w:rFonts w:hint="eastAsia" w:ascii="宋体" w:hAnsi="宋体"/>
          <w:color w:val="auto"/>
          <w:szCs w:val="21"/>
          <w:highlight w:val="none"/>
        </w:rPr>
        <w:t>路口巡查，做好巡查日志记录。</w:t>
      </w:r>
    </w:p>
    <w:p w14:paraId="777BBDAE">
      <w:pPr>
        <w:numPr>
          <w:ilvl w:val="0"/>
          <w:numId w:val="32"/>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故障修复要求：</w:t>
      </w:r>
      <w:r>
        <w:rPr>
          <w:rFonts w:hint="eastAsia" w:ascii="宋体" w:hAnsi="宋体"/>
          <w:color w:val="auto"/>
          <w:szCs w:val="21"/>
          <w:highlight w:val="none"/>
          <w:lang w:val="en-US" w:eastAsia="zh-CN"/>
        </w:rPr>
        <w:t>成交供应商须</w:t>
      </w:r>
      <w:r>
        <w:rPr>
          <w:rFonts w:hint="eastAsia" w:ascii="宋体" w:hAnsi="宋体"/>
          <w:color w:val="auto"/>
          <w:szCs w:val="21"/>
          <w:highlight w:val="none"/>
        </w:rPr>
        <w:t>提供固定报障电话，提供24小时系统任何故障响应服务，收到报障必须要30分钟内响应，</w:t>
      </w:r>
      <w:r>
        <w:rPr>
          <w:rFonts w:hint="eastAsia" w:ascii="宋体" w:hAnsi="宋体"/>
          <w:color w:val="auto"/>
          <w:szCs w:val="21"/>
          <w:highlight w:val="none"/>
          <w:lang w:val="en-US" w:eastAsia="zh-CN"/>
        </w:rPr>
        <w:t>3</w:t>
      </w:r>
      <w:r>
        <w:rPr>
          <w:rFonts w:hint="eastAsia" w:ascii="宋体" w:hAnsi="宋体"/>
          <w:color w:val="auto"/>
          <w:szCs w:val="21"/>
          <w:highlight w:val="none"/>
        </w:rPr>
        <w:t>小时内赶到现场，故障修复时间要求如下：</w:t>
      </w:r>
    </w:p>
    <w:p w14:paraId="6F8791A9">
      <w:pPr>
        <w:numPr>
          <w:ilvl w:val="0"/>
          <w:numId w:val="3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常规故障，2小时内修复故障</w:t>
      </w:r>
      <w:r>
        <w:rPr>
          <w:rFonts w:hint="eastAsia" w:ascii="宋体" w:hAnsi="宋体"/>
          <w:color w:val="auto"/>
          <w:szCs w:val="21"/>
          <w:highlight w:val="none"/>
          <w:lang w:eastAsia="zh-CN"/>
        </w:rPr>
        <w:t>，</w:t>
      </w:r>
      <w:r>
        <w:rPr>
          <w:rFonts w:hint="eastAsia" w:ascii="宋体" w:hAnsi="宋体"/>
          <w:color w:val="auto"/>
          <w:szCs w:val="21"/>
          <w:highlight w:val="none"/>
        </w:rPr>
        <w:t>如果在2小时内不能修复的必须提供同</w:t>
      </w:r>
      <w:r>
        <w:rPr>
          <w:rFonts w:hint="eastAsia" w:ascii="宋体" w:hAnsi="宋体"/>
          <w:color w:val="auto"/>
          <w:szCs w:val="21"/>
          <w:highlight w:val="none"/>
          <w:lang w:val="en-US" w:eastAsia="zh-CN"/>
        </w:rPr>
        <w:t>性能</w:t>
      </w:r>
      <w:r>
        <w:rPr>
          <w:rFonts w:hint="eastAsia" w:ascii="宋体" w:hAnsi="宋体"/>
          <w:color w:val="auto"/>
          <w:szCs w:val="21"/>
          <w:highlight w:val="none"/>
        </w:rPr>
        <w:t>或更高性能的设备供</w:t>
      </w:r>
      <w:r>
        <w:rPr>
          <w:rFonts w:hint="eastAsia" w:ascii="宋体" w:hAnsi="宋体"/>
          <w:color w:val="auto"/>
          <w:szCs w:val="21"/>
          <w:highlight w:val="none"/>
          <w:lang w:val="en-US" w:eastAsia="zh-CN"/>
        </w:rPr>
        <w:t>采购人</w:t>
      </w:r>
      <w:r>
        <w:rPr>
          <w:rFonts w:hint="eastAsia" w:ascii="宋体" w:hAnsi="宋体"/>
          <w:color w:val="auto"/>
          <w:szCs w:val="21"/>
          <w:highlight w:val="none"/>
        </w:rPr>
        <w:t>使用，详细报障流程</w:t>
      </w:r>
      <w:r>
        <w:rPr>
          <w:rFonts w:hint="eastAsia" w:ascii="宋体" w:hAnsi="宋体"/>
          <w:color w:val="auto"/>
          <w:szCs w:val="21"/>
          <w:highlight w:val="none"/>
          <w:lang w:val="en-US" w:eastAsia="zh-CN"/>
        </w:rPr>
        <w:t>如下图所示：</w:t>
      </w:r>
    </w:p>
    <w:p w14:paraId="56F8CA3B">
      <w:pPr>
        <w:numPr>
          <w:ilvl w:val="0"/>
          <w:numId w:val="0"/>
        </w:numPr>
        <w:snapToGrid w:val="0"/>
        <w:spacing w:line="360" w:lineRule="auto"/>
        <w:ind w:leftChars="0"/>
        <w:contextualSpacing/>
        <w:jc w:val="center"/>
        <w:rPr>
          <w:rFonts w:hint="eastAsia" w:ascii="宋体" w:hAnsi="宋体"/>
          <w:color w:val="auto"/>
          <w:szCs w:val="21"/>
          <w:highlight w:val="none"/>
        </w:rPr>
      </w:pPr>
      <w:r>
        <w:rPr>
          <w:rFonts w:ascii="微软雅黑" w:hAnsi="微软雅黑" w:eastAsia="微软雅黑"/>
          <w:color w:val="auto"/>
          <w:highlight w:val="none"/>
        </w:rPr>
        <w:drawing>
          <wp:inline distT="0" distB="0" distL="0" distR="0">
            <wp:extent cx="4920615" cy="5828030"/>
            <wp:effectExtent l="0" t="0" r="6985" b="1270"/>
            <wp:docPr id="27626292" name="图片 1" descr="手机屏幕截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26292" name="图片 1" descr="手机屏幕截图&#10;&#10;AI 生成的内容可能不正确。"/>
                    <pic:cNvPicPr>
                      <a:picLocks noChangeAspect="1"/>
                    </pic:cNvPicPr>
                  </pic:nvPicPr>
                  <pic:blipFill>
                    <a:blip r:embed="rId6"/>
                    <a:srcRect l="6364" t="2222" r="2502" b="2857"/>
                    <a:stretch>
                      <a:fillRect/>
                    </a:stretch>
                  </pic:blipFill>
                  <pic:spPr>
                    <a:xfrm>
                      <a:off x="0" y="0"/>
                      <a:ext cx="4920615" cy="5828030"/>
                    </a:xfrm>
                    <a:prstGeom prst="rect">
                      <a:avLst/>
                    </a:prstGeom>
                  </pic:spPr>
                </pic:pic>
              </a:graphicData>
            </a:graphic>
          </wp:inline>
        </w:drawing>
      </w:r>
    </w:p>
    <w:p w14:paraId="3D6BA993">
      <w:pPr>
        <w:numPr>
          <w:ilvl w:val="0"/>
          <w:numId w:val="3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线路、取电等涉及线路故障的，经抢修人员电话或邮件与报障人员确认后，需在12小时内修复故障；</w:t>
      </w:r>
    </w:p>
    <w:p w14:paraId="6FADE176">
      <w:pPr>
        <w:numPr>
          <w:ilvl w:val="0"/>
          <w:numId w:val="3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需要土建报批施工等的故障，经抢修人员电话或邮件与报障人员确认，具备恢复条件并取得审批许可证件后，需在10天内修复故障并提供专题修复报告说明情况</w:t>
      </w:r>
      <w:r>
        <w:rPr>
          <w:rFonts w:hint="eastAsia" w:ascii="宋体" w:hAnsi="宋体"/>
          <w:color w:val="auto"/>
          <w:szCs w:val="21"/>
          <w:highlight w:val="none"/>
          <w:lang w:eastAsia="zh-CN"/>
        </w:rPr>
        <w:t>；</w:t>
      </w:r>
    </w:p>
    <w:p w14:paraId="3180533E">
      <w:pPr>
        <w:numPr>
          <w:ilvl w:val="0"/>
          <w:numId w:val="3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大型活动、节假日期间</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须安排值班人员确保设备正常运作。</w:t>
      </w:r>
    </w:p>
    <w:p w14:paraId="503DCE1C">
      <w:pPr>
        <w:numPr>
          <w:ilvl w:val="0"/>
          <w:numId w:val="32"/>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lang w:val="en-US" w:eastAsia="zh-CN"/>
        </w:rPr>
        <w:t>成交供应商</w:t>
      </w:r>
      <w:r>
        <w:rPr>
          <w:rFonts w:hint="eastAsia" w:ascii="宋体" w:hAnsi="宋体"/>
          <w:color w:val="auto"/>
          <w:szCs w:val="21"/>
          <w:highlight w:val="none"/>
        </w:rPr>
        <w:t>须定期对辖区的交通信号灯提供巡检服务，每一个月巡检</w:t>
      </w:r>
      <w:r>
        <w:rPr>
          <w:rFonts w:hint="eastAsia" w:ascii="宋体" w:hAnsi="宋体"/>
          <w:color w:val="auto"/>
          <w:szCs w:val="21"/>
          <w:highlight w:val="none"/>
          <w:lang w:val="en-US" w:eastAsia="zh-CN"/>
        </w:rPr>
        <w:t>不少于</w:t>
      </w:r>
      <w:r>
        <w:rPr>
          <w:rFonts w:hint="eastAsia" w:ascii="宋体" w:hAnsi="宋体"/>
          <w:color w:val="auto"/>
          <w:szCs w:val="21"/>
          <w:highlight w:val="none"/>
        </w:rPr>
        <w:t>一次，并在下一个月的5号前向交警部门提供巡检报告</w:t>
      </w:r>
      <w:r>
        <w:rPr>
          <w:rFonts w:hint="eastAsia" w:ascii="宋体" w:hAnsi="宋体"/>
          <w:color w:val="auto"/>
          <w:szCs w:val="21"/>
          <w:highlight w:val="none"/>
          <w:lang w:eastAsia="zh-CN"/>
        </w:rPr>
        <w:t>，</w:t>
      </w:r>
      <w:r>
        <w:rPr>
          <w:rFonts w:hint="eastAsia" w:ascii="宋体" w:hAnsi="宋体"/>
          <w:color w:val="auto"/>
          <w:szCs w:val="21"/>
          <w:highlight w:val="none"/>
        </w:rPr>
        <w:t>巡检内容包括：</w:t>
      </w:r>
    </w:p>
    <w:p w14:paraId="45673A20">
      <w:pPr>
        <w:numPr>
          <w:ilvl w:val="0"/>
          <w:numId w:val="3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对</w:t>
      </w:r>
      <w:r>
        <w:rPr>
          <w:rFonts w:hint="eastAsia" w:ascii="宋体" w:hAnsi="宋体"/>
          <w:color w:val="auto"/>
          <w:szCs w:val="21"/>
          <w:highlight w:val="none"/>
          <w:lang w:val="en-US" w:eastAsia="zh-CN"/>
        </w:rPr>
        <w:t>本项目范围内</w:t>
      </w:r>
      <w:r>
        <w:rPr>
          <w:rFonts w:hint="eastAsia" w:ascii="宋体" w:hAnsi="宋体"/>
          <w:color w:val="auto"/>
          <w:szCs w:val="21"/>
          <w:highlight w:val="none"/>
        </w:rPr>
        <w:t>的红绿灯设备进行巡检，包括信号灯灯组、杆件、控制机板卡、沙井盖、线路等，未打标签的补上标签，登记造册</w:t>
      </w:r>
      <w:r>
        <w:rPr>
          <w:rFonts w:hint="eastAsia" w:ascii="宋体" w:hAnsi="宋体"/>
          <w:color w:val="auto"/>
          <w:szCs w:val="21"/>
          <w:highlight w:val="none"/>
          <w:lang w:eastAsia="zh-CN"/>
        </w:rPr>
        <w:t>；</w:t>
      </w:r>
    </w:p>
    <w:p w14:paraId="6FD574B0">
      <w:pPr>
        <w:numPr>
          <w:ilvl w:val="0"/>
          <w:numId w:val="3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描述信号灯运行情况，统计分析故障原因，制定下一个维护周期的维护策略</w:t>
      </w:r>
      <w:r>
        <w:rPr>
          <w:rFonts w:hint="eastAsia" w:ascii="宋体" w:hAnsi="宋体"/>
          <w:color w:val="auto"/>
          <w:szCs w:val="21"/>
          <w:highlight w:val="none"/>
          <w:lang w:eastAsia="zh-CN"/>
        </w:rPr>
        <w:t>。</w:t>
      </w:r>
    </w:p>
    <w:p w14:paraId="13AB8830">
      <w:pPr>
        <w:numPr>
          <w:ilvl w:val="0"/>
          <w:numId w:val="32"/>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服务期成交供应商</w:t>
      </w:r>
      <w:r>
        <w:rPr>
          <w:rFonts w:hint="eastAsia" w:ascii="宋体" w:hAnsi="宋体" w:eastAsia="宋体" w:cs="Times New Roman"/>
          <w:color w:val="auto"/>
          <w:szCs w:val="21"/>
          <w:highlight w:val="none"/>
        </w:rPr>
        <w:t>负责对所</w:t>
      </w:r>
      <w:r>
        <w:rPr>
          <w:rFonts w:hint="eastAsia" w:ascii="宋体" w:hAnsi="宋体" w:eastAsia="宋体" w:cs="Times New Roman"/>
          <w:color w:val="auto"/>
          <w:szCs w:val="21"/>
          <w:highlight w:val="none"/>
          <w:lang w:val="en-US" w:eastAsia="zh-CN"/>
        </w:rPr>
        <w:t>服务</w:t>
      </w:r>
      <w:r>
        <w:rPr>
          <w:rFonts w:hint="eastAsia" w:ascii="宋体" w:hAnsi="宋体" w:eastAsia="宋体" w:cs="Times New Roman"/>
          <w:color w:val="auto"/>
          <w:szCs w:val="21"/>
          <w:highlight w:val="none"/>
        </w:rPr>
        <w:t>范围内的交通信号灯及所有配件进行维护保养，保证每个路口信号灯及其配件完好无损，正常运行</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服务期间</w:t>
      </w:r>
      <w:r>
        <w:rPr>
          <w:rFonts w:hint="eastAsia" w:ascii="宋体" w:hAnsi="宋体"/>
          <w:color w:val="auto"/>
          <w:szCs w:val="21"/>
          <w:highlight w:val="none"/>
          <w:lang w:val="en-US" w:eastAsia="zh-CN"/>
        </w:rPr>
        <w:t>产生的费用由成交供应商承担</w:t>
      </w:r>
      <w:r>
        <w:rPr>
          <w:rFonts w:hint="eastAsia" w:ascii="宋体" w:hAnsi="宋体" w:eastAsia="宋体" w:cs="Times New Roman"/>
          <w:color w:val="auto"/>
          <w:szCs w:val="21"/>
          <w:highlight w:val="none"/>
          <w:lang w:eastAsia="zh-CN"/>
        </w:rPr>
        <w:t>。</w:t>
      </w:r>
    </w:p>
    <w:p w14:paraId="103A248F">
      <w:pPr>
        <w:numPr>
          <w:ilvl w:val="0"/>
          <w:numId w:val="32"/>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服务期</w:t>
      </w:r>
      <w:r>
        <w:rPr>
          <w:rFonts w:hint="eastAsia" w:ascii="宋体" w:hAnsi="宋体" w:eastAsia="宋体" w:cs="Times New Roman"/>
          <w:color w:val="auto"/>
          <w:szCs w:val="21"/>
          <w:highlight w:val="none"/>
          <w:lang w:val="en-US" w:eastAsia="zh-CN"/>
        </w:rPr>
        <w:t>内成交供应商</w:t>
      </w:r>
      <w:r>
        <w:rPr>
          <w:rFonts w:hint="eastAsia" w:ascii="宋体" w:hAnsi="宋体" w:eastAsia="宋体" w:cs="Times New Roman"/>
          <w:color w:val="auto"/>
          <w:szCs w:val="21"/>
          <w:highlight w:val="none"/>
        </w:rPr>
        <w:t>须对承包范围内的信号灯灯杆、控制机、机箱、线路、线材、信号灯灯组、沙井、防雷等进行全面检查，具体内容</w:t>
      </w:r>
      <w:r>
        <w:rPr>
          <w:rFonts w:hint="eastAsia" w:ascii="宋体" w:hAnsi="宋体" w:eastAsia="宋体" w:cs="Times New Roman"/>
          <w:color w:val="auto"/>
          <w:szCs w:val="21"/>
          <w:highlight w:val="none"/>
          <w:lang w:val="en-US" w:eastAsia="zh-CN"/>
        </w:rPr>
        <w:t>包括</w:t>
      </w:r>
      <w:r>
        <w:rPr>
          <w:rFonts w:hint="eastAsia" w:ascii="宋体" w:hAnsi="宋体" w:eastAsia="宋体" w:cs="Times New Roman"/>
          <w:color w:val="auto"/>
          <w:szCs w:val="21"/>
          <w:highlight w:val="none"/>
        </w:rPr>
        <w:t>：</w:t>
      </w:r>
    </w:p>
    <w:p w14:paraId="204CFA40">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信号灯杆安装牢固、垂直，坚固件无松动，垂直安装的倾斜度不得超过杆体长度1%</w:t>
      </w:r>
      <w:r>
        <w:rPr>
          <w:rFonts w:hint="eastAsia" w:ascii="宋体" w:hAnsi="宋体"/>
          <w:color w:val="auto"/>
          <w:szCs w:val="21"/>
          <w:highlight w:val="none"/>
          <w:lang w:eastAsia="zh-CN"/>
        </w:rPr>
        <w:t>，</w:t>
      </w:r>
      <w:r>
        <w:rPr>
          <w:rFonts w:hint="eastAsia" w:ascii="宋体" w:hAnsi="宋体"/>
          <w:color w:val="auto"/>
          <w:szCs w:val="21"/>
          <w:highlight w:val="none"/>
        </w:rPr>
        <w:t>信号灯杆、信号灯机箱清洁干净，无文字广告，无污迹，无生锈变形，机械强度满足要求</w:t>
      </w:r>
      <w:r>
        <w:rPr>
          <w:rFonts w:hint="eastAsia" w:ascii="宋体" w:hAnsi="宋体"/>
          <w:color w:val="auto"/>
          <w:szCs w:val="21"/>
          <w:highlight w:val="none"/>
          <w:lang w:eastAsia="zh-CN"/>
        </w:rPr>
        <w:t>；</w:t>
      </w:r>
    </w:p>
    <w:p w14:paraId="1C3FCE24">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性能测试：在每年的3月份雷雨季节来临前，对所有信号灯的接地电阻进行测试和数据记录，并检查所有的信号灯的避雷是否正常</w:t>
      </w:r>
      <w:r>
        <w:rPr>
          <w:rFonts w:hint="eastAsia" w:ascii="宋体" w:hAnsi="宋体"/>
          <w:color w:val="auto"/>
          <w:szCs w:val="21"/>
          <w:highlight w:val="none"/>
          <w:lang w:eastAsia="zh-CN"/>
        </w:rPr>
        <w:t>，</w:t>
      </w:r>
      <w:r>
        <w:rPr>
          <w:rFonts w:hint="eastAsia" w:ascii="宋体" w:hAnsi="宋体"/>
          <w:color w:val="auto"/>
          <w:szCs w:val="21"/>
          <w:highlight w:val="none"/>
        </w:rPr>
        <w:t>对测试后数据达不到要求</w:t>
      </w:r>
      <w:r>
        <w:rPr>
          <w:rFonts w:hint="eastAsia" w:ascii="宋体" w:hAnsi="宋体"/>
          <w:color w:val="auto"/>
          <w:szCs w:val="21"/>
          <w:highlight w:val="none"/>
          <w:lang w:val="en-US" w:eastAsia="zh-CN"/>
        </w:rPr>
        <w:t>部分</w:t>
      </w:r>
      <w:r>
        <w:rPr>
          <w:rFonts w:hint="eastAsia" w:ascii="宋体" w:hAnsi="宋体"/>
          <w:color w:val="auto"/>
          <w:szCs w:val="21"/>
          <w:highlight w:val="none"/>
        </w:rPr>
        <w:t>提供整改报告</w:t>
      </w:r>
      <w:r>
        <w:rPr>
          <w:rFonts w:hint="eastAsia" w:ascii="宋体" w:hAnsi="宋体"/>
          <w:color w:val="auto"/>
          <w:szCs w:val="21"/>
          <w:highlight w:val="none"/>
          <w:lang w:eastAsia="zh-CN"/>
        </w:rPr>
        <w:t>；</w:t>
      </w:r>
      <w:r>
        <w:rPr>
          <w:rFonts w:hint="eastAsia" w:ascii="宋体" w:hAnsi="宋体"/>
          <w:color w:val="auto"/>
          <w:szCs w:val="21"/>
          <w:highlight w:val="none"/>
        </w:rPr>
        <w:t>同时检查各接地线是否正常，以避免在雷雨季节避雷器被击穿而造成设备损坏</w:t>
      </w:r>
      <w:r>
        <w:rPr>
          <w:rFonts w:hint="eastAsia" w:ascii="宋体" w:hAnsi="宋体"/>
          <w:color w:val="auto"/>
          <w:szCs w:val="21"/>
          <w:highlight w:val="none"/>
          <w:lang w:eastAsia="zh-CN"/>
        </w:rPr>
        <w:t>；</w:t>
      </w:r>
    </w:p>
    <w:p w14:paraId="059127F0">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对被盗窃、短路、断线、老化、绝缘不符合要求的电缆，</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应</w:t>
      </w:r>
      <w:r>
        <w:rPr>
          <w:rFonts w:hint="eastAsia" w:ascii="宋体" w:hAnsi="宋体"/>
          <w:color w:val="auto"/>
          <w:szCs w:val="21"/>
          <w:highlight w:val="none"/>
          <w:lang w:val="en-US" w:eastAsia="zh-CN"/>
        </w:rPr>
        <w:t>负责</w:t>
      </w:r>
      <w:r>
        <w:rPr>
          <w:rFonts w:hint="eastAsia" w:ascii="宋体" w:hAnsi="宋体"/>
          <w:color w:val="auto"/>
          <w:szCs w:val="21"/>
          <w:highlight w:val="none"/>
        </w:rPr>
        <w:t>予以更换</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产生的费用由成交供应商承担</w:t>
      </w:r>
      <w:r>
        <w:rPr>
          <w:rFonts w:hint="eastAsia" w:ascii="宋体" w:hAnsi="宋体"/>
          <w:color w:val="auto"/>
          <w:szCs w:val="21"/>
          <w:highlight w:val="none"/>
          <w:lang w:eastAsia="zh-CN"/>
        </w:rPr>
        <w:t>；</w:t>
      </w:r>
      <w:r>
        <w:rPr>
          <w:rFonts w:hint="eastAsia" w:ascii="宋体" w:hAnsi="宋体"/>
          <w:color w:val="auto"/>
          <w:szCs w:val="21"/>
          <w:highlight w:val="none"/>
        </w:rPr>
        <w:t>信号灯与信号机之间的电缆颜色要与灯具颜色对应连接，电缆在灯具端和信号机端连接牢固，电缆线在信号机端要根据</w:t>
      </w:r>
      <w:r>
        <w:rPr>
          <w:rFonts w:hint="eastAsia" w:ascii="宋体" w:hAnsi="宋体"/>
          <w:color w:val="auto"/>
          <w:szCs w:val="21"/>
          <w:highlight w:val="none"/>
          <w:lang w:val="en-US" w:eastAsia="zh-CN"/>
        </w:rPr>
        <w:t>采购人</w:t>
      </w:r>
      <w:r>
        <w:rPr>
          <w:rFonts w:hint="eastAsia" w:ascii="宋体" w:hAnsi="宋体"/>
          <w:color w:val="auto"/>
          <w:szCs w:val="21"/>
          <w:highlight w:val="none"/>
        </w:rPr>
        <w:t>要求进行编号</w:t>
      </w:r>
      <w:r>
        <w:rPr>
          <w:rFonts w:hint="eastAsia" w:ascii="宋体" w:hAnsi="宋体"/>
          <w:color w:val="auto"/>
          <w:szCs w:val="21"/>
          <w:highlight w:val="none"/>
          <w:lang w:eastAsia="zh-CN"/>
        </w:rPr>
        <w:t>；</w:t>
      </w:r>
    </w:p>
    <w:p w14:paraId="35500113">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路口信号灯有树林或其它障碍物遮挡视线时，应马上上报</w:t>
      </w:r>
      <w:r>
        <w:rPr>
          <w:rFonts w:hint="eastAsia" w:ascii="宋体" w:hAnsi="宋体"/>
          <w:color w:val="auto"/>
          <w:szCs w:val="21"/>
          <w:highlight w:val="none"/>
          <w:lang w:val="en-US" w:eastAsia="zh-CN"/>
        </w:rPr>
        <w:t>采购人相关部门</w:t>
      </w:r>
      <w:r>
        <w:rPr>
          <w:rFonts w:hint="eastAsia" w:ascii="宋体" w:hAnsi="宋体"/>
          <w:color w:val="auto"/>
          <w:szCs w:val="21"/>
          <w:highlight w:val="none"/>
        </w:rPr>
        <w:t>负责人</w:t>
      </w:r>
      <w:r>
        <w:rPr>
          <w:rFonts w:hint="eastAsia" w:ascii="宋体" w:hAnsi="宋体"/>
          <w:color w:val="auto"/>
          <w:szCs w:val="21"/>
          <w:highlight w:val="none"/>
          <w:lang w:eastAsia="zh-CN"/>
        </w:rPr>
        <w:t>；</w:t>
      </w:r>
    </w:p>
    <w:p w14:paraId="2E2FEEB0">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主动配合交警部门对路口信号灯设施进行抽查</w:t>
      </w:r>
      <w:r>
        <w:rPr>
          <w:rFonts w:hint="eastAsia" w:ascii="宋体" w:hAnsi="宋体"/>
          <w:color w:val="auto"/>
          <w:szCs w:val="21"/>
          <w:highlight w:val="none"/>
          <w:lang w:eastAsia="zh-CN"/>
        </w:rPr>
        <w:t>，</w:t>
      </w:r>
      <w:r>
        <w:rPr>
          <w:rFonts w:hint="eastAsia" w:ascii="宋体" w:hAnsi="宋体"/>
          <w:color w:val="auto"/>
          <w:szCs w:val="21"/>
          <w:highlight w:val="none"/>
        </w:rPr>
        <w:t>对抽查中发现的问题马上进行返工并追究维护责任人的责任</w:t>
      </w:r>
      <w:r>
        <w:rPr>
          <w:rFonts w:hint="eastAsia" w:ascii="宋体" w:hAnsi="宋体"/>
          <w:color w:val="auto"/>
          <w:szCs w:val="21"/>
          <w:highlight w:val="none"/>
          <w:lang w:eastAsia="zh-CN"/>
        </w:rPr>
        <w:t>；</w:t>
      </w:r>
    </w:p>
    <w:p w14:paraId="20D99A7C">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定期</w:t>
      </w:r>
      <w:r>
        <w:rPr>
          <w:rFonts w:hint="eastAsia" w:ascii="宋体" w:hAnsi="宋体"/>
          <w:color w:val="auto"/>
          <w:szCs w:val="21"/>
          <w:highlight w:val="none"/>
          <w:lang w:eastAsia="zh-CN"/>
        </w:rPr>
        <w:t>（</w:t>
      </w:r>
      <w:r>
        <w:rPr>
          <w:rFonts w:hint="eastAsia" w:ascii="宋体" w:hAnsi="宋体"/>
          <w:color w:val="auto"/>
          <w:szCs w:val="21"/>
          <w:highlight w:val="none"/>
        </w:rPr>
        <w:t>每季度</w:t>
      </w:r>
      <w:r>
        <w:rPr>
          <w:rFonts w:hint="eastAsia" w:ascii="宋体" w:hAnsi="宋体"/>
          <w:color w:val="auto"/>
          <w:szCs w:val="21"/>
          <w:highlight w:val="none"/>
          <w:lang w:val="en-US" w:eastAsia="zh-CN"/>
        </w:rPr>
        <w:t>不少于1</w:t>
      </w:r>
      <w:r>
        <w:rPr>
          <w:rFonts w:hint="eastAsia" w:ascii="宋体" w:hAnsi="宋体"/>
          <w:color w:val="auto"/>
          <w:szCs w:val="21"/>
          <w:highlight w:val="none"/>
        </w:rPr>
        <w:t>次</w:t>
      </w:r>
      <w:r>
        <w:rPr>
          <w:rFonts w:hint="eastAsia" w:ascii="宋体" w:hAnsi="宋体"/>
          <w:color w:val="auto"/>
          <w:szCs w:val="21"/>
          <w:highlight w:val="none"/>
          <w:lang w:eastAsia="zh-CN"/>
        </w:rPr>
        <w:t>）</w:t>
      </w:r>
      <w:r>
        <w:rPr>
          <w:rFonts w:hint="eastAsia" w:ascii="宋体" w:hAnsi="宋体"/>
          <w:color w:val="auto"/>
          <w:szCs w:val="21"/>
          <w:highlight w:val="none"/>
        </w:rPr>
        <w:t>对信号灯具</w:t>
      </w:r>
      <w:r>
        <w:rPr>
          <w:rFonts w:hint="eastAsia" w:ascii="宋体" w:hAnsi="宋体"/>
          <w:color w:val="auto"/>
          <w:szCs w:val="21"/>
          <w:highlight w:val="none"/>
          <w:lang w:val="en-US" w:eastAsia="zh-CN"/>
        </w:rPr>
        <w:t>进行</w:t>
      </w:r>
      <w:r>
        <w:rPr>
          <w:rFonts w:hint="eastAsia" w:ascii="宋体" w:hAnsi="宋体"/>
          <w:color w:val="auto"/>
          <w:szCs w:val="21"/>
          <w:highlight w:val="none"/>
        </w:rPr>
        <w:t>清洗和保养并提交书面报告，做到灯具外壳、透光玻璃、背板、遮罩、内部反光杆干净无尘，无破损，无老化变形</w:t>
      </w:r>
      <w:r>
        <w:rPr>
          <w:rFonts w:hint="eastAsia" w:ascii="宋体" w:hAnsi="宋体"/>
          <w:color w:val="auto"/>
          <w:szCs w:val="21"/>
          <w:highlight w:val="none"/>
          <w:lang w:eastAsia="zh-CN"/>
        </w:rPr>
        <w:t>，</w:t>
      </w:r>
      <w:r>
        <w:rPr>
          <w:rFonts w:hint="eastAsia" w:ascii="宋体" w:hAnsi="宋体"/>
          <w:color w:val="auto"/>
          <w:szCs w:val="21"/>
          <w:highlight w:val="none"/>
        </w:rPr>
        <w:t>灯壳内无积水，密封性能好，亮度符合要求，信号灯具在杆上安装牢固，竖式安装时应垂直，横向安装时应平行，机动车信号灯具显示面正对所控制的机动车道，人行横道信号灯具显示面应正对人行横道</w:t>
      </w:r>
      <w:r>
        <w:rPr>
          <w:rFonts w:hint="eastAsia" w:ascii="宋体" w:hAnsi="宋体"/>
          <w:color w:val="auto"/>
          <w:szCs w:val="21"/>
          <w:highlight w:val="none"/>
          <w:lang w:eastAsia="zh-CN"/>
        </w:rPr>
        <w:t>；</w:t>
      </w:r>
    </w:p>
    <w:p w14:paraId="24FB446A">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信号灯沙井须完好，密封性能好，新换的井盖必须有“公安交通”的标志，自觉遵守市政管理部门的工作要求，对被盗、损坏的井盖要及时更换</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因</w:t>
      </w:r>
      <w:r>
        <w:rPr>
          <w:rFonts w:hint="eastAsia" w:ascii="宋体" w:hAnsi="宋体"/>
          <w:color w:val="auto"/>
          <w:szCs w:val="21"/>
          <w:highlight w:val="none"/>
        </w:rPr>
        <w:t>井盖损坏没有及时维修而引发安全事故</w:t>
      </w:r>
      <w:r>
        <w:rPr>
          <w:rFonts w:hint="eastAsia" w:ascii="宋体" w:hAnsi="宋体"/>
          <w:color w:val="auto"/>
          <w:szCs w:val="21"/>
          <w:highlight w:val="none"/>
          <w:lang w:val="en-US" w:eastAsia="zh-CN"/>
        </w:rPr>
        <w:t>的，由成交供应商承担一切的法律和经济赔偿责任</w:t>
      </w:r>
      <w:r>
        <w:rPr>
          <w:rFonts w:hint="eastAsia" w:ascii="宋体" w:hAnsi="宋体"/>
          <w:color w:val="auto"/>
          <w:szCs w:val="21"/>
          <w:highlight w:val="none"/>
          <w:lang w:eastAsia="zh-CN"/>
        </w:rPr>
        <w:t>；</w:t>
      </w:r>
    </w:p>
    <w:p w14:paraId="56CB71F6">
      <w:pPr>
        <w:numPr>
          <w:ilvl w:val="0"/>
          <w:numId w:val="3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根据</w:t>
      </w:r>
      <w:r>
        <w:rPr>
          <w:rFonts w:hint="eastAsia" w:ascii="宋体" w:hAnsi="宋体"/>
          <w:color w:val="auto"/>
          <w:szCs w:val="21"/>
          <w:highlight w:val="none"/>
          <w:lang w:val="en-US" w:eastAsia="zh-CN"/>
        </w:rPr>
        <w:t>采购人</w:t>
      </w:r>
      <w:r>
        <w:rPr>
          <w:rFonts w:hint="eastAsia" w:ascii="宋体" w:hAnsi="宋体"/>
          <w:color w:val="auto"/>
          <w:szCs w:val="21"/>
          <w:highlight w:val="none"/>
        </w:rPr>
        <w:t>的要求做好交通信号控制机芯片</w:t>
      </w:r>
      <w:r>
        <w:rPr>
          <w:rFonts w:hint="eastAsia" w:ascii="宋体" w:hAnsi="宋体"/>
          <w:color w:val="auto"/>
          <w:szCs w:val="21"/>
          <w:highlight w:val="none"/>
          <w:lang w:eastAsia="zh-CN"/>
        </w:rPr>
        <w:t>（</w:t>
      </w:r>
      <w:r>
        <w:rPr>
          <w:rFonts w:hint="eastAsia" w:ascii="宋体" w:hAnsi="宋体"/>
          <w:color w:val="auto"/>
          <w:szCs w:val="21"/>
          <w:highlight w:val="none"/>
        </w:rPr>
        <w:t>芯片由</w:t>
      </w:r>
      <w:r>
        <w:rPr>
          <w:rFonts w:hint="eastAsia" w:ascii="宋体" w:hAnsi="宋体"/>
          <w:color w:val="auto"/>
          <w:szCs w:val="21"/>
          <w:highlight w:val="none"/>
          <w:lang w:val="en-US" w:eastAsia="zh-CN"/>
        </w:rPr>
        <w:t>成交供应商</w:t>
      </w:r>
      <w:r>
        <w:rPr>
          <w:rFonts w:hint="eastAsia" w:ascii="宋体" w:hAnsi="宋体"/>
          <w:color w:val="auto"/>
          <w:szCs w:val="21"/>
          <w:highlight w:val="none"/>
        </w:rPr>
        <w:t>提供</w:t>
      </w:r>
      <w:r>
        <w:rPr>
          <w:rFonts w:hint="eastAsia" w:ascii="宋体" w:hAnsi="宋体"/>
          <w:color w:val="auto"/>
          <w:szCs w:val="21"/>
          <w:highlight w:val="none"/>
          <w:lang w:eastAsia="zh-CN"/>
        </w:rPr>
        <w:t>）</w:t>
      </w:r>
      <w:r>
        <w:rPr>
          <w:rFonts w:hint="eastAsia" w:ascii="宋体" w:hAnsi="宋体"/>
          <w:color w:val="auto"/>
          <w:szCs w:val="21"/>
          <w:highlight w:val="none"/>
        </w:rPr>
        <w:t>编程、更换和信号调试工作。</w:t>
      </w:r>
    </w:p>
    <w:p w14:paraId="1600361C">
      <w:pPr>
        <w:numPr>
          <w:ilvl w:val="0"/>
          <w:numId w:val="32"/>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要求项目终验前对设备情况进行清点汇总并提供设备清单和运行报告。</w:t>
      </w:r>
    </w:p>
    <w:p w14:paraId="2C36B46F">
      <w:pPr>
        <w:numPr>
          <w:ilvl w:val="0"/>
          <w:numId w:val="32"/>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color w:val="auto"/>
          <w:szCs w:val="21"/>
          <w:highlight w:val="none"/>
          <w:lang w:val="en-US" w:eastAsia="zh-CN"/>
        </w:rPr>
        <w:t>成交供应商</w:t>
      </w:r>
      <w:r>
        <w:rPr>
          <w:rFonts w:hint="eastAsia" w:ascii="宋体" w:hAnsi="宋体" w:eastAsia="宋体" w:cs="Times New Roman"/>
          <w:color w:val="auto"/>
          <w:szCs w:val="21"/>
          <w:highlight w:val="none"/>
        </w:rPr>
        <w:t>因维护不到位而发生安全事故的，</w:t>
      </w:r>
      <w:r>
        <w:rPr>
          <w:rFonts w:hint="eastAsia" w:ascii="宋体" w:hAnsi="宋体"/>
          <w:color w:val="auto"/>
          <w:szCs w:val="21"/>
          <w:highlight w:val="none"/>
          <w:lang w:val="en-US" w:eastAsia="zh-CN"/>
        </w:rPr>
        <w:t>由成交供应商承担一切的法律和经济赔偿责任</w:t>
      </w:r>
      <w:r>
        <w:rPr>
          <w:rFonts w:hint="eastAsia" w:ascii="宋体" w:hAnsi="宋体" w:eastAsia="宋体" w:cs="Times New Roman"/>
          <w:color w:val="auto"/>
          <w:szCs w:val="21"/>
          <w:highlight w:val="none"/>
        </w:rPr>
        <w:t>。</w:t>
      </w:r>
    </w:p>
    <w:p w14:paraId="1759FF60">
      <w:pPr>
        <w:numPr>
          <w:ilvl w:val="0"/>
          <w:numId w:val="32"/>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因道路施工、路口改造、设备升级改造、设备迁移等原因造成设备停用的，由</w:t>
      </w:r>
      <w:r>
        <w:rPr>
          <w:rFonts w:hint="eastAsia" w:ascii="宋体" w:hAnsi="宋体" w:eastAsia="宋体" w:cs="Times New Roman"/>
          <w:color w:val="auto"/>
          <w:szCs w:val="21"/>
          <w:highlight w:val="none"/>
          <w:lang w:val="en-US" w:eastAsia="zh-CN"/>
        </w:rPr>
        <w:t>成交供应商</w:t>
      </w:r>
      <w:r>
        <w:rPr>
          <w:rFonts w:hint="eastAsia" w:ascii="宋体" w:hAnsi="宋体" w:eastAsia="宋体" w:cs="Times New Roman"/>
          <w:color w:val="auto"/>
          <w:szCs w:val="21"/>
          <w:highlight w:val="none"/>
        </w:rPr>
        <w:t>负责保管设备，并对设备进行基本防护，保障设备能随时投入使用。</w:t>
      </w:r>
    </w:p>
    <w:p w14:paraId="431560F8">
      <w:pPr>
        <w:numPr>
          <w:ilvl w:val="0"/>
          <w:numId w:val="12"/>
        </w:numPr>
        <w:snapToGrid w:val="0"/>
        <w:spacing w:line="360" w:lineRule="auto"/>
        <w:contextualSpacing/>
        <w:rPr>
          <w:rFonts w:ascii="宋体" w:hAnsi="宋体"/>
          <w:b/>
          <w:bCs/>
          <w:color w:val="auto"/>
          <w:szCs w:val="21"/>
          <w:highlight w:val="none"/>
        </w:rPr>
      </w:pPr>
      <w:r>
        <w:rPr>
          <w:rFonts w:hint="eastAsia" w:ascii="宋体" w:hAnsi="宋体"/>
          <w:b/>
          <w:bCs/>
          <w:iCs/>
          <w:color w:val="auto"/>
          <w:szCs w:val="21"/>
          <w:highlight w:val="none"/>
          <w:lang w:val="en-US" w:eastAsia="zh-CN"/>
        </w:rPr>
        <w:t>备品备件清单</w:t>
      </w:r>
    </w:p>
    <w:p w14:paraId="639DB1AA">
      <w:pPr>
        <w:numPr>
          <w:ilvl w:val="0"/>
          <w:numId w:val="36"/>
        </w:numPr>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lang w:val="en-US" w:eastAsia="zh-CN"/>
        </w:rPr>
        <w:t>电子警察运维服务备品备件清单</w:t>
      </w:r>
    </w:p>
    <w:tbl>
      <w:tblPr>
        <w:tblStyle w:val="22"/>
        <w:tblW w:w="5000" w:type="pct"/>
        <w:tblInd w:w="0" w:type="dxa"/>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724"/>
        <w:gridCol w:w="1841"/>
        <w:gridCol w:w="5277"/>
        <w:gridCol w:w="877"/>
        <w:gridCol w:w="567"/>
      </w:tblGrid>
      <w:tr w14:paraId="0FDC568B">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7C2F309B">
            <w:pPr>
              <w:keepNext w:val="0"/>
              <w:keepLines w:val="0"/>
              <w:widowControl/>
              <w:suppressLineNumbers w:val="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b/>
                <w:bCs/>
                <w:i w:val="0"/>
                <w:iCs w:val="0"/>
                <w:color w:val="auto"/>
                <w:kern w:val="0"/>
                <w:sz w:val="21"/>
                <w:szCs w:val="21"/>
                <w:highlight w:val="none"/>
                <w:u w:val="none"/>
                <w:lang w:val="en-US" w:eastAsia="zh-CN" w:bidi="ar"/>
              </w:rPr>
              <w:t>序号</w:t>
            </w:r>
          </w:p>
        </w:tc>
        <w:tc>
          <w:tcPr>
            <w:tcW w:w="991" w:type="pct"/>
            <w:tcBorders>
              <w:tl2br w:val="nil"/>
              <w:tr2bl w:val="nil"/>
            </w:tcBorders>
            <w:shd w:val="clear" w:color="auto" w:fill="auto"/>
            <w:vAlign w:val="center"/>
          </w:tcPr>
          <w:p w14:paraId="4D6B641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cs="宋体"/>
                <w:b/>
                <w:bCs/>
                <w:i w:val="0"/>
                <w:iCs w:val="0"/>
                <w:color w:val="auto"/>
                <w:kern w:val="0"/>
                <w:sz w:val="21"/>
                <w:szCs w:val="21"/>
                <w:highlight w:val="none"/>
                <w:u w:val="none"/>
                <w:lang w:val="en-US" w:eastAsia="zh-CN" w:bidi="ar"/>
              </w:rPr>
              <w:t>备品备件名称</w:t>
            </w:r>
          </w:p>
        </w:tc>
        <w:tc>
          <w:tcPr>
            <w:tcW w:w="2840" w:type="pct"/>
            <w:tcBorders>
              <w:tl2br w:val="nil"/>
              <w:tr2bl w:val="nil"/>
            </w:tcBorders>
            <w:shd w:val="clear" w:color="auto" w:fill="auto"/>
            <w:vAlign w:val="center"/>
          </w:tcPr>
          <w:p w14:paraId="6DFF7D8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cs="宋体"/>
                <w:b/>
                <w:bCs/>
                <w:i w:val="0"/>
                <w:iCs w:val="0"/>
                <w:color w:val="auto"/>
                <w:kern w:val="0"/>
                <w:sz w:val="21"/>
                <w:szCs w:val="21"/>
                <w:highlight w:val="none"/>
                <w:u w:val="none"/>
                <w:lang w:val="en-US" w:eastAsia="zh-CN" w:bidi="ar"/>
              </w:rPr>
              <w:t>规格参数</w:t>
            </w:r>
          </w:p>
        </w:tc>
        <w:tc>
          <w:tcPr>
            <w:tcW w:w="472" w:type="pct"/>
            <w:tcBorders>
              <w:tl2br w:val="nil"/>
              <w:tr2bl w:val="nil"/>
            </w:tcBorders>
            <w:shd w:val="clear" w:color="auto" w:fill="auto"/>
            <w:vAlign w:val="center"/>
          </w:tcPr>
          <w:p w14:paraId="194B2365">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数量</w:t>
            </w:r>
          </w:p>
        </w:tc>
        <w:tc>
          <w:tcPr>
            <w:tcW w:w="305" w:type="pct"/>
            <w:tcBorders>
              <w:tl2br w:val="nil"/>
              <w:tr2bl w:val="nil"/>
            </w:tcBorders>
            <w:shd w:val="clear" w:color="auto" w:fill="auto"/>
            <w:vAlign w:val="center"/>
          </w:tcPr>
          <w:p w14:paraId="5F82368F">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单位</w:t>
            </w:r>
          </w:p>
        </w:tc>
      </w:tr>
      <w:tr w14:paraId="03F7C72A">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24F55B10">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991" w:type="pct"/>
            <w:tcBorders>
              <w:tl2br w:val="nil"/>
              <w:tr2bl w:val="nil"/>
            </w:tcBorders>
            <w:shd w:val="clear" w:color="auto" w:fill="auto"/>
            <w:vAlign w:val="center"/>
          </w:tcPr>
          <w:p w14:paraId="069E8179">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900万智能交通摄像机</w:t>
            </w:r>
          </w:p>
        </w:tc>
        <w:tc>
          <w:tcPr>
            <w:tcW w:w="2840" w:type="pct"/>
            <w:tcBorders>
              <w:tl2br w:val="nil"/>
              <w:tr2bl w:val="nil"/>
            </w:tcBorders>
            <w:shd w:val="clear" w:color="auto" w:fill="auto"/>
            <w:vAlign w:val="center"/>
          </w:tcPr>
          <w:p w14:paraId="7F45C62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1、1英寸GS-CMOS，4096(H)×2160(V)，覆盖3-4车道；</w:t>
            </w:r>
          </w:p>
          <w:p w14:paraId="7F57F4D0">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2、内含网络防雷模块、接线端子、电源模块、GPS天线等；</w:t>
            </w:r>
          </w:p>
          <w:p w14:paraId="69726921">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3、采用VPU学习芯片：</w:t>
            </w:r>
          </w:p>
          <w:p w14:paraId="25E584C7">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（1）集成学习算法，支持更多特征识别、更多行为检测；</w:t>
            </w:r>
          </w:p>
          <w:p w14:paraId="7881A52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（2）支持H.265/H.264双编码、新能源车牌识别；</w:t>
            </w:r>
          </w:p>
          <w:p w14:paraId="6EEDB410">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（3）支持不系安全带、驾驶员打电话、抽烟等违法抓拍；</w:t>
            </w:r>
          </w:p>
          <w:p w14:paraId="66E3DFF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（4）支持年检标识、遮阳板、纸巾盒、挂件等检测；</w:t>
            </w:r>
          </w:p>
          <w:p w14:paraId="27608B0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（5）接口：双网口、音频输入输出、GPS、双USB3.0等；</w:t>
            </w:r>
          </w:p>
          <w:p w14:paraId="351BF9C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（6）支持GPS/北斗自动定位、校时；内置电子陀螺仪，支持姿态异常报警；</w:t>
            </w:r>
          </w:p>
          <w:p w14:paraId="25354D4B">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（7）采用GS-CMOS传感器，色彩还原度、低照、宽动态等效果佳，有效消除Smear现象。</w:t>
            </w:r>
          </w:p>
        </w:tc>
        <w:tc>
          <w:tcPr>
            <w:tcW w:w="472" w:type="pct"/>
            <w:tcBorders>
              <w:tl2br w:val="nil"/>
              <w:tr2bl w:val="nil"/>
            </w:tcBorders>
            <w:shd w:val="clear" w:color="auto" w:fill="auto"/>
            <w:vAlign w:val="center"/>
          </w:tcPr>
          <w:p w14:paraId="6D76652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722378B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3464C65C">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456D9383">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w:t>
            </w:r>
          </w:p>
        </w:tc>
        <w:tc>
          <w:tcPr>
            <w:tcW w:w="991" w:type="pct"/>
            <w:tcBorders>
              <w:tl2br w:val="nil"/>
              <w:tr2bl w:val="nil"/>
            </w:tcBorders>
            <w:shd w:val="clear" w:color="auto" w:fill="auto"/>
            <w:vAlign w:val="center"/>
          </w:tcPr>
          <w:p w14:paraId="2D7ED2AB">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高清镜头</w:t>
            </w:r>
          </w:p>
        </w:tc>
        <w:tc>
          <w:tcPr>
            <w:tcW w:w="2840" w:type="pct"/>
            <w:tcBorders>
              <w:tl2br w:val="nil"/>
              <w:tr2bl w:val="nil"/>
            </w:tcBorders>
            <w:shd w:val="clear" w:color="auto" w:fill="auto"/>
            <w:vAlign w:val="center"/>
          </w:tcPr>
          <w:p w14:paraId="41AE15F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电警摄像机1英寸16mm/25mm/50mm镜头，定焦镜头</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5D798F5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70F5129C">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个</w:t>
            </w:r>
          </w:p>
        </w:tc>
      </w:tr>
      <w:tr w14:paraId="731E082D">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644DDC6C">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p>
        </w:tc>
        <w:tc>
          <w:tcPr>
            <w:tcW w:w="991" w:type="pct"/>
            <w:tcBorders>
              <w:tl2br w:val="nil"/>
              <w:tr2bl w:val="nil"/>
            </w:tcBorders>
            <w:shd w:val="clear" w:color="auto" w:fill="auto"/>
            <w:vAlign w:val="center"/>
          </w:tcPr>
          <w:p w14:paraId="62F9DD5D">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LED频闪补光灯</w:t>
            </w:r>
          </w:p>
        </w:tc>
        <w:tc>
          <w:tcPr>
            <w:tcW w:w="2840" w:type="pct"/>
            <w:tcBorders>
              <w:tl2br w:val="nil"/>
              <w:tr2bl w:val="nil"/>
            </w:tcBorders>
            <w:shd w:val="clear" w:color="auto" w:fill="auto"/>
            <w:vAlign w:val="center"/>
          </w:tcPr>
          <w:p w14:paraId="256FEC8E">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1.采用16颗暖光高性能LED灯珠，光源高效、节能环保</w:t>
            </w:r>
            <w:r>
              <w:rPr>
                <w:rFonts w:hint="eastAsia" w:ascii="宋体" w:hAnsi="宋体" w:cs="宋体"/>
                <w:color w:val="auto"/>
                <w:kern w:val="0"/>
                <w:sz w:val="21"/>
                <w:szCs w:val="21"/>
                <w:highlight w:val="none"/>
                <w:lang w:eastAsia="zh-CN"/>
              </w:rPr>
              <w:t>；</w:t>
            </w:r>
          </w:p>
          <w:p w14:paraId="24CA120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2.稳流技术，保证电流控制准确、稳定</w:t>
            </w:r>
            <w:r>
              <w:rPr>
                <w:rFonts w:hint="eastAsia" w:ascii="宋体" w:hAnsi="宋体" w:cs="宋体"/>
                <w:color w:val="auto"/>
                <w:kern w:val="0"/>
                <w:sz w:val="21"/>
                <w:szCs w:val="21"/>
                <w:highlight w:val="none"/>
                <w:lang w:eastAsia="zh-CN"/>
              </w:rPr>
              <w:t>；</w:t>
            </w:r>
          </w:p>
          <w:p w14:paraId="1C6B248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3.支持频闪级联功能，支持最多5台LED灯串口同时并入相机接口，降低施工难度</w:t>
            </w:r>
            <w:r>
              <w:rPr>
                <w:rFonts w:hint="eastAsia" w:ascii="宋体" w:hAnsi="宋体" w:cs="宋体"/>
                <w:color w:val="auto"/>
                <w:kern w:val="0"/>
                <w:sz w:val="21"/>
                <w:szCs w:val="21"/>
                <w:highlight w:val="none"/>
                <w:lang w:eastAsia="zh-CN"/>
              </w:rPr>
              <w:t>；</w:t>
            </w:r>
          </w:p>
          <w:p w14:paraId="491890D0">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4.支持LED灯远程显示补光灯故障、正常状态，减少维护成本</w:t>
            </w:r>
            <w:r>
              <w:rPr>
                <w:rFonts w:hint="eastAsia" w:ascii="宋体" w:hAnsi="宋体" w:cs="宋体"/>
                <w:color w:val="auto"/>
                <w:kern w:val="0"/>
                <w:sz w:val="21"/>
                <w:szCs w:val="21"/>
                <w:highlight w:val="none"/>
                <w:lang w:eastAsia="zh-CN"/>
              </w:rPr>
              <w:t>；</w:t>
            </w:r>
          </w:p>
          <w:p w14:paraId="5A06C65E">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5.支持通过相机远程控制亮度，控制补光灯点亮和熄灭</w:t>
            </w:r>
            <w:r>
              <w:rPr>
                <w:rFonts w:hint="eastAsia" w:ascii="宋体" w:hAnsi="宋体" w:cs="宋体"/>
                <w:color w:val="auto"/>
                <w:kern w:val="0"/>
                <w:sz w:val="21"/>
                <w:szCs w:val="21"/>
                <w:highlight w:val="none"/>
                <w:lang w:eastAsia="zh-CN"/>
              </w:rPr>
              <w:t>；</w:t>
            </w:r>
          </w:p>
          <w:p w14:paraId="037BD91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6.采用高性能MCU，相机同步信号输出至LED灯板，响应的时间≤45μs</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5A4C0A6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15D6D50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535A39D1">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7CFB8B61">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4</w:t>
            </w:r>
          </w:p>
        </w:tc>
        <w:tc>
          <w:tcPr>
            <w:tcW w:w="991" w:type="pct"/>
            <w:tcBorders>
              <w:tl2br w:val="nil"/>
              <w:tr2bl w:val="nil"/>
            </w:tcBorders>
            <w:shd w:val="clear" w:color="auto" w:fill="auto"/>
            <w:vAlign w:val="center"/>
          </w:tcPr>
          <w:p w14:paraId="1BA076E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多合一补光灯</w:t>
            </w:r>
          </w:p>
        </w:tc>
        <w:tc>
          <w:tcPr>
            <w:tcW w:w="2840" w:type="pct"/>
            <w:tcBorders>
              <w:tl2br w:val="nil"/>
              <w:tr2bl w:val="nil"/>
            </w:tcBorders>
            <w:shd w:val="clear" w:color="auto" w:fill="auto"/>
            <w:vAlign w:val="center"/>
          </w:tcPr>
          <w:p w14:paraId="1055053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1、灯型：LED灯</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氙气灯；</w:t>
            </w:r>
          </w:p>
          <w:p w14:paraId="01CAD47C">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2、光源：可见光（波长350-780nm）；</w:t>
            </w:r>
          </w:p>
          <w:p w14:paraId="266715DA">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3、色温：氙气：5800K±200K，LED：4500K；</w:t>
            </w:r>
          </w:p>
          <w:p w14:paraId="7596E8D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4、中心光照度：LED：&lt;40lx（20m光照度）氙气：≤4000</w:t>
            </w:r>
            <w:r>
              <w:rPr>
                <w:rFonts w:hint="eastAsia" w:ascii="宋体" w:hAnsi="宋体" w:cs="宋体"/>
                <w:color w:val="auto"/>
                <w:kern w:val="0"/>
                <w:sz w:val="21"/>
                <w:szCs w:val="21"/>
                <w:highlight w:val="none"/>
                <w:lang w:val="en-US" w:eastAsia="zh-CN"/>
              </w:rPr>
              <w:t>l</w:t>
            </w:r>
            <w:r>
              <w:rPr>
                <w:rFonts w:hint="eastAsia" w:ascii="宋体" w:hAnsi="宋体" w:eastAsia="宋体" w:cs="宋体"/>
                <w:color w:val="auto"/>
                <w:kern w:val="0"/>
                <w:sz w:val="21"/>
                <w:szCs w:val="21"/>
                <w:highlight w:val="none"/>
              </w:rPr>
              <w:t>x；</w:t>
            </w:r>
          </w:p>
          <w:p w14:paraId="68B5B36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5、触发方式：开关量；</w:t>
            </w:r>
          </w:p>
          <w:p w14:paraId="6973E40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6、光斑覆盖范围：1车道；</w:t>
            </w:r>
          </w:p>
          <w:p w14:paraId="4FD72CA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7、补光距离：16 m～26m；</w:t>
            </w:r>
          </w:p>
          <w:p w14:paraId="72D1B40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8、回电时间：＜70 ms；</w:t>
            </w:r>
          </w:p>
          <w:p w14:paraId="4656693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9、闪光持续时间：180μs～500μs；</w:t>
            </w:r>
          </w:p>
          <w:p w14:paraId="3612EFFC">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10、爆闪计数：支持统计爆闪次数和触发次数；</w:t>
            </w:r>
          </w:p>
          <w:p w14:paraId="50A1139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11、闪光灯寿命：≥1000万次；</w:t>
            </w:r>
          </w:p>
          <w:p w14:paraId="5E49914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12、频率：跟随相机；</w:t>
            </w:r>
          </w:p>
          <w:p w14:paraId="6DE9BD1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13、灯珠数量：24颗（高亮LED）；</w:t>
            </w:r>
          </w:p>
          <w:p w14:paraId="1A3DB3A4">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14、光通量：1800 lm；</w:t>
            </w:r>
          </w:p>
          <w:p w14:paraId="15A1BCB4">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15、频闪时间统计：支持统计频闪持续时间；</w:t>
            </w:r>
          </w:p>
          <w:p w14:paraId="1E66F45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16、远程故障显示：支持在摄像机WEB上远程显示补光灯故障、正常状态；</w:t>
            </w:r>
          </w:p>
          <w:p w14:paraId="4ADAD244">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17、亮度调节：氙气：1～16级亮度可调LED：1～20级亮度可调；</w:t>
            </w:r>
          </w:p>
          <w:p w14:paraId="4F135F5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18、供电方式：AC220V±20%、50 HZ±2；</w:t>
            </w:r>
          </w:p>
          <w:p w14:paraId="1A03BC7F">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19、功耗：48W（LED频闪），64W（爆闪1次/S）。</w:t>
            </w:r>
          </w:p>
        </w:tc>
        <w:tc>
          <w:tcPr>
            <w:tcW w:w="472" w:type="pct"/>
            <w:tcBorders>
              <w:tl2br w:val="nil"/>
              <w:tr2bl w:val="nil"/>
            </w:tcBorders>
            <w:shd w:val="clear" w:color="auto" w:fill="auto"/>
            <w:vAlign w:val="center"/>
          </w:tcPr>
          <w:p w14:paraId="13C6CD09">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305" w:type="pct"/>
            <w:tcBorders>
              <w:tl2br w:val="nil"/>
              <w:tr2bl w:val="nil"/>
            </w:tcBorders>
            <w:shd w:val="clear" w:color="auto" w:fill="auto"/>
            <w:vAlign w:val="center"/>
          </w:tcPr>
          <w:p w14:paraId="6E5DE7D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701F947B">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5806DC76">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w:t>
            </w:r>
          </w:p>
        </w:tc>
        <w:tc>
          <w:tcPr>
            <w:tcW w:w="991" w:type="pct"/>
            <w:tcBorders>
              <w:tl2br w:val="nil"/>
              <w:tr2bl w:val="nil"/>
            </w:tcBorders>
            <w:shd w:val="clear" w:color="auto" w:fill="auto"/>
            <w:vAlign w:val="center"/>
          </w:tcPr>
          <w:p w14:paraId="75D9F74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企业硬盘</w:t>
            </w:r>
          </w:p>
        </w:tc>
        <w:tc>
          <w:tcPr>
            <w:tcW w:w="2840" w:type="pct"/>
            <w:tcBorders>
              <w:tl2br w:val="nil"/>
              <w:tr2bl w:val="nil"/>
            </w:tcBorders>
            <w:shd w:val="clear" w:color="auto" w:fill="auto"/>
            <w:vAlign w:val="center"/>
          </w:tcPr>
          <w:p w14:paraId="4A91799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8TB，7200RPM；256M；SATA</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6789638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2CC77BE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块</w:t>
            </w:r>
          </w:p>
        </w:tc>
      </w:tr>
      <w:tr w14:paraId="06C8660B">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627FEDCA">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w:t>
            </w:r>
          </w:p>
        </w:tc>
        <w:tc>
          <w:tcPr>
            <w:tcW w:w="991" w:type="pct"/>
            <w:tcBorders>
              <w:tl2br w:val="nil"/>
              <w:tr2bl w:val="nil"/>
            </w:tcBorders>
            <w:shd w:val="clear" w:color="auto" w:fill="auto"/>
            <w:vAlign w:val="center"/>
          </w:tcPr>
          <w:p w14:paraId="575A4969">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工业级交换机</w:t>
            </w:r>
          </w:p>
        </w:tc>
        <w:tc>
          <w:tcPr>
            <w:tcW w:w="2840" w:type="pct"/>
            <w:tcBorders>
              <w:tl2br w:val="nil"/>
              <w:tr2bl w:val="nil"/>
            </w:tcBorders>
            <w:shd w:val="clear" w:color="auto" w:fill="auto"/>
            <w:vAlign w:val="center"/>
          </w:tcPr>
          <w:p w14:paraId="5292459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8口10/100M网络交换机</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1FE94D3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67DB254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44B94BE6">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158F3628">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w:t>
            </w:r>
          </w:p>
        </w:tc>
        <w:tc>
          <w:tcPr>
            <w:tcW w:w="991" w:type="pct"/>
            <w:tcBorders>
              <w:tl2br w:val="nil"/>
              <w:tr2bl w:val="nil"/>
            </w:tcBorders>
            <w:shd w:val="clear" w:color="auto" w:fill="auto"/>
            <w:vAlign w:val="center"/>
          </w:tcPr>
          <w:p w14:paraId="1353755A">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网线</w:t>
            </w:r>
          </w:p>
        </w:tc>
        <w:tc>
          <w:tcPr>
            <w:tcW w:w="2840" w:type="pct"/>
            <w:tcBorders>
              <w:tl2br w:val="nil"/>
              <w:tr2bl w:val="nil"/>
            </w:tcBorders>
            <w:shd w:val="clear" w:color="auto" w:fill="auto"/>
            <w:vAlign w:val="center"/>
          </w:tcPr>
          <w:p w14:paraId="26F89D7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六类非屏蔽网线</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6E4ECD1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05" w:type="pct"/>
            <w:tcBorders>
              <w:tl2br w:val="nil"/>
              <w:tr2bl w:val="nil"/>
            </w:tcBorders>
            <w:shd w:val="clear" w:color="auto" w:fill="auto"/>
            <w:vAlign w:val="center"/>
          </w:tcPr>
          <w:p w14:paraId="3107B1F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箱</w:t>
            </w:r>
          </w:p>
        </w:tc>
      </w:tr>
      <w:tr w14:paraId="0D7617C1">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2686279F">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8</w:t>
            </w:r>
          </w:p>
        </w:tc>
        <w:tc>
          <w:tcPr>
            <w:tcW w:w="991" w:type="pct"/>
            <w:tcBorders>
              <w:tl2br w:val="nil"/>
              <w:tr2bl w:val="nil"/>
            </w:tcBorders>
            <w:shd w:val="clear" w:color="auto" w:fill="auto"/>
            <w:vAlign w:val="center"/>
          </w:tcPr>
          <w:p w14:paraId="3C564893">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电源线</w:t>
            </w:r>
          </w:p>
        </w:tc>
        <w:tc>
          <w:tcPr>
            <w:tcW w:w="2840" w:type="pct"/>
            <w:tcBorders>
              <w:tl2br w:val="nil"/>
              <w:tr2bl w:val="nil"/>
            </w:tcBorders>
            <w:shd w:val="clear" w:color="auto" w:fill="auto"/>
            <w:vAlign w:val="center"/>
          </w:tcPr>
          <w:p w14:paraId="6E8912E6">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1.5电源线</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61E3B665">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05" w:type="pct"/>
            <w:tcBorders>
              <w:tl2br w:val="nil"/>
              <w:tr2bl w:val="nil"/>
            </w:tcBorders>
            <w:shd w:val="clear" w:color="auto" w:fill="auto"/>
            <w:vAlign w:val="center"/>
          </w:tcPr>
          <w:p w14:paraId="41265CE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68AC1945">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102270A8">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9</w:t>
            </w:r>
          </w:p>
        </w:tc>
        <w:tc>
          <w:tcPr>
            <w:tcW w:w="991" w:type="pct"/>
            <w:tcBorders>
              <w:tl2br w:val="nil"/>
              <w:tr2bl w:val="nil"/>
            </w:tcBorders>
            <w:shd w:val="clear" w:color="auto" w:fill="auto"/>
            <w:vAlign w:val="center"/>
          </w:tcPr>
          <w:p w14:paraId="6D4B8F8B">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红灯信号检测线</w:t>
            </w:r>
          </w:p>
        </w:tc>
        <w:tc>
          <w:tcPr>
            <w:tcW w:w="2840" w:type="pct"/>
            <w:tcBorders>
              <w:tl2br w:val="nil"/>
              <w:tr2bl w:val="nil"/>
            </w:tcBorders>
            <w:shd w:val="clear" w:color="auto" w:fill="auto"/>
            <w:vAlign w:val="center"/>
          </w:tcPr>
          <w:p w14:paraId="10AA1DA0">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1.0电源线</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69D928C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05" w:type="pct"/>
            <w:tcBorders>
              <w:tl2br w:val="nil"/>
              <w:tr2bl w:val="nil"/>
            </w:tcBorders>
            <w:shd w:val="clear" w:color="auto" w:fill="auto"/>
            <w:vAlign w:val="center"/>
          </w:tcPr>
          <w:p w14:paraId="715F252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67C57782">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53C18876">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10</w:t>
            </w:r>
          </w:p>
        </w:tc>
        <w:tc>
          <w:tcPr>
            <w:tcW w:w="991" w:type="pct"/>
            <w:tcBorders>
              <w:tl2br w:val="nil"/>
              <w:tr2bl w:val="nil"/>
            </w:tcBorders>
            <w:shd w:val="clear" w:color="auto" w:fill="auto"/>
            <w:vAlign w:val="center"/>
          </w:tcPr>
          <w:p w14:paraId="4624A137">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闪光灯控制线</w:t>
            </w:r>
          </w:p>
        </w:tc>
        <w:tc>
          <w:tcPr>
            <w:tcW w:w="2840" w:type="pct"/>
            <w:tcBorders>
              <w:tl2br w:val="nil"/>
              <w:tr2bl w:val="nil"/>
            </w:tcBorders>
            <w:shd w:val="clear" w:color="auto" w:fill="auto"/>
            <w:vAlign w:val="center"/>
          </w:tcPr>
          <w:p w14:paraId="7770D177">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1.0电源线</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4FD9DE0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05" w:type="pct"/>
            <w:tcBorders>
              <w:tl2br w:val="nil"/>
              <w:tr2bl w:val="nil"/>
            </w:tcBorders>
            <w:shd w:val="clear" w:color="auto" w:fill="auto"/>
            <w:vAlign w:val="center"/>
          </w:tcPr>
          <w:p w14:paraId="0925210D">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3C3B6D72">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0A789D3F">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11</w:t>
            </w:r>
          </w:p>
        </w:tc>
        <w:tc>
          <w:tcPr>
            <w:tcW w:w="991" w:type="pct"/>
            <w:tcBorders>
              <w:tl2br w:val="nil"/>
              <w:tr2bl w:val="nil"/>
            </w:tcBorders>
            <w:shd w:val="clear" w:color="auto" w:fill="auto"/>
            <w:vAlign w:val="center"/>
          </w:tcPr>
          <w:p w14:paraId="2C5EC790">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千兆网络收发器</w:t>
            </w:r>
          </w:p>
        </w:tc>
        <w:tc>
          <w:tcPr>
            <w:tcW w:w="2840" w:type="pct"/>
            <w:tcBorders>
              <w:tl2br w:val="nil"/>
              <w:tr2bl w:val="nil"/>
            </w:tcBorders>
            <w:shd w:val="clear" w:color="auto" w:fill="auto"/>
            <w:vAlign w:val="center"/>
          </w:tcPr>
          <w:p w14:paraId="364CB862">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千兆网络收发器</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单模单纤40KM</w:t>
            </w:r>
            <w:r>
              <w:rPr>
                <w:rFonts w:hint="eastAsia" w:ascii="宋体" w:hAnsi="宋体" w:cs="宋体"/>
                <w:color w:val="auto"/>
                <w:kern w:val="0"/>
                <w:sz w:val="21"/>
                <w:szCs w:val="21"/>
                <w:highlight w:val="none"/>
                <w:lang w:eastAsia="zh-CN"/>
              </w:rPr>
              <w:t>）。</w:t>
            </w:r>
          </w:p>
        </w:tc>
        <w:tc>
          <w:tcPr>
            <w:tcW w:w="472" w:type="pct"/>
            <w:tcBorders>
              <w:tl2br w:val="nil"/>
              <w:tr2bl w:val="nil"/>
            </w:tcBorders>
            <w:shd w:val="clear" w:color="auto" w:fill="auto"/>
            <w:vAlign w:val="center"/>
          </w:tcPr>
          <w:p w14:paraId="2A7713D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05" w:type="pct"/>
            <w:tcBorders>
              <w:tl2br w:val="nil"/>
              <w:tr2bl w:val="nil"/>
            </w:tcBorders>
            <w:shd w:val="clear" w:color="auto" w:fill="auto"/>
            <w:vAlign w:val="center"/>
          </w:tcPr>
          <w:p w14:paraId="235BD86C">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对</w:t>
            </w:r>
          </w:p>
        </w:tc>
      </w:tr>
      <w:tr w14:paraId="301FA731">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90" w:type="pct"/>
            <w:tcBorders>
              <w:tl2br w:val="nil"/>
              <w:tr2bl w:val="nil"/>
            </w:tcBorders>
            <w:shd w:val="clear" w:color="auto" w:fill="auto"/>
            <w:noWrap/>
            <w:vAlign w:val="center"/>
          </w:tcPr>
          <w:p w14:paraId="4B8EFC61">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12</w:t>
            </w:r>
          </w:p>
        </w:tc>
        <w:tc>
          <w:tcPr>
            <w:tcW w:w="991" w:type="pct"/>
            <w:tcBorders>
              <w:tl2br w:val="nil"/>
              <w:tr2bl w:val="nil"/>
            </w:tcBorders>
            <w:shd w:val="clear" w:color="auto" w:fill="auto"/>
            <w:vAlign w:val="center"/>
          </w:tcPr>
          <w:p w14:paraId="57AD6357">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智能交通终端管理设备</w:t>
            </w:r>
          </w:p>
        </w:tc>
        <w:tc>
          <w:tcPr>
            <w:tcW w:w="2840" w:type="pct"/>
            <w:tcBorders>
              <w:tl2br w:val="nil"/>
              <w:tr2bl w:val="nil"/>
            </w:tcBorders>
            <w:shd w:val="clear" w:color="auto" w:fill="auto"/>
            <w:vAlign w:val="center"/>
          </w:tcPr>
          <w:p w14:paraId="474EFBAB">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嵌入式Linux实时操作系统；12路网络压缩高清视频输入，4路模拟视频输入；支持违章图片合成功能；最大支持4个SATA接口硬盘，兼容3.5”/2.5”大小的硬盘，标配1块3.5〃2T硬盘</w:t>
            </w:r>
          </w:p>
        </w:tc>
        <w:tc>
          <w:tcPr>
            <w:tcW w:w="472" w:type="pct"/>
            <w:tcBorders>
              <w:tl2br w:val="nil"/>
              <w:tr2bl w:val="nil"/>
            </w:tcBorders>
            <w:shd w:val="clear" w:color="auto" w:fill="auto"/>
            <w:vAlign w:val="center"/>
          </w:tcPr>
          <w:p w14:paraId="71162E09">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05" w:type="pct"/>
            <w:tcBorders>
              <w:tl2br w:val="nil"/>
              <w:tr2bl w:val="nil"/>
            </w:tcBorders>
            <w:shd w:val="clear" w:color="auto" w:fill="auto"/>
            <w:vAlign w:val="center"/>
          </w:tcPr>
          <w:p w14:paraId="1BF8623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bl>
    <w:p w14:paraId="2F64F699">
      <w:pPr>
        <w:numPr>
          <w:ilvl w:val="0"/>
          <w:numId w:val="36"/>
        </w:numPr>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道路交通信号灯运维服务</w:t>
      </w:r>
      <w:r>
        <w:rPr>
          <w:rFonts w:hint="eastAsia" w:ascii="宋体" w:hAnsi="宋体"/>
          <w:color w:val="auto"/>
          <w:szCs w:val="21"/>
          <w:highlight w:val="none"/>
          <w:lang w:val="en-US" w:eastAsia="zh-CN"/>
        </w:rPr>
        <w:t>备品备件清单</w:t>
      </w: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8"/>
        <w:gridCol w:w="1434"/>
        <w:gridCol w:w="6065"/>
        <w:gridCol w:w="595"/>
        <w:gridCol w:w="554"/>
      </w:tblGrid>
      <w:tr w14:paraId="324BD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CEBF34">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0BFD8F">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备品备件名称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25610F">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规格参数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B6054C">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243B20">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单位</w:t>
            </w:r>
          </w:p>
        </w:tc>
      </w:tr>
      <w:tr w14:paraId="04236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367E36">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A71EF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车行信号灯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64101C">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面罩规格：Φ400.0mm；</w:t>
            </w:r>
          </w:p>
          <w:p w14:paraId="5271D137">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工作温度：–40</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～+80℃；</w:t>
            </w:r>
          </w:p>
          <w:p w14:paraId="3A179562">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中心光强：＞400cd；</w:t>
            </w:r>
          </w:p>
          <w:p w14:paraId="4F7DF98A">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LED数量：信号灯：红156颗、黄156颗、绿156颗；倒计时：红168颗、绿168颗；</w:t>
            </w:r>
          </w:p>
          <w:p w14:paraId="6E296E63">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LED寿命：≥70000h；</w:t>
            </w:r>
          </w:p>
          <w:p w14:paraId="1FA93B4F">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LED波长：红：625±2nm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黄：590±2nm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绿：505±2nm</w:t>
            </w:r>
            <w:r>
              <w:rPr>
                <w:rFonts w:hint="eastAsia" w:ascii="宋体" w:hAnsi="宋体" w:cs="宋体"/>
                <w:i w:val="0"/>
                <w:iCs w:val="0"/>
                <w:color w:val="auto"/>
                <w:kern w:val="0"/>
                <w:sz w:val="21"/>
                <w:szCs w:val="21"/>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7C646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8DC6C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7AE21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C08BD7">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57207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双8动态人行信号灯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879DFC">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电源输入：1个；</w:t>
            </w:r>
          </w:p>
          <w:p w14:paraId="7F9075E8">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产品组成：红、绿LED；线路板；开关电源；面罩；后罩；外壳；</w:t>
            </w:r>
          </w:p>
          <w:p w14:paraId="14A8D20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供电方式：AC220V±20%，50Hz±1%；</w:t>
            </w:r>
          </w:p>
          <w:p w14:paraId="590ABED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绝缘要求：绝缘电阻≥500MΩ；</w:t>
            </w:r>
          </w:p>
          <w:p w14:paraId="38B1FFC9">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耐压要求：≥1440V；</w:t>
            </w:r>
          </w:p>
          <w:p w14:paraId="7C65050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功耗：</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20W；</w:t>
            </w:r>
          </w:p>
          <w:p w14:paraId="07861E0B">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工作温度：–40℃～+80℃；</w:t>
            </w:r>
          </w:p>
          <w:p w14:paraId="6CF60B06">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储存温度：0℃～+50℃；</w:t>
            </w:r>
          </w:p>
          <w:p w14:paraId="0276C3E2">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工作湿度：10%～95%RH（无凝结）</w:t>
            </w:r>
            <w:r>
              <w:rPr>
                <w:rFonts w:hint="eastAsia" w:ascii="宋体" w:hAnsi="宋体" w:cs="宋体"/>
                <w:i w:val="0"/>
                <w:iCs w:val="0"/>
                <w:color w:val="auto"/>
                <w:kern w:val="0"/>
                <w:sz w:val="21"/>
                <w:szCs w:val="21"/>
                <w:highlight w:val="none"/>
                <w:u w:val="none"/>
                <w:lang w:val="en-US" w:eastAsia="zh-CN" w:bidi="ar"/>
              </w:rPr>
              <w:t>；</w:t>
            </w:r>
          </w:p>
          <w:p w14:paraId="2E7F3DB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储存湿度：40%～60%RH（无凝露）；</w:t>
            </w:r>
          </w:p>
          <w:p w14:paraId="41BF02A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防护等级：IP53；</w:t>
            </w:r>
          </w:p>
          <w:p w14:paraId="292DDA28">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中心亮度：＞5000cd/</w:t>
            </w:r>
            <w:r>
              <w:rPr>
                <w:rFonts w:hint="eastAsia" w:ascii="宋体" w:hAnsi="宋体" w:cs="宋体"/>
                <w:i w:val="0"/>
                <w:iCs w:val="0"/>
                <w:color w:val="auto"/>
                <w:kern w:val="0"/>
                <w:sz w:val="21"/>
                <w:szCs w:val="21"/>
                <w:highlight w:val="none"/>
                <w:u w:val="none"/>
                <w:lang w:val="en-US" w:eastAsia="zh-CN" w:bidi="ar"/>
              </w:rPr>
              <w:t>m</w:t>
            </w:r>
            <w:r>
              <w:rPr>
                <w:rFonts w:hint="eastAsia" w:ascii="宋体" w:hAnsi="宋体" w:cs="宋体"/>
                <w:i w:val="0"/>
                <w:iCs w:val="0"/>
                <w:color w:val="auto"/>
                <w:kern w:val="0"/>
                <w:sz w:val="21"/>
                <w:szCs w:val="21"/>
                <w:highlight w:val="none"/>
                <w:u w:val="none"/>
                <w:vertAlign w:val="superscript"/>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w:t>
            </w:r>
          </w:p>
          <w:p w14:paraId="393F3278">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LED数量：信号灯：红80颗、绿64颗；倒计时：红168颗、绿168颗；</w:t>
            </w:r>
          </w:p>
          <w:p w14:paraId="663E5EEC">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LED直径：Φ5mm；</w:t>
            </w:r>
          </w:p>
          <w:p w14:paraId="401639B7">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LED单管电流：</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18mA；</w:t>
            </w:r>
          </w:p>
          <w:p w14:paraId="2E1D4E9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LED寿命：≥70000h；</w:t>
            </w:r>
          </w:p>
          <w:p w14:paraId="38EBA642">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LED波长：红：625±2nm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绿：505±2nm；</w:t>
            </w:r>
          </w:p>
          <w:p w14:paraId="3D0507C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可视角度：＞30°；</w:t>
            </w:r>
          </w:p>
          <w:p w14:paraId="2F61D3A9">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外壳材料：PC，黑色喷塑；</w:t>
            </w:r>
          </w:p>
          <w:p w14:paraId="2847857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面罩材料：PC；</w:t>
            </w:r>
          </w:p>
          <w:p w14:paraId="1B4823B7">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面罩规格：Φ300mm；</w:t>
            </w:r>
          </w:p>
          <w:p w14:paraId="32B97A91">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产品尺寸：1190mm×404mm×130mm（长×宽×高）；</w:t>
            </w:r>
          </w:p>
          <w:p w14:paraId="72B7AAE6">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包装盒尺寸：1245mm×475mm×200mm（长×宽×高）；</w:t>
            </w:r>
          </w:p>
          <w:p w14:paraId="05B2B9A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净重：8kg±2kg；</w:t>
            </w:r>
          </w:p>
          <w:p w14:paraId="4B0D1E57">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毛重：12kg±4kg；</w:t>
            </w:r>
          </w:p>
          <w:p w14:paraId="0AE0E02A">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安装方式：L脚安装</w:t>
            </w:r>
            <w:r>
              <w:rPr>
                <w:rFonts w:hint="eastAsia" w:ascii="宋体" w:hAnsi="宋体" w:cs="宋体"/>
                <w:i w:val="0"/>
                <w:iCs w:val="0"/>
                <w:color w:val="auto"/>
                <w:kern w:val="0"/>
                <w:sz w:val="21"/>
                <w:szCs w:val="21"/>
                <w:highlight w:val="none"/>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D2A13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18DBBD">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r>
      <w:tr w14:paraId="2917D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ED003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744B2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7107CF">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RVV3</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1.5电源线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0A8E5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3D9E1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1442C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36915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F6B89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E9E7E6">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RVV4</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1.5电源线</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6F8CB7">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AFB46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r>
      <w:bookmarkEnd w:id="9"/>
    </w:tbl>
    <w:p w14:paraId="376E67C3">
      <w:pPr>
        <w:numPr>
          <w:ilvl w:val="0"/>
          <w:numId w:val="36"/>
        </w:numPr>
        <w:snapToGrid w:val="0"/>
        <w:spacing w:line="360" w:lineRule="auto"/>
        <w:ind w:left="425" w:leftChars="0" w:hanging="425" w:firstLineChars="0"/>
        <w:contextualSpacing/>
        <w:rPr>
          <w:rFonts w:ascii="宋体" w:hAnsi="宋体"/>
          <w:color w:val="auto"/>
          <w:szCs w:val="21"/>
          <w:highlight w:val="none"/>
        </w:rPr>
      </w:pPr>
      <w:bookmarkStart w:id="10" w:name="_Toc170228130"/>
      <w:r>
        <w:rPr>
          <w:rFonts w:hint="eastAsia" w:ascii="宋体" w:hAnsi="宋体"/>
          <w:color w:val="auto"/>
          <w:szCs w:val="21"/>
          <w:highlight w:val="none"/>
          <w:lang w:val="en-US" w:eastAsia="zh-CN"/>
        </w:rPr>
        <w:t>备品备件使用要求</w:t>
      </w:r>
    </w:p>
    <w:p w14:paraId="66B52C5D">
      <w:pPr>
        <w:numPr>
          <w:ilvl w:val="0"/>
          <w:numId w:val="39"/>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rPr>
        <w:t>中标人须按“备品备件</w:t>
      </w:r>
      <w:r>
        <w:rPr>
          <w:rFonts w:hint="eastAsia" w:asciiTheme="minorEastAsia" w:hAnsiTheme="minorEastAsia" w:eastAsiaTheme="minorEastAsia"/>
          <w:color w:val="auto"/>
          <w:spacing w:val="0"/>
          <w:sz w:val="21"/>
          <w:szCs w:val="21"/>
          <w:highlight w:val="none"/>
          <w:lang w:val="en-US" w:eastAsia="zh-CN"/>
        </w:rPr>
        <w:t>清单</w:t>
      </w:r>
      <w:r>
        <w:rPr>
          <w:rFonts w:hint="eastAsia" w:asciiTheme="minorEastAsia" w:hAnsiTheme="minorEastAsia" w:eastAsiaTheme="minorEastAsia"/>
          <w:color w:val="auto"/>
          <w:spacing w:val="0"/>
          <w:sz w:val="21"/>
          <w:szCs w:val="21"/>
          <w:highlight w:val="none"/>
        </w:rPr>
        <w:t>”约定的参数及数量为本项目提供相应的备品备件，备品备件的采购、仓储、运输均由中标人负责，凡备品备件在采购、仓储、运输过程中造成的损坏、损失和由此产生的费用均由中标人承担</w:t>
      </w:r>
      <w:r>
        <w:rPr>
          <w:rFonts w:hint="eastAsia" w:asciiTheme="minorEastAsia" w:hAnsiTheme="minorEastAsia" w:eastAsiaTheme="minorEastAsia"/>
          <w:color w:val="auto"/>
          <w:spacing w:val="0"/>
          <w:sz w:val="21"/>
          <w:szCs w:val="21"/>
          <w:highlight w:val="none"/>
          <w:lang w:eastAsia="zh-CN"/>
        </w:rPr>
        <w:t>。</w:t>
      </w:r>
    </w:p>
    <w:p w14:paraId="4D695F08">
      <w:pPr>
        <w:numPr>
          <w:ilvl w:val="0"/>
          <w:numId w:val="39"/>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rPr>
        <w:t>项目履约过程中中标人须对备品备件的使用做好详尽的记录，每月10日前将上月使用清单明细交采购人确认；运维服务中涉及“备品备件清单”之外的设备、配件及材料或服务期内出现所需备品备件余量不足的情形的，中标人须向采购人提交明确的</w:t>
      </w:r>
      <w:r>
        <w:rPr>
          <w:rFonts w:hint="eastAsia" w:asciiTheme="minorEastAsia" w:hAnsiTheme="minorEastAsia" w:eastAsiaTheme="minorEastAsia"/>
          <w:color w:val="auto"/>
          <w:spacing w:val="0"/>
          <w:sz w:val="21"/>
          <w:szCs w:val="21"/>
          <w:highlight w:val="none"/>
          <w:lang w:val="en-US" w:eastAsia="zh-CN"/>
        </w:rPr>
        <w:t>需求</w:t>
      </w:r>
      <w:r>
        <w:rPr>
          <w:rFonts w:hint="eastAsia" w:asciiTheme="minorEastAsia" w:hAnsiTheme="minorEastAsia" w:eastAsiaTheme="minorEastAsia"/>
          <w:color w:val="auto"/>
          <w:spacing w:val="0"/>
          <w:sz w:val="21"/>
          <w:szCs w:val="21"/>
          <w:highlight w:val="none"/>
        </w:rPr>
        <w:t>清单，经</w:t>
      </w:r>
      <w:r>
        <w:rPr>
          <w:rFonts w:hint="eastAsia" w:asciiTheme="minorEastAsia" w:hAnsiTheme="minorEastAsia" w:eastAsiaTheme="minorEastAsia"/>
          <w:color w:val="auto"/>
          <w:spacing w:val="0"/>
          <w:sz w:val="21"/>
          <w:szCs w:val="21"/>
          <w:highlight w:val="none"/>
          <w:lang w:val="en-US" w:eastAsia="zh-CN"/>
        </w:rPr>
        <w:t>采购人确认后提供相应</w:t>
      </w:r>
      <w:r>
        <w:rPr>
          <w:rFonts w:hint="eastAsia" w:asciiTheme="minorEastAsia" w:hAnsiTheme="minorEastAsia" w:eastAsiaTheme="minorEastAsia"/>
          <w:color w:val="auto"/>
          <w:spacing w:val="0"/>
          <w:sz w:val="21"/>
          <w:szCs w:val="21"/>
          <w:highlight w:val="none"/>
        </w:rPr>
        <w:t>运维</w:t>
      </w:r>
      <w:r>
        <w:rPr>
          <w:rFonts w:hint="eastAsia" w:asciiTheme="minorEastAsia" w:hAnsiTheme="minorEastAsia" w:eastAsiaTheme="minorEastAsia"/>
          <w:color w:val="auto"/>
          <w:spacing w:val="0"/>
          <w:sz w:val="21"/>
          <w:szCs w:val="21"/>
          <w:highlight w:val="none"/>
          <w:lang w:val="en-US" w:eastAsia="zh-CN"/>
        </w:rPr>
        <w:t>服务，运维服务使用的货品参数须不低于</w:t>
      </w:r>
      <w:r>
        <w:rPr>
          <w:rFonts w:hint="eastAsia" w:asciiTheme="minorEastAsia" w:hAnsiTheme="minorEastAsia" w:eastAsiaTheme="minorEastAsia"/>
          <w:color w:val="auto"/>
          <w:spacing w:val="0"/>
          <w:sz w:val="21"/>
          <w:szCs w:val="21"/>
          <w:highlight w:val="none"/>
        </w:rPr>
        <w:t>“备品备件</w:t>
      </w:r>
      <w:r>
        <w:rPr>
          <w:rFonts w:hint="eastAsia" w:asciiTheme="minorEastAsia" w:hAnsiTheme="minorEastAsia" w:eastAsiaTheme="minorEastAsia"/>
          <w:color w:val="auto"/>
          <w:spacing w:val="0"/>
          <w:sz w:val="21"/>
          <w:szCs w:val="21"/>
          <w:highlight w:val="none"/>
          <w:lang w:val="en-US" w:eastAsia="zh-CN"/>
        </w:rPr>
        <w:t>清单</w:t>
      </w:r>
      <w:r>
        <w:rPr>
          <w:rFonts w:hint="eastAsia" w:asciiTheme="minorEastAsia" w:hAnsiTheme="minorEastAsia" w:eastAsiaTheme="minorEastAsia"/>
          <w:color w:val="auto"/>
          <w:spacing w:val="0"/>
          <w:sz w:val="21"/>
          <w:szCs w:val="21"/>
          <w:highlight w:val="none"/>
        </w:rPr>
        <w:t>”</w:t>
      </w:r>
      <w:r>
        <w:rPr>
          <w:rFonts w:hint="eastAsia" w:asciiTheme="minorEastAsia" w:hAnsiTheme="minorEastAsia" w:eastAsiaTheme="minorEastAsia"/>
          <w:color w:val="auto"/>
          <w:spacing w:val="0"/>
          <w:sz w:val="21"/>
          <w:szCs w:val="21"/>
          <w:highlight w:val="none"/>
          <w:lang w:val="en-US" w:eastAsia="zh-CN"/>
        </w:rPr>
        <w:t>要求，所需费用已包含在本项目合同价款中，采购人不再另行支付</w:t>
      </w:r>
      <w:r>
        <w:rPr>
          <w:rFonts w:hint="eastAsia" w:asciiTheme="minorEastAsia" w:hAnsiTheme="minorEastAsia" w:eastAsiaTheme="minorEastAsia"/>
          <w:color w:val="auto"/>
          <w:spacing w:val="0"/>
          <w:sz w:val="21"/>
          <w:szCs w:val="21"/>
          <w:highlight w:val="none"/>
          <w:lang w:eastAsia="zh-CN"/>
        </w:rPr>
        <w:t>。</w:t>
      </w:r>
    </w:p>
    <w:p w14:paraId="3E7261DF">
      <w:pPr>
        <w:numPr>
          <w:ilvl w:val="0"/>
          <w:numId w:val="39"/>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rPr>
        <w:t>服务期满后10日内，中标人须将剩余的备品备件交还采购人，并递交详尽、准确的货物清单，清单内容须经采购人确认。</w:t>
      </w:r>
    </w:p>
    <w:p w14:paraId="28DEF7CC">
      <w:pPr>
        <w:rPr>
          <w:rFonts w:hint="eastAsia" w:asciiTheme="minorEastAsia" w:hAnsiTheme="minorEastAsia" w:eastAsiaTheme="minorEastAsia"/>
          <w:color w:val="auto"/>
          <w:spacing w:val="20"/>
          <w:sz w:val="32"/>
          <w:szCs w:val="32"/>
          <w:highlight w:val="none"/>
        </w:rPr>
      </w:pPr>
      <w:r>
        <w:rPr>
          <w:rFonts w:hint="eastAsia" w:asciiTheme="minorEastAsia" w:hAnsiTheme="minorEastAsia" w:eastAsiaTheme="minorEastAsia"/>
          <w:color w:val="auto"/>
          <w:spacing w:val="20"/>
          <w:sz w:val="32"/>
          <w:szCs w:val="32"/>
          <w:highlight w:val="none"/>
        </w:rPr>
        <w:br w:type="page"/>
      </w:r>
    </w:p>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r>
        <w:rPr>
          <w:rFonts w:hint="eastAsia" w:asciiTheme="minorEastAsia" w:hAnsiTheme="minorEastAsia" w:eastAsiaTheme="minorEastAsia"/>
          <w:color w:val="auto"/>
          <w:spacing w:val="20"/>
          <w:sz w:val="32"/>
          <w:szCs w:val="32"/>
          <w:highlight w:val="none"/>
        </w:rPr>
        <w:t>第三章 磋商须知</w:t>
      </w:r>
      <w:bookmarkEnd w:id="10"/>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w:t>
      </w: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41"/>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不收取</w:t>
            </w:r>
            <w:r>
              <w:rPr>
                <w:rFonts w:ascii="宋体" w:hAnsi="宋体"/>
                <w:color w:val="auto"/>
                <w:kern w:val="0"/>
                <w:szCs w:val="21"/>
                <w:highlight w:val="none"/>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收取。采购机构代理服务收费标准：</w:t>
            </w:r>
            <w:r>
              <w:rPr>
                <w:rFonts w:hint="eastAsia" w:ascii="宋体" w:hAnsi="宋体"/>
                <w:color w:val="auto"/>
                <w:kern w:val="0"/>
                <w:szCs w:val="21"/>
                <w:highlight w:val="none"/>
                <w:lang w:val="en-US" w:eastAsia="zh-CN"/>
              </w:rPr>
              <w:t>本项目采用定额方式收取代理服务费，服务费金额为：¥6,000.00元（大写：人民币陆仟元整）。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向</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56DC2A87">
            <w:pPr>
              <w:widowControl/>
              <w:snapToGrid w:val="0"/>
              <w:spacing w:line="400" w:lineRule="exact"/>
              <w:contextualSpacing/>
              <w:rPr>
                <w:rFonts w:hint="eastAsia" w:ascii="宋体" w:hAnsi="宋体" w:eastAsia="宋体"/>
                <w:color w:val="auto"/>
                <w:kern w:val="0"/>
                <w:szCs w:val="21"/>
                <w:highlight w:val="none"/>
                <w:lang w:eastAsia="zh-CN"/>
              </w:rPr>
            </w:pPr>
            <w:r>
              <w:rPr>
                <w:rFonts w:hint="eastAsia" w:ascii="宋体" w:hAnsi="宋体"/>
                <w:color w:val="auto"/>
                <w:szCs w:val="21"/>
                <w:highlight w:val="none"/>
                <w:lang w:val="en-US" w:eastAsia="zh-CN"/>
              </w:rPr>
              <w:t>不收取。</w:t>
            </w:r>
          </w:p>
        </w:tc>
      </w:tr>
    </w:tbl>
    <w:p w14:paraId="420D7E1F">
      <w:pPr>
        <w:widowControl/>
        <w:snapToGrid w:val="0"/>
        <w:spacing w:before="312" w:beforeLines="100" w:line="360" w:lineRule="auto"/>
        <w:contextualSpacing/>
        <w:jc w:val="left"/>
        <w:outlineLvl w:val="9"/>
        <w:rPr>
          <w:rFonts w:ascii="宋体" w:hAnsi="宋体"/>
          <w:b/>
          <w:color w:val="auto"/>
          <w:kern w:val="0"/>
          <w:szCs w:val="21"/>
          <w:highlight w:val="none"/>
        </w:rPr>
      </w:pPr>
    </w:p>
    <w:p w14:paraId="00DD2CF4">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eastAsia="zh-Hans"/>
        </w:rPr>
        <w:t>参考</w:t>
      </w:r>
      <w:r>
        <w:rPr>
          <w:rFonts w:ascii="宋体" w:hAnsi="宋体"/>
          <w:color w:val="auto"/>
          <w:kern w:val="0"/>
          <w:szCs w:val="21"/>
          <w:highlight w:val="none"/>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highlight w:val="none"/>
          <w:lang w:eastAsia="zh-Hans"/>
        </w:rPr>
        <w:t>等</w:t>
      </w:r>
      <w:r>
        <w:rPr>
          <w:rFonts w:ascii="宋体" w:hAnsi="宋体"/>
          <w:color w:val="auto"/>
          <w:kern w:val="0"/>
          <w:szCs w:val="21"/>
          <w:highlight w:val="none"/>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7.关于中小微企业响应</w:t>
      </w:r>
    </w:p>
    <w:p w14:paraId="2105E785">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45"/>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val="en-US" w:eastAsia="zh-CN"/>
        </w:rPr>
        <w:t>参考</w:t>
      </w:r>
      <w:r>
        <w:rPr>
          <w:rFonts w:ascii="宋体" w:hAnsi="宋体"/>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8.纪律与保密事项</w:t>
      </w:r>
    </w:p>
    <w:p w14:paraId="73CEF96F">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4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9.语言文字以及度量衡单位</w:t>
      </w:r>
    </w:p>
    <w:p w14:paraId="7B14278D">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4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10. 现场踏勘（如有）</w:t>
      </w:r>
    </w:p>
    <w:p w14:paraId="5713EDCD">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0"/>
        <w:widowControl/>
        <w:numPr>
          <w:ilvl w:val="0"/>
          <w:numId w:val="4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0"/>
        <w:widowControl/>
        <w:numPr>
          <w:ilvl w:val="0"/>
          <w:numId w:val="4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4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4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0"/>
        <w:widowControl/>
        <w:numPr>
          <w:ilvl w:val="0"/>
          <w:numId w:val="5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5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51"/>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并书面报告监督管理部门</w:t>
      </w:r>
      <w:r>
        <w:rPr>
          <w:rFonts w:ascii="宋体" w:hAnsi="宋体"/>
          <w:color w:val="auto"/>
          <w:kern w:val="0"/>
          <w:szCs w:val="21"/>
          <w:highlight w:val="none"/>
          <w:lang w:eastAsia="zh-Hans"/>
        </w:rPr>
        <w:t>。</w:t>
      </w:r>
    </w:p>
    <w:p w14:paraId="3B2AA416">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1" w:name="_Toc416771341"/>
      <w:bookmarkStart w:id="12" w:name="_Toc410736154"/>
      <w:bookmarkStart w:id="13" w:name="_Toc410738954"/>
      <w:bookmarkStart w:id="14" w:name="_Toc416770231"/>
      <w:r>
        <w:rPr>
          <w:rFonts w:hint="eastAsia" w:asciiTheme="minorEastAsia" w:hAnsiTheme="minorEastAsia" w:eastAsiaTheme="minorEastAsia"/>
          <w:b/>
          <w:bCs/>
          <w:color w:val="auto"/>
          <w:highlight w:val="none"/>
        </w:rPr>
        <w:t>响应文件的式样和签署</w:t>
      </w:r>
      <w:bookmarkEnd w:id="11"/>
      <w:bookmarkEnd w:id="12"/>
      <w:bookmarkEnd w:id="13"/>
      <w:bookmarkEnd w:id="14"/>
    </w:p>
    <w:p w14:paraId="6DE5B1BD">
      <w:pPr>
        <w:pStyle w:val="70"/>
        <w:numPr>
          <w:ilvl w:val="0"/>
          <w:numId w:val="52"/>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0"/>
        <w:numPr>
          <w:ilvl w:val="0"/>
          <w:numId w:val="52"/>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0"/>
        <w:numPr>
          <w:ilvl w:val="0"/>
          <w:numId w:val="5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53"/>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0"/>
        <w:numPr>
          <w:ilvl w:val="0"/>
          <w:numId w:val="52"/>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0"/>
        <w:widowControl/>
        <w:numPr>
          <w:ilvl w:val="0"/>
          <w:numId w:val="50"/>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5" w:name="_Toc410738955"/>
      <w:bookmarkStart w:id="16" w:name="_Toc410736155"/>
      <w:bookmarkStart w:id="17" w:name="_Toc416771342"/>
      <w:bookmarkStart w:id="18" w:name="_Toc416770232"/>
      <w:bookmarkStart w:id="19" w:name="_Toc502738627"/>
      <w:r>
        <w:rPr>
          <w:rFonts w:hint="eastAsia" w:asciiTheme="minorEastAsia" w:hAnsiTheme="minorEastAsia" w:eastAsiaTheme="minorEastAsia"/>
          <w:b/>
          <w:bCs/>
          <w:color w:val="auto"/>
          <w:highlight w:val="none"/>
        </w:rPr>
        <w:t>响应文件的递交</w:t>
      </w:r>
      <w:bookmarkEnd w:id="15"/>
      <w:bookmarkEnd w:id="16"/>
      <w:bookmarkEnd w:id="17"/>
      <w:bookmarkEnd w:id="18"/>
      <w:bookmarkEnd w:id="19"/>
    </w:p>
    <w:p w14:paraId="79DB5479">
      <w:pPr>
        <w:pStyle w:val="70"/>
        <w:numPr>
          <w:ilvl w:val="0"/>
          <w:numId w:val="54"/>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0" w:name="_Toc410736156"/>
      <w:bookmarkStart w:id="21" w:name="_Toc410738956"/>
      <w:bookmarkStart w:id="22" w:name="_Toc416771343"/>
      <w:bookmarkStart w:id="23" w:name="_Toc416770233"/>
      <w:r>
        <w:rPr>
          <w:rFonts w:hint="eastAsia" w:asciiTheme="minorEastAsia" w:hAnsiTheme="minorEastAsia" w:eastAsiaTheme="minorEastAsia"/>
          <w:b/>
          <w:bCs/>
          <w:color w:val="auto"/>
          <w:highlight w:val="none"/>
        </w:rPr>
        <w:t>响应文件的密封和标记</w:t>
      </w:r>
      <w:bookmarkEnd w:id="20"/>
      <w:bookmarkEnd w:id="21"/>
      <w:bookmarkEnd w:id="22"/>
      <w:bookmarkEnd w:id="23"/>
    </w:p>
    <w:p w14:paraId="6E44954C">
      <w:pPr>
        <w:pStyle w:val="70"/>
        <w:numPr>
          <w:ilvl w:val="0"/>
          <w:numId w:val="55"/>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0"/>
        <w:numPr>
          <w:ilvl w:val="0"/>
          <w:numId w:val="55"/>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4" w:name="_Hlk86740118"/>
      <w:r>
        <w:rPr>
          <w:rFonts w:hint="eastAsia" w:ascii="宋体" w:hAnsi="宋体"/>
          <w:bCs/>
          <w:color w:val="auto"/>
          <w:szCs w:val="21"/>
          <w:highlight w:val="none"/>
        </w:rPr>
        <w:t>须同时提交以下文件</w:t>
      </w:r>
      <w:bookmarkEnd w:id="24"/>
      <w:r>
        <w:rPr>
          <w:rFonts w:hint="eastAsia" w:ascii="宋体" w:hAnsi="宋体"/>
          <w:bCs/>
          <w:color w:val="auto"/>
          <w:szCs w:val="21"/>
          <w:highlight w:val="none"/>
        </w:rPr>
        <w:t>：</w:t>
      </w:r>
      <w:bookmarkStart w:id="25"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5"/>
      <w:r>
        <w:rPr>
          <w:rFonts w:hint="eastAsia" w:ascii="宋体" w:hAnsi="宋体"/>
          <w:bCs/>
          <w:color w:val="auto"/>
          <w:szCs w:val="21"/>
          <w:highlight w:val="none"/>
        </w:rPr>
        <w:t>。</w:t>
      </w:r>
    </w:p>
    <w:p w14:paraId="7840E142">
      <w:pPr>
        <w:pStyle w:val="70"/>
        <w:numPr>
          <w:ilvl w:val="0"/>
          <w:numId w:val="55"/>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6"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6"/>
    <w:p w14:paraId="6C0EA5E6">
      <w:pPr>
        <w:pStyle w:val="70"/>
        <w:widowControl/>
        <w:numPr>
          <w:ilvl w:val="0"/>
          <w:numId w:val="50"/>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27" w:name="_Toc410738957"/>
      <w:bookmarkStart w:id="28" w:name="_Toc416770234"/>
      <w:bookmarkStart w:id="29" w:name="_Toc416771344"/>
      <w:bookmarkStart w:id="30" w:name="_Toc410736157"/>
      <w:r>
        <w:rPr>
          <w:rFonts w:hint="eastAsia" w:asciiTheme="minorEastAsia" w:hAnsiTheme="minorEastAsia" w:eastAsiaTheme="minorEastAsia"/>
          <w:b/>
          <w:bCs/>
          <w:color w:val="auto"/>
          <w:highlight w:val="none"/>
        </w:rPr>
        <w:t>响应文件包装密封</w:t>
      </w:r>
    </w:p>
    <w:p w14:paraId="08FF4B64">
      <w:pPr>
        <w:pStyle w:val="70"/>
        <w:numPr>
          <w:ilvl w:val="0"/>
          <w:numId w:val="5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0"/>
        <w:numPr>
          <w:ilvl w:val="0"/>
          <w:numId w:val="5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0"/>
        <w:numPr>
          <w:ilvl w:val="0"/>
          <w:numId w:val="56"/>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 广东智汇城市招标采购有限公司</w:t>
      </w:r>
      <w:r>
        <w:rPr>
          <w:rFonts w:hint="eastAsia" w:ascii="宋体" w:hAnsi="宋体"/>
          <w:bCs/>
          <w:color w:val="auto"/>
          <w:highlight w:val="none"/>
          <w:u w:val="single"/>
          <w:lang w:val="en-US" w:eastAsia="zh-CN"/>
        </w:rPr>
        <w:t>东莞分公司</w:t>
      </w:r>
      <w:r>
        <w:rPr>
          <w:rFonts w:hint="eastAsia" w:ascii="宋体" w:hAnsi="宋体"/>
          <w:bCs/>
          <w:color w:val="auto"/>
          <w:highlight w:val="none"/>
          <w:u w:val="single"/>
        </w:rPr>
        <w:t xml:space="preserve"> </w:t>
      </w:r>
    </w:p>
    <w:p w14:paraId="42416AA3">
      <w:pPr>
        <w:autoSpaceDE w:val="0"/>
        <w:autoSpaceDN w:val="0"/>
        <w:spacing w:line="360" w:lineRule="auto"/>
        <w:ind w:firstLine="424" w:firstLineChars="202"/>
        <w:jc w:val="left"/>
        <w:rPr>
          <w:rFonts w:hint="default" w:ascii="宋体" w:hAnsi="宋体" w:eastAsia="宋体"/>
          <w:bCs/>
          <w:color w:val="auto"/>
          <w:highlight w:val="none"/>
          <w:lang w:val="en-US" w:eastAsia="zh-CN"/>
        </w:rPr>
      </w:pPr>
      <w:r>
        <w:rPr>
          <w:rFonts w:hint="eastAsia" w:ascii="宋体" w:hAnsi="宋体"/>
          <w:bCs/>
          <w:color w:val="auto"/>
          <w:highlight w:val="none"/>
        </w:rPr>
        <w:t>供应商名称：</w:t>
      </w:r>
      <w:r>
        <w:rPr>
          <w:rFonts w:hint="eastAsia" w:ascii="宋体" w:hAnsi="宋体"/>
          <w:bCs/>
          <w:color w:val="auto"/>
          <w:highlight w:val="none"/>
          <w:u w:val="single"/>
        </w:rPr>
        <w:t xml:space="preserve">                               </w:t>
      </w:r>
      <w:r>
        <w:rPr>
          <w:rFonts w:hint="eastAsia" w:ascii="宋体" w:hAnsi="宋体"/>
          <w:bCs/>
          <w:color w:val="auto"/>
          <w:highlight w:val="none"/>
          <w:u w:val="single"/>
          <w:lang w:val="en-US" w:eastAsia="zh-CN"/>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r>
        <w:rPr>
          <w:rFonts w:hint="eastAsia" w:ascii="宋体" w:hAnsi="宋体"/>
          <w:bCs/>
          <w:color w:val="auto"/>
          <w:highlight w:val="none"/>
          <w:u w:val="single"/>
          <w:lang w:val="en-US" w:eastAsia="zh-CN"/>
        </w:rPr>
        <w:t xml:space="preserve"> </w:t>
      </w:r>
      <w:r>
        <w:rPr>
          <w:rFonts w:hint="eastAsia" w:ascii="宋体" w:hAnsi="宋体"/>
          <w:bCs/>
          <w:color w:val="auto"/>
          <w:highlight w:val="none"/>
          <w:u w:val="single"/>
        </w:rPr>
        <w:t xml:space="preserve">   </w:t>
      </w:r>
    </w:p>
    <w:p w14:paraId="674BE98C">
      <w:pPr>
        <w:autoSpaceDE w:val="0"/>
        <w:autoSpaceDN w:val="0"/>
        <w:spacing w:line="360" w:lineRule="auto"/>
        <w:ind w:firstLine="424" w:firstLineChars="202"/>
        <w:jc w:val="left"/>
        <w:rPr>
          <w:rFonts w:hint="eastAsia" w:ascii="宋体" w:hAnsi="宋体" w:eastAsia="宋体"/>
          <w:bCs/>
          <w:color w:val="auto"/>
          <w:highlight w:val="none"/>
          <w:lang w:val="en-US" w:eastAsia="zh-CN"/>
        </w:rPr>
      </w:pPr>
      <w:r>
        <w:rPr>
          <w:rFonts w:hint="eastAsia" w:ascii="宋体" w:hAnsi="宋体"/>
          <w:bCs/>
          <w:color w:val="auto"/>
          <w:highlight w:val="none"/>
        </w:rPr>
        <w:t>项目编号：</w:t>
      </w:r>
      <w:r>
        <w:rPr>
          <w:rFonts w:hint="eastAsia"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u w:val="single"/>
        </w:rPr>
        <w:t xml:space="preserve">           </w:t>
      </w:r>
      <w:r>
        <w:rPr>
          <w:rFonts w:hint="eastAsia" w:ascii="宋体" w:hAnsi="宋体"/>
          <w:bCs/>
          <w:color w:val="auto"/>
          <w:highlight w:val="none"/>
          <w:u w:val="single"/>
          <w:lang w:val="en-US" w:eastAsia="zh-CN"/>
        </w:rPr>
        <w:t xml:space="preserve">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
          <w:bCs w:val="0"/>
          <w:color w:val="auto"/>
          <w:highlight w:val="none"/>
          <w:u w:val="single"/>
        </w:rPr>
        <w:t>（详见</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w:t>
      </w:r>
      <w:r>
        <w:rPr>
          <w:rFonts w:hint="eastAsia" w:ascii="宋体" w:hAnsi="宋体"/>
          <w:bCs/>
          <w:color w:val="auto"/>
          <w:highlight w:val="none"/>
        </w:rPr>
        <w:t>之前不得启封”的字样。</w:t>
      </w:r>
    </w:p>
    <w:p w14:paraId="7D51229A">
      <w:pPr>
        <w:pStyle w:val="70"/>
        <w:numPr>
          <w:ilvl w:val="0"/>
          <w:numId w:val="56"/>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0"/>
        <w:widowControl/>
        <w:numPr>
          <w:ilvl w:val="0"/>
          <w:numId w:val="50"/>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27"/>
      <w:bookmarkEnd w:id="28"/>
      <w:bookmarkEnd w:id="29"/>
      <w:bookmarkEnd w:id="30"/>
    </w:p>
    <w:p w14:paraId="7C40EA8C">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Theme="minorEastAsia" w:hAnsiTheme="minorEastAsia" w:eastAsiaTheme="minorEastAsia"/>
          <w:bCs/>
          <w:color w:val="auto"/>
          <w:szCs w:val="21"/>
          <w:highlight w:val="none"/>
        </w:rPr>
        <w:t>中指明的地址。</w:t>
      </w:r>
    </w:p>
    <w:p w14:paraId="6172F1E5">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0"/>
        <w:widowControl/>
        <w:numPr>
          <w:ilvl w:val="0"/>
          <w:numId w:val="5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58"/>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1A37F3D0">
      <w:pPr>
        <w:pStyle w:val="70"/>
        <w:widowControl/>
        <w:numPr>
          <w:ilvl w:val="0"/>
          <w:numId w:val="59"/>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0"/>
        <w:widowControl/>
        <w:numPr>
          <w:ilvl w:val="0"/>
          <w:numId w:val="6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lang w:eastAsia="zh-Hans"/>
        </w:rPr>
        <w:t>规定的金额和缴纳要求缴纳响应保证金，并作为其响应文件的组成部分。</w:t>
      </w:r>
    </w:p>
    <w:p w14:paraId="2DF501F8">
      <w:pPr>
        <w:pStyle w:val="70"/>
        <w:widowControl/>
        <w:numPr>
          <w:ilvl w:val="0"/>
          <w:numId w:val="60"/>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hint="eastAsia" w:ascii="宋体" w:hAnsi="宋体"/>
          <w:color w:val="auto"/>
          <w:kern w:val="0"/>
          <w:szCs w:val="21"/>
          <w:highlight w:val="none"/>
          <w:lang w:eastAsia="zh-Hans"/>
        </w:rPr>
        <w:t>规定的金额递交至采购代理机构，到账情况以开标时采购代理机构查询的信息为准。</w:t>
      </w:r>
    </w:p>
    <w:p w14:paraId="67E0E52B">
      <w:pPr>
        <w:pStyle w:val="70"/>
        <w:widowControl/>
        <w:numPr>
          <w:ilvl w:val="0"/>
          <w:numId w:val="60"/>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5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0"/>
        <w:widowControl/>
        <w:numPr>
          <w:ilvl w:val="0"/>
          <w:numId w:val="6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0"/>
        <w:widowControl/>
        <w:numPr>
          <w:ilvl w:val="0"/>
          <w:numId w:val="6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0"/>
        <w:widowControl/>
        <w:numPr>
          <w:ilvl w:val="0"/>
          <w:numId w:val="61"/>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0"/>
        <w:widowControl/>
        <w:numPr>
          <w:ilvl w:val="0"/>
          <w:numId w:val="5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0"/>
        <w:widowControl/>
        <w:numPr>
          <w:ilvl w:val="0"/>
          <w:numId w:val="6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0"/>
        <w:widowControl/>
        <w:numPr>
          <w:ilvl w:val="0"/>
          <w:numId w:val="6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0"/>
        <w:widowControl/>
        <w:numPr>
          <w:ilvl w:val="0"/>
          <w:numId w:val="6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0"/>
        <w:widowControl/>
        <w:numPr>
          <w:ilvl w:val="0"/>
          <w:numId w:val="6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0"/>
        <w:widowControl/>
        <w:numPr>
          <w:ilvl w:val="0"/>
          <w:numId w:val="62"/>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0"/>
        <w:widowControl/>
        <w:numPr>
          <w:ilvl w:val="0"/>
          <w:numId w:val="6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63"/>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0"/>
        <w:widowControl/>
        <w:numPr>
          <w:ilvl w:val="0"/>
          <w:numId w:val="6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0"/>
        <w:widowControl/>
        <w:numPr>
          <w:ilvl w:val="0"/>
          <w:numId w:val="6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0"/>
        <w:widowControl/>
        <w:numPr>
          <w:ilvl w:val="0"/>
          <w:numId w:val="64"/>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0"/>
        <w:widowControl/>
        <w:numPr>
          <w:ilvl w:val="0"/>
          <w:numId w:val="6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0"/>
        <w:widowControl/>
        <w:numPr>
          <w:ilvl w:val="0"/>
          <w:numId w:val="6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0"/>
        <w:widowControl/>
        <w:numPr>
          <w:ilvl w:val="0"/>
          <w:numId w:val="6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0"/>
        <w:widowControl/>
        <w:numPr>
          <w:ilvl w:val="0"/>
          <w:numId w:val="6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0"/>
        <w:widowControl/>
        <w:numPr>
          <w:ilvl w:val="0"/>
          <w:numId w:val="6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0"/>
        <w:widowControl/>
        <w:numPr>
          <w:ilvl w:val="0"/>
          <w:numId w:val="6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hint="eastAsia" w:ascii="宋体" w:hAnsi="宋体"/>
          <w:color w:val="auto"/>
          <w:kern w:val="0"/>
          <w:szCs w:val="21"/>
          <w:highlight w:val="none"/>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66"/>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0"/>
        <w:widowControl/>
        <w:numPr>
          <w:ilvl w:val="0"/>
          <w:numId w:val="6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成交结果公告：</w:t>
      </w:r>
    </w:p>
    <w:p w14:paraId="37731BCC">
      <w:pPr>
        <w:pStyle w:val="70"/>
        <w:widowControl/>
        <w:numPr>
          <w:ilvl w:val="0"/>
          <w:numId w:val="68"/>
        </w:numPr>
        <w:tabs>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成交供应商确定之日起2个工作日内，采购人或采购代理机构将在</w:t>
      </w:r>
      <w:r>
        <w:rPr>
          <w:rFonts w:hint="eastAsia" w:ascii="宋体" w:hAnsi="宋体"/>
          <w:color w:val="auto"/>
          <w:kern w:val="0"/>
          <w:szCs w:val="21"/>
          <w:highlight w:val="none"/>
          <w:lang w:eastAsia="zh-Hans"/>
        </w:rPr>
        <w:t>指定媒体</w:t>
      </w:r>
      <w:r>
        <w:rPr>
          <w:rFonts w:ascii="宋体" w:hAnsi="宋体"/>
          <w:color w:val="auto"/>
          <w:kern w:val="0"/>
          <w:szCs w:val="21"/>
          <w:highlight w:val="none"/>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6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w:t>
      </w:r>
    </w:p>
    <w:p w14:paraId="1630C20E">
      <w:pPr>
        <w:pStyle w:val="70"/>
        <w:widowControl/>
        <w:numPr>
          <w:ilvl w:val="0"/>
          <w:numId w:val="6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40"/>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0"/>
        <w:widowControl/>
        <w:numPr>
          <w:ilvl w:val="3"/>
          <w:numId w:val="7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0"/>
        <w:numPr>
          <w:ilvl w:val="0"/>
          <w:numId w:val="71"/>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color w:val="auto"/>
          <w:highlight w:val="none"/>
          <w:u w:val="single"/>
          <w:lang w:eastAsia="zh-CN"/>
        </w:rPr>
        <w:t>《</w:t>
      </w:r>
      <w:r>
        <w:rPr>
          <w:rFonts w:hint="eastAsia" w:ascii="宋体" w:hAnsi="宋体"/>
          <w:b/>
          <w:bCs w:val="0"/>
          <w:color w:val="auto"/>
          <w:highlight w:val="none"/>
          <w:u w:val="single"/>
        </w:rPr>
        <w:t>磋商邀请</w:t>
      </w:r>
      <w:r>
        <w:rPr>
          <w:rFonts w:hint="eastAsia" w:ascii="宋体" w:hAnsi="宋体"/>
          <w:b/>
          <w:bCs w:val="0"/>
          <w:color w:val="auto"/>
          <w:highlight w:val="none"/>
          <w:u w:val="single"/>
          <w:lang w:eastAsia="zh-CN"/>
        </w:rPr>
        <w:t>》</w:t>
      </w:r>
      <w:r>
        <w:rPr>
          <w:rFonts w:ascii="宋体" w:hAnsi="宋体"/>
          <w:color w:val="auto"/>
          <w:highlight w:val="none"/>
        </w:rPr>
        <w:t>中“采购人、采购代理机构的名称、地址和联系方式”。</w:t>
      </w:r>
    </w:p>
    <w:p w14:paraId="3A1E2557">
      <w:pPr>
        <w:pStyle w:val="70"/>
        <w:widowControl/>
        <w:numPr>
          <w:ilvl w:val="3"/>
          <w:numId w:val="7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7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0"/>
        <w:widowControl/>
        <w:numPr>
          <w:ilvl w:val="0"/>
          <w:numId w:val="7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0"/>
        <w:widowControl/>
        <w:numPr>
          <w:ilvl w:val="0"/>
          <w:numId w:val="73"/>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0"/>
        <w:widowControl/>
        <w:numPr>
          <w:ilvl w:val="0"/>
          <w:numId w:val="7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0"/>
        <w:widowControl/>
        <w:numPr>
          <w:ilvl w:val="0"/>
          <w:numId w:val="7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0"/>
        <w:widowControl/>
        <w:numPr>
          <w:ilvl w:val="0"/>
          <w:numId w:val="74"/>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0"/>
        <w:widowControl/>
        <w:numPr>
          <w:ilvl w:val="0"/>
          <w:numId w:val="74"/>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以联合体形式参加采购活动的，其质疑应当由联合体成员委托主体提出。</w:t>
      </w:r>
    </w:p>
    <w:p w14:paraId="4ABCEF25">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7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highlight w:val="none"/>
          <w:lang w:val="en-US" w:eastAsia="zh-CN"/>
        </w:rPr>
      </w:pPr>
      <w:r>
        <w:rPr>
          <w:rFonts w:ascii="宋体" w:hAnsi="宋体"/>
          <w:color w:val="auto"/>
          <w:kern w:val="0"/>
          <w:szCs w:val="21"/>
          <w:highlight w:val="none"/>
          <w:lang w:eastAsia="zh-Hans"/>
        </w:rPr>
        <w:t>质疑联系人：</w:t>
      </w:r>
      <w:r>
        <w:rPr>
          <w:rFonts w:hint="eastAsia" w:ascii="宋体" w:hAnsi="宋体"/>
          <w:color w:val="auto"/>
          <w:kern w:val="0"/>
          <w:szCs w:val="21"/>
          <w:highlight w:val="none"/>
          <w:lang w:val="en-US" w:eastAsia="zh-CN"/>
        </w:rPr>
        <w:t>陈子菱</w:t>
      </w:r>
    </w:p>
    <w:p w14:paraId="6759A7BB">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电话：</w:t>
      </w:r>
      <w:r>
        <w:rPr>
          <w:rFonts w:hint="eastAsia" w:ascii="宋体" w:hAnsi="宋体" w:eastAsia="宋体" w:cs="Times New Roman"/>
          <w:color w:val="auto"/>
          <w:sz w:val="21"/>
          <w:szCs w:val="21"/>
          <w:highlight w:val="none"/>
        </w:rPr>
        <w:t>0769</w:t>
      </w:r>
      <w:r>
        <w:rPr>
          <w:rFonts w:hint="eastAsia" w:ascii="宋体" w:hAnsi="宋体" w:eastAsia="宋体" w:cs="Times New Roman"/>
          <w:color w:val="auto"/>
          <w:sz w:val="21"/>
          <w:szCs w:val="21"/>
          <w:highlight w:val="none"/>
          <w:lang w:val="en-US" w:eastAsia="zh-CN"/>
        </w:rPr>
        <w:t>-</w:t>
      </w:r>
      <w:r>
        <w:rPr>
          <w:rFonts w:hint="eastAsia" w:ascii="宋体" w:hAnsi="宋体" w:eastAsia="宋体" w:cs="Times New Roman"/>
          <w:color w:val="auto"/>
          <w:sz w:val="21"/>
          <w:szCs w:val="21"/>
          <w:highlight w:val="none"/>
        </w:rPr>
        <w:t>22367009</w:t>
      </w:r>
    </w:p>
    <w:p w14:paraId="7584A465">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传真：/</w:t>
      </w:r>
    </w:p>
    <w:p w14:paraId="7CA3B35E">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邮箱：</w:t>
      </w:r>
      <w:r>
        <w:rPr>
          <w:rFonts w:ascii="宋体" w:hAnsi="宋体" w:eastAsia="宋体" w:cs="Times New Roman"/>
          <w:color w:val="auto"/>
          <w:sz w:val="21"/>
          <w:szCs w:val="21"/>
          <w:highlight w:val="none"/>
        </w:rPr>
        <w:t>zhcity_gd@163.com</w:t>
      </w:r>
    </w:p>
    <w:p w14:paraId="2F2526F1">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eastAsia="宋体" w:cs="Times New Roman"/>
          <w:color w:val="auto"/>
          <w:sz w:val="21"/>
          <w:szCs w:val="21"/>
          <w:highlight w:val="none"/>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邮编：523000</w:t>
      </w:r>
    </w:p>
    <w:p w14:paraId="0C01DC6B">
      <w:pPr>
        <w:pStyle w:val="70"/>
        <w:widowControl/>
        <w:numPr>
          <w:ilvl w:val="3"/>
          <w:numId w:val="70"/>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4C767DFE">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r>
        <w:rPr>
          <w:rFonts w:hint="eastAsia" w:ascii="宋体" w:hAnsi="宋体"/>
          <w:b/>
          <w:color w:val="auto"/>
          <w:kern w:val="0"/>
          <w:szCs w:val="21"/>
          <w:highlight w:val="none"/>
          <w:lang w:eastAsia="zh-CN"/>
        </w:rPr>
        <w:t>（</w:t>
      </w:r>
      <w:r>
        <w:rPr>
          <w:rFonts w:hint="eastAsia" w:ascii="宋体" w:hAnsi="宋体"/>
          <w:b/>
          <w:color w:val="auto"/>
          <w:kern w:val="0"/>
          <w:szCs w:val="21"/>
          <w:highlight w:val="none"/>
          <w:lang w:val="en-US" w:eastAsia="zh-CN"/>
        </w:rPr>
        <w:t>本项目不适用</w:t>
      </w:r>
      <w:r>
        <w:rPr>
          <w:rFonts w:hint="eastAsia" w:ascii="宋体" w:hAnsi="宋体"/>
          <w:b/>
          <w:color w:val="auto"/>
          <w:kern w:val="0"/>
          <w:szCs w:val="21"/>
          <w:highlight w:val="none"/>
          <w:lang w:eastAsia="zh-CN"/>
        </w:rPr>
        <w:t>）</w:t>
      </w:r>
    </w:p>
    <w:p w14:paraId="6F5129F0">
      <w:pPr>
        <w:widowControl/>
        <w:numPr>
          <w:ilvl w:val="0"/>
          <w:numId w:val="75"/>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w:t>
      </w:r>
      <w:r>
        <w:rPr>
          <w:rFonts w:hint="eastAsia" w:ascii="宋体" w:hAnsi="宋体"/>
          <w:b/>
          <w:bCs/>
          <w:color w:val="auto"/>
          <w:szCs w:val="21"/>
          <w:highlight w:val="none"/>
          <w:u w:val="single"/>
          <w:lang w:eastAsia="zh-CN"/>
        </w:rPr>
        <w:t>《</w:t>
      </w:r>
      <w:r>
        <w:rPr>
          <w:rFonts w:hint="eastAsia" w:ascii="宋体" w:hAnsi="宋体"/>
          <w:b/>
          <w:bCs/>
          <w:color w:val="auto"/>
          <w:szCs w:val="21"/>
          <w:highlight w:val="none"/>
          <w:u w:val="single"/>
        </w:rPr>
        <w:t>须知前附表</w:t>
      </w:r>
      <w:r>
        <w:rPr>
          <w:rFonts w:hint="eastAsia" w:ascii="宋体" w:hAnsi="宋体"/>
          <w:b/>
          <w:bCs/>
          <w:color w:val="auto"/>
          <w:szCs w:val="21"/>
          <w:highlight w:val="none"/>
          <w:u w:val="single"/>
          <w:lang w:eastAsia="zh-CN"/>
        </w:rPr>
        <w:t>》</w:t>
      </w:r>
      <w:r>
        <w:rPr>
          <w:rFonts w:ascii="宋体" w:hAnsi="宋体"/>
          <w:color w:val="auto"/>
          <w:kern w:val="0"/>
          <w:szCs w:val="21"/>
          <w:highlight w:val="none"/>
        </w:rPr>
        <w:t>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75"/>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0"/>
        <w:widowControl/>
        <w:numPr>
          <w:ilvl w:val="3"/>
          <w:numId w:val="76"/>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0"/>
        <w:widowControl/>
        <w:numPr>
          <w:ilvl w:val="0"/>
          <w:numId w:val="7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77"/>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0"/>
        <w:widowControl/>
        <w:numPr>
          <w:ilvl w:val="0"/>
          <w:numId w:val="78"/>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78"/>
        </w:numPr>
        <w:snapToGrid w:val="0"/>
        <w:spacing w:line="360" w:lineRule="auto"/>
        <w:ind w:left="442" w:hanging="442" w:firstLineChars="0"/>
        <w:contextualSpacing/>
        <w:rPr>
          <w:b/>
          <w:color w:val="auto"/>
          <w:sz w:val="24"/>
          <w:highlight w:val="none"/>
          <w:lang w:eastAsia="zh-CN"/>
        </w:rPr>
      </w:pPr>
      <w:r>
        <w:rPr>
          <w:rFonts w:ascii="宋体" w:hAnsi="宋体"/>
          <w:color w:val="auto"/>
          <w:kern w:val="0"/>
          <w:szCs w:val="21"/>
          <w:highlight w:val="none"/>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1" w:name="_Toc405313955"/>
      <w:bookmarkStart w:id="32" w:name="_Toc391627751"/>
      <w:bookmarkStart w:id="33" w:name="_Toc521951135"/>
      <w:bookmarkStart w:id="34" w:name="_Toc170228131"/>
      <w:r>
        <w:rPr>
          <w:rFonts w:hint="eastAsia" w:asciiTheme="minorEastAsia" w:hAnsiTheme="minorEastAsia" w:eastAsiaTheme="minorEastAsia"/>
          <w:color w:val="auto"/>
          <w:spacing w:val="20"/>
          <w:sz w:val="32"/>
          <w:szCs w:val="32"/>
          <w:highlight w:val="none"/>
        </w:rPr>
        <w:t>第</w:t>
      </w:r>
      <w:bookmarkEnd w:id="31"/>
      <w:bookmarkEnd w:id="32"/>
      <w:bookmarkEnd w:id="33"/>
      <w:bookmarkStart w:id="35" w:name="_Hlk46687785"/>
      <w:r>
        <w:rPr>
          <w:rFonts w:hint="eastAsia" w:asciiTheme="minorEastAsia" w:hAnsiTheme="minorEastAsia" w:eastAsiaTheme="minorEastAsia"/>
          <w:color w:val="auto"/>
          <w:spacing w:val="20"/>
          <w:sz w:val="32"/>
          <w:szCs w:val="32"/>
          <w:highlight w:val="none"/>
        </w:rPr>
        <w:t>四章 评审</w:t>
      </w:r>
      <w:bookmarkEnd w:id="34"/>
    </w:p>
    <w:bookmarkEnd w:id="35"/>
    <w:p w14:paraId="722297AE">
      <w:pPr>
        <w:pStyle w:val="70"/>
        <w:numPr>
          <w:ilvl w:val="0"/>
          <w:numId w:val="79"/>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4"/>
        <w:numPr>
          <w:ilvl w:val="3"/>
          <w:numId w:val="80"/>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4"/>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80"/>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4"/>
        <w:numPr>
          <w:ilvl w:val="0"/>
          <w:numId w:val="81"/>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4"/>
        <w:numPr>
          <w:ilvl w:val="0"/>
          <w:numId w:val="81"/>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80"/>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4"/>
        <w:numPr>
          <w:ilvl w:val="0"/>
          <w:numId w:val="8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4"/>
        <w:numPr>
          <w:ilvl w:val="0"/>
          <w:numId w:val="82"/>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4"/>
        <w:numPr>
          <w:ilvl w:val="0"/>
          <w:numId w:val="8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4"/>
        <w:numPr>
          <w:ilvl w:val="0"/>
          <w:numId w:val="82"/>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4"/>
        <w:numPr>
          <w:ilvl w:val="0"/>
          <w:numId w:val="8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8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82"/>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82"/>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参与评审工作的所有人员必须</w:t>
      </w:r>
      <w:r>
        <w:rPr>
          <w:rFonts w:hint="eastAsia" w:ascii="宋体" w:hAnsi="宋体" w:eastAsia="宋体"/>
          <w:color w:val="auto"/>
          <w:sz w:val="21"/>
          <w:szCs w:val="21"/>
          <w:highlight w:val="none"/>
          <w:lang w:val="en-US" w:eastAsia="zh-CN"/>
        </w:rPr>
        <w:t>参照</w:t>
      </w:r>
      <w:r>
        <w:rPr>
          <w:rFonts w:ascii="宋体" w:hAnsi="宋体" w:eastAsia="宋体"/>
          <w:color w:val="auto"/>
          <w:sz w:val="21"/>
          <w:szCs w:val="21"/>
          <w:highlight w:val="none"/>
        </w:rPr>
        <w:t>《中华人民共和国政府采购法》、《中华人民共和国政府采购法实施条例》、《政府采购竞争性磋商采购方式管理暂行办法》及相关法律、法规的规定</w:t>
      </w:r>
      <w:r>
        <w:rPr>
          <w:rFonts w:hint="eastAsia" w:ascii="宋体" w:hAnsi="宋体" w:eastAsia="宋体"/>
          <w:color w:val="auto"/>
          <w:sz w:val="21"/>
          <w:szCs w:val="21"/>
          <w:highlight w:val="none"/>
          <w:lang w:val="en-US" w:eastAsia="zh-CN"/>
        </w:rPr>
        <w:t>执行</w:t>
      </w:r>
      <w:r>
        <w:rPr>
          <w:rFonts w:ascii="宋体" w:hAnsi="宋体" w:eastAsia="宋体"/>
          <w:color w:val="auto"/>
          <w:sz w:val="21"/>
          <w:szCs w:val="21"/>
          <w:highlight w:val="none"/>
        </w:rPr>
        <w:t>，以确保评审的公平、公正。</w:t>
      </w:r>
    </w:p>
    <w:p w14:paraId="34E7B1E2">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0"/>
        <w:numPr>
          <w:ilvl w:val="0"/>
          <w:numId w:val="85"/>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0"/>
        <w:numPr>
          <w:ilvl w:val="0"/>
          <w:numId w:val="85"/>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0"/>
        <w:numPr>
          <w:ilvl w:val="0"/>
          <w:numId w:val="85"/>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0"/>
        <w:numPr>
          <w:ilvl w:val="0"/>
          <w:numId w:val="85"/>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0"/>
        <w:numPr>
          <w:ilvl w:val="0"/>
          <w:numId w:val="85"/>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0"/>
        <w:numPr>
          <w:ilvl w:val="0"/>
          <w:numId w:val="85"/>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0"/>
        <w:numPr>
          <w:ilvl w:val="0"/>
          <w:numId w:val="86"/>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属于同一集团、协会、商会等组织成员的供应商按照该组织要求协同参加采购活动；</w:t>
      </w:r>
    </w:p>
    <w:p w14:paraId="257A7A58">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供应商之间商定部分供应商放弃参加采购活动或者放弃成交；</w:t>
      </w:r>
    </w:p>
    <w:p w14:paraId="2CA68EBD">
      <w:pPr>
        <w:pStyle w:val="70"/>
        <w:numPr>
          <w:ilvl w:val="0"/>
          <w:numId w:val="86"/>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0"/>
        <w:numPr>
          <w:ilvl w:val="0"/>
          <w:numId w:val="87"/>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0"/>
        <w:numPr>
          <w:ilvl w:val="0"/>
          <w:numId w:val="8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0"/>
        <w:numPr>
          <w:ilvl w:val="0"/>
          <w:numId w:val="88"/>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0"/>
        <w:numPr>
          <w:ilvl w:val="0"/>
          <w:numId w:val="88"/>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w:t>
      </w:r>
      <w:r>
        <w:rPr>
          <w:rFonts w:ascii="宋体" w:hAnsi="宋体"/>
          <w:color w:val="auto"/>
          <w:highlight w:val="none"/>
        </w:rPr>
        <w:t>的供应商不足3家的；</w:t>
      </w:r>
    </w:p>
    <w:p w14:paraId="79CFF447">
      <w:pPr>
        <w:pStyle w:val="70"/>
        <w:numPr>
          <w:ilvl w:val="0"/>
          <w:numId w:val="88"/>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80"/>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0"/>
        <w:numPr>
          <w:ilvl w:val="0"/>
          <w:numId w:val="89"/>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0"/>
        <w:numPr>
          <w:ilvl w:val="0"/>
          <w:numId w:val="90"/>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0"/>
        <w:numPr>
          <w:ilvl w:val="0"/>
          <w:numId w:val="90"/>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0"/>
        <w:numPr>
          <w:ilvl w:val="0"/>
          <w:numId w:val="90"/>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0"/>
        <w:numPr>
          <w:ilvl w:val="0"/>
          <w:numId w:val="90"/>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79"/>
        </w:numPr>
        <w:snapToGrid w:val="0"/>
        <w:spacing w:line="360" w:lineRule="auto"/>
        <w:ind w:left="442" w:hanging="442" w:firstLineChars="0"/>
        <w:contextualSpacing/>
        <w:rPr>
          <w:rFonts w:asciiTheme="minorEastAsia" w:hAnsiTheme="minorEastAsia"/>
          <w:b/>
          <w:bCs/>
          <w:color w:val="auto"/>
          <w:szCs w:val="21"/>
          <w:highlight w:val="none"/>
        </w:rPr>
      </w:pPr>
      <w:r>
        <w:rPr>
          <w:b/>
          <w:bCs/>
          <w:color w:val="auto"/>
          <w:highlight w:val="none"/>
        </w:rPr>
        <w:t>采购政策</w:t>
      </w:r>
    </w:p>
    <w:p w14:paraId="04E132D5">
      <w:pPr>
        <w:numPr>
          <w:ilvl w:val="1"/>
          <w:numId w:val="91"/>
        </w:numPr>
        <w:spacing w:line="360" w:lineRule="auto"/>
        <w:rPr>
          <w:rFonts w:asciiTheme="minorEastAsia" w:hAnsiTheme="minorEastAsia" w:eastAsiaTheme="minorEastAsia" w:cstheme="minorBidi"/>
          <w:color w:val="auto"/>
          <w:highlight w:val="none"/>
        </w:rPr>
      </w:pPr>
      <w:r>
        <w:rPr>
          <w:rFonts w:hint="eastAsia" w:asciiTheme="minorEastAsia" w:hAnsiTheme="minorEastAsia" w:eastAsiaTheme="minorEastAsia" w:cstheme="minorBidi"/>
          <w:color w:val="auto"/>
          <w:highlight w:val="none"/>
        </w:rPr>
        <w:t>节能产品、环境标志产品价格扣除：</w:t>
      </w:r>
    </w:p>
    <w:p w14:paraId="4E67B586">
      <w:pPr>
        <w:pStyle w:val="70"/>
        <w:numPr>
          <w:ilvl w:val="0"/>
          <w:numId w:val="92"/>
        </w:numPr>
        <w:spacing w:line="360" w:lineRule="auto"/>
        <w:ind w:left="440" w:leftChars="0" w:hanging="440" w:firstLineChars="0"/>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节能</w:t>
      </w:r>
      <w:r>
        <w:rPr>
          <w:rFonts w:hint="eastAsia" w:asciiTheme="minorEastAsia" w:hAnsiTheme="minorEastAsia" w:eastAsiaTheme="minorEastAsia" w:cstheme="minorBidi"/>
          <w:bCs/>
          <w:color w:val="auto"/>
          <w:highlight w:val="none"/>
        </w:rPr>
        <w:t>产品的价格给予1%的扣除，用扣除后的价格参与评审。（</w:t>
      </w:r>
      <w:r>
        <w:rPr>
          <w:rFonts w:hint="eastAsia" w:asciiTheme="minorEastAsia" w:hAnsiTheme="minorEastAsia" w:eastAsiaTheme="minorEastAsia" w:cstheme="minorBidi"/>
          <w:color w:val="auto"/>
          <w:szCs w:val="21"/>
          <w:highlight w:val="none"/>
        </w:rPr>
        <w:t>提供产品有效期内的节能产品认证证书复印件加盖供应商公章）。</w:t>
      </w:r>
    </w:p>
    <w:p w14:paraId="7BABAC98">
      <w:pPr>
        <w:numPr>
          <w:ilvl w:val="0"/>
          <w:numId w:val="92"/>
        </w:numPr>
        <w:spacing w:line="360" w:lineRule="auto"/>
        <w:ind w:left="440" w:leftChars="0" w:hanging="440" w:firstLineChars="0"/>
        <w:rPr>
          <w:rFonts w:asciiTheme="minorEastAsia" w:hAnsiTheme="minorEastAsia" w:eastAsiaTheme="minorEastAsia" w:cstheme="minorBidi"/>
          <w:color w:val="auto"/>
          <w:szCs w:val="21"/>
          <w:highlight w:val="none"/>
        </w:rPr>
      </w:pPr>
      <w:r>
        <w:rPr>
          <w:rFonts w:hint="eastAsia" w:asciiTheme="minorEastAsia" w:hAnsiTheme="minorEastAsia" w:eastAsiaTheme="minorEastAsia" w:cstheme="minorBidi"/>
          <w:color w:val="auto"/>
          <w:szCs w:val="21"/>
          <w:highlight w:val="none"/>
        </w:rPr>
        <w:t>产品纳入财政部环境保护部颁布最新环境标志产品政府采购品目清单的，</w:t>
      </w:r>
      <w:r>
        <w:rPr>
          <w:rFonts w:hint="eastAsia" w:asciiTheme="minorEastAsia" w:hAnsiTheme="minorEastAsia" w:eastAsiaTheme="minorEastAsia" w:cstheme="minorBidi"/>
          <w:bCs/>
          <w:color w:val="auto"/>
          <w:highlight w:val="none"/>
        </w:rPr>
        <w:t>对</w:t>
      </w:r>
      <w:r>
        <w:rPr>
          <w:rFonts w:hint="eastAsia" w:asciiTheme="minorEastAsia" w:hAnsiTheme="minorEastAsia" w:eastAsiaTheme="minorEastAsia" w:cstheme="minorBidi"/>
          <w:color w:val="auto"/>
          <w:szCs w:val="21"/>
          <w:highlight w:val="none"/>
        </w:rPr>
        <w:t>环境标志产品</w:t>
      </w:r>
      <w:r>
        <w:rPr>
          <w:rFonts w:hint="eastAsia" w:asciiTheme="minorEastAsia" w:hAnsiTheme="minorEastAsia" w:eastAsiaTheme="minorEastAsia" w:cstheme="minorBidi"/>
          <w:bCs/>
          <w:color w:val="auto"/>
          <w:highlight w:val="none"/>
        </w:rPr>
        <w:t>的价格给予1%的扣除，用扣除后的价格参与评审。（</w:t>
      </w:r>
      <w:r>
        <w:rPr>
          <w:rFonts w:hint="eastAsia" w:asciiTheme="minorEastAsia" w:hAnsiTheme="minorEastAsia" w:eastAsiaTheme="minorEastAsia" w:cstheme="minorBidi"/>
          <w:color w:val="auto"/>
          <w:szCs w:val="21"/>
          <w:highlight w:val="none"/>
        </w:rPr>
        <w:t>提供产品有效期内的环境标志产品认证证书复印件加盖供应商公章）。</w:t>
      </w:r>
    </w:p>
    <w:p w14:paraId="04093809">
      <w:pPr>
        <w:numPr>
          <w:ilvl w:val="1"/>
          <w:numId w:val="91"/>
        </w:numPr>
        <w:spacing w:line="360" w:lineRule="auto"/>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磋商报价得分</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最后磋商报价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47A93929">
      <w:pPr>
        <w:pStyle w:val="32"/>
        <w:spacing w:line="360" w:lineRule="auto"/>
        <w:ind w:left="-2" w:leftChars="-1" w:firstLine="0" w:firstLineChars="0"/>
        <w:jc w:val="left"/>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注：因落实采购政策进行价格调整的，以调整后的价格计算磋商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和最后磋商报价。</w:t>
      </w:r>
    </w:p>
    <w:p w14:paraId="4202B7EE">
      <w:pPr>
        <w:numPr>
          <w:ilvl w:val="1"/>
          <w:numId w:val="91"/>
        </w:numPr>
        <w:spacing w:line="360" w:lineRule="auto"/>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038BABB8">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20</w:t>
            </w:r>
            <w:r>
              <w:rPr>
                <w:rFonts w:hint="eastAsia" w:asciiTheme="minorEastAsia" w:hAnsiTheme="minorEastAsia" w:eastAsiaTheme="minorEastAsia"/>
                <w:color w:val="auto"/>
                <w:highlight w:val="none"/>
              </w:rPr>
              <w:t>%</w:t>
            </w:r>
          </w:p>
        </w:tc>
        <w:tc>
          <w:tcPr>
            <w:tcW w:w="1081"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30</w:t>
            </w:r>
            <w:r>
              <w:rPr>
                <w:rFonts w:hint="eastAsia" w:asciiTheme="minorEastAsia" w:hAnsiTheme="minorEastAsia" w:eastAsiaTheme="minorEastAsia"/>
                <w:color w:val="auto"/>
                <w:highlight w:val="none"/>
              </w:rPr>
              <w:t>%</w:t>
            </w:r>
          </w:p>
        </w:tc>
        <w:tc>
          <w:tcPr>
            <w:tcW w:w="1081" w:type="pct"/>
            <w:vAlign w:val="center"/>
          </w:tcPr>
          <w:p w14:paraId="688C061A">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lang w:val="en-US" w:eastAsia="zh-CN"/>
              </w:rPr>
              <w:t>50</w:t>
            </w:r>
            <w:r>
              <w:rPr>
                <w:rFonts w:hint="eastAsia" w:asciiTheme="minorEastAsia" w:hAnsiTheme="minorEastAsia" w:eastAsiaTheme="minorEastAsia"/>
                <w:color w:val="auto"/>
                <w:highlight w:val="none"/>
              </w:rPr>
              <w:t>%</w:t>
            </w:r>
          </w:p>
        </w:tc>
        <w:tc>
          <w:tcPr>
            <w:tcW w:w="780"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2"/>
        <w:numPr>
          <w:ilvl w:val="0"/>
          <w:numId w:val="93"/>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pStyle w:val="74"/>
        <w:spacing w:line="360" w:lineRule="auto"/>
        <w:outlineLvl w:val="9"/>
        <w:rPr>
          <w:rFonts w:hint="default"/>
          <w:b/>
          <w:color w:val="auto"/>
          <w:sz w:val="24"/>
          <w:highlight w:val="none"/>
        </w:rPr>
      </w:pPr>
    </w:p>
    <w:p w14:paraId="530094F9">
      <w:pPr>
        <w:pStyle w:val="70"/>
        <w:numPr>
          <w:ilvl w:val="0"/>
          <w:numId w:val="79"/>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4"/>
        <w:numPr>
          <w:ilvl w:val="0"/>
          <w:numId w:val="94"/>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4"/>
        <w:numPr>
          <w:ilvl w:val="0"/>
          <w:numId w:val="9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9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bCs/>
                <w:color w:val="auto"/>
                <w:kern w:val="0"/>
                <w:szCs w:val="21"/>
                <w:highlight w:val="none"/>
              </w:rPr>
              <w:t>提供</w:t>
            </w:r>
            <w:r>
              <w:rPr>
                <w:rFonts w:ascii="宋体" w:hAnsi="宋体"/>
                <w:bCs/>
                <w:color w:val="auto"/>
                <w:kern w:val="0"/>
                <w:szCs w:val="21"/>
                <w:highlight w:val="none"/>
              </w:rPr>
              <w:t>2023</w:t>
            </w:r>
            <w:r>
              <w:rPr>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w:t>
            </w:r>
            <w:r>
              <w:rPr>
                <w:rFonts w:ascii="宋体" w:hAnsi="宋体"/>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78372A">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1381" w:type="pct"/>
            <w:vAlign w:val="center"/>
          </w:tcPr>
          <w:p w14:paraId="26E91F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eastAsia="zh-Hans"/>
              </w:rPr>
              <w:t>本项目专门面向中小企业采购，供应商应为中小微企业、监狱企业、残疾人福利性单位。（提供《中小企业声明函》或属于监狱企业的证明材料或《残疾人福利性单位声明函》）详见响应文件格式</w:t>
            </w:r>
            <w:r>
              <w:rPr>
                <w:rFonts w:hint="eastAsia" w:ascii="宋体" w:hAnsi="宋体"/>
                <w:color w:val="auto"/>
                <w:kern w:val="0"/>
                <w:szCs w:val="21"/>
                <w:highlight w:val="none"/>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w:t>
            </w:r>
            <w:r>
              <w:rPr>
                <w:rFonts w:hint="eastAsia" w:ascii="宋体" w:hAnsi="宋体"/>
                <w:color w:val="auto"/>
                <w:kern w:val="0"/>
                <w:szCs w:val="21"/>
                <w:highlight w:val="none"/>
                <w:lang w:val="en-US" w:eastAsia="zh-CN"/>
              </w:rPr>
              <w:t>响应</w:t>
            </w:r>
            <w:r>
              <w:rPr>
                <w:rFonts w:hint="eastAsia" w:ascii="宋体" w:hAnsi="宋体"/>
                <w:color w:val="auto"/>
                <w:kern w:val="0"/>
                <w:szCs w:val="21"/>
                <w:highlight w:val="none"/>
                <w:lang w:eastAsia="zh-Hans"/>
              </w:rPr>
              <w:t>。为本项目提供整体设计、规范编制或者项目管理、监理、检测等服务的供应商，</w:t>
            </w:r>
            <w:r>
              <w:rPr>
                <w:rFonts w:ascii="宋体" w:hAnsi="宋体"/>
                <w:color w:val="auto"/>
                <w:kern w:val="0"/>
                <w:szCs w:val="21"/>
                <w:highlight w:val="none"/>
                <w:lang w:eastAsia="zh-Hans"/>
              </w:rPr>
              <w:t>不得再参与本项目</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bl>
    <w:p w14:paraId="4D66A1AE">
      <w:pPr>
        <w:pStyle w:val="74"/>
        <w:outlineLvl w:val="9"/>
        <w:rPr>
          <w:rFonts w:hint="default"/>
          <w:b/>
          <w:color w:val="auto"/>
          <w:sz w:val="24"/>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4"/>
        <w:keepLines/>
        <w:widowControl w:val="0"/>
        <w:outlineLvl w:val="9"/>
        <w:rPr>
          <w:rFonts w:hint="default"/>
          <w:b/>
          <w:color w:val="auto"/>
          <w:sz w:val="24"/>
          <w:highlight w:val="none"/>
          <w:lang w:eastAsia="zh-CN"/>
        </w:rPr>
      </w:pPr>
    </w:p>
    <w:p w14:paraId="27319C77">
      <w:pPr>
        <w:pStyle w:val="74"/>
        <w:numPr>
          <w:ilvl w:val="0"/>
          <w:numId w:val="9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4"/>
        <w:numPr>
          <w:ilvl w:val="0"/>
          <w:numId w:val="9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9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4"/>
        <w:numPr>
          <w:ilvl w:val="0"/>
          <w:numId w:val="9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4"/>
        <w:numPr>
          <w:ilvl w:val="0"/>
          <w:numId w:val="96"/>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4"/>
        <w:numPr>
          <w:ilvl w:val="0"/>
          <w:numId w:val="9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4"/>
        <w:numPr>
          <w:ilvl w:val="0"/>
          <w:numId w:val="9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4"/>
        <w:numPr>
          <w:ilvl w:val="0"/>
          <w:numId w:val="9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97"/>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4"/>
        <w:numPr>
          <w:ilvl w:val="0"/>
          <w:numId w:val="97"/>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9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4"/>
        <w:numPr>
          <w:ilvl w:val="0"/>
          <w:numId w:val="98"/>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4"/>
        <w:numPr>
          <w:ilvl w:val="0"/>
          <w:numId w:val="98"/>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4"/>
        <w:numPr>
          <w:ilvl w:val="0"/>
          <w:numId w:val="98"/>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4"/>
        <w:numPr>
          <w:ilvl w:val="0"/>
          <w:numId w:val="94"/>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auto"/>
                <w:szCs w:val="21"/>
                <w:highlight w:val="none"/>
              </w:rPr>
            </w:pPr>
            <w:bookmarkStart w:id="36" w:name="_Hlk169889554"/>
            <w:r>
              <w:rPr>
                <w:rFonts w:hint="eastAsia" w:ascii="宋体" w:hAnsi="宋体"/>
                <w:b/>
                <w:color w:val="auto"/>
                <w:szCs w:val="21"/>
                <w:highlight w:val="none"/>
              </w:rPr>
              <w:t>序号</w:t>
            </w:r>
          </w:p>
        </w:tc>
        <w:tc>
          <w:tcPr>
            <w:tcW w:w="831" w:type="pct"/>
            <w:gridSpan w:val="2"/>
            <w:vAlign w:val="center"/>
          </w:tcPr>
          <w:p w14:paraId="4AA13D44">
            <w:pPr>
              <w:spacing w:line="400" w:lineRule="exact"/>
              <w:jc w:val="center"/>
              <w:rPr>
                <w:rFonts w:ascii="宋体" w:hAnsi="宋体"/>
                <w:b/>
                <w:color w:val="auto"/>
                <w:szCs w:val="21"/>
                <w:highlight w:val="none"/>
              </w:rPr>
            </w:pPr>
            <w:r>
              <w:rPr>
                <w:rFonts w:hint="eastAsia" w:ascii="宋体" w:hAnsi="宋体"/>
                <w:b/>
                <w:color w:val="auto"/>
                <w:szCs w:val="21"/>
                <w:highlight w:val="none"/>
              </w:rPr>
              <w:t>评分内容</w:t>
            </w:r>
          </w:p>
        </w:tc>
        <w:tc>
          <w:tcPr>
            <w:tcW w:w="529" w:type="pct"/>
            <w:vAlign w:val="center"/>
          </w:tcPr>
          <w:p w14:paraId="26B82CA7">
            <w:pPr>
              <w:spacing w:line="400" w:lineRule="exact"/>
              <w:jc w:val="center"/>
              <w:rPr>
                <w:rFonts w:ascii="宋体" w:hAnsi="宋体"/>
                <w:b/>
                <w:color w:val="auto"/>
                <w:szCs w:val="21"/>
                <w:highlight w:val="none"/>
              </w:rPr>
            </w:pPr>
            <w:r>
              <w:rPr>
                <w:rFonts w:hint="eastAsia" w:ascii="宋体" w:hAnsi="宋体"/>
                <w:b/>
                <w:color w:val="auto"/>
                <w:szCs w:val="21"/>
                <w:highlight w:val="none"/>
              </w:rPr>
              <w:t>分值</w:t>
            </w:r>
          </w:p>
        </w:tc>
        <w:tc>
          <w:tcPr>
            <w:tcW w:w="3160" w:type="pct"/>
            <w:vAlign w:val="center"/>
          </w:tcPr>
          <w:p w14:paraId="0295B912">
            <w:pPr>
              <w:spacing w:line="400" w:lineRule="exact"/>
              <w:jc w:val="center"/>
              <w:rPr>
                <w:rFonts w:ascii="宋体" w:hAnsi="宋体"/>
                <w:b/>
                <w:color w:val="auto"/>
                <w:szCs w:val="21"/>
                <w:highlight w:val="none"/>
              </w:rPr>
            </w:pPr>
            <w:r>
              <w:rPr>
                <w:rFonts w:hint="eastAsia" w:ascii="宋体" w:hAnsi="宋体"/>
                <w:b/>
                <w:color w:val="auto"/>
                <w:szCs w:val="21"/>
                <w:highlight w:val="none"/>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auto"/>
                <w:szCs w:val="21"/>
                <w:highlight w:val="none"/>
              </w:rPr>
            </w:pPr>
            <w:r>
              <w:rPr>
                <w:rFonts w:hint="eastAsia" w:ascii="宋体" w:hAnsi="宋体"/>
                <w:b/>
                <w:color w:val="auto"/>
                <w:szCs w:val="21"/>
                <w:highlight w:val="none"/>
              </w:rPr>
              <w:t>商务评审细则（</w:t>
            </w:r>
            <w:r>
              <w:rPr>
                <w:rFonts w:hint="eastAsia" w:ascii="宋体" w:hAnsi="宋体"/>
                <w:b/>
                <w:color w:val="auto"/>
                <w:szCs w:val="21"/>
                <w:highlight w:val="none"/>
                <w:lang w:val="en-US" w:eastAsia="zh-CN"/>
              </w:rPr>
              <w:t>30</w:t>
            </w:r>
            <w:r>
              <w:rPr>
                <w:rFonts w:hint="eastAsia" w:ascii="宋体" w:hAnsi="宋体"/>
                <w:b/>
                <w:color w:val="auto"/>
                <w:szCs w:val="21"/>
                <w:highlight w:val="none"/>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auto"/>
                <w:szCs w:val="21"/>
                <w:highlight w:val="none"/>
              </w:rPr>
            </w:pPr>
            <w:r>
              <w:rPr>
                <w:rFonts w:hint="eastAsia" w:ascii="宋体" w:hAnsi="宋体"/>
                <w:color w:val="auto"/>
                <w:szCs w:val="21"/>
                <w:highlight w:val="none"/>
              </w:rPr>
              <w:t>1</w:t>
            </w:r>
          </w:p>
        </w:tc>
        <w:tc>
          <w:tcPr>
            <w:tcW w:w="822" w:type="pct"/>
            <w:vAlign w:val="center"/>
          </w:tcPr>
          <w:p w14:paraId="2BE3EF0B">
            <w:pPr>
              <w:spacing w:line="400" w:lineRule="exact"/>
              <w:jc w:val="center"/>
              <w:rPr>
                <w:rFonts w:ascii="宋体" w:hAnsi="宋体"/>
                <w:bCs/>
                <w:color w:val="auto"/>
                <w:szCs w:val="21"/>
                <w:highlight w:val="none"/>
              </w:rPr>
            </w:pPr>
            <w:r>
              <w:rPr>
                <w:rFonts w:hint="eastAsia" w:ascii="宋体" w:hAnsi="宋体"/>
                <w:bCs/>
                <w:color w:val="auto"/>
                <w:szCs w:val="21"/>
                <w:highlight w:val="none"/>
              </w:rPr>
              <w:t>企业认证</w:t>
            </w:r>
          </w:p>
        </w:tc>
        <w:tc>
          <w:tcPr>
            <w:tcW w:w="538" w:type="pct"/>
            <w:gridSpan w:val="2"/>
            <w:vAlign w:val="center"/>
          </w:tcPr>
          <w:p w14:paraId="62565621">
            <w:pPr>
              <w:widowControl/>
              <w:spacing w:line="400" w:lineRule="exact"/>
              <w:jc w:val="center"/>
              <w:rPr>
                <w:rFonts w:ascii="宋体" w:hAnsi="宋体"/>
                <w:bCs/>
                <w:color w:val="auto"/>
                <w:szCs w:val="21"/>
                <w:highlight w:val="none"/>
              </w:rPr>
            </w:pPr>
            <w:r>
              <w:rPr>
                <w:rFonts w:hint="eastAsia" w:ascii="宋体" w:hAnsi="宋体"/>
                <w:bCs/>
                <w:color w:val="auto"/>
                <w:szCs w:val="21"/>
                <w:highlight w:val="none"/>
                <w:lang w:val="en-US" w:eastAsia="zh-CN"/>
              </w:rPr>
              <w:t>6</w:t>
            </w:r>
            <w:r>
              <w:rPr>
                <w:rFonts w:hint="eastAsia" w:ascii="宋体" w:hAnsi="宋体"/>
                <w:bCs/>
                <w:color w:val="auto"/>
                <w:szCs w:val="21"/>
                <w:highlight w:val="none"/>
              </w:rPr>
              <w:t>分</w:t>
            </w:r>
          </w:p>
        </w:tc>
        <w:tc>
          <w:tcPr>
            <w:tcW w:w="3160" w:type="pct"/>
            <w:vAlign w:val="center"/>
          </w:tcPr>
          <w:p w14:paraId="6C65BA31">
            <w:pPr>
              <w:pStyle w:val="70"/>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lang w:val="en-US" w:eastAsia="zh-CN"/>
              </w:rPr>
              <w:t>供应商</w:t>
            </w:r>
            <w:r>
              <w:rPr>
                <w:rFonts w:hint="eastAsia" w:ascii="宋体" w:hAnsi="宋体" w:eastAsia="宋体" w:cs="宋体"/>
                <w:b/>
                <w:bCs w:val="0"/>
                <w:color w:val="auto"/>
                <w:szCs w:val="21"/>
                <w:highlight w:val="none"/>
              </w:rPr>
              <w:t>具有由国家认证认可监督管理部门批准设立的认证机构颁发并在有效期内的：</w:t>
            </w:r>
          </w:p>
          <w:p w14:paraId="2F7D69DC">
            <w:pPr>
              <w:pStyle w:val="70"/>
              <w:numPr>
                <w:ilvl w:val="0"/>
                <w:numId w:val="0"/>
              </w:numPr>
              <w:spacing w:line="400" w:lineRule="exact"/>
              <w:ind w:left="257" w:leftChars="0" w:hanging="257" w:firstLineChars="0"/>
              <w:rPr>
                <w:rFonts w:hint="eastAsia" w:ascii="宋体" w:hAnsi="宋体" w:eastAsia="宋体" w:cs="宋体"/>
                <w:bCs/>
                <w:color w:val="auto"/>
                <w:szCs w:val="21"/>
                <w:highlight w:val="none"/>
                <w:lang w:eastAsia="zh-CN"/>
              </w:rPr>
            </w:pPr>
            <w:r>
              <w:rPr>
                <w:rFonts w:hint="eastAsia" w:ascii="宋体" w:hAnsi="宋体" w:eastAsia="宋体" w:cs="宋体"/>
                <w:bCs/>
                <w:color w:val="auto"/>
                <w:kern w:val="2"/>
                <w:sz w:val="21"/>
                <w:szCs w:val="21"/>
                <w:highlight w:val="none"/>
                <w:lang w:val="en-US" w:eastAsia="zh-CN" w:bidi="ar-SA"/>
              </w:rPr>
              <w:t>1、</w:t>
            </w:r>
            <w:r>
              <w:rPr>
                <w:rFonts w:hint="eastAsia" w:ascii="宋体" w:hAnsi="宋体" w:eastAsia="宋体" w:cs="宋体"/>
                <w:bCs/>
                <w:color w:val="auto"/>
                <w:szCs w:val="21"/>
                <w:highlight w:val="none"/>
              </w:rPr>
              <w:t>质量管理体系认证证书</w:t>
            </w:r>
            <w:r>
              <w:rPr>
                <w:rFonts w:hint="eastAsia" w:ascii="宋体" w:hAnsi="宋体" w:eastAsia="宋体" w:cs="宋体"/>
                <w:bCs/>
                <w:color w:val="auto"/>
                <w:szCs w:val="21"/>
                <w:highlight w:val="none"/>
                <w:lang w:eastAsia="zh-CN"/>
              </w:rPr>
              <w:t>；</w:t>
            </w:r>
          </w:p>
          <w:p w14:paraId="3C92FC4A">
            <w:pPr>
              <w:pStyle w:val="70"/>
              <w:numPr>
                <w:ilvl w:val="0"/>
                <w:numId w:val="0"/>
              </w:numPr>
              <w:spacing w:line="400" w:lineRule="exact"/>
              <w:ind w:left="257" w:leftChars="0" w:hanging="257" w:firstLineChars="0"/>
              <w:rPr>
                <w:rFonts w:hint="eastAsia" w:ascii="宋体" w:hAnsi="宋体" w:eastAsia="宋体" w:cs="宋体"/>
                <w:bCs/>
                <w:color w:val="auto"/>
                <w:szCs w:val="21"/>
                <w:highlight w:val="none"/>
                <w:lang w:eastAsia="zh-CN"/>
              </w:rPr>
            </w:pPr>
            <w:r>
              <w:rPr>
                <w:rFonts w:hint="eastAsia" w:ascii="宋体" w:hAnsi="宋体" w:eastAsia="宋体" w:cs="宋体"/>
                <w:bCs/>
                <w:color w:val="auto"/>
                <w:kern w:val="2"/>
                <w:sz w:val="21"/>
                <w:szCs w:val="21"/>
                <w:highlight w:val="none"/>
                <w:lang w:val="en-US" w:eastAsia="zh-CN" w:bidi="ar-SA"/>
              </w:rPr>
              <w:t>2、</w:t>
            </w:r>
            <w:r>
              <w:rPr>
                <w:rFonts w:hint="eastAsia" w:ascii="宋体" w:hAnsi="宋体" w:eastAsia="宋体" w:cs="宋体"/>
                <w:bCs/>
                <w:color w:val="auto"/>
                <w:szCs w:val="21"/>
                <w:highlight w:val="none"/>
              </w:rPr>
              <w:t>职业健康安全管理体系认证证书</w:t>
            </w:r>
            <w:r>
              <w:rPr>
                <w:rFonts w:hint="eastAsia" w:ascii="宋体" w:hAnsi="宋体" w:eastAsia="宋体" w:cs="宋体"/>
                <w:bCs/>
                <w:color w:val="auto"/>
                <w:szCs w:val="21"/>
                <w:highlight w:val="none"/>
                <w:lang w:eastAsia="zh-CN"/>
              </w:rPr>
              <w:t>；</w:t>
            </w:r>
          </w:p>
          <w:p w14:paraId="0A54260E">
            <w:pPr>
              <w:pStyle w:val="70"/>
              <w:numPr>
                <w:ilvl w:val="0"/>
                <w:numId w:val="0"/>
              </w:numPr>
              <w:spacing w:line="400" w:lineRule="exact"/>
              <w:ind w:left="257" w:leftChars="0" w:hanging="257" w:firstLineChars="0"/>
              <w:rPr>
                <w:rFonts w:hint="eastAsia" w:ascii="宋体" w:hAnsi="宋体" w:eastAsia="宋体" w:cs="宋体"/>
                <w:bCs/>
                <w:color w:val="auto"/>
                <w:szCs w:val="21"/>
                <w:highlight w:val="none"/>
                <w:lang w:eastAsia="zh-CN"/>
              </w:rPr>
            </w:pPr>
            <w:r>
              <w:rPr>
                <w:rFonts w:hint="eastAsia" w:ascii="宋体" w:hAnsi="宋体" w:eastAsia="宋体" w:cs="宋体"/>
                <w:bCs/>
                <w:color w:val="auto"/>
                <w:kern w:val="2"/>
                <w:sz w:val="21"/>
                <w:szCs w:val="21"/>
                <w:highlight w:val="none"/>
                <w:lang w:val="en-US" w:eastAsia="zh-CN" w:bidi="ar-SA"/>
              </w:rPr>
              <w:t>3、</w:t>
            </w:r>
            <w:r>
              <w:rPr>
                <w:rFonts w:hint="eastAsia" w:ascii="宋体" w:hAnsi="宋体" w:eastAsia="宋体" w:cs="宋体"/>
                <w:bCs/>
                <w:color w:val="auto"/>
                <w:szCs w:val="21"/>
                <w:highlight w:val="none"/>
              </w:rPr>
              <w:t>环境管理体系认证证书</w:t>
            </w:r>
            <w:r>
              <w:rPr>
                <w:rFonts w:hint="eastAsia" w:ascii="宋体" w:hAnsi="宋体" w:eastAsia="宋体" w:cs="宋体"/>
                <w:bCs/>
                <w:color w:val="auto"/>
                <w:szCs w:val="21"/>
                <w:highlight w:val="none"/>
                <w:lang w:eastAsia="zh-CN"/>
              </w:rPr>
              <w:t>；</w:t>
            </w:r>
          </w:p>
          <w:p w14:paraId="511D7AE6">
            <w:pPr>
              <w:pStyle w:val="70"/>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以上证书每提供一个得</w:t>
            </w:r>
            <w:r>
              <w:rPr>
                <w:rFonts w:hint="eastAsia" w:ascii="宋体" w:hAnsi="宋体" w:eastAsia="宋体" w:cs="宋体"/>
                <w:bCs/>
                <w:color w:val="auto"/>
                <w:szCs w:val="21"/>
                <w:highlight w:val="none"/>
                <w:lang w:val="en-US" w:eastAsia="zh-CN"/>
              </w:rPr>
              <w:t>2</w:t>
            </w:r>
            <w:r>
              <w:rPr>
                <w:rFonts w:hint="eastAsia" w:ascii="宋体" w:hAnsi="宋体" w:eastAsia="宋体" w:cs="宋体"/>
                <w:bCs/>
                <w:color w:val="auto"/>
                <w:szCs w:val="21"/>
                <w:highlight w:val="none"/>
                <w:lang w:eastAsia="zh-CN"/>
              </w:rPr>
              <w:t>分，同一认证标准证书不重复得分，本项最高得</w:t>
            </w:r>
            <w:r>
              <w:rPr>
                <w:rFonts w:hint="eastAsia" w:ascii="宋体" w:hAnsi="宋体" w:eastAsia="宋体" w:cs="宋体"/>
                <w:bCs/>
                <w:color w:val="auto"/>
                <w:szCs w:val="21"/>
                <w:highlight w:val="none"/>
                <w:lang w:val="en-US" w:eastAsia="zh-CN"/>
              </w:rPr>
              <w:t>6</w:t>
            </w:r>
            <w:r>
              <w:rPr>
                <w:rFonts w:hint="eastAsia" w:ascii="宋体" w:hAnsi="宋体" w:eastAsia="宋体" w:cs="宋体"/>
                <w:bCs/>
                <w:color w:val="auto"/>
                <w:szCs w:val="21"/>
                <w:highlight w:val="none"/>
                <w:lang w:eastAsia="zh-CN"/>
              </w:rPr>
              <w:t>分。</w:t>
            </w:r>
          </w:p>
          <w:p w14:paraId="0A0B10E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ascii="宋体" w:hAnsi="宋体"/>
                <w:b/>
                <w:bCs/>
                <w:color w:val="auto"/>
                <w:szCs w:val="21"/>
                <w:highlight w:val="none"/>
                <w:u w:val="single"/>
              </w:rPr>
            </w:pPr>
            <w:r>
              <w:rPr>
                <w:rFonts w:hint="eastAsia" w:ascii="宋体" w:hAnsi="宋体" w:eastAsia="宋体" w:cs="宋体"/>
                <w:b/>
                <w:bCs/>
                <w:color w:val="auto"/>
                <w:szCs w:val="21"/>
                <w:highlight w:val="none"/>
                <w:u w:val="single"/>
              </w:rPr>
              <w:t>注：须提供有效证书复印件及国家市场监督管理总局全国认证认可信息公共服务平台（http://cx.cnca.cn/CertECloud/index/index/page）查询结果为有效的截图并加盖</w:t>
            </w:r>
            <w:r>
              <w:rPr>
                <w:rFonts w:hint="eastAsia" w:ascii="宋体" w:hAnsi="宋体" w:eastAsia="宋体" w:cs="宋体"/>
                <w:b/>
                <w:bCs/>
                <w:color w:val="auto"/>
                <w:szCs w:val="21"/>
                <w:highlight w:val="none"/>
                <w:u w:val="single"/>
                <w:lang w:val="en-US" w:eastAsia="zh-CN"/>
              </w:rPr>
              <w:t>供应商</w:t>
            </w:r>
            <w:r>
              <w:rPr>
                <w:rFonts w:hint="eastAsia" w:ascii="宋体" w:hAnsi="宋体" w:eastAsia="宋体" w:cs="宋体"/>
                <w:b/>
                <w:bCs/>
                <w:color w:val="auto"/>
                <w:szCs w:val="21"/>
                <w:highlight w:val="none"/>
                <w:u w:val="single"/>
              </w:rPr>
              <w:t>公章，已失效或撤销或不提供的不得分。</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ascii="宋体" w:hAnsi="宋体"/>
                <w:color w:val="auto"/>
                <w:szCs w:val="21"/>
                <w:highlight w:val="none"/>
              </w:rPr>
            </w:pPr>
            <w:r>
              <w:rPr>
                <w:rFonts w:hint="eastAsia" w:ascii="宋体" w:hAnsi="宋体"/>
                <w:color w:val="auto"/>
                <w:szCs w:val="21"/>
                <w:highlight w:val="none"/>
              </w:rPr>
              <w:t>2</w:t>
            </w:r>
          </w:p>
        </w:tc>
        <w:tc>
          <w:tcPr>
            <w:tcW w:w="822" w:type="pct"/>
            <w:vAlign w:val="center"/>
          </w:tcPr>
          <w:p w14:paraId="0296EC1E">
            <w:pPr>
              <w:spacing w:line="400" w:lineRule="exact"/>
              <w:jc w:val="center"/>
              <w:rPr>
                <w:rFonts w:hint="default"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服务响应承诺</w:t>
            </w:r>
          </w:p>
        </w:tc>
        <w:tc>
          <w:tcPr>
            <w:tcW w:w="538" w:type="pct"/>
            <w:gridSpan w:val="2"/>
            <w:vAlign w:val="center"/>
          </w:tcPr>
          <w:p w14:paraId="72ECFC15">
            <w:pPr>
              <w:widowControl/>
              <w:spacing w:line="400" w:lineRule="exact"/>
              <w:jc w:val="center"/>
              <w:rPr>
                <w:rFonts w:hint="default"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4分</w:t>
            </w:r>
          </w:p>
        </w:tc>
        <w:tc>
          <w:tcPr>
            <w:tcW w:w="3160" w:type="pct"/>
            <w:vAlign w:val="center"/>
          </w:tcPr>
          <w:p w14:paraId="2E7D5711">
            <w:pPr>
              <w:spacing w:line="400" w:lineRule="exact"/>
              <w:rPr>
                <w:rFonts w:hint="default" w:ascii="宋体" w:hAnsi="宋体" w:eastAsia="宋体" w:cs="宋体"/>
                <w:b/>
                <w:bCs w:val="0"/>
                <w:color w:val="auto"/>
                <w:szCs w:val="21"/>
                <w:highlight w:val="none"/>
                <w:u w:val="none"/>
                <w:lang w:val="en-US" w:eastAsia="zh-CN"/>
              </w:rPr>
            </w:pPr>
            <w:r>
              <w:rPr>
                <w:rFonts w:hint="eastAsia" w:ascii="宋体" w:hAnsi="宋体" w:eastAsia="宋体" w:cs="宋体"/>
                <w:b/>
                <w:bCs w:val="0"/>
                <w:color w:val="auto"/>
                <w:szCs w:val="21"/>
                <w:highlight w:val="none"/>
                <w:u w:val="none"/>
                <w:lang w:val="en-US" w:eastAsia="zh-CN"/>
              </w:rPr>
              <w:t>根据供应商承诺在非日常服务时间接到采购人技术支持需求时的响应及到场时间进行评审：</w:t>
            </w:r>
          </w:p>
          <w:p w14:paraId="12CD1FE2">
            <w:pPr>
              <w:spacing w:line="400" w:lineRule="exact"/>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1、</w:t>
            </w:r>
            <w:r>
              <w:rPr>
                <w:rFonts w:hint="eastAsia" w:ascii="宋体" w:hAnsi="宋体" w:cs="宋体"/>
                <w:b w:val="0"/>
                <w:bCs/>
                <w:color w:val="auto"/>
                <w:szCs w:val="21"/>
                <w:highlight w:val="none"/>
                <w:u w:val="none"/>
                <w:lang w:val="en-US" w:eastAsia="zh-CN"/>
              </w:rPr>
              <w:t>供应商</w:t>
            </w:r>
            <w:r>
              <w:rPr>
                <w:rFonts w:hint="eastAsia" w:ascii="宋体" w:hAnsi="宋体" w:eastAsia="宋体" w:cs="宋体"/>
                <w:b w:val="0"/>
                <w:bCs/>
                <w:color w:val="auto"/>
                <w:szCs w:val="21"/>
                <w:highlight w:val="none"/>
                <w:u w:val="none"/>
              </w:rPr>
              <w:t>承诺在接到采购人通知后</w:t>
            </w:r>
            <w:r>
              <w:rPr>
                <w:rFonts w:hint="eastAsia" w:ascii="宋体" w:hAnsi="宋体" w:eastAsia="宋体" w:cs="宋体"/>
                <w:b w:val="0"/>
                <w:bCs/>
                <w:color w:val="auto"/>
                <w:szCs w:val="21"/>
                <w:highlight w:val="none"/>
                <w:u w:val="none"/>
                <w:lang w:val="en-US" w:eastAsia="zh-CN"/>
              </w:rPr>
              <w:t>30分钟（含）</w:t>
            </w:r>
            <w:r>
              <w:rPr>
                <w:rFonts w:hint="eastAsia" w:ascii="宋体" w:hAnsi="宋体" w:eastAsia="宋体" w:cs="宋体"/>
                <w:b w:val="0"/>
                <w:bCs/>
                <w:color w:val="auto"/>
                <w:szCs w:val="21"/>
                <w:highlight w:val="none"/>
                <w:u w:val="none"/>
              </w:rPr>
              <w:t>内响应并</w:t>
            </w:r>
            <w:r>
              <w:rPr>
                <w:rFonts w:hint="eastAsia" w:ascii="宋体" w:hAnsi="宋体" w:cs="宋体"/>
                <w:b w:val="0"/>
                <w:bCs/>
                <w:color w:val="auto"/>
                <w:szCs w:val="21"/>
                <w:highlight w:val="none"/>
                <w:u w:val="none"/>
                <w:lang w:val="en-US" w:eastAsia="zh-CN"/>
              </w:rPr>
              <w:t>1</w:t>
            </w:r>
            <w:r>
              <w:rPr>
                <w:rFonts w:hint="eastAsia" w:ascii="宋体" w:hAnsi="宋体" w:eastAsia="宋体" w:cs="宋体"/>
                <w:b w:val="0"/>
                <w:bCs/>
                <w:color w:val="auto"/>
                <w:szCs w:val="21"/>
                <w:highlight w:val="none"/>
                <w:u w:val="none"/>
              </w:rPr>
              <w:t>小时（含）</w:t>
            </w:r>
            <w:r>
              <w:rPr>
                <w:rFonts w:hint="eastAsia" w:ascii="宋体" w:hAnsi="宋体" w:eastAsia="宋体" w:cs="宋体"/>
                <w:b w:val="0"/>
                <w:bCs/>
                <w:color w:val="auto"/>
                <w:szCs w:val="21"/>
                <w:highlight w:val="none"/>
                <w:u w:val="none"/>
                <w:lang w:val="en-US" w:eastAsia="zh-CN"/>
              </w:rPr>
              <w:t>内</w:t>
            </w:r>
            <w:r>
              <w:rPr>
                <w:rFonts w:hint="eastAsia" w:ascii="宋体" w:hAnsi="宋体" w:eastAsia="宋体" w:cs="宋体"/>
                <w:b w:val="0"/>
                <w:bCs/>
                <w:color w:val="auto"/>
                <w:szCs w:val="21"/>
                <w:highlight w:val="none"/>
                <w:u w:val="none"/>
              </w:rPr>
              <w:t>到达现场的，得</w:t>
            </w:r>
            <w:r>
              <w:rPr>
                <w:rFonts w:hint="eastAsia" w:ascii="宋体" w:hAnsi="宋体" w:cs="宋体"/>
                <w:b w:val="0"/>
                <w:bCs/>
                <w:color w:val="auto"/>
                <w:szCs w:val="21"/>
                <w:highlight w:val="none"/>
                <w:u w:val="none"/>
                <w:lang w:val="en-US" w:eastAsia="zh-CN"/>
              </w:rPr>
              <w:t>4</w:t>
            </w:r>
            <w:r>
              <w:rPr>
                <w:rFonts w:hint="eastAsia" w:ascii="宋体" w:hAnsi="宋体" w:eastAsia="宋体" w:cs="宋体"/>
                <w:b w:val="0"/>
                <w:bCs/>
                <w:color w:val="auto"/>
                <w:szCs w:val="21"/>
                <w:highlight w:val="none"/>
                <w:u w:val="none"/>
              </w:rPr>
              <w:t>分；</w:t>
            </w:r>
          </w:p>
          <w:p w14:paraId="6113785B">
            <w:pPr>
              <w:spacing w:line="400" w:lineRule="exact"/>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2、</w:t>
            </w:r>
            <w:r>
              <w:rPr>
                <w:rFonts w:hint="eastAsia" w:ascii="宋体" w:hAnsi="宋体" w:cs="宋体"/>
                <w:b w:val="0"/>
                <w:bCs/>
                <w:color w:val="auto"/>
                <w:szCs w:val="21"/>
                <w:highlight w:val="none"/>
                <w:u w:val="none"/>
                <w:lang w:val="en-US" w:eastAsia="zh-CN"/>
              </w:rPr>
              <w:t>供应商</w:t>
            </w:r>
            <w:r>
              <w:rPr>
                <w:rFonts w:hint="eastAsia" w:ascii="宋体" w:hAnsi="宋体" w:eastAsia="宋体" w:cs="宋体"/>
                <w:b w:val="0"/>
                <w:bCs/>
                <w:color w:val="auto"/>
                <w:szCs w:val="21"/>
                <w:highlight w:val="none"/>
                <w:u w:val="none"/>
              </w:rPr>
              <w:t>承诺在接到采购人通知后</w:t>
            </w:r>
            <w:r>
              <w:rPr>
                <w:rFonts w:hint="eastAsia" w:ascii="宋体" w:hAnsi="宋体" w:eastAsia="宋体" w:cs="宋体"/>
                <w:b w:val="0"/>
                <w:bCs/>
                <w:color w:val="auto"/>
                <w:szCs w:val="21"/>
                <w:highlight w:val="none"/>
                <w:u w:val="none"/>
                <w:lang w:val="en-US" w:eastAsia="zh-CN"/>
              </w:rPr>
              <w:t>30分钟（含）</w:t>
            </w:r>
            <w:r>
              <w:rPr>
                <w:rFonts w:hint="eastAsia" w:ascii="宋体" w:hAnsi="宋体" w:eastAsia="宋体" w:cs="宋体"/>
                <w:b w:val="0"/>
                <w:bCs/>
                <w:color w:val="auto"/>
                <w:szCs w:val="21"/>
                <w:highlight w:val="none"/>
                <w:u w:val="none"/>
              </w:rPr>
              <w:t>内响应并</w:t>
            </w:r>
            <w:r>
              <w:rPr>
                <w:rFonts w:hint="eastAsia" w:ascii="宋体" w:hAnsi="宋体" w:eastAsia="宋体" w:cs="宋体"/>
                <w:b w:val="0"/>
                <w:bCs/>
                <w:color w:val="auto"/>
                <w:szCs w:val="21"/>
                <w:highlight w:val="none"/>
                <w:u w:val="none"/>
                <w:lang w:val="en-US" w:eastAsia="zh-CN"/>
              </w:rPr>
              <w:t>2</w:t>
            </w:r>
            <w:r>
              <w:rPr>
                <w:rFonts w:hint="eastAsia" w:ascii="宋体" w:hAnsi="宋体" w:eastAsia="宋体" w:cs="宋体"/>
                <w:b w:val="0"/>
                <w:bCs/>
                <w:color w:val="auto"/>
                <w:szCs w:val="21"/>
                <w:highlight w:val="none"/>
                <w:u w:val="none"/>
              </w:rPr>
              <w:t>小时（含）</w:t>
            </w:r>
            <w:r>
              <w:rPr>
                <w:rFonts w:hint="eastAsia" w:ascii="宋体" w:hAnsi="宋体" w:eastAsia="宋体" w:cs="宋体"/>
                <w:b w:val="0"/>
                <w:bCs/>
                <w:color w:val="auto"/>
                <w:szCs w:val="21"/>
                <w:highlight w:val="none"/>
                <w:u w:val="none"/>
                <w:lang w:val="en-US" w:eastAsia="zh-CN"/>
              </w:rPr>
              <w:t>内</w:t>
            </w:r>
            <w:r>
              <w:rPr>
                <w:rFonts w:hint="eastAsia" w:ascii="宋体" w:hAnsi="宋体" w:eastAsia="宋体" w:cs="宋体"/>
                <w:b w:val="0"/>
                <w:bCs/>
                <w:color w:val="auto"/>
                <w:szCs w:val="21"/>
                <w:highlight w:val="none"/>
                <w:u w:val="none"/>
              </w:rPr>
              <w:t>到达现场的，得</w:t>
            </w:r>
            <w:r>
              <w:rPr>
                <w:rFonts w:hint="eastAsia" w:ascii="宋体" w:hAnsi="宋体" w:cs="宋体"/>
                <w:b w:val="0"/>
                <w:bCs/>
                <w:color w:val="auto"/>
                <w:szCs w:val="21"/>
                <w:highlight w:val="none"/>
                <w:u w:val="none"/>
                <w:lang w:val="en-US" w:eastAsia="zh-CN"/>
              </w:rPr>
              <w:t>2</w:t>
            </w:r>
            <w:r>
              <w:rPr>
                <w:rFonts w:hint="eastAsia" w:ascii="宋体" w:hAnsi="宋体" w:eastAsia="宋体" w:cs="宋体"/>
                <w:b w:val="0"/>
                <w:bCs/>
                <w:color w:val="auto"/>
                <w:szCs w:val="21"/>
                <w:highlight w:val="none"/>
                <w:u w:val="none"/>
              </w:rPr>
              <w:t>分；</w:t>
            </w:r>
          </w:p>
          <w:p w14:paraId="1404E473">
            <w:pPr>
              <w:spacing w:line="400" w:lineRule="exact"/>
              <w:rPr>
                <w:rFonts w:hint="eastAsia" w:ascii="宋体" w:hAnsi="宋体" w:eastAsia="宋体" w:cs="宋体"/>
                <w:b w:val="0"/>
                <w:bCs/>
                <w:color w:val="auto"/>
                <w:szCs w:val="21"/>
                <w:highlight w:val="none"/>
                <w:u w:val="none"/>
                <w:lang w:val="en-US" w:eastAsia="zh-CN"/>
              </w:rPr>
            </w:pPr>
            <w:r>
              <w:rPr>
                <w:rFonts w:hint="eastAsia" w:ascii="宋体" w:hAnsi="宋体" w:cs="宋体"/>
                <w:b w:val="0"/>
                <w:bCs/>
                <w:color w:val="auto"/>
                <w:szCs w:val="21"/>
                <w:highlight w:val="none"/>
                <w:u w:val="none"/>
                <w:lang w:val="en-US" w:eastAsia="zh-CN"/>
              </w:rPr>
              <w:t>3、供应商</w:t>
            </w:r>
            <w:r>
              <w:rPr>
                <w:rFonts w:hint="eastAsia" w:ascii="宋体" w:hAnsi="宋体" w:eastAsia="宋体" w:cs="宋体"/>
                <w:b w:val="0"/>
                <w:bCs/>
                <w:color w:val="auto"/>
                <w:szCs w:val="21"/>
                <w:highlight w:val="none"/>
                <w:u w:val="none"/>
              </w:rPr>
              <w:t>承诺在接到采购人通知后</w:t>
            </w:r>
            <w:r>
              <w:rPr>
                <w:rFonts w:hint="eastAsia" w:ascii="宋体" w:hAnsi="宋体" w:eastAsia="宋体" w:cs="宋体"/>
                <w:b w:val="0"/>
                <w:bCs/>
                <w:color w:val="auto"/>
                <w:szCs w:val="21"/>
                <w:highlight w:val="none"/>
                <w:u w:val="none"/>
                <w:lang w:val="en-US" w:eastAsia="zh-CN"/>
              </w:rPr>
              <w:t>30分钟（含）</w:t>
            </w:r>
            <w:r>
              <w:rPr>
                <w:rFonts w:hint="eastAsia" w:ascii="宋体" w:hAnsi="宋体" w:eastAsia="宋体" w:cs="宋体"/>
                <w:b w:val="0"/>
                <w:bCs/>
                <w:color w:val="auto"/>
                <w:szCs w:val="21"/>
                <w:highlight w:val="none"/>
                <w:u w:val="none"/>
              </w:rPr>
              <w:t>内响应并</w:t>
            </w:r>
            <w:r>
              <w:rPr>
                <w:rFonts w:hint="eastAsia" w:ascii="宋体" w:hAnsi="宋体" w:cs="宋体"/>
                <w:b w:val="0"/>
                <w:bCs/>
                <w:color w:val="auto"/>
                <w:szCs w:val="21"/>
                <w:highlight w:val="none"/>
                <w:u w:val="none"/>
                <w:lang w:val="en-US" w:eastAsia="zh-CN"/>
              </w:rPr>
              <w:t>3</w:t>
            </w:r>
            <w:r>
              <w:rPr>
                <w:rFonts w:hint="eastAsia" w:ascii="宋体" w:hAnsi="宋体" w:eastAsia="宋体" w:cs="宋体"/>
                <w:b w:val="0"/>
                <w:bCs/>
                <w:color w:val="auto"/>
                <w:szCs w:val="21"/>
                <w:highlight w:val="none"/>
                <w:u w:val="none"/>
              </w:rPr>
              <w:t>小时（含）</w:t>
            </w:r>
            <w:r>
              <w:rPr>
                <w:rFonts w:hint="eastAsia" w:ascii="宋体" w:hAnsi="宋体" w:eastAsia="宋体" w:cs="宋体"/>
                <w:b w:val="0"/>
                <w:bCs/>
                <w:color w:val="auto"/>
                <w:szCs w:val="21"/>
                <w:highlight w:val="none"/>
                <w:u w:val="none"/>
                <w:lang w:val="en-US" w:eastAsia="zh-CN"/>
              </w:rPr>
              <w:t>内</w:t>
            </w:r>
            <w:r>
              <w:rPr>
                <w:rFonts w:hint="eastAsia" w:ascii="宋体" w:hAnsi="宋体" w:eastAsia="宋体" w:cs="宋体"/>
                <w:b w:val="0"/>
                <w:bCs/>
                <w:color w:val="auto"/>
                <w:szCs w:val="21"/>
                <w:highlight w:val="none"/>
                <w:u w:val="none"/>
              </w:rPr>
              <w:t>到达现场的，得</w:t>
            </w:r>
            <w:r>
              <w:rPr>
                <w:rFonts w:hint="eastAsia" w:ascii="宋体" w:hAnsi="宋体" w:eastAsia="宋体" w:cs="宋体"/>
                <w:b w:val="0"/>
                <w:bCs/>
                <w:color w:val="auto"/>
                <w:szCs w:val="21"/>
                <w:highlight w:val="none"/>
                <w:u w:val="none"/>
                <w:lang w:val="en-US" w:eastAsia="zh-CN"/>
              </w:rPr>
              <w:t>1</w:t>
            </w:r>
            <w:r>
              <w:rPr>
                <w:rFonts w:hint="eastAsia" w:ascii="宋体" w:hAnsi="宋体" w:eastAsia="宋体" w:cs="宋体"/>
                <w:b w:val="0"/>
                <w:bCs/>
                <w:color w:val="auto"/>
                <w:szCs w:val="21"/>
                <w:highlight w:val="none"/>
                <w:u w:val="none"/>
              </w:rPr>
              <w:t>分；</w:t>
            </w:r>
          </w:p>
          <w:p w14:paraId="4AA17F94">
            <w:pPr>
              <w:spacing w:line="400" w:lineRule="exact"/>
              <w:rPr>
                <w:rFonts w:hint="eastAsia" w:ascii="宋体" w:hAnsi="宋体" w:eastAsia="宋体" w:cs="宋体"/>
                <w:b w:val="0"/>
                <w:bCs/>
                <w:color w:val="auto"/>
                <w:szCs w:val="21"/>
                <w:highlight w:val="none"/>
                <w:u w:val="none"/>
              </w:rPr>
            </w:pPr>
            <w:r>
              <w:rPr>
                <w:rFonts w:hint="eastAsia" w:ascii="宋体" w:hAnsi="宋体" w:cs="宋体"/>
                <w:b w:val="0"/>
                <w:bCs/>
                <w:color w:val="auto"/>
                <w:szCs w:val="21"/>
                <w:highlight w:val="none"/>
                <w:u w:val="none"/>
                <w:lang w:val="en-US" w:eastAsia="zh-CN"/>
              </w:rPr>
              <w:t>4</w:t>
            </w:r>
            <w:r>
              <w:rPr>
                <w:rFonts w:hint="eastAsia" w:ascii="宋体" w:hAnsi="宋体" w:eastAsia="宋体" w:cs="宋体"/>
                <w:b w:val="0"/>
                <w:bCs/>
                <w:color w:val="auto"/>
                <w:szCs w:val="21"/>
                <w:highlight w:val="none"/>
                <w:u w:val="none"/>
                <w:lang w:val="en-US" w:eastAsia="zh-CN"/>
              </w:rPr>
              <w:t>、</w:t>
            </w:r>
            <w:r>
              <w:rPr>
                <w:rFonts w:hint="eastAsia" w:ascii="宋体" w:hAnsi="宋体" w:cs="宋体"/>
                <w:b w:val="0"/>
                <w:bCs/>
                <w:color w:val="auto"/>
                <w:szCs w:val="21"/>
                <w:highlight w:val="none"/>
                <w:u w:val="none"/>
                <w:lang w:val="en-US" w:eastAsia="zh-CN"/>
              </w:rPr>
              <w:t>3</w:t>
            </w:r>
            <w:r>
              <w:rPr>
                <w:rFonts w:hint="eastAsia" w:ascii="宋体" w:hAnsi="宋体" w:eastAsia="宋体" w:cs="宋体"/>
                <w:b w:val="0"/>
                <w:bCs/>
                <w:color w:val="auto"/>
                <w:szCs w:val="21"/>
                <w:highlight w:val="none"/>
                <w:u w:val="none"/>
              </w:rPr>
              <w:t>小时以上或其他</w:t>
            </w:r>
            <w:r>
              <w:rPr>
                <w:rFonts w:hint="eastAsia" w:ascii="宋体" w:hAnsi="宋体" w:eastAsia="宋体" w:cs="宋体"/>
                <w:b w:val="0"/>
                <w:bCs/>
                <w:color w:val="auto"/>
                <w:szCs w:val="21"/>
                <w:highlight w:val="none"/>
                <w:u w:val="none"/>
                <w:lang w:val="en-US" w:eastAsia="zh-CN"/>
              </w:rPr>
              <w:t>情形的，</w:t>
            </w:r>
            <w:r>
              <w:rPr>
                <w:rFonts w:hint="eastAsia" w:ascii="宋体" w:hAnsi="宋体" w:eastAsia="宋体" w:cs="宋体"/>
                <w:b w:val="0"/>
                <w:bCs/>
                <w:color w:val="auto"/>
                <w:szCs w:val="21"/>
                <w:highlight w:val="none"/>
                <w:u w:val="none"/>
              </w:rPr>
              <w:t>得</w:t>
            </w:r>
            <w:r>
              <w:rPr>
                <w:rFonts w:hint="eastAsia" w:ascii="宋体" w:hAnsi="宋体" w:eastAsia="宋体" w:cs="宋体"/>
                <w:b w:val="0"/>
                <w:bCs/>
                <w:color w:val="auto"/>
                <w:szCs w:val="21"/>
                <w:highlight w:val="none"/>
                <w:u w:val="none"/>
                <w:lang w:val="en-US" w:eastAsia="zh-CN"/>
              </w:rPr>
              <w:t>0</w:t>
            </w:r>
            <w:r>
              <w:rPr>
                <w:rFonts w:hint="eastAsia" w:ascii="宋体" w:hAnsi="宋体" w:eastAsia="宋体" w:cs="宋体"/>
                <w:b w:val="0"/>
                <w:bCs/>
                <w:color w:val="auto"/>
                <w:szCs w:val="21"/>
                <w:highlight w:val="none"/>
                <w:u w:val="none"/>
              </w:rPr>
              <w:t>分。</w:t>
            </w:r>
          </w:p>
          <w:p w14:paraId="095B4298">
            <w:pPr>
              <w:spacing w:line="400" w:lineRule="exact"/>
              <w:rPr>
                <w:rFonts w:ascii="宋体" w:hAnsi="宋体"/>
                <w:b/>
                <w:bCs/>
                <w:color w:val="auto"/>
                <w:szCs w:val="21"/>
                <w:highlight w:val="none"/>
                <w:u w:val="single"/>
              </w:rPr>
            </w:pPr>
            <w:r>
              <w:rPr>
                <w:rFonts w:hint="eastAsia" w:ascii="宋体" w:hAnsi="宋体" w:eastAsia="宋体" w:cs="宋体"/>
                <w:b/>
                <w:color w:val="auto"/>
                <w:szCs w:val="21"/>
                <w:highlight w:val="none"/>
                <w:u w:val="single"/>
              </w:rPr>
              <w:t>注：须单独提供承诺书并加盖</w:t>
            </w:r>
            <w:r>
              <w:rPr>
                <w:rFonts w:hint="eastAsia" w:ascii="宋体" w:hAnsi="宋体" w:eastAsia="宋体" w:cs="宋体"/>
                <w:b/>
                <w:color w:val="auto"/>
                <w:szCs w:val="21"/>
                <w:highlight w:val="none"/>
                <w:u w:val="single"/>
                <w:lang w:val="en-US" w:eastAsia="zh-CN"/>
              </w:rPr>
              <w:t>供应商</w:t>
            </w:r>
            <w:r>
              <w:rPr>
                <w:rFonts w:hint="eastAsia" w:ascii="宋体" w:hAnsi="宋体" w:eastAsia="宋体" w:cs="宋体"/>
                <w:b/>
                <w:color w:val="auto"/>
                <w:szCs w:val="21"/>
                <w:highlight w:val="none"/>
                <w:u w:val="single"/>
              </w:rPr>
              <w:t>公章。</w:t>
            </w:r>
          </w:p>
        </w:tc>
      </w:tr>
      <w:tr w14:paraId="096D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6FC6347C">
            <w:pPr>
              <w:spacing w:line="400" w:lineRule="exact"/>
              <w:jc w:val="center"/>
              <w:rPr>
                <w:rFonts w:ascii="宋体" w:hAnsi="宋体"/>
                <w:color w:val="auto"/>
                <w:szCs w:val="21"/>
                <w:highlight w:val="none"/>
              </w:rPr>
            </w:pPr>
            <w:r>
              <w:rPr>
                <w:rFonts w:hint="eastAsia" w:ascii="宋体" w:hAnsi="宋体"/>
                <w:color w:val="auto"/>
                <w:szCs w:val="21"/>
                <w:highlight w:val="none"/>
              </w:rPr>
              <w:t>3</w:t>
            </w:r>
          </w:p>
        </w:tc>
        <w:tc>
          <w:tcPr>
            <w:tcW w:w="822" w:type="pct"/>
            <w:vAlign w:val="center"/>
          </w:tcPr>
          <w:p w14:paraId="21D86339">
            <w:pPr>
              <w:spacing w:line="400" w:lineRule="exact"/>
              <w:jc w:val="center"/>
              <w:rPr>
                <w:rFonts w:ascii="宋体" w:hAnsi="宋体"/>
                <w:color w:val="auto"/>
                <w:szCs w:val="21"/>
                <w:highlight w:val="none"/>
              </w:rPr>
            </w:pPr>
            <w:r>
              <w:rPr>
                <w:rFonts w:hint="eastAsia" w:ascii="宋体" w:hAnsi="宋体"/>
                <w:color w:val="auto"/>
                <w:szCs w:val="21"/>
                <w:highlight w:val="none"/>
              </w:rPr>
              <w:t>业绩情况</w:t>
            </w:r>
          </w:p>
        </w:tc>
        <w:tc>
          <w:tcPr>
            <w:tcW w:w="538" w:type="pct"/>
            <w:gridSpan w:val="2"/>
            <w:vAlign w:val="center"/>
          </w:tcPr>
          <w:p w14:paraId="05634406">
            <w:pPr>
              <w:widowControl/>
              <w:spacing w:line="400" w:lineRule="exact"/>
              <w:jc w:val="center"/>
              <w:rPr>
                <w:rFonts w:ascii="宋体" w:hAnsi="宋体"/>
                <w:color w:val="auto"/>
                <w:szCs w:val="21"/>
                <w:highlight w:val="none"/>
              </w:rPr>
            </w:pPr>
            <w:r>
              <w:rPr>
                <w:rFonts w:hint="eastAsia" w:ascii="宋体" w:hAnsi="宋体"/>
                <w:color w:val="auto"/>
                <w:szCs w:val="21"/>
                <w:highlight w:val="none"/>
                <w:lang w:val="en-US" w:eastAsia="zh-CN"/>
              </w:rPr>
              <w:t>20</w:t>
            </w:r>
            <w:r>
              <w:rPr>
                <w:rFonts w:hint="eastAsia" w:ascii="宋体" w:hAnsi="宋体"/>
                <w:color w:val="auto"/>
                <w:szCs w:val="21"/>
                <w:highlight w:val="none"/>
              </w:rPr>
              <w:t>分</w:t>
            </w:r>
          </w:p>
        </w:tc>
        <w:tc>
          <w:tcPr>
            <w:tcW w:w="3160" w:type="pct"/>
            <w:vAlign w:val="center"/>
          </w:tcPr>
          <w:p w14:paraId="4DCD8141">
            <w:pPr>
              <w:spacing w:line="400" w:lineRule="exact"/>
              <w:rPr>
                <w:rFonts w:hint="eastAsia" w:ascii="宋体" w:hAnsi="宋体" w:cs="宋体"/>
                <w:b/>
                <w:bCs/>
                <w:color w:val="auto"/>
                <w:szCs w:val="21"/>
                <w:highlight w:val="none"/>
                <w:lang w:val="en-US" w:eastAsia="zh-CN"/>
              </w:rPr>
            </w:pPr>
            <w:r>
              <w:rPr>
                <w:rFonts w:hint="eastAsia" w:ascii="宋体" w:hAnsi="宋体" w:eastAsia="宋体" w:cs="宋体"/>
                <w:b/>
                <w:bCs/>
                <w:color w:val="auto"/>
                <w:szCs w:val="21"/>
                <w:highlight w:val="none"/>
              </w:rPr>
              <w:t>根据</w:t>
            </w:r>
            <w:r>
              <w:rPr>
                <w:rFonts w:hint="eastAsia" w:ascii="宋体" w:hAnsi="宋体" w:eastAsia="宋体" w:cs="宋体"/>
                <w:b/>
                <w:bCs/>
                <w:color w:val="auto"/>
                <w:szCs w:val="21"/>
                <w:highlight w:val="none"/>
                <w:lang w:val="en-US" w:eastAsia="zh-CN"/>
              </w:rPr>
              <w:t>供应商</w:t>
            </w:r>
            <w:r>
              <w:rPr>
                <w:rFonts w:hint="eastAsia" w:ascii="宋体" w:hAnsi="宋体" w:eastAsia="宋体" w:cs="宋体"/>
                <w:b/>
                <w:bCs/>
                <w:color w:val="auto"/>
                <w:szCs w:val="21"/>
                <w:highlight w:val="none"/>
              </w:rPr>
              <w:t>具有的项目业绩</w:t>
            </w:r>
            <w:r>
              <w:rPr>
                <w:rFonts w:hint="eastAsia" w:ascii="宋体" w:hAnsi="宋体" w:cs="宋体"/>
                <w:b/>
                <w:bCs/>
                <w:color w:val="auto"/>
                <w:szCs w:val="21"/>
                <w:highlight w:val="none"/>
                <w:lang w:val="en-US" w:eastAsia="zh-CN"/>
              </w:rPr>
              <w:t>情况</w:t>
            </w:r>
            <w:r>
              <w:rPr>
                <w:rFonts w:hint="eastAsia" w:ascii="宋体" w:hAnsi="宋体" w:eastAsia="宋体" w:cs="宋体"/>
                <w:b/>
                <w:bCs/>
                <w:color w:val="auto"/>
                <w:szCs w:val="21"/>
                <w:highlight w:val="none"/>
                <w:lang w:val="en-US" w:eastAsia="zh-CN"/>
              </w:rPr>
              <w:t>进行评审</w:t>
            </w:r>
            <w:r>
              <w:rPr>
                <w:rFonts w:hint="eastAsia" w:ascii="宋体" w:hAnsi="宋体" w:cs="宋体"/>
                <w:b/>
                <w:bCs/>
                <w:color w:val="auto"/>
                <w:szCs w:val="21"/>
                <w:highlight w:val="none"/>
                <w:lang w:val="en-US" w:eastAsia="zh-CN"/>
              </w:rPr>
              <w:t>：</w:t>
            </w:r>
          </w:p>
          <w:p w14:paraId="220550EB">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供应商具有</w:t>
            </w:r>
            <w:r>
              <w:rPr>
                <w:rFonts w:hint="eastAsia" w:ascii="宋体" w:hAnsi="宋体" w:cs="宋体"/>
                <w:color w:val="auto"/>
                <w:szCs w:val="21"/>
                <w:highlight w:val="none"/>
                <w:lang w:val="en-US" w:eastAsia="zh-CN"/>
              </w:rPr>
              <w:t>视频</w:t>
            </w:r>
            <w:r>
              <w:rPr>
                <w:rFonts w:hint="eastAsia" w:ascii="宋体" w:hAnsi="宋体" w:eastAsia="宋体" w:cs="宋体"/>
                <w:color w:val="auto"/>
                <w:szCs w:val="21"/>
                <w:highlight w:val="none"/>
              </w:rPr>
              <w:t>监控设备类</w:t>
            </w:r>
            <w:r>
              <w:rPr>
                <w:rFonts w:hint="eastAsia" w:ascii="宋体" w:hAnsi="宋体" w:cs="宋体"/>
                <w:color w:val="auto"/>
                <w:szCs w:val="21"/>
                <w:highlight w:val="none"/>
                <w:lang w:val="en-US" w:eastAsia="zh-CN"/>
              </w:rPr>
              <w:t>或交通信号灯设备</w:t>
            </w:r>
            <w:r>
              <w:rPr>
                <w:rFonts w:hint="eastAsia" w:ascii="宋体" w:hAnsi="宋体" w:eastAsia="宋体" w:cs="宋体"/>
                <w:color w:val="auto"/>
                <w:szCs w:val="21"/>
                <w:highlight w:val="none"/>
              </w:rPr>
              <w:t>类销售（含安装）项目业绩的，每提供1项得2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分，</w:t>
            </w:r>
            <w:r>
              <w:rPr>
                <w:rFonts w:hint="eastAsia" w:ascii="宋体" w:hAnsi="宋体" w:cs="宋体"/>
                <w:color w:val="auto"/>
                <w:szCs w:val="21"/>
                <w:highlight w:val="none"/>
                <w:lang w:val="en-US" w:eastAsia="zh-CN"/>
              </w:rPr>
              <w:t>本项</w:t>
            </w:r>
            <w:r>
              <w:rPr>
                <w:rFonts w:hint="eastAsia" w:ascii="宋体" w:hAnsi="宋体" w:eastAsia="宋体" w:cs="宋体"/>
                <w:color w:val="auto"/>
                <w:szCs w:val="21"/>
                <w:highlight w:val="none"/>
              </w:rPr>
              <w:t>最高得10分；</w:t>
            </w:r>
          </w:p>
          <w:p w14:paraId="198A10AA">
            <w:pPr>
              <w:spacing w:line="40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供应商具</w:t>
            </w:r>
            <w:r>
              <w:rPr>
                <w:rFonts w:hint="eastAsia" w:ascii="宋体" w:hAnsi="宋体" w:cs="宋体"/>
                <w:color w:val="auto"/>
                <w:szCs w:val="21"/>
                <w:highlight w:val="none"/>
                <w:lang w:val="en-US" w:eastAsia="zh-CN"/>
              </w:rPr>
              <w:t>有视频</w:t>
            </w:r>
            <w:r>
              <w:rPr>
                <w:rFonts w:hint="eastAsia" w:ascii="宋体" w:hAnsi="宋体" w:eastAsia="宋体" w:cs="宋体"/>
                <w:color w:val="auto"/>
                <w:szCs w:val="21"/>
                <w:highlight w:val="none"/>
              </w:rPr>
              <w:t>监控设备类</w:t>
            </w:r>
            <w:r>
              <w:rPr>
                <w:rFonts w:hint="eastAsia" w:ascii="宋体" w:hAnsi="宋体" w:cs="宋体"/>
                <w:color w:val="auto"/>
                <w:szCs w:val="21"/>
                <w:highlight w:val="none"/>
                <w:lang w:val="en-US" w:eastAsia="zh-CN"/>
              </w:rPr>
              <w:t>或交通信号灯设备</w:t>
            </w:r>
            <w:r>
              <w:rPr>
                <w:rFonts w:hint="eastAsia" w:ascii="宋体" w:hAnsi="宋体" w:eastAsia="宋体" w:cs="宋体"/>
                <w:color w:val="auto"/>
                <w:szCs w:val="21"/>
                <w:highlight w:val="none"/>
              </w:rPr>
              <w:t>类运维项目业绩的，每提供1项得2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分，</w:t>
            </w:r>
            <w:r>
              <w:rPr>
                <w:rFonts w:hint="eastAsia" w:ascii="宋体" w:hAnsi="宋体" w:cs="宋体"/>
                <w:color w:val="auto"/>
                <w:szCs w:val="21"/>
                <w:highlight w:val="none"/>
                <w:lang w:val="en-US" w:eastAsia="zh-CN"/>
              </w:rPr>
              <w:t>本项</w:t>
            </w:r>
            <w:r>
              <w:rPr>
                <w:rFonts w:hint="eastAsia" w:ascii="宋体" w:hAnsi="宋体" w:eastAsia="宋体" w:cs="宋体"/>
                <w:color w:val="auto"/>
                <w:szCs w:val="21"/>
                <w:highlight w:val="none"/>
              </w:rPr>
              <w:t>最高得10分</w:t>
            </w:r>
            <w:r>
              <w:rPr>
                <w:rFonts w:hint="eastAsia" w:ascii="宋体" w:hAnsi="宋体" w:cs="宋体"/>
                <w:color w:val="auto"/>
                <w:szCs w:val="21"/>
                <w:highlight w:val="none"/>
                <w:lang w:eastAsia="zh-CN"/>
              </w:rPr>
              <w:t>。</w:t>
            </w:r>
          </w:p>
          <w:p w14:paraId="2F5B4423">
            <w:pPr>
              <w:spacing w:line="400" w:lineRule="exact"/>
              <w:rPr>
                <w:rFonts w:ascii="宋体" w:hAnsi="宋体"/>
                <w:b/>
                <w:color w:val="auto"/>
                <w:szCs w:val="21"/>
                <w:highlight w:val="none"/>
                <w:u w:val="single"/>
              </w:rPr>
            </w:pPr>
            <w:r>
              <w:rPr>
                <w:rFonts w:hint="eastAsia" w:ascii="宋体" w:hAnsi="宋体" w:eastAsia="宋体" w:cs="宋体"/>
                <w:b/>
                <w:color w:val="auto"/>
                <w:szCs w:val="21"/>
                <w:highlight w:val="none"/>
                <w:u w:val="single"/>
              </w:rPr>
              <w:t>注：须提供合同复印件并加盖</w:t>
            </w:r>
            <w:r>
              <w:rPr>
                <w:rFonts w:hint="eastAsia" w:ascii="宋体" w:hAnsi="宋体" w:cs="宋体"/>
                <w:b/>
                <w:color w:val="auto"/>
                <w:szCs w:val="21"/>
                <w:highlight w:val="none"/>
                <w:u w:val="single"/>
                <w:lang w:val="en-US" w:eastAsia="zh-CN"/>
              </w:rPr>
              <w:t>供应商</w:t>
            </w:r>
            <w:r>
              <w:rPr>
                <w:rFonts w:hint="eastAsia" w:ascii="宋体" w:hAnsi="宋体" w:eastAsia="宋体" w:cs="宋体"/>
                <w:b/>
                <w:color w:val="auto"/>
                <w:szCs w:val="21"/>
                <w:highlight w:val="none"/>
                <w:u w:val="single"/>
              </w:rPr>
              <w:t>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auto"/>
                <w:sz w:val="31"/>
                <w:szCs w:val="28"/>
                <w:highlight w:val="none"/>
              </w:rPr>
            </w:pPr>
            <w:r>
              <w:rPr>
                <w:rFonts w:hint="eastAsia" w:ascii="宋体" w:hAnsi="宋体"/>
                <w:b/>
                <w:color w:val="auto"/>
                <w:szCs w:val="21"/>
                <w:highlight w:val="none"/>
              </w:rPr>
              <w:t>技术评审细则（</w:t>
            </w:r>
            <w:r>
              <w:rPr>
                <w:rFonts w:hint="eastAsia" w:ascii="宋体" w:hAnsi="宋体"/>
                <w:b/>
                <w:color w:val="auto"/>
                <w:szCs w:val="21"/>
                <w:highlight w:val="none"/>
                <w:lang w:val="en-US" w:eastAsia="zh-CN"/>
              </w:rPr>
              <w:t>50</w:t>
            </w:r>
            <w:r>
              <w:rPr>
                <w:rFonts w:hint="eastAsia" w:ascii="宋体" w:hAnsi="宋体"/>
                <w:b/>
                <w:color w:val="auto"/>
                <w:szCs w:val="21"/>
                <w:highlight w:val="none"/>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1531086C">
            <w:pPr>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1</w:t>
            </w:r>
          </w:p>
        </w:tc>
        <w:tc>
          <w:tcPr>
            <w:tcW w:w="1526" w:type="dxa"/>
            <w:vAlign w:val="center"/>
          </w:tcPr>
          <w:p w14:paraId="151CCA0A">
            <w:pPr>
              <w:spacing w:line="400" w:lineRule="exact"/>
              <w:jc w:val="center"/>
              <w:rPr>
                <w:rFonts w:ascii="宋体" w:hAnsi="宋体"/>
                <w:color w:val="auto"/>
                <w:szCs w:val="21"/>
                <w:highlight w:val="none"/>
              </w:rPr>
            </w:pPr>
            <w:r>
              <w:rPr>
                <w:rFonts w:hint="eastAsia" w:ascii="宋体" w:hAnsi="宋体" w:eastAsia="宋体"/>
                <w:bCs/>
                <w:color w:val="auto"/>
                <w:szCs w:val="21"/>
                <w:highlight w:val="none"/>
                <w:lang w:val="en-US" w:eastAsia="zh-CN"/>
              </w:rPr>
              <w:t>总体服务方案</w:t>
            </w:r>
          </w:p>
        </w:tc>
        <w:tc>
          <w:tcPr>
            <w:tcW w:w="999" w:type="dxa"/>
            <w:gridSpan w:val="2"/>
            <w:vAlign w:val="center"/>
          </w:tcPr>
          <w:p w14:paraId="0C7F9AF5">
            <w:pPr>
              <w:widowControl/>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tc>
        <w:tc>
          <w:tcPr>
            <w:tcW w:w="5871" w:type="dxa"/>
            <w:vAlign w:val="center"/>
          </w:tcPr>
          <w:p w14:paraId="43D66F37">
            <w:pPr>
              <w:spacing w:line="400" w:lineRule="exact"/>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根据</w:t>
            </w:r>
            <w:r>
              <w:rPr>
                <w:rFonts w:hint="eastAsia" w:ascii="宋体" w:hAnsi="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lang w:val="en-US" w:eastAsia="zh-CN"/>
              </w:rPr>
              <w:t>针对本项目提供的总体服务方案（包括但不限于：运维服务计划、运维服务工作流程与制度、设备管理方案等）进行评审：</w:t>
            </w:r>
          </w:p>
          <w:p w14:paraId="6F105678">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1、方案详细全面，针对性强，运维服务计划</w:t>
            </w:r>
            <w:r>
              <w:rPr>
                <w:rFonts w:hint="eastAsia" w:ascii="宋体" w:hAnsi="宋体" w:eastAsia="宋体" w:cs="宋体"/>
                <w:color w:val="auto"/>
                <w:kern w:val="0"/>
                <w:szCs w:val="21"/>
                <w:highlight w:val="none"/>
                <w:lang w:val="en-US" w:eastAsia="zh-CN"/>
              </w:rPr>
              <w:t>科学且可行性强</w:t>
            </w:r>
            <w:r>
              <w:rPr>
                <w:rFonts w:hint="eastAsia" w:ascii="宋体" w:hAnsi="宋体" w:eastAsia="宋体" w:cs="宋体"/>
                <w:color w:val="auto"/>
                <w:kern w:val="0"/>
                <w:szCs w:val="21"/>
                <w:highlight w:val="none"/>
              </w:rPr>
              <w:t>，运维服务工作流程与制度</w:t>
            </w:r>
            <w:r>
              <w:rPr>
                <w:rFonts w:hint="eastAsia" w:ascii="宋体" w:hAnsi="宋体" w:eastAsia="宋体" w:cs="宋体"/>
                <w:color w:val="auto"/>
                <w:kern w:val="0"/>
                <w:szCs w:val="21"/>
                <w:highlight w:val="none"/>
                <w:lang w:val="en-US" w:eastAsia="zh-CN"/>
              </w:rPr>
              <w:t>完整、全面，与采购人现有设备及软件相适应</w:t>
            </w:r>
            <w:r>
              <w:rPr>
                <w:rFonts w:hint="eastAsia" w:ascii="宋体" w:hAnsi="宋体" w:eastAsia="宋体" w:cs="宋体"/>
                <w:color w:val="auto"/>
                <w:kern w:val="0"/>
                <w:szCs w:val="21"/>
                <w:highlight w:val="none"/>
              </w:rPr>
              <w:t>，设备管理方案</w:t>
            </w:r>
            <w:r>
              <w:rPr>
                <w:rFonts w:hint="eastAsia" w:ascii="宋体" w:hAnsi="宋体" w:eastAsia="宋体" w:cs="宋体"/>
                <w:color w:val="auto"/>
                <w:kern w:val="0"/>
                <w:szCs w:val="21"/>
                <w:highlight w:val="none"/>
                <w:lang w:val="en-US" w:eastAsia="zh-CN"/>
              </w:rPr>
              <w:t>针对性强</w:t>
            </w:r>
            <w:r>
              <w:rPr>
                <w:rFonts w:hint="eastAsia" w:ascii="宋体" w:hAnsi="宋体" w:eastAsia="宋体" w:cs="宋体"/>
                <w:color w:val="auto"/>
                <w:kern w:val="0"/>
                <w:szCs w:val="21"/>
                <w:highlight w:val="none"/>
              </w:rPr>
              <w:t>，</w:t>
            </w:r>
            <w:r>
              <w:rPr>
                <w:rFonts w:hint="eastAsia" w:ascii="宋体" w:hAnsi="宋体" w:eastAsia="宋体"/>
                <w:color w:val="auto"/>
                <w:szCs w:val="21"/>
                <w:highlight w:val="none"/>
                <w:lang w:val="en-US" w:eastAsia="zh-CN"/>
              </w:rPr>
              <w:t>完全满足采购需求要求的，</w:t>
            </w:r>
            <w:r>
              <w:rPr>
                <w:rFonts w:hint="eastAsia" w:ascii="宋体" w:hAnsi="宋体" w:eastAsia="宋体" w:cs="宋体"/>
                <w:color w:val="auto"/>
                <w:kern w:val="0"/>
                <w:szCs w:val="21"/>
                <w:highlight w:val="none"/>
              </w:rPr>
              <w:t>得1</w:t>
            </w:r>
            <w:r>
              <w:rPr>
                <w:rFonts w:hint="eastAsia" w:ascii="宋体" w:hAnsi="宋体" w:cs="宋体"/>
                <w:color w:val="auto"/>
                <w:kern w:val="0"/>
                <w:szCs w:val="21"/>
                <w:highlight w:val="none"/>
                <w:lang w:val="en-US" w:eastAsia="zh-CN"/>
              </w:rPr>
              <w:t>0</w:t>
            </w:r>
            <w:r>
              <w:rPr>
                <w:rFonts w:hint="eastAsia" w:ascii="宋体" w:hAnsi="宋体" w:eastAsia="宋体" w:cs="宋体"/>
                <w:color w:val="auto"/>
                <w:kern w:val="0"/>
                <w:szCs w:val="21"/>
                <w:highlight w:val="none"/>
              </w:rPr>
              <w:t>分；</w:t>
            </w:r>
          </w:p>
          <w:p w14:paraId="1C5749B6">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2、方案详细全面，运维服务计划</w:t>
            </w:r>
            <w:r>
              <w:rPr>
                <w:rFonts w:hint="eastAsia" w:ascii="宋体" w:hAnsi="宋体" w:eastAsia="宋体" w:cs="宋体"/>
                <w:color w:val="auto"/>
                <w:kern w:val="0"/>
                <w:szCs w:val="21"/>
                <w:highlight w:val="none"/>
                <w:lang w:val="en-US" w:eastAsia="zh-CN"/>
              </w:rPr>
              <w:t>可行性强</w:t>
            </w:r>
            <w:r>
              <w:rPr>
                <w:rFonts w:hint="eastAsia" w:ascii="宋体" w:hAnsi="宋体" w:eastAsia="宋体" w:cs="宋体"/>
                <w:color w:val="auto"/>
                <w:kern w:val="0"/>
                <w:szCs w:val="21"/>
                <w:highlight w:val="none"/>
              </w:rPr>
              <w:t>，运维服务工作流程与制度</w:t>
            </w:r>
            <w:r>
              <w:rPr>
                <w:rFonts w:hint="eastAsia" w:ascii="宋体" w:hAnsi="宋体" w:eastAsia="宋体" w:cs="宋体"/>
                <w:color w:val="auto"/>
                <w:kern w:val="0"/>
                <w:szCs w:val="21"/>
                <w:highlight w:val="none"/>
                <w:lang w:val="en-US" w:eastAsia="zh-CN"/>
              </w:rPr>
              <w:t>完整、全面，</w:t>
            </w:r>
            <w:r>
              <w:rPr>
                <w:rFonts w:hint="eastAsia" w:ascii="宋体" w:hAnsi="宋体" w:eastAsia="宋体" w:cs="宋体"/>
                <w:color w:val="auto"/>
                <w:kern w:val="0"/>
                <w:szCs w:val="21"/>
                <w:highlight w:val="none"/>
              </w:rPr>
              <w:t>设备管理方案</w:t>
            </w:r>
            <w:r>
              <w:rPr>
                <w:rFonts w:hint="eastAsia" w:ascii="宋体" w:hAnsi="宋体" w:eastAsia="宋体" w:cs="宋体"/>
                <w:color w:val="auto"/>
                <w:kern w:val="0"/>
                <w:szCs w:val="21"/>
                <w:highlight w:val="none"/>
                <w:lang w:val="en-US" w:eastAsia="zh-CN"/>
              </w:rPr>
              <w:t>针对性较强</w:t>
            </w:r>
            <w:r>
              <w:rPr>
                <w:rFonts w:hint="eastAsia" w:ascii="宋体" w:hAnsi="宋体" w:eastAsia="宋体" w:cs="宋体"/>
                <w:color w:val="auto"/>
                <w:kern w:val="0"/>
                <w:szCs w:val="21"/>
                <w:highlight w:val="none"/>
              </w:rPr>
              <w:t>，</w:t>
            </w:r>
            <w:r>
              <w:rPr>
                <w:rFonts w:hint="eastAsia" w:ascii="宋体" w:hAnsi="宋体" w:eastAsia="宋体"/>
                <w:color w:val="auto"/>
                <w:szCs w:val="21"/>
                <w:highlight w:val="none"/>
                <w:lang w:val="en-US" w:eastAsia="zh-CN"/>
              </w:rPr>
              <w:t>符合采购需求要求的，</w:t>
            </w:r>
            <w:r>
              <w:rPr>
                <w:rFonts w:hint="eastAsia" w:ascii="宋体" w:hAnsi="宋体" w:eastAsia="宋体" w:cs="宋体"/>
                <w:color w:val="auto"/>
                <w:kern w:val="0"/>
                <w:szCs w:val="21"/>
                <w:highlight w:val="none"/>
              </w:rPr>
              <w:t>得</w:t>
            </w:r>
            <w:r>
              <w:rPr>
                <w:rFonts w:hint="eastAsia" w:ascii="宋体" w:hAnsi="宋体" w:cs="宋体"/>
                <w:color w:val="auto"/>
                <w:kern w:val="0"/>
                <w:szCs w:val="21"/>
                <w:highlight w:val="none"/>
                <w:lang w:val="en-US" w:eastAsia="zh-CN"/>
              </w:rPr>
              <w:t>7</w:t>
            </w:r>
            <w:r>
              <w:rPr>
                <w:rFonts w:hint="eastAsia" w:ascii="宋体" w:hAnsi="宋体" w:eastAsia="宋体" w:cs="宋体"/>
                <w:color w:val="auto"/>
                <w:kern w:val="0"/>
                <w:szCs w:val="21"/>
                <w:highlight w:val="none"/>
              </w:rPr>
              <w:t>分；</w:t>
            </w:r>
          </w:p>
          <w:p w14:paraId="4D66C90A">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3、方案</w:t>
            </w:r>
            <w:r>
              <w:rPr>
                <w:rFonts w:hint="eastAsia" w:ascii="宋体" w:hAnsi="宋体" w:eastAsia="宋体" w:cs="宋体"/>
                <w:color w:val="auto"/>
                <w:kern w:val="0"/>
                <w:szCs w:val="21"/>
                <w:highlight w:val="none"/>
                <w:lang w:val="en-US" w:eastAsia="zh-CN"/>
              </w:rPr>
              <w:t>较为</w:t>
            </w:r>
            <w:r>
              <w:rPr>
                <w:rFonts w:hint="eastAsia" w:ascii="宋体" w:hAnsi="宋体" w:eastAsia="宋体" w:cs="宋体"/>
                <w:color w:val="auto"/>
                <w:kern w:val="0"/>
                <w:szCs w:val="21"/>
                <w:highlight w:val="none"/>
              </w:rPr>
              <w:t>全面，运维服务计划</w:t>
            </w:r>
            <w:r>
              <w:rPr>
                <w:rFonts w:hint="eastAsia" w:ascii="宋体" w:hAnsi="宋体" w:eastAsia="宋体" w:cs="宋体"/>
                <w:color w:val="auto"/>
                <w:kern w:val="0"/>
                <w:szCs w:val="21"/>
                <w:highlight w:val="none"/>
                <w:lang w:val="en-US" w:eastAsia="zh-CN"/>
              </w:rPr>
              <w:t>具有可行性</w:t>
            </w:r>
            <w:r>
              <w:rPr>
                <w:rFonts w:hint="eastAsia" w:ascii="宋体" w:hAnsi="宋体" w:eastAsia="宋体" w:cs="宋体"/>
                <w:color w:val="auto"/>
                <w:kern w:val="0"/>
                <w:szCs w:val="21"/>
                <w:highlight w:val="none"/>
              </w:rPr>
              <w:t>，运维服务工作流程与制度</w:t>
            </w:r>
            <w:r>
              <w:rPr>
                <w:rFonts w:hint="eastAsia" w:ascii="宋体" w:hAnsi="宋体" w:eastAsia="宋体" w:cs="宋体"/>
                <w:color w:val="auto"/>
                <w:kern w:val="0"/>
                <w:szCs w:val="21"/>
                <w:highlight w:val="none"/>
                <w:lang w:val="en-US" w:eastAsia="zh-CN"/>
              </w:rPr>
              <w:t>基本完整，</w:t>
            </w:r>
            <w:r>
              <w:rPr>
                <w:rFonts w:hint="eastAsia" w:ascii="宋体" w:hAnsi="宋体" w:eastAsia="宋体" w:cs="宋体"/>
                <w:color w:val="auto"/>
                <w:kern w:val="0"/>
                <w:szCs w:val="21"/>
                <w:highlight w:val="none"/>
              </w:rPr>
              <w:t>设备管理方案</w:t>
            </w:r>
            <w:r>
              <w:rPr>
                <w:rFonts w:hint="eastAsia" w:ascii="宋体" w:hAnsi="宋体" w:eastAsia="宋体" w:cs="宋体"/>
                <w:color w:val="auto"/>
                <w:kern w:val="0"/>
                <w:szCs w:val="21"/>
                <w:highlight w:val="none"/>
                <w:lang w:val="en-US" w:eastAsia="zh-CN"/>
              </w:rPr>
              <w:t>有一定针对性</w:t>
            </w:r>
            <w:r>
              <w:rPr>
                <w:rFonts w:hint="eastAsia" w:ascii="宋体" w:hAnsi="宋体" w:eastAsia="宋体" w:cs="宋体"/>
                <w:color w:val="auto"/>
                <w:kern w:val="0"/>
                <w:szCs w:val="21"/>
                <w:highlight w:val="none"/>
              </w:rPr>
              <w:t>，</w:t>
            </w:r>
            <w:r>
              <w:rPr>
                <w:rFonts w:hint="eastAsia" w:ascii="宋体" w:hAnsi="宋体" w:eastAsia="宋体"/>
                <w:color w:val="auto"/>
                <w:szCs w:val="21"/>
                <w:highlight w:val="none"/>
                <w:lang w:val="en-US" w:eastAsia="zh-CN"/>
              </w:rPr>
              <w:t>基本满足采购需求要求的，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分；</w:t>
            </w:r>
          </w:p>
          <w:p w14:paraId="06EECF4C">
            <w:pPr>
              <w:spacing w:line="400" w:lineRule="exac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方案</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全面，运维服务计划</w:t>
            </w:r>
            <w:r>
              <w:rPr>
                <w:rFonts w:hint="eastAsia" w:ascii="宋体" w:hAnsi="宋体" w:eastAsia="宋体" w:cs="宋体"/>
                <w:color w:val="auto"/>
                <w:kern w:val="0"/>
                <w:szCs w:val="21"/>
                <w:highlight w:val="none"/>
                <w:lang w:val="en-US" w:eastAsia="zh-CN"/>
              </w:rPr>
              <w:t>不可行</w:t>
            </w:r>
            <w:r>
              <w:rPr>
                <w:rFonts w:hint="eastAsia" w:ascii="宋体" w:hAnsi="宋体" w:eastAsia="宋体" w:cs="宋体"/>
                <w:color w:val="auto"/>
                <w:kern w:val="0"/>
                <w:szCs w:val="21"/>
                <w:highlight w:val="none"/>
              </w:rPr>
              <w:t>，运维服务工作流程与制度</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设备管理方案</w:t>
            </w:r>
            <w:r>
              <w:rPr>
                <w:rFonts w:hint="eastAsia" w:ascii="宋体" w:hAnsi="宋体" w:eastAsia="宋体" w:cs="宋体"/>
                <w:color w:val="auto"/>
                <w:kern w:val="0"/>
                <w:szCs w:val="21"/>
                <w:highlight w:val="none"/>
                <w:lang w:val="en-US" w:eastAsia="zh-CN"/>
              </w:rPr>
              <w:t>不具有针对性</w:t>
            </w:r>
            <w:r>
              <w:rPr>
                <w:rFonts w:hint="eastAsia" w:ascii="宋体" w:hAnsi="宋体" w:eastAsia="宋体" w:cs="宋体"/>
                <w:color w:val="auto"/>
                <w:kern w:val="0"/>
                <w:szCs w:val="21"/>
                <w:highlight w:val="none"/>
              </w:rPr>
              <w:t>，</w:t>
            </w:r>
            <w:r>
              <w:rPr>
                <w:rFonts w:hint="eastAsia" w:ascii="宋体" w:hAnsi="宋体" w:eastAsia="宋体"/>
                <w:color w:val="auto"/>
                <w:szCs w:val="21"/>
                <w:highlight w:val="none"/>
                <w:lang w:val="en-US" w:eastAsia="zh-CN"/>
              </w:rPr>
              <w:t>难以满足采购需求要求的，</w:t>
            </w:r>
            <w:r>
              <w:rPr>
                <w:rFonts w:hint="eastAsia" w:ascii="宋体" w:hAnsi="宋体" w:eastAsia="宋体" w:cs="宋体"/>
                <w:color w:val="auto"/>
                <w:kern w:val="0"/>
                <w:szCs w:val="21"/>
                <w:highlight w:val="none"/>
              </w:rPr>
              <w:t>得</w:t>
            </w: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rPr>
              <w:t>分；</w:t>
            </w:r>
          </w:p>
          <w:p w14:paraId="273C4B54">
            <w:pPr>
              <w:spacing w:line="400" w:lineRule="exact"/>
              <w:rPr>
                <w:rFonts w:ascii="宋体" w:hAnsi="宋体"/>
                <w:color w:val="auto"/>
                <w:szCs w:val="21"/>
                <w:highlight w:val="none"/>
              </w:rPr>
            </w:pPr>
            <w:r>
              <w:rPr>
                <w:rFonts w:hint="eastAsia" w:ascii="宋体" w:hAnsi="宋体" w:eastAsia="宋体" w:cs="宋体"/>
                <w:color w:val="auto"/>
                <w:kern w:val="0"/>
                <w:szCs w:val="21"/>
                <w:highlight w:val="none"/>
                <w:lang w:val="en-US" w:eastAsia="zh-CN"/>
              </w:rPr>
              <w:t>5、</w:t>
            </w:r>
            <w:r>
              <w:rPr>
                <w:rFonts w:hint="eastAsia" w:ascii="宋体" w:hAnsi="宋体" w:eastAsia="宋体"/>
                <w:color w:val="auto"/>
                <w:szCs w:val="21"/>
                <w:highlight w:val="none"/>
                <w:lang w:val="en-US" w:eastAsia="zh-CN"/>
              </w:rPr>
              <w:t>未提供对应方案</w:t>
            </w:r>
            <w:r>
              <w:rPr>
                <w:rFonts w:hint="eastAsia" w:ascii="宋体" w:hAnsi="宋体" w:eastAsia="宋体"/>
                <w:color w:val="auto"/>
                <w:szCs w:val="21"/>
                <w:highlight w:val="none"/>
              </w:rPr>
              <w:t>或其它情况</w:t>
            </w:r>
            <w:r>
              <w:rPr>
                <w:rFonts w:hint="eastAsia" w:ascii="宋体" w:hAnsi="宋体" w:eastAsia="宋体"/>
                <w:color w:val="auto"/>
                <w:szCs w:val="21"/>
                <w:highlight w:val="none"/>
                <w:lang w:val="en-US" w:eastAsia="zh-CN"/>
              </w:rPr>
              <w:t>的，</w:t>
            </w:r>
            <w:r>
              <w:rPr>
                <w:rFonts w:hint="eastAsia" w:ascii="宋体" w:hAnsi="宋体" w:eastAsia="宋体"/>
                <w:color w:val="auto"/>
                <w:szCs w:val="21"/>
                <w:highlight w:val="none"/>
              </w:rPr>
              <w:t>得</w:t>
            </w:r>
            <w:r>
              <w:rPr>
                <w:rFonts w:hint="eastAsia" w:ascii="宋体" w:hAnsi="宋体" w:eastAsia="宋体"/>
                <w:color w:val="auto"/>
                <w:szCs w:val="21"/>
                <w:highlight w:val="none"/>
                <w:lang w:val="en-US" w:eastAsia="zh-CN"/>
              </w:rPr>
              <w:t>0</w:t>
            </w:r>
            <w:r>
              <w:rPr>
                <w:rFonts w:hint="eastAsia" w:ascii="宋体" w:hAnsi="宋体" w:eastAsia="宋体"/>
                <w:color w:val="auto"/>
                <w:szCs w:val="21"/>
                <w:highlight w:val="none"/>
              </w:rPr>
              <w:t>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787D74F6">
            <w:pPr>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2</w:t>
            </w:r>
          </w:p>
        </w:tc>
        <w:tc>
          <w:tcPr>
            <w:tcW w:w="1526" w:type="dxa"/>
            <w:vAlign w:val="center"/>
          </w:tcPr>
          <w:p w14:paraId="7FFCED56">
            <w:pPr>
              <w:spacing w:line="400" w:lineRule="exact"/>
              <w:jc w:val="center"/>
              <w:rPr>
                <w:rFonts w:ascii="宋体" w:hAnsi="宋体"/>
                <w:bCs/>
                <w:color w:val="auto"/>
                <w:szCs w:val="21"/>
                <w:highlight w:val="none"/>
              </w:rPr>
            </w:pPr>
            <w:r>
              <w:rPr>
                <w:rFonts w:hint="eastAsia" w:ascii="宋体" w:hAnsi="宋体" w:eastAsia="宋体"/>
                <w:bCs/>
                <w:color w:val="auto"/>
                <w:szCs w:val="21"/>
                <w:highlight w:val="none"/>
                <w:lang w:val="en-US" w:eastAsia="zh-CN"/>
              </w:rPr>
              <w:t>服务质量保障方案</w:t>
            </w:r>
          </w:p>
        </w:tc>
        <w:tc>
          <w:tcPr>
            <w:tcW w:w="999" w:type="dxa"/>
            <w:gridSpan w:val="2"/>
            <w:vAlign w:val="center"/>
          </w:tcPr>
          <w:p w14:paraId="2529F2B5">
            <w:pPr>
              <w:widowControl/>
              <w:spacing w:line="400" w:lineRule="exact"/>
              <w:jc w:val="center"/>
              <w:rPr>
                <w:rFonts w:ascii="宋体" w:hAnsi="宋体"/>
                <w:bCs/>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tc>
        <w:tc>
          <w:tcPr>
            <w:tcW w:w="5871" w:type="dxa"/>
            <w:vAlign w:val="center"/>
          </w:tcPr>
          <w:p w14:paraId="1C534D2F">
            <w:pPr>
              <w:spacing w:line="400" w:lineRule="exact"/>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根据</w:t>
            </w:r>
            <w:r>
              <w:rPr>
                <w:rFonts w:hint="eastAsia" w:ascii="宋体" w:hAnsi="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lang w:val="en-US" w:eastAsia="zh-CN"/>
              </w:rPr>
              <w:t>为本项目提供的服务质量保障方案（包括但不限于：项目管理方案、服务质量自检方案、服务人员考核方案等）进行评审：</w:t>
            </w:r>
          </w:p>
          <w:p w14:paraId="3452CC3D">
            <w:pPr>
              <w:spacing w:line="400" w:lineRule="exac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1、</w:t>
            </w:r>
            <w:r>
              <w:rPr>
                <w:rFonts w:hint="eastAsia" w:ascii="宋体" w:hAnsi="宋体" w:cs="宋体"/>
                <w:b w:val="0"/>
                <w:bCs w:val="0"/>
                <w:color w:val="auto"/>
                <w:kern w:val="0"/>
                <w:szCs w:val="21"/>
                <w:highlight w:val="none"/>
                <w:lang w:val="en-US" w:eastAsia="zh-CN"/>
              </w:rPr>
              <w:t>供应商</w:t>
            </w:r>
            <w:r>
              <w:rPr>
                <w:rFonts w:hint="eastAsia" w:ascii="宋体" w:hAnsi="宋体" w:eastAsia="宋体" w:cs="宋体"/>
                <w:b w:val="0"/>
                <w:bCs w:val="0"/>
                <w:color w:val="auto"/>
                <w:kern w:val="0"/>
                <w:szCs w:val="21"/>
                <w:highlight w:val="none"/>
                <w:lang w:val="en-US" w:eastAsia="zh-CN"/>
              </w:rPr>
              <w:t>提供了全面科学的项目管理方案，对服务各环节质量有严格的自检和把控措施，对投入项目的服务人员针对其工作内容制定了严谨、合理的考核方案，能完全满足采购需求要求的，得</w:t>
            </w:r>
            <w:r>
              <w:rPr>
                <w:rFonts w:hint="eastAsia" w:ascii="宋体" w:hAnsi="宋体" w:cs="宋体"/>
                <w:b w:val="0"/>
                <w:bCs w:val="0"/>
                <w:color w:val="auto"/>
                <w:kern w:val="0"/>
                <w:szCs w:val="21"/>
                <w:highlight w:val="none"/>
                <w:lang w:val="en-US" w:eastAsia="zh-CN"/>
              </w:rPr>
              <w:t>10</w:t>
            </w:r>
            <w:r>
              <w:rPr>
                <w:rFonts w:hint="eastAsia" w:ascii="宋体" w:hAnsi="宋体" w:eastAsia="宋体" w:cs="宋体"/>
                <w:b w:val="0"/>
                <w:bCs w:val="0"/>
                <w:color w:val="auto"/>
                <w:kern w:val="0"/>
                <w:szCs w:val="21"/>
                <w:highlight w:val="none"/>
                <w:lang w:val="en-US" w:eastAsia="zh-CN"/>
              </w:rPr>
              <w:t>分；</w:t>
            </w:r>
          </w:p>
          <w:p w14:paraId="5F53FAB3">
            <w:pPr>
              <w:spacing w:line="400" w:lineRule="exac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2、</w:t>
            </w:r>
            <w:r>
              <w:rPr>
                <w:rFonts w:hint="eastAsia" w:ascii="宋体" w:hAnsi="宋体" w:cs="宋体"/>
                <w:b w:val="0"/>
                <w:bCs w:val="0"/>
                <w:color w:val="auto"/>
                <w:kern w:val="0"/>
                <w:szCs w:val="21"/>
                <w:highlight w:val="none"/>
                <w:lang w:val="en-US" w:eastAsia="zh-CN"/>
              </w:rPr>
              <w:t>供应商</w:t>
            </w:r>
            <w:r>
              <w:rPr>
                <w:rFonts w:hint="eastAsia" w:ascii="宋体" w:hAnsi="宋体" w:eastAsia="宋体" w:cs="宋体"/>
                <w:b w:val="0"/>
                <w:bCs w:val="0"/>
                <w:color w:val="auto"/>
                <w:kern w:val="0"/>
                <w:szCs w:val="21"/>
                <w:highlight w:val="none"/>
                <w:lang w:val="en-US" w:eastAsia="zh-CN"/>
              </w:rPr>
              <w:t>提供了全面的项目管理方案，对服务各环节质量有较为严格的自检和把控措施，对投入项目的服务人员针对其工作内容制定了合理的考核方案，能满足采购需求要求的，得</w:t>
            </w:r>
            <w:r>
              <w:rPr>
                <w:rFonts w:hint="eastAsia" w:ascii="宋体" w:hAnsi="宋体" w:cs="宋体"/>
                <w:b w:val="0"/>
                <w:bCs w:val="0"/>
                <w:color w:val="auto"/>
                <w:kern w:val="0"/>
                <w:szCs w:val="21"/>
                <w:highlight w:val="none"/>
                <w:lang w:val="en-US" w:eastAsia="zh-CN"/>
              </w:rPr>
              <w:t>7</w:t>
            </w:r>
            <w:r>
              <w:rPr>
                <w:rFonts w:hint="eastAsia" w:ascii="宋体" w:hAnsi="宋体" w:eastAsia="宋体" w:cs="宋体"/>
                <w:b w:val="0"/>
                <w:bCs w:val="0"/>
                <w:color w:val="auto"/>
                <w:kern w:val="0"/>
                <w:szCs w:val="21"/>
                <w:highlight w:val="none"/>
                <w:lang w:val="en-US" w:eastAsia="zh-CN"/>
              </w:rPr>
              <w:t>分；</w:t>
            </w:r>
          </w:p>
          <w:p w14:paraId="01D1C619">
            <w:pPr>
              <w:spacing w:line="400" w:lineRule="exac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3、</w:t>
            </w:r>
            <w:r>
              <w:rPr>
                <w:rFonts w:hint="eastAsia" w:ascii="宋体" w:hAnsi="宋体" w:cs="宋体"/>
                <w:b w:val="0"/>
                <w:bCs w:val="0"/>
                <w:color w:val="auto"/>
                <w:kern w:val="0"/>
                <w:szCs w:val="21"/>
                <w:highlight w:val="none"/>
                <w:lang w:val="en-US" w:eastAsia="zh-CN"/>
              </w:rPr>
              <w:t>供应商</w:t>
            </w:r>
            <w:r>
              <w:rPr>
                <w:rFonts w:hint="eastAsia" w:ascii="宋体" w:hAnsi="宋体" w:eastAsia="宋体" w:cs="宋体"/>
                <w:b w:val="0"/>
                <w:bCs w:val="0"/>
                <w:color w:val="auto"/>
                <w:kern w:val="0"/>
                <w:szCs w:val="21"/>
                <w:highlight w:val="none"/>
                <w:lang w:val="en-US" w:eastAsia="zh-CN"/>
              </w:rPr>
              <w:t>提供了较为全面的项目管理方案，对服务各环节质量有相应的自检和把控措施，对投入项目的服务人员制定了考核方案，基本能满足采购需求要求的，得4分；</w:t>
            </w:r>
          </w:p>
          <w:p w14:paraId="27838EBB">
            <w:pPr>
              <w:spacing w:line="400" w:lineRule="exact"/>
              <w:rPr>
                <w:rFonts w:hint="eastAsia" w:ascii="宋体" w:hAnsi="宋体" w:eastAsia="宋体" w:cs="宋体"/>
                <w:b w:val="0"/>
                <w:bCs w:val="0"/>
                <w:color w:val="auto"/>
                <w:kern w:val="0"/>
                <w:szCs w:val="21"/>
                <w:highlight w:val="none"/>
                <w:lang w:val="en-US" w:eastAsia="zh-CN"/>
              </w:rPr>
            </w:pPr>
            <w:r>
              <w:rPr>
                <w:rFonts w:hint="eastAsia" w:ascii="宋体" w:hAnsi="宋体" w:eastAsia="宋体" w:cs="宋体"/>
                <w:b w:val="0"/>
                <w:bCs w:val="0"/>
                <w:color w:val="auto"/>
                <w:kern w:val="0"/>
                <w:szCs w:val="21"/>
                <w:highlight w:val="none"/>
                <w:lang w:val="en-US" w:eastAsia="zh-CN"/>
              </w:rPr>
              <w:t>4、</w:t>
            </w:r>
            <w:r>
              <w:rPr>
                <w:rFonts w:hint="eastAsia" w:ascii="宋体" w:hAnsi="宋体" w:cs="宋体"/>
                <w:b w:val="0"/>
                <w:bCs w:val="0"/>
                <w:color w:val="auto"/>
                <w:kern w:val="0"/>
                <w:szCs w:val="21"/>
                <w:highlight w:val="none"/>
                <w:lang w:val="en-US" w:eastAsia="zh-CN"/>
              </w:rPr>
              <w:t>供应商</w:t>
            </w:r>
            <w:r>
              <w:rPr>
                <w:rFonts w:hint="eastAsia" w:ascii="宋体" w:hAnsi="宋体" w:eastAsia="宋体" w:cs="宋体"/>
                <w:b w:val="0"/>
                <w:bCs w:val="0"/>
                <w:color w:val="auto"/>
                <w:kern w:val="0"/>
                <w:szCs w:val="21"/>
                <w:highlight w:val="none"/>
                <w:lang w:val="en-US" w:eastAsia="zh-CN"/>
              </w:rPr>
              <w:t>提供了粗略的项目管理方案，对服务各环节质量没有相应的自检和把控措施，未制定服务人员考核方案，难以满足采购需求要求的，得1分；</w:t>
            </w:r>
          </w:p>
          <w:p w14:paraId="01C249FA">
            <w:pPr>
              <w:spacing w:line="400" w:lineRule="exact"/>
              <w:rPr>
                <w:rFonts w:ascii="宋体" w:hAnsi="宋体" w:cs="宋体"/>
                <w:color w:val="auto"/>
                <w:kern w:val="0"/>
                <w:szCs w:val="21"/>
                <w:highlight w:val="none"/>
              </w:rPr>
            </w:pPr>
            <w:r>
              <w:rPr>
                <w:rFonts w:hint="eastAsia" w:ascii="宋体" w:hAnsi="宋体" w:eastAsia="宋体" w:cs="宋体"/>
                <w:b w:val="0"/>
                <w:bCs w:val="0"/>
                <w:color w:val="auto"/>
                <w:kern w:val="0"/>
                <w:szCs w:val="21"/>
                <w:highlight w:val="none"/>
                <w:lang w:val="en-US" w:eastAsia="zh-CN"/>
              </w:rPr>
              <w:t>5、未提供对应方案或其他情形的，得0分。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8B3E95D">
            <w:pPr>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3</w:t>
            </w:r>
          </w:p>
        </w:tc>
        <w:tc>
          <w:tcPr>
            <w:tcW w:w="1526" w:type="dxa"/>
            <w:vAlign w:val="center"/>
          </w:tcPr>
          <w:p w14:paraId="790C3800">
            <w:pPr>
              <w:spacing w:line="400" w:lineRule="exact"/>
              <w:jc w:val="center"/>
              <w:rPr>
                <w:rFonts w:ascii="宋体" w:hAnsi="宋体"/>
                <w:bCs/>
                <w:color w:val="auto"/>
                <w:szCs w:val="21"/>
                <w:highlight w:val="none"/>
              </w:rPr>
            </w:pPr>
            <w:r>
              <w:rPr>
                <w:rFonts w:hint="eastAsia" w:ascii="宋体" w:hAnsi="宋体" w:eastAsia="宋体"/>
                <w:bCs/>
                <w:color w:val="auto"/>
                <w:szCs w:val="21"/>
                <w:highlight w:val="none"/>
                <w:lang w:val="en-US" w:eastAsia="zh-CN"/>
              </w:rPr>
              <w:t>服务人员配置方案</w:t>
            </w:r>
          </w:p>
        </w:tc>
        <w:tc>
          <w:tcPr>
            <w:tcW w:w="999" w:type="dxa"/>
            <w:gridSpan w:val="2"/>
            <w:vAlign w:val="center"/>
          </w:tcPr>
          <w:p w14:paraId="64CD4013">
            <w:pPr>
              <w:widowControl/>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tc>
        <w:tc>
          <w:tcPr>
            <w:tcW w:w="5871" w:type="dxa"/>
            <w:vAlign w:val="center"/>
          </w:tcPr>
          <w:p w14:paraId="3AF34FEC">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w:t>
            </w:r>
            <w:r>
              <w:rPr>
                <w:rFonts w:hint="eastAsia" w:ascii="宋体" w:hAnsi="宋体"/>
                <w:b/>
                <w:bCs/>
                <w:color w:val="auto"/>
                <w:szCs w:val="21"/>
                <w:highlight w:val="none"/>
                <w:lang w:eastAsia="zh-CN"/>
              </w:rPr>
              <w:t>供应商</w:t>
            </w:r>
            <w:r>
              <w:rPr>
                <w:rFonts w:hint="eastAsia" w:ascii="宋体" w:hAnsi="宋体" w:eastAsia="宋体"/>
                <w:b/>
                <w:bCs/>
                <w:color w:val="auto"/>
                <w:szCs w:val="21"/>
                <w:highlight w:val="none"/>
              </w:rPr>
              <w:t>针对本项目提供的服务人员配置方案（包括但不限于组织架构、服务人员配备、培训等）进行评审：</w:t>
            </w:r>
          </w:p>
          <w:p w14:paraId="0F2747C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组织架构科学完善，服务人员配备充足且具有丰富的项目经验，针对本项目需求对服务人员制定了成熟的培训制度，能完全满足采购需求要求的，得</w:t>
            </w:r>
            <w:r>
              <w:rPr>
                <w:rFonts w:hint="eastAsia" w:ascii="宋体" w:hAnsi="宋体"/>
                <w:color w:val="auto"/>
                <w:szCs w:val="21"/>
                <w:highlight w:val="none"/>
                <w:lang w:val="en-US" w:eastAsia="zh-CN"/>
              </w:rPr>
              <w:t>10</w:t>
            </w:r>
            <w:r>
              <w:rPr>
                <w:rFonts w:hint="eastAsia" w:ascii="宋体" w:hAnsi="宋体" w:eastAsia="宋体"/>
                <w:color w:val="auto"/>
                <w:szCs w:val="21"/>
                <w:highlight w:val="none"/>
              </w:rPr>
              <w:t>分；</w:t>
            </w:r>
          </w:p>
          <w:p w14:paraId="2A44F22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组织架构完善，服务人员配备充足且具有一定的项目经验，对服务人员制定了成熟的培训制度，能满足采购需求要求的，得</w:t>
            </w:r>
            <w:r>
              <w:rPr>
                <w:rFonts w:hint="eastAsia" w:ascii="宋体" w:hAnsi="宋体"/>
                <w:color w:val="auto"/>
                <w:szCs w:val="21"/>
                <w:highlight w:val="none"/>
                <w:lang w:val="en-US" w:eastAsia="zh-CN"/>
              </w:rPr>
              <w:t>7</w:t>
            </w:r>
            <w:r>
              <w:rPr>
                <w:rFonts w:hint="eastAsia" w:ascii="宋体" w:hAnsi="宋体" w:eastAsia="宋体"/>
                <w:color w:val="auto"/>
                <w:szCs w:val="21"/>
                <w:highlight w:val="none"/>
              </w:rPr>
              <w:t>分；</w:t>
            </w:r>
          </w:p>
          <w:p w14:paraId="30EF0DC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组织架构基本完善，服务人员配备充足，对服务人员制定了培训制度，基本能满足采购需求要求的，得4分；</w:t>
            </w:r>
          </w:p>
          <w:p w14:paraId="2C7A40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组织架构一般，服务人员配备不充足，难以满足采购需求要求的，得1分；</w:t>
            </w:r>
          </w:p>
          <w:p w14:paraId="5E2E4EEE">
            <w:pPr>
              <w:spacing w:line="400" w:lineRule="exact"/>
              <w:rPr>
                <w:rFonts w:ascii="宋体" w:hAnsi="宋体"/>
                <w:color w:val="auto"/>
                <w:szCs w:val="21"/>
                <w:highlight w:val="none"/>
              </w:rPr>
            </w:pPr>
            <w:r>
              <w:rPr>
                <w:rFonts w:hint="eastAsia" w:ascii="宋体" w:hAnsi="宋体" w:eastAsia="宋体"/>
                <w:color w:val="auto"/>
                <w:szCs w:val="21"/>
                <w:highlight w:val="none"/>
              </w:rPr>
              <w:t>5、未提供对应方案或其他情形的，得0分。</w:t>
            </w:r>
          </w:p>
        </w:tc>
      </w:tr>
      <w:tr w14:paraId="5ED1E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33F9FC41">
            <w:pPr>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4</w:t>
            </w:r>
          </w:p>
        </w:tc>
        <w:tc>
          <w:tcPr>
            <w:tcW w:w="1526" w:type="dxa"/>
            <w:vAlign w:val="center"/>
          </w:tcPr>
          <w:p w14:paraId="324412FA">
            <w:pPr>
              <w:spacing w:line="400" w:lineRule="exact"/>
              <w:jc w:val="center"/>
              <w:rPr>
                <w:rFonts w:ascii="宋体" w:hAnsi="宋体"/>
                <w:bCs/>
                <w:color w:val="auto"/>
                <w:szCs w:val="21"/>
                <w:highlight w:val="none"/>
              </w:rPr>
            </w:pPr>
            <w:r>
              <w:rPr>
                <w:rFonts w:hint="eastAsia" w:ascii="宋体" w:hAnsi="宋体" w:eastAsia="宋体"/>
                <w:bCs/>
                <w:color w:val="auto"/>
                <w:szCs w:val="21"/>
                <w:highlight w:val="none"/>
              </w:rPr>
              <w:t>故障排除及应急方案</w:t>
            </w:r>
          </w:p>
        </w:tc>
        <w:tc>
          <w:tcPr>
            <w:tcW w:w="999" w:type="dxa"/>
            <w:gridSpan w:val="2"/>
            <w:vAlign w:val="center"/>
          </w:tcPr>
          <w:p w14:paraId="50DBCE32">
            <w:pPr>
              <w:widowControl/>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tc>
        <w:tc>
          <w:tcPr>
            <w:tcW w:w="5871" w:type="dxa"/>
            <w:vAlign w:val="center"/>
          </w:tcPr>
          <w:p w14:paraId="4A66F481">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w:t>
            </w:r>
            <w:r>
              <w:rPr>
                <w:rFonts w:hint="eastAsia" w:ascii="宋体" w:hAnsi="宋体"/>
                <w:b/>
                <w:bCs/>
                <w:color w:val="auto"/>
                <w:szCs w:val="21"/>
                <w:highlight w:val="none"/>
                <w:lang w:eastAsia="zh-CN"/>
              </w:rPr>
              <w:t>供应商</w:t>
            </w:r>
            <w:r>
              <w:rPr>
                <w:rFonts w:hint="eastAsia" w:ascii="宋体" w:hAnsi="宋体" w:eastAsia="宋体"/>
                <w:b/>
                <w:bCs/>
                <w:color w:val="auto"/>
                <w:szCs w:val="21"/>
                <w:highlight w:val="none"/>
              </w:rPr>
              <w:t>对本项目的故障排除及应急方案（包括不限于服务承诺、</w:t>
            </w:r>
            <w:r>
              <w:rPr>
                <w:rFonts w:hint="eastAsia" w:ascii="宋体" w:hAnsi="宋体" w:eastAsia="宋体"/>
                <w:b/>
                <w:bCs/>
                <w:color w:val="auto"/>
                <w:szCs w:val="21"/>
                <w:highlight w:val="none"/>
                <w:lang w:val="en-US" w:eastAsia="zh-CN"/>
              </w:rPr>
              <w:t>备品</w:t>
            </w:r>
            <w:r>
              <w:rPr>
                <w:rFonts w:hint="eastAsia" w:ascii="宋体" w:hAnsi="宋体" w:eastAsia="宋体"/>
                <w:b/>
                <w:bCs/>
                <w:color w:val="auto"/>
                <w:szCs w:val="21"/>
                <w:highlight w:val="none"/>
              </w:rPr>
              <w:t>备件</w:t>
            </w:r>
            <w:r>
              <w:rPr>
                <w:rFonts w:hint="eastAsia" w:ascii="宋体" w:hAnsi="宋体" w:eastAsia="宋体"/>
                <w:b/>
                <w:bCs/>
                <w:color w:val="auto"/>
                <w:szCs w:val="21"/>
                <w:highlight w:val="none"/>
                <w:lang w:val="en-US" w:eastAsia="zh-CN"/>
              </w:rPr>
              <w:t>方案</w:t>
            </w:r>
            <w:r>
              <w:rPr>
                <w:rFonts w:hint="eastAsia" w:ascii="宋体" w:hAnsi="宋体" w:eastAsia="宋体"/>
                <w:b/>
                <w:bCs/>
                <w:color w:val="auto"/>
                <w:szCs w:val="21"/>
                <w:highlight w:val="none"/>
              </w:rPr>
              <w:t>、应急</w:t>
            </w:r>
            <w:r>
              <w:rPr>
                <w:rFonts w:hint="eastAsia" w:ascii="宋体" w:hAnsi="宋体" w:eastAsia="宋体"/>
                <w:b/>
                <w:bCs/>
                <w:color w:val="auto"/>
                <w:szCs w:val="21"/>
                <w:highlight w:val="none"/>
                <w:lang w:val="en-US" w:eastAsia="zh-CN"/>
              </w:rPr>
              <w:t>预案</w:t>
            </w:r>
            <w:r>
              <w:rPr>
                <w:rFonts w:hint="eastAsia" w:ascii="宋体" w:hAnsi="宋体" w:eastAsia="宋体"/>
                <w:b/>
                <w:bCs/>
                <w:color w:val="auto"/>
                <w:szCs w:val="21"/>
                <w:highlight w:val="none"/>
              </w:rPr>
              <w:t>等）的进行评审：</w:t>
            </w:r>
          </w:p>
          <w:p w14:paraId="578C63B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lang w:val="en-US" w:eastAsia="zh-CN"/>
              </w:rPr>
              <w:t>提供的服务承诺全面且具有针对性，备品备件的储备和调用方案完善、兼容性强，面对突发</w:t>
            </w:r>
            <w:r>
              <w:rPr>
                <w:rFonts w:hint="eastAsia" w:ascii="宋体" w:hAnsi="宋体" w:eastAsia="宋体"/>
                <w:color w:val="auto"/>
                <w:szCs w:val="21"/>
                <w:highlight w:val="none"/>
              </w:rPr>
              <w:t>故障</w:t>
            </w:r>
            <w:r>
              <w:rPr>
                <w:rFonts w:hint="eastAsia" w:ascii="宋体" w:hAnsi="宋体" w:eastAsia="宋体"/>
                <w:color w:val="auto"/>
                <w:szCs w:val="21"/>
                <w:highlight w:val="none"/>
                <w:lang w:val="en-US" w:eastAsia="zh-CN"/>
              </w:rPr>
              <w:t>有科学的排查和应急预案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能</w:t>
            </w:r>
            <w:r>
              <w:rPr>
                <w:rFonts w:hint="eastAsia" w:ascii="宋体" w:hAnsi="宋体" w:eastAsia="宋体"/>
                <w:color w:val="auto"/>
                <w:szCs w:val="21"/>
                <w:highlight w:val="none"/>
              </w:rPr>
              <w:t>完全满足</w:t>
            </w:r>
            <w:r>
              <w:rPr>
                <w:rFonts w:hint="eastAsia" w:ascii="宋体" w:hAnsi="宋体" w:eastAsia="宋体"/>
                <w:color w:val="auto"/>
                <w:szCs w:val="21"/>
                <w:highlight w:val="none"/>
                <w:lang w:val="en-US" w:eastAsia="zh-CN"/>
              </w:rPr>
              <w:t>采购需求</w:t>
            </w:r>
            <w:r>
              <w:rPr>
                <w:rFonts w:hint="eastAsia" w:ascii="宋体" w:hAnsi="宋体" w:eastAsia="宋体"/>
                <w:color w:val="auto"/>
                <w:szCs w:val="21"/>
                <w:highlight w:val="none"/>
              </w:rPr>
              <w:t>要求的，得1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p w14:paraId="42DFB261">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2、</w:t>
            </w: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lang w:val="en-US" w:eastAsia="zh-CN"/>
              </w:rPr>
              <w:t>提供的服务承诺全面，备品备件的储备和调用方案较为完善、兼容性较强，面对突发</w:t>
            </w:r>
            <w:r>
              <w:rPr>
                <w:rFonts w:hint="eastAsia" w:ascii="宋体" w:hAnsi="宋体" w:eastAsia="宋体"/>
                <w:color w:val="auto"/>
                <w:szCs w:val="21"/>
                <w:highlight w:val="none"/>
              </w:rPr>
              <w:t>故障</w:t>
            </w:r>
            <w:r>
              <w:rPr>
                <w:rFonts w:hint="eastAsia" w:ascii="宋体" w:hAnsi="宋体" w:eastAsia="宋体"/>
                <w:color w:val="auto"/>
                <w:szCs w:val="21"/>
                <w:highlight w:val="none"/>
                <w:lang w:val="en-US" w:eastAsia="zh-CN"/>
              </w:rPr>
              <w:t>有较为科学的排查和应急预案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能满足采购需求要求的，</w:t>
            </w:r>
            <w:r>
              <w:rPr>
                <w:rFonts w:hint="eastAsia" w:ascii="宋体" w:hAnsi="宋体" w:eastAsia="宋体"/>
                <w:color w:val="auto"/>
                <w:szCs w:val="21"/>
                <w:highlight w:val="none"/>
              </w:rPr>
              <w:t>得</w:t>
            </w:r>
            <w:r>
              <w:rPr>
                <w:rFonts w:hint="eastAsia" w:ascii="宋体" w:hAnsi="宋体"/>
                <w:color w:val="auto"/>
                <w:szCs w:val="21"/>
                <w:highlight w:val="none"/>
                <w:lang w:val="en-US" w:eastAsia="zh-CN"/>
              </w:rPr>
              <w:t>7</w:t>
            </w:r>
            <w:r>
              <w:rPr>
                <w:rFonts w:hint="eastAsia" w:ascii="宋体" w:hAnsi="宋体" w:eastAsia="宋体"/>
                <w:color w:val="auto"/>
                <w:szCs w:val="21"/>
                <w:highlight w:val="none"/>
              </w:rPr>
              <w:t>分；</w:t>
            </w:r>
          </w:p>
          <w:p w14:paraId="5B83122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3、</w:t>
            </w: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lang w:val="en-US" w:eastAsia="zh-CN"/>
              </w:rPr>
              <w:t>提供的服务承诺一般，备品备件的储备和调用方案完整，面对突发</w:t>
            </w:r>
            <w:r>
              <w:rPr>
                <w:rFonts w:hint="eastAsia" w:ascii="宋体" w:hAnsi="宋体" w:eastAsia="宋体"/>
                <w:color w:val="auto"/>
                <w:szCs w:val="21"/>
                <w:highlight w:val="none"/>
              </w:rPr>
              <w:t>故障</w:t>
            </w:r>
            <w:r>
              <w:rPr>
                <w:rFonts w:hint="eastAsia" w:ascii="宋体" w:hAnsi="宋体" w:eastAsia="宋体"/>
                <w:color w:val="auto"/>
                <w:szCs w:val="21"/>
                <w:highlight w:val="none"/>
                <w:lang w:val="en-US" w:eastAsia="zh-CN"/>
              </w:rPr>
              <w:t>有一定的排查和应急预案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能基本满足采购需求要求的，</w:t>
            </w:r>
            <w:r>
              <w:rPr>
                <w:rFonts w:hint="eastAsia" w:ascii="宋体" w:hAnsi="宋体" w:eastAsia="宋体"/>
                <w:color w:val="auto"/>
                <w:szCs w:val="21"/>
                <w:highlight w:val="none"/>
              </w:rPr>
              <w:t>得4分；</w:t>
            </w:r>
          </w:p>
          <w:p w14:paraId="0443A80D">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4、</w:t>
            </w: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lang w:val="en-US" w:eastAsia="zh-CN"/>
              </w:rPr>
              <w:t>提供的服务承诺不完善，备品备件的储备和调用方案粗略，面对突发</w:t>
            </w:r>
            <w:r>
              <w:rPr>
                <w:rFonts w:hint="eastAsia" w:ascii="宋体" w:hAnsi="宋体" w:eastAsia="宋体"/>
                <w:color w:val="auto"/>
                <w:szCs w:val="21"/>
                <w:highlight w:val="none"/>
              </w:rPr>
              <w:t>故障</w:t>
            </w:r>
            <w:r>
              <w:rPr>
                <w:rFonts w:hint="eastAsia" w:ascii="宋体" w:hAnsi="宋体" w:eastAsia="宋体"/>
                <w:color w:val="auto"/>
                <w:szCs w:val="21"/>
                <w:highlight w:val="none"/>
                <w:lang w:val="en-US" w:eastAsia="zh-CN"/>
              </w:rPr>
              <w:t>未制定排查和应急预案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难以满足采购需求要求的，</w:t>
            </w:r>
            <w:r>
              <w:rPr>
                <w:rFonts w:hint="eastAsia" w:ascii="宋体" w:hAnsi="宋体" w:eastAsia="宋体"/>
                <w:color w:val="auto"/>
                <w:szCs w:val="21"/>
                <w:highlight w:val="none"/>
              </w:rPr>
              <w:t>得1分。</w:t>
            </w:r>
          </w:p>
          <w:p w14:paraId="1775C3FB">
            <w:pPr>
              <w:spacing w:line="400" w:lineRule="exact"/>
              <w:rPr>
                <w:rFonts w:ascii="宋体" w:hAnsi="宋体"/>
                <w:color w:val="auto"/>
                <w:szCs w:val="21"/>
                <w:highlight w:val="none"/>
              </w:rPr>
            </w:pP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未提供对应方案或其他情形的，得0分。</w:t>
            </w:r>
          </w:p>
        </w:tc>
      </w:tr>
      <w:tr w14:paraId="3507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890" w:type="dxa"/>
            <w:vAlign w:val="center"/>
          </w:tcPr>
          <w:p w14:paraId="1CFE2D40">
            <w:pPr>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5</w:t>
            </w:r>
          </w:p>
        </w:tc>
        <w:tc>
          <w:tcPr>
            <w:tcW w:w="1526" w:type="dxa"/>
            <w:vAlign w:val="center"/>
          </w:tcPr>
          <w:p w14:paraId="708EBD39">
            <w:pPr>
              <w:spacing w:line="400" w:lineRule="exact"/>
              <w:jc w:val="center"/>
              <w:rPr>
                <w:rFonts w:ascii="宋体" w:hAnsi="宋体"/>
                <w:bCs/>
                <w:color w:val="auto"/>
                <w:szCs w:val="21"/>
                <w:highlight w:val="none"/>
              </w:rPr>
            </w:pPr>
            <w:r>
              <w:rPr>
                <w:rFonts w:hint="eastAsia" w:ascii="宋体" w:hAnsi="宋体" w:eastAsia="宋体"/>
                <w:bCs/>
                <w:color w:val="auto"/>
                <w:szCs w:val="21"/>
                <w:highlight w:val="none"/>
                <w:lang w:val="en-US" w:eastAsia="zh-CN"/>
              </w:rPr>
              <w:t>重保时期保障</w:t>
            </w:r>
            <w:r>
              <w:rPr>
                <w:rFonts w:hint="eastAsia" w:ascii="宋体" w:hAnsi="宋体" w:eastAsia="宋体"/>
                <w:bCs/>
                <w:color w:val="auto"/>
                <w:szCs w:val="21"/>
                <w:highlight w:val="none"/>
              </w:rPr>
              <w:t>方案</w:t>
            </w:r>
          </w:p>
        </w:tc>
        <w:tc>
          <w:tcPr>
            <w:tcW w:w="999" w:type="dxa"/>
            <w:gridSpan w:val="2"/>
            <w:vAlign w:val="center"/>
          </w:tcPr>
          <w:p w14:paraId="7696DBC5">
            <w:pPr>
              <w:widowControl/>
              <w:spacing w:line="400" w:lineRule="exact"/>
              <w:jc w:val="center"/>
              <w:rPr>
                <w:rFonts w:ascii="宋体" w:hAnsi="宋体"/>
                <w:color w:val="auto"/>
                <w:szCs w:val="21"/>
                <w:highlight w:val="none"/>
              </w:rPr>
            </w:pPr>
            <w:r>
              <w:rPr>
                <w:rFonts w:hint="eastAsia" w:ascii="宋体" w:hAnsi="宋体" w:eastAsia="宋体"/>
                <w:color w:val="auto"/>
                <w:szCs w:val="21"/>
                <w:highlight w:val="none"/>
                <w:lang w:val="en-US" w:eastAsia="zh-CN"/>
              </w:rPr>
              <w:t>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tc>
        <w:tc>
          <w:tcPr>
            <w:tcW w:w="5871" w:type="dxa"/>
            <w:vAlign w:val="center"/>
          </w:tcPr>
          <w:p w14:paraId="253F790F">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w:t>
            </w:r>
            <w:r>
              <w:rPr>
                <w:rFonts w:hint="eastAsia" w:ascii="宋体" w:hAnsi="宋体"/>
                <w:b/>
                <w:bCs/>
                <w:color w:val="auto"/>
                <w:szCs w:val="21"/>
                <w:highlight w:val="none"/>
                <w:lang w:eastAsia="zh-CN"/>
              </w:rPr>
              <w:t>供应商</w:t>
            </w:r>
            <w:r>
              <w:rPr>
                <w:rFonts w:hint="eastAsia" w:ascii="宋体" w:hAnsi="宋体" w:eastAsia="宋体"/>
                <w:b/>
                <w:bCs/>
                <w:color w:val="auto"/>
                <w:szCs w:val="21"/>
                <w:highlight w:val="none"/>
              </w:rPr>
              <w:t>针对本项目提供的项目重保时期保障方案（包括但不限于重保时期</w:t>
            </w:r>
            <w:r>
              <w:rPr>
                <w:rFonts w:hint="eastAsia" w:ascii="宋体" w:hAnsi="宋体" w:eastAsia="宋体"/>
                <w:b/>
                <w:bCs/>
                <w:color w:val="auto"/>
                <w:szCs w:val="21"/>
                <w:highlight w:val="none"/>
                <w:lang w:val="en-US" w:eastAsia="zh-CN"/>
              </w:rPr>
              <w:t>的人员安排和预备方案、技术支撑能力、安全事件预警及处置能力</w:t>
            </w:r>
            <w:r>
              <w:rPr>
                <w:rFonts w:hint="eastAsia" w:ascii="宋体" w:hAnsi="宋体" w:eastAsia="宋体"/>
                <w:b/>
                <w:bCs/>
                <w:color w:val="auto"/>
                <w:szCs w:val="21"/>
                <w:highlight w:val="none"/>
              </w:rPr>
              <w:t>等）进行评审：</w:t>
            </w:r>
          </w:p>
          <w:p w14:paraId="2456F16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针对</w:t>
            </w:r>
            <w:r>
              <w:rPr>
                <w:rFonts w:hint="eastAsia" w:ascii="宋体" w:hAnsi="宋体" w:eastAsia="宋体"/>
                <w:color w:val="auto"/>
                <w:szCs w:val="21"/>
                <w:highlight w:val="none"/>
                <w:lang w:val="en-US" w:eastAsia="zh-CN"/>
              </w:rPr>
              <w:t>重保时期</w:t>
            </w:r>
            <w:r>
              <w:rPr>
                <w:rFonts w:hint="eastAsia" w:ascii="宋体" w:hAnsi="宋体" w:eastAsia="宋体"/>
                <w:color w:val="auto"/>
                <w:szCs w:val="21"/>
                <w:highlight w:val="none"/>
              </w:rPr>
              <w:t>制定了</w:t>
            </w:r>
            <w:r>
              <w:rPr>
                <w:rFonts w:hint="eastAsia" w:ascii="宋体" w:hAnsi="宋体" w:eastAsia="宋体"/>
                <w:color w:val="auto"/>
                <w:szCs w:val="21"/>
                <w:highlight w:val="none"/>
                <w:lang w:val="en-US" w:eastAsia="zh-CN"/>
              </w:rPr>
              <w:t>严谨且充分的人员安排和预备方案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软、硬件技术支撑能力强，有一套高效可行的安全事件预警系统及处置方案</w:t>
            </w:r>
            <w:r>
              <w:rPr>
                <w:rFonts w:hint="eastAsia" w:ascii="宋体" w:hAnsi="宋体" w:eastAsia="宋体"/>
                <w:color w:val="auto"/>
                <w:szCs w:val="21"/>
                <w:highlight w:val="none"/>
              </w:rPr>
              <w:t>，能完全满足采购需求要求的，得1</w:t>
            </w:r>
            <w:r>
              <w:rPr>
                <w:rFonts w:hint="eastAsia" w:ascii="宋体" w:hAnsi="宋体"/>
                <w:color w:val="auto"/>
                <w:szCs w:val="21"/>
                <w:highlight w:val="none"/>
                <w:lang w:val="en-US" w:eastAsia="zh-CN"/>
              </w:rPr>
              <w:t>0</w:t>
            </w:r>
            <w:r>
              <w:rPr>
                <w:rFonts w:hint="eastAsia" w:ascii="宋体" w:hAnsi="宋体" w:eastAsia="宋体"/>
                <w:color w:val="auto"/>
                <w:szCs w:val="21"/>
                <w:highlight w:val="none"/>
              </w:rPr>
              <w:t>分；</w:t>
            </w:r>
          </w:p>
          <w:p w14:paraId="04EA823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针对</w:t>
            </w:r>
            <w:r>
              <w:rPr>
                <w:rFonts w:hint="eastAsia" w:ascii="宋体" w:hAnsi="宋体" w:eastAsia="宋体"/>
                <w:color w:val="auto"/>
                <w:szCs w:val="21"/>
                <w:highlight w:val="none"/>
                <w:lang w:val="en-US" w:eastAsia="zh-CN"/>
              </w:rPr>
              <w:t>重保时期</w:t>
            </w:r>
            <w:r>
              <w:rPr>
                <w:rFonts w:hint="eastAsia" w:ascii="宋体" w:hAnsi="宋体" w:eastAsia="宋体"/>
                <w:color w:val="auto"/>
                <w:szCs w:val="21"/>
                <w:highlight w:val="none"/>
              </w:rPr>
              <w:t>制定了</w:t>
            </w:r>
            <w:r>
              <w:rPr>
                <w:rFonts w:hint="eastAsia" w:ascii="宋体" w:hAnsi="宋体" w:eastAsia="宋体"/>
                <w:color w:val="auto"/>
                <w:szCs w:val="21"/>
                <w:highlight w:val="none"/>
                <w:lang w:val="en-US" w:eastAsia="zh-CN"/>
              </w:rPr>
              <w:t>充分的人员安排和预备方案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软、硬件技术支撑能力较强，有一套可行的安全事件预警系统及处置方案</w:t>
            </w:r>
            <w:r>
              <w:rPr>
                <w:rFonts w:hint="eastAsia" w:ascii="宋体" w:hAnsi="宋体" w:eastAsia="宋体"/>
                <w:color w:val="auto"/>
                <w:szCs w:val="21"/>
                <w:highlight w:val="none"/>
              </w:rPr>
              <w:t>，能满足采购需求要求的，得</w:t>
            </w:r>
            <w:r>
              <w:rPr>
                <w:rFonts w:hint="eastAsia" w:ascii="宋体" w:hAnsi="宋体"/>
                <w:color w:val="auto"/>
                <w:szCs w:val="21"/>
                <w:highlight w:val="none"/>
                <w:lang w:val="en-US" w:eastAsia="zh-CN"/>
              </w:rPr>
              <w:t>7</w:t>
            </w:r>
            <w:r>
              <w:rPr>
                <w:rFonts w:hint="eastAsia" w:ascii="宋体" w:hAnsi="宋体" w:eastAsia="宋体"/>
                <w:color w:val="auto"/>
                <w:szCs w:val="21"/>
                <w:highlight w:val="none"/>
              </w:rPr>
              <w:t>分；</w:t>
            </w:r>
          </w:p>
          <w:p w14:paraId="78A3D74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w:t>
            </w:r>
            <w:r>
              <w:rPr>
                <w:rFonts w:hint="eastAsia" w:ascii="宋体" w:hAnsi="宋体"/>
                <w:color w:val="auto"/>
                <w:szCs w:val="21"/>
                <w:highlight w:val="none"/>
                <w:lang w:eastAsia="zh-CN"/>
              </w:rPr>
              <w:t>供应商</w:t>
            </w:r>
            <w:r>
              <w:rPr>
                <w:rFonts w:hint="eastAsia" w:ascii="宋体" w:hAnsi="宋体" w:eastAsia="宋体"/>
                <w:color w:val="auto"/>
                <w:szCs w:val="21"/>
                <w:highlight w:val="none"/>
              </w:rPr>
              <w:t>制定了</w:t>
            </w:r>
            <w:r>
              <w:rPr>
                <w:rFonts w:hint="eastAsia" w:ascii="宋体" w:hAnsi="宋体" w:eastAsia="宋体"/>
                <w:color w:val="auto"/>
                <w:szCs w:val="21"/>
                <w:highlight w:val="none"/>
                <w:lang w:val="en-US" w:eastAsia="zh-CN"/>
              </w:rPr>
              <w:t>相应的人员安排和预备方案</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软、硬件技术支撑能力一般，制定了部分安全事件预警系统及处置方案</w:t>
            </w:r>
            <w:r>
              <w:rPr>
                <w:rFonts w:hint="eastAsia" w:ascii="宋体" w:hAnsi="宋体" w:eastAsia="宋体"/>
                <w:color w:val="auto"/>
                <w:szCs w:val="21"/>
                <w:highlight w:val="none"/>
              </w:rPr>
              <w:t>，基本能满足采购需求要求的，得4分；</w:t>
            </w:r>
          </w:p>
          <w:p w14:paraId="37BCE0A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w:t>
            </w:r>
            <w:r>
              <w:rPr>
                <w:rFonts w:hint="eastAsia" w:ascii="宋体" w:hAnsi="宋体"/>
                <w:color w:val="auto"/>
                <w:szCs w:val="21"/>
                <w:highlight w:val="none"/>
                <w:lang w:eastAsia="zh-CN"/>
              </w:rPr>
              <w:t>供应商</w:t>
            </w:r>
            <w:r>
              <w:rPr>
                <w:rFonts w:hint="eastAsia" w:ascii="宋体" w:hAnsi="宋体" w:eastAsia="宋体"/>
                <w:color w:val="auto"/>
                <w:szCs w:val="21"/>
                <w:highlight w:val="none"/>
                <w:lang w:val="en-US" w:eastAsia="zh-CN"/>
              </w:rPr>
              <w:t>的人员安排和预备方案简略</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软、硬件技术支撑能力较差，安全事件预警系统及处置方案不可行</w:t>
            </w:r>
            <w:r>
              <w:rPr>
                <w:rFonts w:hint="eastAsia" w:ascii="宋体" w:hAnsi="宋体" w:eastAsia="宋体"/>
                <w:color w:val="auto"/>
                <w:szCs w:val="21"/>
                <w:highlight w:val="none"/>
              </w:rPr>
              <w:t>，难以满足采购需求要求的，得1分；</w:t>
            </w:r>
          </w:p>
          <w:p w14:paraId="3CD0F53E">
            <w:pPr>
              <w:spacing w:line="400" w:lineRule="exact"/>
              <w:rPr>
                <w:rFonts w:ascii="宋体" w:hAnsi="宋体"/>
                <w:color w:val="auto"/>
                <w:szCs w:val="21"/>
                <w:highlight w:val="none"/>
              </w:rPr>
            </w:pPr>
            <w:r>
              <w:rPr>
                <w:rFonts w:hint="eastAsia" w:ascii="宋体" w:hAnsi="宋体" w:eastAsia="宋体"/>
                <w:color w:val="auto"/>
                <w:szCs w:val="21"/>
                <w:highlight w:val="none"/>
              </w:rPr>
              <w:t>5、未提供对应</w:t>
            </w:r>
            <w:r>
              <w:rPr>
                <w:rFonts w:hint="eastAsia" w:ascii="宋体" w:hAnsi="宋体" w:eastAsia="宋体"/>
                <w:color w:val="auto"/>
                <w:szCs w:val="21"/>
                <w:highlight w:val="none"/>
                <w:lang w:val="en-US" w:eastAsia="zh-CN"/>
              </w:rPr>
              <w:t>方案</w:t>
            </w:r>
            <w:r>
              <w:rPr>
                <w:rFonts w:hint="eastAsia" w:ascii="宋体" w:hAnsi="宋体" w:eastAsia="宋体"/>
                <w:color w:val="auto"/>
                <w:szCs w:val="21"/>
                <w:highlight w:val="none"/>
              </w:rPr>
              <w:t>或其他情形的，得0分。</w:t>
            </w:r>
          </w:p>
        </w:tc>
      </w:tr>
      <w:bookmarkEnd w:id="36"/>
    </w:tbl>
    <w:p w14:paraId="4041E8A6">
      <w:pPr>
        <w:pStyle w:val="74"/>
        <w:outlineLvl w:val="9"/>
        <w:rPr>
          <w:rFonts w:hint="default"/>
          <w:b/>
          <w:color w:val="auto"/>
          <w:sz w:val="24"/>
          <w:highlight w:val="none"/>
        </w:rPr>
      </w:pPr>
    </w:p>
    <w:p w14:paraId="47738C6C">
      <w:pPr>
        <w:pStyle w:val="74"/>
        <w:numPr>
          <w:ilvl w:val="0"/>
          <w:numId w:val="9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4"/>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94"/>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4"/>
        <w:numPr>
          <w:ilvl w:val="0"/>
          <w:numId w:val="9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4"/>
        <w:numPr>
          <w:ilvl w:val="0"/>
          <w:numId w:val="9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4"/>
        <w:numPr>
          <w:ilvl w:val="0"/>
          <w:numId w:val="9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4"/>
        <w:numPr>
          <w:ilvl w:val="0"/>
          <w:numId w:val="9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4"/>
        <w:numPr>
          <w:ilvl w:val="0"/>
          <w:numId w:val="99"/>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4"/>
        <w:numPr>
          <w:ilvl w:val="0"/>
          <w:numId w:val="99"/>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6C143CD0">
      <w:pPr>
        <w:spacing w:line="360" w:lineRule="auto"/>
        <w:ind w:firstLine="420" w:firstLineChars="200"/>
        <w:rPr>
          <w:rFonts w:asciiTheme="minorEastAsia" w:hAnsiTheme="minorEastAsia" w:eastAsiaTheme="minorEastAsia"/>
          <w:bCs/>
          <w:color w:val="auto"/>
          <w:szCs w:val="21"/>
          <w:highlight w:val="none"/>
        </w:rPr>
      </w:pPr>
    </w:p>
    <w:p w14:paraId="1496E990">
      <w:pPr>
        <w:spacing w:line="360" w:lineRule="auto"/>
        <w:rPr>
          <w:rFonts w:asciiTheme="minorEastAsia" w:hAnsiTheme="minorEastAsia" w:eastAsiaTheme="minorEastAsia"/>
          <w:bCs/>
          <w:color w:val="auto"/>
          <w:szCs w:val="21"/>
          <w:highlight w:val="none"/>
        </w:rPr>
      </w:pPr>
    </w:p>
    <w:p w14:paraId="428C2FDC">
      <w:pPr>
        <w:pStyle w:val="2"/>
        <w:keepNext w:val="0"/>
        <w:keepLines w:val="0"/>
        <w:pageBreakBefore/>
        <w:spacing w:after="240" w:line="360" w:lineRule="auto"/>
        <w:jc w:val="center"/>
        <w:rPr>
          <w:rFonts w:ascii="宋体" w:hAnsi="宋体"/>
          <w:color w:val="auto"/>
          <w:sz w:val="36"/>
          <w:szCs w:val="36"/>
          <w:highlight w:val="none"/>
        </w:rPr>
      </w:pPr>
      <w:bookmarkStart w:id="37" w:name="_Toc169807544"/>
      <w:bookmarkStart w:id="38" w:name="_Toc169799783"/>
      <w:bookmarkStart w:id="39" w:name="_Toc170228132"/>
      <w:bookmarkStart w:id="40" w:name="_Toc391627752"/>
      <w:bookmarkStart w:id="41" w:name="_Toc521951136"/>
      <w:bookmarkStart w:id="42" w:name="_Toc405313956"/>
      <w:r>
        <w:rPr>
          <w:rFonts w:asciiTheme="minorEastAsia" w:hAnsiTheme="minorEastAsia" w:eastAsiaTheme="minorEastAsia"/>
          <w:color w:val="auto"/>
          <w:spacing w:val="20"/>
          <w:sz w:val="32"/>
          <w:szCs w:val="32"/>
          <w:highlight w:val="none"/>
        </w:rPr>
        <w:t>第五章 合同文本</w:t>
      </w:r>
      <w:bookmarkEnd w:id="37"/>
      <w:bookmarkEnd w:id="38"/>
      <w:bookmarkEnd w:id="39"/>
    </w:p>
    <w:p w14:paraId="173722E9">
      <w:pPr>
        <w:keepLine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甲方（采购人）：</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东莞市公安局道滘分局</w:t>
      </w:r>
      <w:r>
        <w:rPr>
          <w:rFonts w:hint="eastAsia" w:ascii="宋体" w:hAnsi="宋体"/>
          <w:color w:val="auto"/>
          <w:szCs w:val="21"/>
          <w:highlight w:val="none"/>
          <w:u w:val="single"/>
        </w:rPr>
        <w:t xml:space="preserve"> </w:t>
      </w:r>
    </w:p>
    <w:p w14:paraId="394310B3">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乙方（成交人）：</w:t>
      </w:r>
      <w:r>
        <w:rPr>
          <w:rFonts w:hint="eastAsia" w:ascii="宋体" w:hAnsi="宋体"/>
          <w:color w:val="auto"/>
          <w:szCs w:val="21"/>
          <w:highlight w:val="none"/>
          <w:u w:val="single"/>
        </w:rPr>
        <w:t xml:space="preserve">                      </w:t>
      </w:r>
    </w:p>
    <w:p w14:paraId="5CE46483">
      <w:pPr>
        <w:snapToGrid w:val="0"/>
        <w:spacing w:line="360" w:lineRule="auto"/>
        <w:ind w:firstLine="420" w:firstLineChars="200"/>
        <w:contextualSpacing/>
        <w:rPr>
          <w:rFonts w:ascii="宋体" w:hAnsi="宋体"/>
          <w:color w:val="auto"/>
          <w:szCs w:val="21"/>
          <w:highlight w:val="none"/>
        </w:rPr>
      </w:pPr>
      <w:r>
        <w:rPr>
          <w:rFonts w:hint="eastAsia" w:ascii="宋体" w:hAnsi="宋体"/>
          <w:color w:val="auto"/>
          <w:szCs w:val="21"/>
          <w:highlight w:val="none"/>
        </w:rPr>
        <w:t>根据</w:t>
      </w:r>
      <w:bookmarkStart w:id="43" w:name="_Hlk90988984"/>
      <w:r>
        <w:rPr>
          <w:rFonts w:hint="eastAsia" w:ascii="宋体" w:hAnsi="宋体"/>
          <w:color w:val="auto"/>
          <w:szCs w:val="21"/>
          <w:highlight w:val="none"/>
        </w:rPr>
        <w:t>《中华人民共和国民法典</w:t>
      </w:r>
      <w:bookmarkEnd w:id="43"/>
      <w:r>
        <w:rPr>
          <w:rFonts w:hint="eastAsia" w:ascii="宋体" w:hAnsi="宋体"/>
          <w:color w:val="auto"/>
          <w:szCs w:val="21"/>
          <w:highlight w:val="none"/>
        </w:rPr>
        <w:t>》及磋商文件、成交通知书等相关资料的要求，经双方协商一致，签订本合同，共同遵守如下条款。</w:t>
      </w:r>
    </w:p>
    <w:p w14:paraId="40F0EC5A">
      <w:pPr>
        <w:numPr>
          <w:ilvl w:val="0"/>
          <w:numId w:val="100"/>
        </w:numPr>
        <w:snapToGrid w:val="0"/>
        <w:spacing w:line="360" w:lineRule="auto"/>
        <w:contextualSpacing/>
        <w:rPr>
          <w:rFonts w:ascii="宋体" w:hAnsi="宋体"/>
          <w:b/>
          <w:bCs/>
          <w:color w:val="auto"/>
          <w:spacing w:val="20"/>
          <w:szCs w:val="21"/>
          <w:highlight w:val="none"/>
        </w:rPr>
      </w:pPr>
      <w:r>
        <w:rPr>
          <w:rFonts w:hint="eastAsia" w:ascii="宋体" w:hAnsi="宋体"/>
          <w:b/>
          <w:color w:val="auto"/>
          <w:spacing w:val="20"/>
          <w:szCs w:val="21"/>
          <w:highlight w:val="none"/>
        </w:rPr>
        <w:t>合同项目</w:t>
      </w:r>
    </w:p>
    <w:p w14:paraId="75A80EB6">
      <w:pPr>
        <w:numPr>
          <w:ilvl w:val="0"/>
          <w:numId w:val="10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项目名称：</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东莞市公安局道滘分局2025-2026年度电子警察及道路交通信号灯运维项目</w:t>
      </w:r>
      <w:r>
        <w:rPr>
          <w:rFonts w:hint="eastAsia" w:ascii="宋体" w:hAnsi="宋体"/>
          <w:color w:val="auto"/>
          <w:szCs w:val="21"/>
          <w:highlight w:val="none"/>
          <w:u w:val="single"/>
        </w:rPr>
        <w:t xml:space="preserve"> </w:t>
      </w:r>
    </w:p>
    <w:p w14:paraId="4B494A09">
      <w:pPr>
        <w:numPr>
          <w:ilvl w:val="0"/>
          <w:numId w:val="101"/>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项目编号：</w:t>
      </w:r>
      <w:r>
        <w:rPr>
          <w:rFonts w:hint="eastAsia" w:ascii="宋体" w:hAnsi="宋体"/>
          <w:color w:val="auto"/>
          <w:szCs w:val="21"/>
          <w:highlight w:val="none"/>
          <w:u w:val="single"/>
        </w:rPr>
        <w:t xml:space="preserve"> ZHDGZC2025014 </w:t>
      </w:r>
    </w:p>
    <w:p w14:paraId="55AA2717">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439984F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b w:val="0"/>
          <w:bCs/>
          <w:color w:val="auto"/>
          <w:spacing w:val="0"/>
          <w:sz w:val="21"/>
          <w:szCs w:val="21"/>
          <w:highlight w:val="none"/>
        </w:rPr>
      </w:pPr>
      <w:r>
        <w:rPr>
          <w:rFonts w:hint="eastAsia" w:ascii="宋体" w:hAnsi="宋体"/>
          <w:b w:val="0"/>
          <w:bCs/>
          <w:color w:val="auto"/>
          <w:spacing w:val="0"/>
          <w:sz w:val="21"/>
          <w:szCs w:val="21"/>
          <w:highlight w:val="none"/>
          <w:lang w:eastAsia="zh-CN"/>
        </w:rPr>
        <w:t>东莞市公安局道滘分局2025-2026年度电子警察及道路交通信号灯运维项目</w:t>
      </w:r>
      <w:r>
        <w:rPr>
          <w:rFonts w:hint="eastAsia" w:ascii="宋体" w:hAnsi="宋体"/>
          <w:b w:val="0"/>
          <w:bCs/>
          <w:color w:val="auto"/>
          <w:spacing w:val="0"/>
          <w:sz w:val="21"/>
          <w:szCs w:val="21"/>
          <w:highlight w:val="none"/>
        </w:rPr>
        <w:t>服务内容分为电子警察和道路交通信号灯两部分。其中电子警察运维服务范围包含18个路口（或路段）的40套电子警察违法抓拍设备及机房后台系统设备等；道路交通信号灯运维服务范围主要包含对道滘镇12个路口交通信号灯维修保养以及定期对辖区内12个路口的交通信号灯巡检等。</w:t>
      </w:r>
    </w:p>
    <w:p w14:paraId="309CB5E3">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numPr>
          <w:ilvl w:val="0"/>
          <w:numId w:val="10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甲方权利和义务</w:t>
      </w:r>
    </w:p>
    <w:p w14:paraId="567F335D">
      <w:pPr>
        <w:numPr>
          <w:ilvl w:val="0"/>
          <w:numId w:val="10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甲方有权随时检查乙方的服务履行情况，并向乙方提出修改。</w:t>
      </w:r>
    </w:p>
    <w:p w14:paraId="68E24D40">
      <w:pPr>
        <w:numPr>
          <w:ilvl w:val="0"/>
          <w:numId w:val="10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当发生服务违约时，则甲方有权按约定在支付乙方合同款项中进行扣款 。</w:t>
      </w:r>
    </w:p>
    <w:p w14:paraId="4CBA819E">
      <w:pPr>
        <w:numPr>
          <w:ilvl w:val="0"/>
          <w:numId w:val="10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在乙方提供服务时，如对甲方的设备造成了损坏，甲方有权要求乙方赔偿。</w:t>
      </w:r>
    </w:p>
    <w:p w14:paraId="2A0B5D6C">
      <w:pPr>
        <w:numPr>
          <w:ilvl w:val="0"/>
          <w:numId w:val="103"/>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甲方应按合同规定向乙方支付服务费用。</w:t>
      </w:r>
    </w:p>
    <w:p w14:paraId="110BB59B">
      <w:pPr>
        <w:numPr>
          <w:ilvl w:val="0"/>
          <w:numId w:val="102"/>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乙方权利和义务</w:t>
      </w:r>
    </w:p>
    <w:p w14:paraId="0942A5B9">
      <w:pPr>
        <w:numPr>
          <w:ilvl w:val="0"/>
          <w:numId w:val="10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乙方应按磋商文件的要求和响应文件的承诺进行服务，发生任何服务的变更均须向甲方提出交书面报审报告。</w:t>
      </w:r>
    </w:p>
    <w:p w14:paraId="5CDC5657">
      <w:pPr>
        <w:numPr>
          <w:ilvl w:val="0"/>
          <w:numId w:val="104"/>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乙方有权要求甲方按时支付服务费用。如甲方不按时支付乙方有权要求甲方支付滞纳金。但服务费得支付应以符合东莞市财政局的相关规定为前提。</w:t>
      </w:r>
    </w:p>
    <w:p w14:paraId="0BE920EC">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10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元整（小写：￥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2468CAD7">
      <w:pPr>
        <w:numPr>
          <w:ilvl w:val="0"/>
          <w:numId w:val="10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本合同价款</w:t>
      </w:r>
      <w:r>
        <w:rPr>
          <w:rFonts w:hint="eastAsia" w:ascii="宋体" w:hAnsi="宋体"/>
          <w:color w:val="auto"/>
          <w:szCs w:val="21"/>
          <w:highlight w:val="none"/>
        </w:rPr>
        <w:t>包含税费、设备费、车辆费、管理费、专利费、人工费（包括工资、奖金、津贴补贴、节假日加班和日常加班加点工资、特殊情况下支付的工资等）、辅材费、备品备件、软件租赁（使用）费、社保费（包括医疗、失业、养老、生育、工伤）、公积金、住宿费、利润、办公经费</w:t>
      </w:r>
      <w:r>
        <w:rPr>
          <w:rFonts w:hint="eastAsia" w:ascii="宋体" w:hAnsi="宋体"/>
          <w:color w:val="auto"/>
          <w:szCs w:val="21"/>
          <w:highlight w:val="none"/>
          <w:lang w:eastAsia="zh-CN"/>
        </w:rPr>
        <w:t>、</w:t>
      </w:r>
      <w:r>
        <w:rPr>
          <w:rFonts w:hint="eastAsia" w:ascii="宋体" w:hAnsi="宋体"/>
          <w:color w:val="auto"/>
          <w:szCs w:val="21"/>
          <w:highlight w:val="none"/>
        </w:rPr>
        <w:t>应急保障费、电子警察测速设备年检费、电子警察设备违法取证所需配套的标志标线完善费、合同实施过程中的应预见、不可预见费用等完成合同规定责任和义务、达到合同目的的一切费用。</w:t>
      </w:r>
    </w:p>
    <w:p w14:paraId="77B21425">
      <w:pPr>
        <w:numPr>
          <w:ilvl w:val="0"/>
          <w:numId w:val="10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本合同价为固定不变价。</w:t>
      </w:r>
    </w:p>
    <w:p w14:paraId="7CD84BFF">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总体服务要求</w:t>
      </w:r>
    </w:p>
    <w:p w14:paraId="2BE34B7F">
      <w:pPr>
        <w:numPr>
          <w:ilvl w:val="0"/>
          <w:numId w:val="106"/>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服务人员数量及管理要求</w:t>
      </w:r>
    </w:p>
    <w:p w14:paraId="0BC03E86">
      <w:pPr>
        <w:keepNext w:val="0"/>
        <w:keepLines w:val="0"/>
        <w:pageBreakBefore w:val="0"/>
        <w:widowControl w:val="0"/>
        <w:numPr>
          <w:ilvl w:val="0"/>
          <w:numId w:val="10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服务人员数量要求</w:t>
      </w:r>
    </w:p>
    <w:p w14:paraId="244288A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color w:val="auto"/>
          <w:szCs w:val="21"/>
          <w:highlight w:val="none"/>
        </w:rPr>
      </w:pPr>
      <w:r>
        <w:rPr>
          <w:rFonts w:hint="eastAsia" w:ascii="宋体" w:hAnsi="宋体"/>
          <w:color w:val="auto"/>
          <w:szCs w:val="21"/>
          <w:highlight w:val="none"/>
          <w:lang w:val="en-US" w:eastAsia="zh-CN"/>
        </w:rPr>
        <w:t>本项目</w:t>
      </w:r>
      <w:r>
        <w:rPr>
          <w:rFonts w:hint="eastAsia" w:ascii="宋体" w:hAnsi="宋体"/>
          <w:color w:val="auto"/>
          <w:szCs w:val="21"/>
          <w:highlight w:val="none"/>
        </w:rPr>
        <w:t>运维服务人员</w:t>
      </w:r>
      <w:r>
        <w:rPr>
          <w:rFonts w:hint="eastAsia" w:ascii="宋体" w:hAnsi="宋体"/>
          <w:color w:val="auto"/>
          <w:szCs w:val="21"/>
          <w:highlight w:val="none"/>
          <w:lang w:val="en-US" w:eastAsia="zh-CN"/>
        </w:rPr>
        <w:t>不少于</w:t>
      </w:r>
      <w:r>
        <w:rPr>
          <w:rFonts w:hint="eastAsia" w:ascii="宋体" w:hAnsi="宋体"/>
          <w:color w:val="auto"/>
          <w:szCs w:val="21"/>
          <w:highlight w:val="none"/>
        </w:rPr>
        <w:t>5人，</w:t>
      </w:r>
      <w:r>
        <w:rPr>
          <w:rFonts w:hint="eastAsia" w:ascii="宋体" w:hAnsi="宋体"/>
          <w:color w:val="auto"/>
          <w:szCs w:val="21"/>
          <w:highlight w:val="none"/>
          <w:lang w:val="en-US" w:eastAsia="zh-CN"/>
        </w:rPr>
        <w:t>其中</w:t>
      </w:r>
      <w:r>
        <w:rPr>
          <w:rFonts w:hint="eastAsia" w:ascii="宋体" w:hAnsi="宋体"/>
          <w:color w:val="auto"/>
          <w:szCs w:val="21"/>
          <w:highlight w:val="none"/>
        </w:rPr>
        <w:t>含项目负责人1人</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具体要求如下：</w:t>
      </w:r>
    </w:p>
    <w:tbl>
      <w:tblPr>
        <w:tblStyle w:val="80"/>
        <w:tblW w:w="505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1"/>
        <w:gridCol w:w="1570"/>
        <w:gridCol w:w="1300"/>
        <w:gridCol w:w="5629"/>
      </w:tblGrid>
      <w:tr w14:paraId="40923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371" w:type="pct"/>
            <w:vAlign w:val="center"/>
          </w:tcPr>
          <w:p w14:paraId="57E11CA9">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序号</w:t>
            </w:r>
          </w:p>
        </w:tc>
        <w:tc>
          <w:tcPr>
            <w:tcW w:w="855" w:type="pct"/>
            <w:vAlign w:val="center"/>
          </w:tcPr>
          <w:p w14:paraId="17CA50B3">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岗位名称</w:t>
            </w:r>
          </w:p>
        </w:tc>
        <w:tc>
          <w:tcPr>
            <w:tcW w:w="708" w:type="pct"/>
            <w:vAlign w:val="center"/>
          </w:tcPr>
          <w:p w14:paraId="71812B3E">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人数</w:t>
            </w:r>
          </w:p>
        </w:tc>
        <w:tc>
          <w:tcPr>
            <w:tcW w:w="3064" w:type="pct"/>
            <w:vAlign w:val="center"/>
          </w:tcPr>
          <w:p w14:paraId="6BC98849">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人员资质及技能</w:t>
            </w:r>
          </w:p>
        </w:tc>
      </w:tr>
      <w:tr w14:paraId="4CCE4F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371" w:type="pct"/>
            <w:vAlign w:val="center"/>
          </w:tcPr>
          <w:p w14:paraId="56095DEF">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1</w:t>
            </w:r>
          </w:p>
        </w:tc>
        <w:tc>
          <w:tcPr>
            <w:tcW w:w="855" w:type="pct"/>
            <w:vAlign w:val="center"/>
          </w:tcPr>
          <w:p w14:paraId="07A713BC">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前端运维人员</w:t>
            </w:r>
          </w:p>
        </w:tc>
        <w:tc>
          <w:tcPr>
            <w:tcW w:w="708" w:type="pct"/>
            <w:vAlign w:val="center"/>
          </w:tcPr>
          <w:p w14:paraId="561607CD">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eastAsia="en-US"/>
              </w:rPr>
              <w:t>3</w:t>
            </w:r>
            <w:r>
              <w:rPr>
                <w:rFonts w:hint="eastAsia" w:ascii="宋体" w:hAnsi="宋体" w:cs="宋体"/>
                <w:snapToGrid w:val="0"/>
                <w:color w:val="auto"/>
                <w:kern w:val="0"/>
                <w:sz w:val="21"/>
                <w:szCs w:val="21"/>
                <w:highlight w:val="none"/>
                <w:lang w:eastAsia="zh-CN"/>
              </w:rPr>
              <w:t>人</w:t>
            </w:r>
          </w:p>
        </w:tc>
        <w:tc>
          <w:tcPr>
            <w:tcW w:w="3064" w:type="pct"/>
            <w:vAlign w:val="center"/>
          </w:tcPr>
          <w:p w14:paraId="266A8D1F">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有2年或以上电子警察系统管理平台操作相关维护工作经验。</w:t>
            </w:r>
          </w:p>
        </w:tc>
      </w:tr>
      <w:tr w14:paraId="4EF78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jc w:val="center"/>
        </w:trPr>
        <w:tc>
          <w:tcPr>
            <w:tcW w:w="371" w:type="pct"/>
            <w:vAlign w:val="center"/>
          </w:tcPr>
          <w:p w14:paraId="67D82DC4">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2</w:t>
            </w:r>
          </w:p>
        </w:tc>
        <w:tc>
          <w:tcPr>
            <w:tcW w:w="855" w:type="pct"/>
            <w:vAlign w:val="center"/>
          </w:tcPr>
          <w:p w14:paraId="76D15BA7">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eastAsia="宋体" w:cs="宋体"/>
                <w:snapToGrid w:val="0"/>
                <w:color w:val="auto"/>
                <w:kern w:val="0"/>
                <w:sz w:val="21"/>
                <w:szCs w:val="21"/>
                <w:highlight w:val="none"/>
                <w:lang w:eastAsia="en-US"/>
              </w:rPr>
              <w:t>网络维护人员</w:t>
            </w:r>
          </w:p>
        </w:tc>
        <w:tc>
          <w:tcPr>
            <w:tcW w:w="708" w:type="pct"/>
            <w:vAlign w:val="center"/>
          </w:tcPr>
          <w:p w14:paraId="45F9E469">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val="en-US" w:eastAsia="zh-CN"/>
              </w:rPr>
              <w:t>1</w:t>
            </w:r>
            <w:r>
              <w:rPr>
                <w:rFonts w:hint="eastAsia" w:ascii="宋体" w:hAnsi="宋体" w:cs="宋体"/>
                <w:snapToGrid w:val="0"/>
                <w:color w:val="auto"/>
                <w:kern w:val="0"/>
                <w:sz w:val="21"/>
                <w:szCs w:val="21"/>
                <w:highlight w:val="none"/>
                <w:lang w:eastAsia="zh-CN"/>
              </w:rPr>
              <w:t>人</w:t>
            </w:r>
          </w:p>
        </w:tc>
        <w:tc>
          <w:tcPr>
            <w:tcW w:w="3064" w:type="pct"/>
            <w:vAlign w:val="center"/>
          </w:tcPr>
          <w:p w14:paraId="403B9D09">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有1年或以上数据中心或网络运维经验，掌握TCP/IP、LAN、WAN等相关网络知识，熟悉机房网络设备的连接及日常维护，熟悉主流网络厂商设备的安装与调试。</w:t>
            </w:r>
          </w:p>
        </w:tc>
      </w:tr>
      <w:tr w14:paraId="0C72F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jc w:val="center"/>
        </w:trPr>
        <w:tc>
          <w:tcPr>
            <w:tcW w:w="371" w:type="pct"/>
            <w:vAlign w:val="center"/>
          </w:tcPr>
          <w:p w14:paraId="701736B0">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b/>
                <w:bCs/>
                <w:snapToGrid w:val="0"/>
                <w:color w:val="auto"/>
                <w:kern w:val="0"/>
                <w:sz w:val="21"/>
                <w:szCs w:val="21"/>
                <w:highlight w:val="none"/>
                <w:lang w:eastAsia="en-US"/>
              </w:rPr>
            </w:pPr>
            <w:r>
              <w:rPr>
                <w:rFonts w:hint="eastAsia" w:ascii="宋体" w:hAnsi="宋体" w:eastAsia="宋体" w:cs="宋体"/>
                <w:b/>
                <w:bCs/>
                <w:snapToGrid w:val="0"/>
                <w:color w:val="auto"/>
                <w:kern w:val="0"/>
                <w:sz w:val="21"/>
                <w:szCs w:val="21"/>
                <w:highlight w:val="none"/>
                <w:lang w:eastAsia="en-US"/>
              </w:rPr>
              <w:t>3</w:t>
            </w:r>
          </w:p>
        </w:tc>
        <w:tc>
          <w:tcPr>
            <w:tcW w:w="855" w:type="pct"/>
            <w:vAlign w:val="center"/>
          </w:tcPr>
          <w:p w14:paraId="6F0EB89E">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eastAsia="宋体" w:cs="宋体"/>
                <w:snapToGrid w:val="0"/>
                <w:color w:val="auto"/>
                <w:kern w:val="0"/>
                <w:sz w:val="21"/>
                <w:szCs w:val="21"/>
                <w:highlight w:val="none"/>
                <w:lang w:eastAsia="en-US"/>
              </w:rPr>
              <w:t>后台服务器维护人员</w:t>
            </w:r>
          </w:p>
        </w:tc>
        <w:tc>
          <w:tcPr>
            <w:tcW w:w="708" w:type="pct"/>
            <w:vAlign w:val="center"/>
          </w:tcPr>
          <w:p w14:paraId="77390A36">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en-US"/>
              </w:rPr>
            </w:pPr>
            <w:r>
              <w:rPr>
                <w:rFonts w:hint="eastAsia" w:ascii="宋体" w:hAnsi="宋体" w:cs="宋体"/>
                <w:snapToGrid w:val="0"/>
                <w:color w:val="auto"/>
                <w:kern w:val="0"/>
                <w:sz w:val="21"/>
                <w:szCs w:val="21"/>
                <w:highlight w:val="none"/>
                <w:lang w:val="en-US" w:eastAsia="zh-CN"/>
              </w:rPr>
              <w:t>不少于</w:t>
            </w:r>
            <w:r>
              <w:rPr>
                <w:rFonts w:hint="eastAsia" w:ascii="宋体" w:hAnsi="宋体" w:eastAsia="宋体" w:cs="宋体"/>
                <w:snapToGrid w:val="0"/>
                <w:color w:val="auto"/>
                <w:kern w:val="0"/>
                <w:sz w:val="21"/>
                <w:szCs w:val="21"/>
                <w:highlight w:val="none"/>
                <w:lang w:val="en-US" w:eastAsia="zh-CN"/>
              </w:rPr>
              <w:t>1</w:t>
            </w:r>
            <w:r>
              <w:rPr>
                <w:rFonts w:hint="eastAsia" w:ascii="宋体" w:hAnsi="宋体" w:cs="宋体"/>
                <w:snapToGrid w:val="0"/>
                <w:color w:val="auto"/>
                <w:kern w:val="0"/>
                <w:sz w:val="21"/>
                <w:szCs w:val="21"/>
                <w:highlight w:val="none"/>
                <w:lang w:eastAsia="zh-CN"/>
              </w:rPr>
              <w:t>人</w:t>
            </w:r>
          </w:p>
        </w:tc>
        <w:tc>
          <w:tcPr>
            <w:tcW w:w="3064" w:type="pct"/>
            <w:vAlign w:val="center"/>
          </w:tcPr>
          <w:p w14:paraId="7C4F2137">
            <w:pPr>
              <w:keepNext w:val="0"/>
              <w:keepLines w:val="0"/>
              <w:pageBreakBefore w:val="0"/>
              <w:widowControl w:val="0"/>
              <w:kinsoku/>
              <w:wordWrap/>
              <w:overflowPunct/>
              <w:topLinePunct w:val="0"/>
              <w:autoSpaceDE/>
              <w:autoSpaceDN/>
              <w:bidi w:val="0"/>
              <w:adjustRightInd/>
              <w:snapToGrid/>
              <w:spacing w:after="160" w:line="240" w:lineRule="auto"/>
              <w:jc w:val="center"/>
              <w:textAlignment w:val="auto"/>
              <w:rPr>
                <w:rFonts w:hint="eastAsia" w:ascii="宋体" w:hAnsi="宋体" w:eastAsia="宋体" w:cs="宋体"/>
                <w:snapToGrid w:val="0"/>
                <w:color w:val="auto"/>
                <w:kern w:val="0"/>
                <w:sz w:val="21"/>
                <w:szCs w:val="21"/>
                <w:highlight w:val="none"/>
                <w:lang w:eastAsia="zh-CN"/>
              </w:rPr>
            </w:pPr>
            <w:r>
              <w:rPr>
                <w:rFonts w:hint="eastAsia" w:ascii="宋体" w:hAnsi="宋体" w:eastAsia="宋体" w:cs="宋体"/>
                <w:snapToGrid w:val="0"/>
                <w:color w:val="auto"/>
                <w:kern w:val="0"/>
                <w:sz w:val="21"/>
                <w:szCs w:val="21"/>
                <w:highlight w:val="none"/>
                <w:lang w:eastAsia="zh-CN"/>
              </w:rPr>
              <w:t>有2年或以上相关工作经验，熟悉机房运维，包括网络、服务器、小型机、存储、虚拟化、软件系统、安全设备等，具有较强的沟通协调能力和应急处理能力。</w:t>
            </w:r>
          </w:p>
        </w:tc>
      </w:tr>
    </w:tbl>
    <w:p w14:paraId="4E7C12FB">
      <w:pPr>
        <w:keepNext w:val="0"/>
        <w:keepLines w:val="0"/>
        <w:pageBreakBefore w:val="0"/>
        <w:widowControl w:val="0"/>
        <w:numPr>
          <w:ilvl w:val="0"/>
          <w:numId w:val="10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服务人员管理要求</w:t>
      </w:r>
    </w:p>
    <w:p w14:paraId="72195288">
      <w:pPr>
        <w:keepNext w:val="0"/>
        <w:keepLines w:val="0"/>
        <w:pageBreakBefore w:val="0"/>
        <w:widowControl w:val="0"/>
        <w:numPr>
          <w:ilvl w:val="0"/>
          <w:numId w:val="108"/>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乙方需</w:t>
      </w:r>
      <w:r>
        <w:rPr>
          <w:rFonts w:hint="eastAsia" w:ascii="宋体" w:hAnsi="宋体"/>
          <w:color w:val="auto"/>
          <w:szCs w:val="21"/>
          <w:highlight w:val="none"/>
        </w:rPr>
        <w:t>统一运维服务团队人员的制服</w:t>
      </w:r>
      <w:r>
        <w:rPr>
          <w:rFonts w:hint="eastAsia" w:ascii="宋体" w:hAnsi="宋体"/>
          <w:color w:val="auto"/>
          <w:szCs w:val="21"/>
          <w:highlight w:val="none"/>
          <w:lang w:val="en-US" w:eastAsia="zh-CN"/>
        </w:rPr>
        <w:t>并保持</w:t>
      </w:r>
      <w:r>
        <w:rPr>
          <w:rFonts w:hint="eastAsia" w:ascii="宋体" w:hAnsi="宋体"/>
          <w:color w:val="auto"/>
          <w:szCs w:val="21"/>
          <w:highlight w:val="none"/>
        </w:rPr>
        <w:t>形象</w:t>
      </w:r>
      <w:r>
        <w:rPr>
          <w:rFonts w:hint="eastAsia" w:ascii="宋体" w:hAnsi="宋体"/>
          <w:color w:val="auto"/>
          <w:szCs w:val="21"/>
          <w:highlight w:val="none"/>
          <w:lang w:val="en-US" w:eastAsia="zh-CN"/>
        </w:rPr>
        <w:t>整洁</w:t>
      </w:r>
      <w:r>
        <w:rPr>
          <w:rFonts w:hint="eastAsia" w:ascii="宋体" w:hAnsi="宋体"/>
          <w:color w:val="auto"/>
          <w:szCs w:val="21"/>
          <w:highlight w:val="none"/>
        </w:rPr>
        <w:t>，运维服务人员装备应包含但不限于以下装备：笔记本电脑</w:t>
      </w:r>
      <w:r>
        <w:rPr>
          <w:rFonts w:hint="eastAsia" w:ascii="宋体" w:hAnsi="宋体"/>
          <w:color w:val="auto"/>
          <w:szCs w:val="21"/>
          <w:highlight w:val="none"/>
          <w:lang w:eastAsia="zh-CN"/>
        </w:rPr>
        <w:t>、</w:t>
      </w:r>
      <w:r>
        <w:rPr>
          <w:rFonts w:hint="eastAsia" w:ascii="宋体" w:hAnsi="宋体"/>
          <w:color w:val="auto"/>
          <w:szCs w:val="21"/>
          <w:highlight w:val="none"/>
        </w:rPr>
        <w:t>智能手机</w:t>
      </w:r>
      <w:r>
        <w:rPr>
          <w:rFonts w:hint="eastAsia" w:ascii="宋体" w:hAnsi="宋体"/>
          <w:color w:val="auto"/>
          <w:szCs w:val="21"/>
          <w:highlight w:val="none"/>
          <w:lang w:eastAsia="zh-CN"/>
        </w:rPr>
        <w:t>、</w:t>
      </w:r>
      <w:r>
        <w:rPr>
          <w:rFonts w:hint="eastAsia" w:ascii="宋体" w:hAnsi="宋体"/>
          <w:color w:val="auto"/>
          <w:szCs w:val="21"/>
          <w:highlight w:val="none"/>
        </w:rPr>
        <w:t>仪表套装</w:t>
      </w:r>
      <w:r>
        <w:rPr>
          <w:rFonts w:hint="eastAsia" w:ascii="宋体" w:hAnsi="宋体"/>
          <w:color w:val="auto"/>
          <w:szCs w:val="21"/>
          <w:highlight w:val="none"/>
          <w:lang w:eastAsia="zh-CN"/>
        </w:rPr>
        <w:t>（</w:t>
      </w:r>
      <w:r>
        <w:rPr>
          <w:rFonts w:hint="eastAsia" w:ascii="宋体" w:hAnsi="宋体"/>
          <w:color w:val="auto"/>
          <w:szCs w:val="21"/>
          <w:highlight w:val="none"/>
        </w:rPr>
        <w:t>测线仪，标签机，专业定位设备，万能表，感应式多功能线仪，光功率计，红光笔</w:t>
      </w:r>
      <w:r>
        <w:rPr>
          <w:rFonts w:hint="eastAsia" w:ascii="宋体" w:hAnsi="宋体"/>
          <w:color w:val="auto"/>
          <w:szCs w:val="21"/>
          <w:highlight w:val="none"/>
          <w:lang w:eastAsia="zh-CN"/>
        </w:rPr>
        <w:t>）、</w:t>
      </w:r>
      <w:r>
        <w:rPr>
          <w:rFonts w:hint="eastAsia" w:ascii="宋体" w:hAnsi="宋体"/>
          <w:color w:val="auto"/>
          <w:szCs w:val="21"/>
          <w:highlight w:val="none"/>
        </w:rPr>
        <w:t>工具套装</w:t>
      </w:r>
      <w:r>
        <w:rPr>
          <w:rFonts w:hint="eastAsia" w:ascii="宋体" w:hAnsi="宋体"/>
          <w:color w:val="auto"/>
          <w:szCs w:val="21"/>
          <w:highlight w:val="none"/>
          <w:lang w:eastAsia="zh-CN"/>
        </w:rPr>
        <w:t>（</w:t>
      </w:r>
      <w:r>
        <w:rPr>
          <w:rFonts w:hint="eastAsia" w:ascii="宋体" w:hAnsi="宋体"/>
          <w:color w:val="auto"/>
          <w:szCs w:val="21"/>
          <w:highlight w:val="none"/>
        </w:rPr>
        <w:t>含一字和十字螺丝刀、尖嘴钳、斜口钳、扎带、标签纸、快干笔、鞋套、防静电手环、垃圾袋、白色手套</w:t>
      </w:r>
      <w:r>
        <w:rPr>
          <w:rFonts w:hint="eastAsia" w:ascii="宋体" w:hAnsi="宋体"/>
          <w:color w:val="auto"/>
          <w:szCs w:val="21"/>
          <w:highlight w:val="none"/>
          <w:lang w:eastAsia="zh-CN"/>
        </w:rPr>
        <w:t>）、</w:t>
      </w:r>
      <w:r>
        <w:rPr>
          <w:rFonts w:hint="eastAsia" w:ascii="宋体" w:hAnsi="宋体"/>
          <w:color w:val="auto"/>
          <w:szCs w:val="21"/>
          <w:highlight w:val="none"/>
        </w:rPr>
        <w:t>统一运维工作服等</w:t>
      </w:r>
      <w:r>
        <w:rPr>
          <w:rFonts w:hint="eastAsia" w:ascii="宋体" w:hAnsi="宋体"/>
          <w:color w:val="auto"/>
          <w:szCs w:val="21"/>
          <w:highlight w:val="none"/>
          <w:lang w:eastAsia="zh-CN"/>
        </w:rPr>
        <w:t>；</w:t>
      </w:r>
      <w:r>
        <w:rPr>
          <w:rFonts w:hint="eastAsia" w:ascii="宋体" w:hAnsi="宋体"/>
          <w:color w:val="auto"/>
          <w:szCs w:val="21"/>
          <w:highlight w:val="none"/>
        </w:rPr>
        <w:t>外场设备抢修装备</w:t>
      </w:r>
      <w:r>
        <w:rPr>
          <w:rFonts w:hint="eastAsia" w:ascii="宋体" w:hAnsi="宋体"/>
          <w:color w:val="auto"/>
          <w:szCs w:val="21"/>
          <w:highlight w:val="none"/>
          <w:lang w:eastAsia="zh-CN"/>
        </w:rPr>
        <w:t>：</w:t>
      </w:r>
      <w:r>
        <w:rPr>
          <w:rFonts w:hint="eastAsia" w:ascii="宋体" w:hAnsi="宋体"/>
          <w:color w:val="auto"/>
          <w:szCs w:val="21"/>
          <w:highlight w:val="none"/>
        </w:rPr>
        <w:t>运维机动车辆，高空特种作业车辆，应急发电机，移动交通信号灯等。</w:t>
      </w:r>
    </w:p>
    <w:p w14:paraId="7B5A746A">
      <w:pPr>
        <w:keepNext w:val="0"/>
        <w:keepLines w:val="0"/>
        <w:pageBreakBefore w:val="0"/>
        <w:widowControl w:val="0"/>
        <w:numPr>
          <w:ilvl w:val="0"/>
          <w:numId w:val="108"/>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rPr>
        <w:t>如果</w:t>
      </w:r>
      <w:r>
        <w:rPr>
          <w:rFonts w:hint="eastAsia" w:ascii="宋体" w:hAnsi="宋体"/>
          <w:color w:val="auto"/>
          <w:szCs w:val="21"/>
          <w:highlight w:val="none"/>
          <w:lang w:val="en-US" w:eastAsia="zh-CN"/>
        </w:rPr>
        <w:t>运维服务</w:t>
      </w:r>
      <w:r>
        <w:rPr>
          <w:rFonts w:hint="eastAsia" w:ascii="宋体" w:hAnsi="宋体"/>
          <w:color w:val="auto"/>
          <w:szCs w:val="21"/>
          <w:highlight w:val="none"/>
        </w:rPr>
        <w:t>人员存在工作态度、责任心、技术能力、协调能力等方面之一的问题时，</w:t>
      </w:r>
      <w:r>
        <w:rPr>
          <w:rFonts w:hint="eastAsia" w:ascii="宋体" w:hAnsi="宋体"/>
          <w:color w:val="auto"/>
          <w:szCs w:val="21"/>
          <w:highlight w:val="none"/>
          <w:lang w:val="en-US" w:eastAsia="zh-CN"/>
        </w:rPr>
        <w:t>甲方</w:t>
      </w:r>
      <w:r>
        <w:rPr>
          <w:rFonts w:hint="eastAsia" w:ascii="宋体" w:hAnsi="宋体"/>
          <w:color w:val="auto"/>
          <w:szCs w:val="21"/>
          <w:highlight w:val="none"/>
        </w:rPr>
        <w:t>有权要求</w:t>
      </w:r>
      <w:r>
        <w:rPr>
          <w:rFonts w:hint="eastAsia" w:ascii="宋体" w:hAnsi="宋体"/>
          <w:color w:val="auto"/>
          <w:szCs w:val="21"/>
          <w:highlight w:val="none"/>
          <w:lang w:val="en-US" w:eastAsia="zh-CN"/>
        </w:rPr>
        <w:t>乙方</w:t>
      </w:r>
      <w:r>
        <w:rPr>
          <w:rFonts w:hint="eastAsia" w:ascii="宋体" w:hAnsi="宋体"/>
          <w:color w:val="auto"/>
          <w:szCs w:val="21"/>
          <w:highlight w:val="none"/>
        </w:rPr>
        <w:t>更换</w:t>
      </w:r>
      <w:r>
        <w:rPr>
          <w:rFonts w:hint="eastAsia" w:ascii="宋体" w:hAnsi="宋体"/>
          <w:color w:val="auto"/>
          <w:szCs w:val="21"/>
          <w:highlight w:val="none"/>
          <w:lang w:val="en-US" w:eastAsia="zh-CN"/>
        </w:rPr>
        <w:t>服务</w:t>
      </w:r>
      <w:r>
        <w:rPr>
          <w:rFonts w:hint="eastAsia" w:ascii="宋体" w:hAnsi="宋体"/>
          <w:color w:val="auto"/>
          <w:szCs w:val="21"/>
          <w:highlight w:val="none"/>
        </w:rPr>
        <w:t>人员，</w:t>
      </w:r>
      <w:r>
        <w:rPr>
          <w:rFonts w:hint="eastAsia" w:ascii="宋体" w:hAnsi="宋体"/>
          <w:color w:val="auto"/>
          <w:szCs w:val="21"/>
          <w:highlight w:val="none"/>
          <w:lang w:val="en-US" w:eastAsia="zh-CN"/>
        </w:rPr>
        <w:t>乙方</w:t>
      </w:r>
      <w:r>
        <w:rPr>
          <w:rFonts w:hint="eastAsia" w:ascii="宋体" w:hAnsi="宋体"/>
          <w:color w:val="auto"/>
          <w:szCs w:val="21"/>
          <w:highlight w:val="none"/>
        </w:rPr>
        <w:t>须在收到书面通知1周内更换</w:t>
      </w:r>
      <w:r>
        <w:rPr>
          <w:rFonts w:hint="eastAsia" w:ascii="宋体" w:hAnsi="宋体"/>
          <w:color w:val="auto"/>
          <w:szCs w:val="21"/>
          <w:highlight w:val="none"/>
          <w:lang w:val="en-US" w:eastAsia="zh-CN"/>
        </w:rPr>
        <w:t>服务</w:t>
      </w:r>
      <w:r>
        <w:rPr>
          <w:rFonts w:hint="eastAsia" w:ascii="宋体" w:hAnsi="宋体"/>
          <w:color w:val="auto"/>
          <w:szCs w:val="21"/>
          <w:highlight w:val="none"/>
        </w:rPr>
        <w:t>人员</w:t>
      </w:r>
      <w:r>
        <w:rPr>
          <w:rFonts w:hint="eastAsia" w:ascii="宋体" w:hAnsi="宋体"/>
          <w:color w:val="auto"/>
          <w:szCs w:val="21"/>
          <w:highlight w:val="none"/>
          <w:lang w:eastAsia="zh-CN"/>
        </w:rPr>
        <w:t>。</w:t>
      </w:r>
    </w:p>
    <w:p w14:paraId="120AD122">
      <w:pPr>
        <w:keepNext w:val="0"/>
        <w:keepLines w:val="0"/>
        <w:pageBreakBefore w:val="0"/>
        <w:widowControl w:val="0"/>
        <w:numPr>
          <w:ilvl w:val="0"/>
          <w:numId w:val="108"/>
        </w:numPr>
        <w:tabs>
          <w:tab w:val="left" w:pos="284"/>
        </w:tabs>
        <w:kinsoku/>
        <w:wordWrap/>
        <w:overflowPunct/>
        <w:topLinePunct w:val="0"/>
        <w:autoSpaceDE/>
        <w:autoSpaceDN/>
        <w:bidi w:val="0"/>
        <w:adjustRightInd/>
        <w:snapToGrid w:val="0"/>
        <w:spacing w:line="360" w:lineRule="auto"/>
        <w:ind w:left="270" w:leftChars="0" w:hanging="270" w:hangingChars="12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应为</w:t>
      </w:r>
      <w:r>
        <w:rPr>
          <w:rFonts w:hint="eastAsia" w:ascii="宋体" w:hAnsi="宋体"/>
          <w:color w:val="auto"/>
          <w:szCs w:val="21"/>
          <w:highlight w:val="none"/>
          <w:lang w:val="en-US" w:eastAsia="zh-CN"/>
        </w:rPr>
        <w:t>服务</w:t>
      </w:r>
      <w:r>
        <w:rPr>
          <w:rFonts w:hint="eastAsia" w:ascii="宋体" w:hAnsi="宋体"/>
          <w:color w:val="auto"/>
          <w:szCs w:val="21"/>
          <w:highlight w:val="none"/>
        </w:rPr>
        <w:t>人员购买必要的保险，对于</w:t>
      </w:r>
      <w:r>
        <w:rPr>
          <w:rFonts w:hint="eastAsia" w:ascii="宋体" w:hAnsi="宋体"/>
          <w:color w:val="auto"/>
          <w:szCs w:val="21"/>
          <w:highlight w:val="none"/>
          <w:lang w:val="en-US" w:eastAsia="zh-CN"/>
        </w:rPr>
        <w:t>服务</w:t>
      </w:r>
      <w:r>
        <w:rPr>
          <w:rFonts w:hint="eastAsia" w:ascii="宋体" w:hAnsi="宋体"/>
          <w:color w:val="auto"/>
          <w:szCs w:val="21"/>
          <w:highlight w:val="none"/>
        </w:rPr>
        <w:t>人员因为工作在</w:t>
      </w:r>
      <w:r>
        <w:rPr>
          <w:rFonts w:hint="eastAsia" w:ascii="宋体" w:hAnsi="宋体"/>
          <w:color w:val="auto"/>
          <w:szCs w:val="21"/>
          <w:highlight w:val="none"/>
          <w:lang w:val="en-US" w:eastAsia="zh-CN"/>
        </w:rPr>
        <w:t>本项目服务期间发生</w:t>
      </w:r>
      <w:r>
        <w:rPr>
          <w:rFonts w:hint="eastAsia" w:ascii="宋体" w:hAnsi="宋体"/>
          <w:color w:val="auto"/>
          <w:szCs w:val="21"/>
          <w:highlight w:val="none"/>
        </w:rPr>
        <w:t>的各种工伤、安全事件和事故，</w:t>
      </w:r>
      <w:r>
        <w:rPr>
          <w:rFonts w:hint="eastAsia" w:ascii="宋体" w:hAnsi="宋体"/>
          <w:color w:val="auto"/>
          <w:szCs w:val="21"/>
          <w:highlight w:val="none"/>
          <w:lang w:val="en-US" w:eastAsia="zh-CN"/>
        </w:rPr>
        <w:t>由乙方承担一切的法律和经济赔偿责任</w:t>
      </w:r>
      <w:r>
        <w:rPr>
          <w:rFonts w:hint="eastAsia" w:ascii="宋体" w:hAnsi="宋体"/>
          <w:color w:val="auto"/>
          <w:szCs w:val="21"/>
          <w:highlight w:val="none"/>
        </w:rPr>
        <w:t>。</w:t>
      </w:r>
    </w:p>
    <w:p w14:paraId="502BEDD7">
      <w:pPr>
        <w:numPr>
          <w:ilvl w:val="0"/>
          <w:numId w:val="10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设备要求：乙方须提供不少于1台吊臂车和1台小客车用于本项目运维服务。</w:t>
      </w:r>
    </w:p>
    <w:p w14:paraId="0E8E6DA7">
      <w:pPr>
        <w:numPr>
          <w:ilvl w:val="0"/>
          <w:numId w:val="106"/>
        </w:numPr>
        <w:tabs>
          <w:tab w:val="left" w:pos="284"/>
        </w:tabs>
        <w:snapToGrid w:val="0"/>
        <w:spacing w:line="360" w:lineRule="auto"/>
        <w:ind w:left="284" w:hanging="284"/>
        <w:contextualSpacing/>
        <w:rPr>
          <w:rFonts w:ascii="宋体" w:hAnsi="宋体"/>
          <w:b w:val="0"/>
          <w:bCs w:val="0"/>
          <w:color w:val="auto"/>
          <w:szCs w:val="21"/>
          <w:highlight w:val="none"/>
          <w:u w:val="none"/>
        </w:rPr>
      </w:pPr>
      <w:r>
        <w:rPr>
          <w:rFonts w:hint="eastAsia" w:ascii="宋体" w:hAnsi="宋体"/>
          <w:b w:val="0"/>
          <w:bCs w:val="0"/>
          <w:color w:val="auto"/>
          <w:szCs w:val="21"/>
          <w:highlight w:val="none"/>
          <w:u w:val="none"/>
          <w:lang w:val="en-US" w:eastAsia="zh-CN"/>
        </w:rPr>
        <w:t>保密要求（详见附件1：《保密协议》）</w:t>
      </w:r>
    </w:p>
    <w:p w14:paraId="245E0AD9">
      <w:pPr>
        <w:numPr>
          <w:ilvl w:val="0"/>
          <w:numId w:val="10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运维服务说明</w:t>
      </w:r>
    </w:p>
    <w:p w14:paraId="56FDBD55">
      <w:pPr>
        <w:keepNext w:val="0"/>
        <w:keepLines w:val="0"/>
        <w:pageBreakBefore w:val="0"/>
        <w:widowControl w:val="0"/>
        <w:numPr>
          <w:ilvl w:val="0"/>
          <w:numId w:val="109"/>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服务期内前端交通抓拍机、红外高清监控摄像机、全景球机、信号灯及相关配套设备需要维修且涉及原厂配件的，由货物原厂提供维修服务，维修期间由乙方提供备品替换使用。</w:t>
      </w:r>
    </w:p>
    <w:p w14:paraId="5039C8D5">
      <w:pPr>
        <w:keepNext w:val="0"/>
        <w:keepLines w:val="0"/>
        <w:pageBreakBefore w:val="0"/>
        <w:widowControl w:val="0"/>
        <w:numPr>
          <w:ilvl w:val="0"/>
          <w:numId w:val="109"/>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lang w:eastAsia="zh-CN"/>
        </w:rPr>
        <w:t>乙方</w:t>
      </w:r>
      <w:r>
        <w:rPr>
          <w:rFonts w:hint="eastAsia" w:ascii="宋体" w:hAnsi="宋体"/>
          <w:b w:val="0"/>
          <w:bCs w:val="0"/>
          <w:color w:val="auto"/>
          <w:szCs w:val="21"/>
          <w:highlight w:val="none"/>
          <w:u w:val="none"/>
        </w:rPr>
        <w:t>需对电子警察</w:t>
      </w:r>
      <w:r>
        <w:rPr>
          <w:rFonts w:hint="eastAsia" w:ascii="宋体" w:hAnsi="宋体"/>
          <w:b w:val="0"/>
          <w:bCs w:val="0"/>
          <w:color w:val="auto"/>
          <w:szCs w:val="21"/>
          <w:highlight w:val="none"/>
          <w:u w:val="none"/>
          <w:lang w:val="en-US" w:eastAsia="zh-CN"/>
        </w:rPr>
        <w:t>在线率</w:t>
      </w:r>
      <w:r>
        <w:rPr>
          <w:rFonts w:hint="eastAsia" w:ascii="宋体" w:hAnsi="宋体"/>
          <w:b w:val="0"/>
          <w:bCs w:val="0"/>
          <w:color w:val="auto"/>
          <w:szCs w:val="21"/>
          <w:highlight w:val="none"/>
          <w:u w:val="none"/>
          <w:lang w:eastAsia="zh-CN"/>
        </w:rPr>
        <w:t>、</w:t>
      </w:r>
      <w:r>
        <w:rPr>
          <w:rFonts w:hint="eastAsia" w:ascii="宋体" w:hAnsi="宋体"/>
          <w:b w:val="0"/>
          <w:bCs w:val="0"/>
          <w:color w:val="auto"/>
          <w:szCs w:val="21"/>
          <w:highlight w:val="none"/>
          <w:u w:val="none"/>
          <w:lang w:val="en-US" w:eastAsia="zh-CN"/>
        </w:rPr>
        <w:t>及时率和</w:t>
      </w:r>
      <w:r>
        <w:rPr>
          <w:rFonts w:hint="eastAsia" w:ascii="宋体" w:hAnsi="宋体"/>
          <w:b w:val="0"/>
          <w:bCs w:val="0"/>
          <w:color w:val="auto"/>
          <w:szCs w:val="21"/>
          <w:highlight w:val="none"/>
          <w:u w:val="none"/>
        </w:rPr>
        <w:t>道路交通信号灯</w:t>
      </w:r>
      <w:r>
        <w:rPr>
          <w:rFonts w:hint="eastAsia" w:ascii="宋体" w:hAnsi="宋体"/>
          <w:b w:val="0"/>
          <w:bCs w:val="0"/>
          <w:color w:val="auto"/>
          <w:szCs w:val="21"/>
          <w:highlight w:val="none"/>
          <w:u w:val="none"/>
          <w:lang w:val="en-US" w:eastAsia="zh-CN"/>
        </w:rPr>
        <w:t>联网率进行检查，检查频率不少于每天2次（即每天上午、下午各不少于1次）。检查由乙方指定专人负责，每次检查结果及数据反馈形式须按甲方要求进行汇总反馈。乙方各项巡检工作须形成对应工作台账，每次巡检结束后当日提交至甲方处存档备查。</w:t>
      </w:r>
    </w:p>
    <w:p w14:paraId="0C0D98DC">
      <w:pPr>
        <w:keepNext w:val="0"/>
        <w:keepLines w:val="0"/>
        <w:pageBreakBefore w:val="0"/>
        <w:widowControl w:val="0"/>
        <w:numPr>
          <w:ilvl w:val="0"/>
          <w:numId w:val="109"/>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lang w:val="en-US" w:eastAsia="zh-CN"/>
        </w:rPr>
        <w:t>本项目运维服务情况受东莞市公安局监督考核，乙方履约过程中出现被东莞市公安局发现问题并提出的情形的，每出现1次，按本项目合同总额的5%扣除乙方违约金，服务期内累计出现3次的，甲方有权追究乙方违约责任并解除本项目服务合同。</w:t>
      </w:r>
    </w:p>
    <w:p w14:paraId="0158BFC4">
      <w:pPr>
        <w:numPr>
          <w:ilvl w:val="0"/>
          <w:numId w:val="10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考核要求</w:t>
      </w:r>
    </w:p>
    <w:p w14:paraId="11D6554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服务评价内容包括但不限于服务绩效、服务人员素质及问题解决质量、服务管理规范化程度等，具体评价标准如下：</w:t>
      </w:r>
    </w:p>
    <w:p w14:paraId="32B103A1">
      <w:pPr>
        <w:keepNext w:val="0"/>
        <w:keepLines w:val="0"/>
        <w:pageBreakBefore w:val="0"/>
        <w:widowControl w:val="0"/>
        <w:numPr>
          <w:ilvl w:val="0"/>
          <w:numId w:val="110"/>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考核要求</w:t>
      </w:r>
      <w:r>
        <w:rPr>
          <w:rFonts w:hint="eastAsia" w:ascii="宋体" w:hAnsi="宋体"/>
          <w:color w:val="auto"/>
          <w:szCs w:val="21"/>
          <w:highlight w:val="none"/>
          <w:lang w:eastAsia="zh-CN"/>
        </w:rPr>
        <w:t>——</w:t>
      </w:r>
      <w:r>
        <w:rPr>
          <w:rFonts w:hint="eastAsia" w:ascii="宋体" w:hAnsi="宋体"/>
          <w:color w:val="auto"/>
          <w:szCs w:val="21"/>
          <w:highlight w:val="none"/>
        </w:rPr>
        <w:t>减分项</w:t>
      </w:r>
    </w:p>
    <w:tbl>
      <w:tblPr>
        <w:tblStyle w:val="80"/>
        <w:tblW w:w="500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32"/>
        <w:gridCol w:w="1132"/>
        <w:gridCol w:w="3839"/>
        <w:gridCol w:w="823"/>
        <w:gridCol w:w="2058"/>
      </w:tblGrid>
      <w:tr w14:paraId="2D470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1301" w:type="pct"/>
            <w:gridSpan w:val="2"/>
            <w:tcBorders>
              <w:bottom w:val="nil"/>
            </w:tcBorders>
            <w:vAlign w:val="center"/>
          </w:tcPr>
          <w:p w14:paraId="0358966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2"/>
                <w:sz w:val="21"/>
                <w:szCs w:val="21"/>
                <w:highlight w:val="none"/>
                <w:lang w:val="en-US" w:eastAsia="zh-CN"/>
              </w:rPr>
            </w:pPr>
            <w:r>
              <w:rPr>
                <w:rFonts w:hint="eastAsia" w:cs="宋体"/>
                <w:b/>
                <w:bCs/>
                <w:color w:val="auto"/>
                <w:spacing w:val="2"/>
                <w:sz w:val="21"/>
                <w:szCs w:val="21"/>
                <w:highlight w:val="none"/>
                <w:lang w:val="en-US" w:eastAsia="zh-CN"/>
              </w:rPr>
              <w:t>考核项目</w:t>
            </w:r>
          </w:p>
        </w:tc>
        <w:tc>
          <w:tcPr>
            <w:tcW w:w="2112" w:type="pct"/>
            <w:vAlign w:val="center"/>
          </w:tcPr>
          <w:p w14:paraId="0F327F8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3"/>
                <w:sz w:val="21"/>
                <w:szCs w:val="21"/>
                <w:highlight w:val="none"/>
                <w:lang w:val="en-US" w:eastAsia="zh-CN"/>
              </w:rPr>
            </w:pPr>
            <w:r>
              <w:rPr>
                <w:rFonts w:hint="eastAsia" w:cs="宋体"/>
                <w:b/>
                <w:bCs/>
                <w:color w:val="auto"/>
                <w:spacing w:val="-3"/>
                <w:sz w:val="21"/>
                <w:szCs w:val="21"/>
                <w:highlight w:val="none"/>
                <w:lang w:val="en-US" w:eastAsia="zh-CN"/>
              </w:rPr>
              <w:t>考核内容</w:t>
            </w:r>
          </w:p>
        </w:tc>
        <w:tc>
          <w:tcPr>
            <w:tcW w:w="453" w:type="pct"/>
            <w:vAlign w:val="center"/>
          </w:tcPr>
          <w:p w14:paraId="3C94AEE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b/>
                <w:bCs/>
                <w:color w:val="auto"/>
                <w:spacing w:val="-7"/>
                <w:sz w:val="21"/>
                <w:szCs w:val="21"/>
                <w:highlight w:val="none"/>
                <w:lang w:val="en-US" w:eastAsia="zh-CN"/>
              </w:rPr>
            </w:pPr>
            <w:r>
              <w:rPr>
                <w:rFonts w:hint="eastAsia" w:cs="宋体"/>
                <w:b/>
                <w:bCs/>
                <w:color w:val="auto"/>
                <w:spacing w:val="-7"/>
                <w:sz w:val="21"/>
                <w:szCs w:val="21"/>
                <w:highlight w:val="none"/>
                <w:lang w:val="en-US" w:eastAsia="zh-CN"/>
              </w:rPr>
              <w:t>分值</w:t>
            </w:r>
          </w:p>
        </w:tc>
        <w:tc>
          <w:tcPr>
            <w:tcW w:w="1132" w:type="pct"/>
            <w:vAlign w:val="center"/>
          </w:tcPr>
          <w:p w14:paraId="2151063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default" w:ascii="宋体" w:hAnsi="宋体" w:eastAsia="宋体" w:cs="宋体"/>
                <w:b/>
                <w:bCs/>
                <w:color w:val="auto"/>
                <w:spacing w:val="-2"/>
                <w:sz w:val="21"/>
                <w:szCs w:val="21"/>
                <w:highlight w:val="none"/>
                <w:lang w:val="en-US" w:eastAsia="zh-CN"/>
              </w:rPr>
            </w:pPr>
            <w:r>
              <w:rPr>
                <w:rFonts w:hint="eastAsia" w:cs="宋体"/>
                <w:b/>
                <w:bCs/>
                <w:color w:val="auto"/>
                <w:spacing w:val="-2"/>
                <w:sz w:val="21"/>
                <w:szCs w:val="21"/>
                <w:highlight w:val="none"/>
                <w:lang w:val="en-US" w:eastAsia="zh-CN"/>
              </w:rPr>
              <w:t>考核方法</w:t>
            </w:r>
          </w:p>
        </w:tc>
      </w:tr>
      <w:tr w14:paraId="06A0C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tcBorders>
              <w:bottom w:val="nil"/>
            </w:tcBorders>
            <w:vAlign w:val="center"/>
          </w:tcPr>
          <w:p w14:paraId="2B158916">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运维质量</w:t>
            </w:r>
          </w:p>
        </w:tc>
        <w:tc>
          <w:tcPr>
            <w:tcW w:w="623" w:type="pct"/>
            <w:vAlign w:val="center"/>
          </w:tcPr>
          <w:p w14:paraId="7D9184A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日巡查工作</w:t>
            </w:r>
            <w:r>
              <w:rPr>
                <w:rFonts w:hint="eastAsia" w:ascii="宋体" w:hAnsi="宋体" w:eastAsia="宋体" w:cs="宋体"/>
                <w:color w:val="auto"/>
                <w:spacing w:val="-3"/>
                <w:sz w:val="21"/>
                <w:szCs w:val="21"/>
                <w:highlight w:val="none"/>
              </w:rPr>
              <w:t>执行</w:t>
            </w:r>
          </w:p>
        </w:tc>
        <w:tc>
          <w:tcPr>
            <w:tcW w:w="2112" w:type="pct"/>
            <w:vAlign w:val="center"/>
          </w:tcPr>
          <w:p w14:paraId="1B3B1760">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每日未按运维服务要求开展巡查</w:t>
            </w:r>
            <w:r>
              <w:rPr>
                <w:rFonts w:hint="eastAsia" w:ascii="宋体" w:hAnsi="宋体" w:eastAsia="宋体" w:cs="宋体"/>
                <w:color w:val="auto"/>
                <w:spacing w:val="-2"/>
                <w:sz w:val="21"/>
                <w:szCs w:val="21"/>
                <w:highlight w:val="none"/>
                <w:lang w:eastAsia="zh-CN"/>
              </w:rPr>
              <w:t>工作，错、漏检一项每次扣</w:t>
            </w:r>
            <w:r>
              <w:rPr>
                <w:rFonts w:hint="eastAsia" w:cs="宋体"/>
                <w:color w:val="auto"/>
                <w:spacing w:val="-2"/>
                <w:sz w:val="21"/>
                <w:szCs w:val="21"/>
                <w:highlight w:val="none"/>
                <w:lang w:val="en-US" w:eastAsia="zh-CN"/>
              </w:rPr>
              <w:t>5</w:t>
            </w:r>
            <w:r>
              <w:rPr>
                <w:rFonts w:hint="eastAsia" w:ascii="宋体" w:hAnsi="宋体" w:eastAsia="宋体" w:cs="宋体"/>
                <w:color w:val="auto"/>
                <w:spacing w:val="-2"/>
                <w:sz w:val="21"/>
                <w:szCs w:val="21"/>
                <w:highlight w:val="none"/>
                <w:lang w:eastAsia="zh-CN"/>
              </w:rPr>
              <w:t>分。</w:t>
            </w:r>
          </w:p>
        </w:tc>
        <w:tc>
          <w:tcPr>
            <w:tcW w:w="453" w:type="pct"/>
            <w:vAlign w:val="center"/>
          </w:tcPr>
          <w:p w14:paraId="042D079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7"/>
                <w:sz w:val="21"/>
                <w:szCs w:val="21"/>
                <w:highlight w:val="none"/>
              </w:rPr>
              <w:t>1</w:t>
            </w:r>
            <w:r>
              <w:rPr>
                <w:rFonts w:hint="eastAsia" w:cs="宋体"/>
                <w:color w:val="auto"/>
                <w:spacing w:val="-7"/>
                <w:sz w:val="21"/>
                <w:szCs w:val="21"/>
                <w:highlight w:val="none"/>
                <w:lang w:val="en-US" w:eastAsia="zh-CN"/>
              </w:rPr>
              <w:t>5</w:t>
            </w:r>
          </w:p>
        </w:tc>
        <w:tc>
          <w:tcPr>
            <w:tcW w:w="1132" w:type="pct"/>
            <w:vAlign w:val="center"/>
          </w:tcPr>
          <w:p w14:paraId="69ABADE6">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lang w:eastAsia="zh-CN"/>
              </w:rPr>
              <w:t>通过运维管理</w:t>
            </w:r>
            <w:r>
              <w:rPr>
                <w:rFonts w:hint="eastAsia" w:ascii="宋体" w:hAnsi="宋体" w:eastAsia="宋体" w:cs="宋体"/>
                <w:color w:val="auto"/>
                <w:spacing w:val="1"/>
                <w:sz w:val="21"/>
                <w:szCs w:val="21"/>
                <w:highlight w:val="none"/>
                <w:lang w:eastAsia="zh-CN"/>
              </w:rPr>
              <w:t>系统和相关巡</w:t>
            </w:r>
            <w:r>
              <w:rPr>
                <w:rFonts w:hint="eastAsia" w:ascii="宋体" w:hAnsi="宋体" w:eastAsia="宋体" w:cs="宋体"/>
                <w:color w:val="auto"/>
                <w:spacing w:val="-2"/>
                <w:sz w:val="21"/>
                <w:szCs w:val="21"/>
                <w:highlight w:val="none"/>
              </w:rPr>
              <w:t>检日志检查</w:t>
            </w:r>
          </w:p>
        </w:tc>
      </w:tr>
      <w:tr w14:paraId="173EC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25CF96B0">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en-US"/>
              </w:rPr>
            </w:pPr>
          </w:p>
        </w:tc>
        <w:tc>
          <w:tcPr>
            <w:tcW w:w="623" w:type="pct"/>
            <w:vAlign w:val="center"/>
          </w:tcPr>
          <w:p w14:paraId="3270C56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文书质量</w:t>
            </w:r>
          </w:p>
        </w:tc>
        <w:tc>
          <w:tcPr>
            <w:tcW w:w="2112" w:type="pct"/>
            <w:vAlign w:val="center"/>
          </w:tcPr>
          <w:p w14:paraId="6437532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因文书质量被</w:t>
            </w:r>
            <w:r>
              <w:rPr>
                <w:rFonts w:hint="eastAsia"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驳回，被驳回3次及以上，每发生一次扣1分。</w:t>
            </w:r>
          </w:p>
        </w:tc>
        <w:tc>
          <w:tcPr>
            <w:tcW w:w="453" w:type="pct"/>
            <w:vAlign w:val="center"/>
          </w:tcPr>
          <w:p w14:paraId="75194A9B">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cs="宋体"/>
                <w:color w:val="auto"/>
                <w:spacing w:val="-7"/>
                <w:sz w:val="21"/>
                <w:szCs w:val="21"/>
                <w:highlight w:val="none"/>
                <w:lang w:val="en-US" w:eastAsia="zh-CN"/>
              </w:rPr>
              <w:t>5</w:t>
            </w:r>
          </w:p>
        </w:tc>
        <w:tc>
          <w:tcPr>
            <w:tcW w:w="1132" w:type="pct"/>
            <w:vAlign w:val="center"/>
          </w:tcPr>
          <w:p w14:paraId="16C3905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根据提交的相</w:t>
            </w:r>
            <w:r>
              <w:rPr>
                <w:rFonts w:hint="eastAsia" w:ascii="宋体" w:hAnsi="宋体" w:eastAsia="宋体" w:cs="宋体"/>
                <w:color w:val="auto"/>
                <w:spacing w:val="1"/>
                <w:sz w:val="21"/>
                <w:szCs w:val="21"/>
                <w:highlight w:val="none"/>
                <w:lang w:eastAsia="zh-CN"/>
              </w:rPr>
              <w:t>关报告，由</w:t>
            </w:r>
            <w:r>
              <w:rPr>
                <w:rFonts w:hint="eastAsia" w:cs="宋体"/>
                <w:color w:val="auto"/>
                <w:sz w:val="21"/>
                <w:szCs w:val="21"/>
                <w:highlight w:val="none"/>
                <w:lang w:val="en-US" w:eastAsia="zh-CN"/>
              </w:rPr>
              <w:t>甲方</w:t>
            </w:r>
            <w:r>
              <w:rPr>
                <w:rFonts w:hint="eastAsia" w:ascii="宋体" w:hAnsi="宋体" w:eastAsia="宋体" w:cs="宋体"/>
                <w:color w:val="auto"/>
                <w:spacing w:val="7"/>
                <w:sz w:val="21"/>
                <w:szCs w:val="21"/>
                <w:highlight w:val="none"/>
                <w:lang w:eastAsia="zh-CN"/>
              </w:rPr>
              <w:t>检查。</w:t>
            </w:r>
          </w:p>
        </w:tc>
      </w:tr>
      <w:tr w14:paraId="6CBE2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02372A36">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13E7D7E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运维月工作</w:t>
            </w:r>
            <w:r>
              <w:rPr>
                <w:rFonts w:hint="eastAsia" w:ascii="宋体" w:hAnsi="宋体" w:eastAsia="宋体" w:cs="宋体"/>
                <w:color w:val="auto"/>
                <w:spacing w:val="3"/>
                <w:sz w:val="21"/>
                <w:szCs w:val="21"/>
                <w:highlight w:val="none"/>
              </w:rPr>
              <w:t xml:space="preserve"> </w:t>
            </w:r>
            <w:r>
              <w:rPr>
                <w:rFonts w:hint="eastAsia" w:ascii="宋体" w:hAnsi="宋体" w:eastAsia="宋体" w:cs="宋体"/>
                <w:color w:val="auto"/>
                <w:spacing w:val="-3"/>
                <w:sz w:val="21"/>
                <w:szCs w:val="21"/>
                <w:highlight w:val="none"/>
              </w:rPr>
              <w:t>情况</w:t>
            </w:r>
          </w:p>
        </w:tc>
        <w:tc>
          <w:tcPr>
            <w:tcW w:w="2112" w:type="pct"/>
            <w:vAlign w:val="center"/>
          </w:tcPr>
          <w:p w14:paraId="69C3113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10日</w:t>
            </w:r>
            <w:r>
              <w:rPr>
                <w:rFonts w:hint="eastAsia" w:cs="宋体"/>
                <w:color w:val="auto"/>
                <w:spacing w:val="1"/>
                <w:sz w:val="21"/>
                <w:szCs w:val="21"/>
                <w:highlight w:val="none"/>
                <w:lang w:val="en-US" w:eastAsia="zh-CN"/>
              </w:rPr>
              <w:t>内</w:t>
            </w:r>
            <w:r>
              <w:rPr>
                <w:rFonts w:hint="eastAsia" w:ascii="宋体" w:hAnsi="宋体" w:eastAsia="宋体" w:cs="宋体"/>
                <w:color w:val="auto"/>
                <w:spacing w:val="1"/>
                <w:sz w:val="21"/>
                <w:szCs w:val="21"/>
                <w:highlight w:val="none"/>
                <w:lang w:eastAsia="zh-CN"/>
              </w:rPr>
              <w:t>未按时完成上月维护</w:t>
            </w:r>
            <w:r>
              <w:rPr>
                <w:rFonts w:hint="eastAsia" w:ascii="宋体" w:hAnsi="宋体" w:eastAsia="宋体" w:cs="宋体"/>
                <w:color w:val="auto"/>
                <w:sz w:val="21"/>
                <w:szCs w:val="21"/>
                <w:highlight w:val="none"/>
                <w:lang w:eastAsia="zh-CN"/>
              </w:rPr>
              <w:t>工作报告最终稿电子档，每次扣5</w:t>
            </w:r>
            <w:r>
              <w:rPr>
                <w:rFonts w:hint="eastAsia" w:ascii="宋体" w:hAnsi="宋体" w:eastAsia="宋体" w:cs="宋体"/>
                <w:color w:val="auto"/>
                <w:spacing w:val="49"/>
                <w:sz w:val="21"/>
                <w:szCs w:val="21"/>
                <w:highlight w:val="none"/>
                <w:lang w:eastAsia="zh-CN"/>
              </w:rPr>
              <w:t>分。</w:t>
            </w:r>
          </w:p>
        </w:tc>
        <w:tc>
          <w:tcPr>
            <w:tcW w:w="453" w:type="pct"/>
            <w:vAlign w:val="center"/>
          </w:tcPr>
          <w:p w14:paraId="43DF3397">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6C53CD3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由</w:t>
            </w:r>
            <w:r>
              <w:rPr>
                <w:rFonts w:hint="eastAsia" w:cs="宋体"/>
                <w:color w:val="auto"/>
                <w:sz w:val="21"/>
                <w:szCs w:val="21"/>
                <w:highlight w:val="none"/>
                <w:lang w:val="en-US" w:eastAsia="zh-CN"/>
              </w:rPr>
              <w:t>甲方</w:t>
            </w:r>
            <w:r>
              <w:rPr>
                <w:rFonts w:hint="eastAsia" w:ascii="宋体" w:hAnsi="宋体" w:eastAsia="宋体" w:cs="宋体"/>
                <w:color w:val="auto"/>
                <w:spacing w:val="1"/>
                <w:sz w:val="21"/>
                <w:szCs w:val="21"/>
                <w:highlight w:val="none"/>
                <w:lang w:eastAsia="zh-CN"/>
              </w:rPr>
              <w:t>根据每月工作情况打</w:t>
            </w:r>
            <w:r>
              <w:rPr>
                <w:rFonts w:hint="eastAsia" w:ascii="宋体" w:hAnsi="宋体" w:eastAsia="宋体" w:cs="宋体"/>
                <w:color w:val="auto"/>
                <w:spacing w:val="4"/>
                <w:sz w:val="21"/>
                <w:szCs w:val="21"/>
                <w:highlight w:val="none"/>
                <w:lang w:eastAsia="zh-CN"/>
              </w:rPr>
              <w:t>分。</w:t>
            </w:r>
          </w:p>
        </w:tc>
      </w:tr>
      <w:tr w14:paraId="4793E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tcBorders>
            <w:vAlign w:val="center"/>
          </w:tcPr>
          <w:p w14:paraId="040CD310">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361025A2">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事件预防</w:t>
            </w:r>
          </w:p>
        </w:tc>
        <w:tc>
          <w:tcPr>
            <w:tcW w:w="2112" w:type="pct"/>
            <w:vAlign w:val="center"/>
          </w:tcPr>
          <w:p w14:paraId="3DC5CBB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问题或故障在事后被确认为可预防的，运维人员未进行风险预警</w:t>
            </w:r>
            <w:r>
              <w:rPr>
                <w:rFonts w:hint="eastAsia" w:ascii="宋体" w:hAnsi="宋体" w:eastAsia="宋体" w:cs="宋体"/>
                <w:color w:val="auto"/>
                <w:spacing w:val="4"/>
                <w:sz w:val="21"/>
                <w:szCs w:val="21"/>
                <w:highlight w:val="none"/>
                <w:lang w:eastAsia="zh-CN"/>
              </w:rPr>
              <w:t>的，每次扣1分。</w:t>
            </w:r>
          </w:p>
        </w:tc>
        <w:tc>
          <w:tcPr>
            <w:tcW w:w="453" w:type="pct"/>
            <w:vAlign w:val="center"/>
          </w:tcPr>
          <w:p w14:paraId="227BDB9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06033A98">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发生事件后，</w:t>
            </w:r>
            <w:r>
              <w:rPr>
                <w:rFonts w:hint="eastAsia" w:ascii="宋体" w:hAnsi="宋体" w:eastAsia="宋体" w:cs="宋体"/>
                <w:color w:val="auto"/>
                <w:spacing w:val="-2"/>
                <w:sz w:val="21"/>
                <w:szCs w:val="21"/>
                <w:highlight w:val="none"/>
                <w:lang w:eastAsia="zh-CN"/>
              </w:rPr>
              <w:t>通过</w:t>
            </w:r>
            <w:r>
              <w:rPr>
                <w:rFonts w:hint="eastAsia" w:cs="宋体"/>
                <w:color w:val="auto"/>
                <w:sz w:val="21"/>
                <w:szCs w:val="21"/>
                <w:highlight w:val="none"/>
                <w:lang w:val="en-US" w:eastAsia="zh-CN"/>
              </w:rPr>
              <w:t>甲方</w:t>
            </w:r>
            <w:r>
              <w:rPr>
                <w:rFonts w:hint="eastAsia" w:ascii="宋体" w:hAnsi="宋体" w:eastAsia="宋体" w:cs="宋体"/>
                <w:color w:val="auto"/>
                <w:spacing w:val="-2"/>
                <w:sz w:val="21"/>
                <w:szCs w:val="21"/>
                <w:highlight w:val="none"/>
                <w:lang w:eastAsia="zh-CN"/>
              </w:rPr>
              <w:t>讨论</w:t>
            </w:r>
            <w:r>
              <w:rPr>
                <w:rFonts w:hint="eastAsia" w:ascii="宋体" w:hAnsi="宋体" w:eastAsia="宋体" w:cs="宋体"/>
                <w:color w:val="auto"/>
                <w:spacing w:val="7"/>
                <w:sz w:val="21"/>
                <w:szCs w:val="21"/>
                <w:highlight w:val="none"/>
                <w:lang w:eastAsia="zh-CN"/>
              </w:rPr>
              <w:t>形成意见。</w:t>
            </w:r>
          </w:p>
        </w:tc>
      </w:tr>
      <w:tr w14:paraId="4F421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tcBorders>
              <w:bottom w:val="nil"/>
            </w:tcBorders>
            <w:vAlign w:val="center"/>
          </w:tcPr>
          <w:p w14:paraId="6AA1D37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运维服务</w:t>
            </w:r>
          </w:p>
        </w:tc>
        <w:tc>
          <w:tcPr>
            <w:tcW w:w="623" w:type="pct"/>
            <w:vAlign w:val="center"/>
          </w:tcPr>
          <w:p w14:paraId="36B2067C">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运维事件响</w:t>
            </w:r>
            <w:r>
              <w:rPr>
                <w:rFonts w:hint="eastAsia" w:ascii="宋体" w:hAnsi="宋体" w:eastAsia="宋体" w:cs="宋体"/>
                <w:color w:val="auto"/>
                <w:sz w:val="21"/>
                <w:szCs w:val="21"/>
                <w:highlight w:val="none"/>
              </w:rPr>
              <w:t>应</w:t>
            </w:r>
          </w:p>
        </w:tc>
        <w:tc>
          <w:tcPr>
            <w:tcW w:w="2112" w:type="pct"/>
            <w:vAlign w:val="center"/>
          </w:tcPr>
          <w:p w14:paraId="0FB6A84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每出现1宗超时违约情况</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超时</w:t>
            </w:r>
            <w:r>
              <w:rPr>
                <w:rFonts w:hint="eastAsia" w:ascii="宋体" w:hAnsi="宋体" w:eastAsia="宋体" w:cs="宋体"/>
                <w:color w:val="auto"/>
                <w:spacing w:val="3"/>
                <w:sz w:val="21"/>
                <w:szCs w:val="21"/>
                <w:highlight w:val="none"/>
                <w:lang w:eastAsia="zh-CN"/>
              </w:rPr>
              <w:t>违约是指</w:t>
            </w:r>
            <w:r>
              <w:rPr>
                <w:rFonts w:hint="eastAsia" w:cs="宋体"/>
                <w:color w:val="auto"/>
                <w:spacing w:val="3"/>
                <w:sz w:val="21"/>
                <w:szCs w:val="21"/>
                <w:highlight w:val="none"/>
                <w:lang w:val="en-US" w:eastAsia="zh-CN"/>
              </w:rPr>
              <w:t>乙方</w:t>
            </w:r>
            <w:r>
              <w:rPr>
                <w:rFonts w:hint="eastAsia" w:ascii="宋体" w:hAnsi="宋体" w:eastAsia="宋体" w:cs="宋体"/>
                <w:color w:val="auto"/>
                <w:spacing w:val="3"/>
                <w:sz w:val="21"/>
                <w:szCs w:val="21"/>
                <w:highlight w:val="none"/>
                <w:lang w:eastAsia="zh-CN"/>
              </w:rPr>
              <w:t>接收到</w:t>
            </w:r>
            <w:r>
              <w:rPr>
                <w:rFonts w:hint="eastAsia" w:cs="宋体"/>
                <w:color w:val="auto"/>
                <w:sz w:val="21"/>
                <w:szCs w:val="21"/>
                <w:highlight w:val="none"/>
                <w:lang w:val="en-US" w:eastAsia="zh-CN"/>
              </w:rPr>
              <w:t>甲方</w:t>
            </w:r>
            <w:r>
              <w:rPr>
                <w:rFonts w:hint="eastAsia" w:ascii="宋体" w:hAnsi="宋体" w:eastAsia="宋体" w:cs="宋体"/>
                <w:color w:val="auto"/>
                <w:spacing w:val="3"/>
                <w:sz w:val="21"/>
                <w:szCs w:val="21"/>
                <w:highlight w:val="none"/>
                <w:lang w:eastAsia="zh-CN"/>
              </w:rPr>
              <w:t>故</w:t>
            </w:r>
            <w:r>
              <w:rPr>
                <w:rFonts w:hint="eastAsia" w:ascii="宋体" w:hAnsi="宋体" w:eastAsia="宋体" w:cs="宋体"/>
                <w:color w:val="auto"/>
                <w:spacing w:val="5"/>
                <w:sz w:val="21"/>
                <w:szCs w:val="21"/>
                <w:highlight w:val="none"/>
                <w:lang w:eastAsia="zh-CN"/>
              </w:rPr>
              <w:t>障报障时间起算，未按合同要求响应超时、到场超时、修复超时</w:t>
            </w:r>
            <w:r>
              <w:rPr>
                <w:rFonts w:hint="eastAsia" w:ascii="宋体" w:hAnsi="宋体" w:eastAsia="宋体" w:cs="宋体"/>
                <w:color w:val="auto"/>
                <w:spacing w:val="4"/>
                <w:sz w:val="21"/>
                <w:szCs w:val="21"/>
                <w:highlight w:val="none"/>
                <w:lang w:eastAsia="zh-CN"/>
              </w:rPr>
              <w:t>均计为超时违约</w:t>
            </w:r>
            <w:r>
              <w:rPr>
                <w:rFonts w:hint="eastAsia" w:cs="宋体"/>
                <w:color w:val="auto"/>
                <w:sz w:val="21"/>
                <w:szCs w:val="21"/>
                <w:highlight w:val="none"/>
                <w:lang w:eastAsia="zh-CN"/>
              </w:rPr>
              <w:t>）</w:t>
            </w:r>
            <w:r>
              <w:rPr>
                <w:rFonts w:hint="eastAsia" w:ascii="宋体" w:hAnsi="宋体" w:eastAsia="宋体" w:cs="宋体"/>
                <w:color w:val="auto"/>
                <w:spacing w:val="4"/>
                <w:sz w:val="21"/>
                <w:szCs w:val="21"/>
                <w:highlight w:val="none"/>
                <w:lang w:eastAsia="zh-CN"/>
              </w:rPr>
              <w:t>的，每次扣1.5</w:t>
            </w:r>
            <w:r>
              <w:rPr>
                <w:rFonts w:hint="eastAsia" w:ascii="宋体" w:hAnsi="宋体" w:eastAsia="宋体" w:cs="宋体"/>
                <w:color w:val="auto"/>
                <w:sz w:val="21"/>
                <w:szCs w:val="21"/>
                <w:highlight w:val="none"/>
                <w:lang w:eastAsia="zh-CN"/>
              </w:rPr>
              <w:t>分；当月同一原因故障重复出现3</w:t>
            </w:r>
            <w:r>
              <w:rPr>
                <w:rFonts w:hint="eastAsia" w:ascii="宋体" w:hAnsi="宋体" w:eastAsia="宋体" w:cs="宋体"/>
                <w:color w:val="auto"/>
                <w:spacing w:val="12"/>
                <w:sz w:val="21"/>
                <w:szCs w:val="21"/>
                <w:highlight w:val="none"/>
                <w:lang w:eastAsia="zh-CN"/>
              </w:rPr>
              <w:t xml:space="preserve"> </w:t>
            </w:r>
            <w:r>
              <w:rPr>
                <w:rFonts w:hint="eastAsia" w:ascii="宋体" w:hAnsi="宋体" w:eastAsia="宋体" w:cs="宋体"/>
                <w:color w:val="auto"/>
                <w:spacing w:val="6"/>
                <w:sz w:val="21"/>
                <w:szCs w:val="21"/>
                <w:highlight w:val="none"/>
                <w:lang w:eastAsia="zh-CN"/>
              </w:rPr>
              <w:t>次或以上</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lang w:eastAsia="zh-CN"/>
              </w:rPr>
              <w:t>含3次</w:t>
            </w:r>
            <w:r>
              <w:rPr>
                <w:rFonts w:hint="eastAsia" w:cs="宋体"/>
                <w:color w:val="auto"/>
                <w:sz w:val="21"/>
                <w:szCs w:val="21"/>
                <w:highlight w:val="none"/>
                <w:lang w:eastAsia="zh-CN"/>
              </w:rPr>
              <w:t>）</w:t>
            </w:r>
            <w:r>
              <w:rPr>
                <w:rFonts w:hint="eastAsia" w:cs="宋体"/>
                <w:color w:val="auto"/>
                <w:spacing w:val="6"/>
                <w:sz w:val="21"/>
                <w:szCs w:val="21"/>
                <w:highlight w:val="none"/>
                <w:lang w:eastAsia="zh-CN"/>
              </w:rPr>
              <w:t>，</w:t>
            </w:r>
            <w:r>
              <w:rPr>
                <w:rFonts w:hint="eastAsia" w:ascii="宋体" w:hAnsi="宋体" w:eastAsia="宋体" w:cs="宋体"/>
                <w:color w:val="auto"/>
                <w:spacing w:val="6"/>
                <w:sz w:val="21"/>
                <w:szCs w:val="21"/>
                <w:highlight w:val="none"/>
                <w:lang w:eastAsia="zh-CN"/>
              </w:rPr>
              <w:t>每次扣0.5</w:t>
            </w:r>
            <w:r>
              <w:rPr>
                <w:rFonts w:hint="eastAsia" w:ascii="宋体" w:hAnsi="宋体" w:eastAsia="宋体" w:cs="宋体"/>
                <w:color w:val="auto"/>
                <w:sz w:val="21"/>
                <w:szCs w:val="21"/>
                <w:highlight w:val="none"/>
                <w:lang w:eastAsia="zh-CN"/>
              </w:rPr>
              <w:t>分；出现申请故障及服务延时20</w:t>
            </w:r>
            <w:r>
              <w:rPr>
                <w:rFonts w:hint="eastAsia" w:ascii="宋体" w:hAnsi="宋体" w:eastAsia="宋体" w:cs="宋体"/>
                <w:color w:val="auto"/>
                <w:spacing w:val="-1"/>
                <w:sz w:val="21"/>
                <w:szCs w:val="21"/>
                <w:highlight w:val="none"/>
                <w:lang w:eastAsia="zh-CN"/>
              </w:rPr>
              <w:t>单以内不扣分，超过20单后，每</w:t>
            </w:r>
            <w:r>
              <w:rPr>
                <w:rFonts w:hint="eastAsia" w:ascii="宋体" w:hAnsi="宋体" w:eastAsia="宋体" w:cs="宋体"/>
                <w:color w:val="auto"/>
                <w:spacing w:val="4"/>
                <w:sz w:val="21"/>
                <w:szCs w:val="21"/>
                <w:highlight w:val="none"/>
                <w:lang w:eastAsia="zh-CN"/>
              </w:rPr>
              <w:t>增加一单扣0.1分。</w:t>
            </w:r>
          </w:p>
        </w:tc>
        <w:tc>
          <w:tcPr>
            <w:tcW w:w="453" w:type="pct"/>
            <w:vAlign w:val="center"/>
          </w:tcPr>
          <w:p w14:paraId="1C9D9FB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15</w:t>
            </w:r>
          </w:p>
        </w:tc>
        <w:tc>
          <w:tcPr>
            <w:tcW w:w="1132" w:type="pct"/>
            <w:vAlign w:val="center"/>
          </w:tcPr>
          <w:p w14:paraId="5E62394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检查处理工单及有关电话记</w:t>
            </w:r>
            <w:r>
              <w:rPr>
                <w:rFonts w:hint="eastAsia" w:ascii="宋体" w:hAnsi="宋体" w:eastAsia="宋体" w:cs="宋体"/>
                <w:color w:val="auto"/>
                <w:spacing w:val="9"/>
                <w:sz w:val="21"/>
                <w:szCs w:val="21"/>
                <w:highlight w:val="none"/>
                <w:lang w:eastAsia="zh-CN"/>
              </w:rPr>
              <w:t>录。</w:t>
            </w:r>
          </w:p>
        </w:tc>
      </w:tr>
      <w:tr w14:paraId="3A79E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bottom w:val="nil"/>
            </w:tcBorders>
            <w:vAlign w:val="center"/>
          </w:tcPr>
          <w:p w14:paraId="22A7AAC1">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4679F58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核心设备及</w:t>
            </w:r>
            <w:r>
              <w:rPr>
                <w:rFonts w:hint="eastAsia" w:ascii="宋体" w:hAnsi="宋体" w:eastAsia="宋体" w:cs="宋体"/>
                <w:color w:val="auto"/>
                <w:spacing w:val="-2"/>
                <w:sz w:val="21"/>
                <w:szCs w:val="21"/>
                <w:highlight w:val="none"/>
                <w:lang w:eastAsia="zh-CN"/>
              </w:rPr>
              <w:t>重要系统运</w:t>
            </w:r>
            <w:r>
              <w:rPr>
                <w:rFonts w:hint="eastAsia" w:ascii="宋体" w:hAnsi="宋体" w:eastAsia="宋体" w:cs="宋体"/>
                <w:color w:val="auto"/>
                <w:spacing w:val="3"/>
                <w:sz w:val="21"/>
                <w:szCs w:val="21"/>
                <w:highlight w:val="none"/>
                <w:lang w:eastAsia="zh-CN"/>
              </w:rPr>
              <w:t>维保障</w:t>
            </w:r>
          </w:p>
        </w:tc>
        <w:tc>
          <w:tcPr>
            <w:tcW w:w="2112" w:type="pct"/>
            <w:vAlign w:val="center"/>
          </w:tcPr>
          <w:p w14:paraId="08E95C36">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当本项目主要设备(包括网络、</w:t>
            </w:r>
            <w:r>
              <w:rPr>
                <w:rFonts w:hint="eastAsia" w:ascii="宋体" w:hAnsi="宋体" w:eastAsia="宋体" w:cs="宋体"/>
                <w:color w:val="auto"/>
                <w:spacing w:val="2"/>
                <w:sz w:val="21"/>
                <w:szCs w:val="21"/>
                <w:highlight w:val="none"/>
                <w:lang w:eastAsia="zh-CN"/>
              </w:rPr>
              <w:t>服务器及存储硬件、安全等设备)</w:t>
            </w:r>
            <w:r>
              <w:rPr>
                <w:rFonts w:hint="eastAsia" w:ascii="宋体" w:hAnsi="宋体" w:eastAsia="宋体" w:cs="宋体"/>
                <w:color w:val="auto"/>
                <w:spacing w:val="5"/>
                <w:sz w:val="21"/>
                <w:szCs w:val="21"/>
                <w:highlight w:val="none"/>
                <w:lang w:eastAsia="zh-CN"/>
              </w:rPr>
              <w:t>出现整机崩溃、宕机或信号灯、</w:t>
            </w:r>
            <w:r>
              <w:rPr>
                <w:rFonts w:hint="eastAsia" w:ascii="宋体" w:hAnsi="宋体" w:eastAsia="宋体" w:cs="宋体"/>
                <w:color w:val="auto"/>
                <w:spacing w:val="-2"/>
                <w:sz w:val="21"/>
                <w:szCs w:val="21"/>
                <w:highlight w:val="none"/>
                <w:lang w:eastAsia="zh-CN"/>
              </w:rPr>
              <w:t>电子警察设备出现大面积瘫痪等</w:t>
            </w:r>
            <w:r>
              <w:rPr>
                <w:rFonts w:hint="eastAsia" w:ascii="宋体" w:hAnsi="宋体" w:eastAsia="宋体" w:cs="宋体"/>
                <w:color w:val="auto"/>
                <w:sz w:val="21"/>
                <w:szCs w:val="21"/>
                <w:highlight w:val="none"/>
                <w:lang w:eastAsia="zh-CN"/>
              </w:rPr>
              <w:t>紧急故障时，需要按规定时间内修复，超时未完成修复的，每出</w:t>
            </w:r>
            <w:r>
              <w:rPr>
                <w:rFonts w:hint="eastAsia" w:ascii="宋体" w:hAnsi="宋体" w:eastAsia="宋体" w:cs="宋体"/>
                <w:color w:val="auto"/>
                <w:spacing w:val="2"/>
                <w:sz w:val="21"/>
                <w:szCs w:val="21"/>
                <w:highlight w:val="none"/>
                <w:lang w:eastAsia="zh-CN"/>
              </w:rPr>
              <w:t>现一次超时扣5分；如果判定在</w:t>
            </w:r>
            <w:r>
              <w:rPr>
                <w:rFonts w:hint="eastAsia" w:ascii="宋体" w:hAnsi="宋体" w:eastAsia="宋体" w:cs="宋体"/>
                <w:color w:val="auto"/>
                <w:spacing w:val="-1"/>
                <w:sz w:val="21"/>
                <w:szCs w:val="21"/>
                <w:highlight w:val="none"/>
                <w:lang w:eastAsia="zh-CN"/>
              </w:rPr>
              <w:t>短时间内无法修复，根据业务的需要，形成书面报告，报送</w:t>
            </w:r>
            <w:r>
              <w:rPr>
                <w:rFonts w:hint="eastAsia" w:cs="宋体"/>
                <w:color w:val="auto"/>
                <w:sz w:val="21"/>
                <w:szCs w:val="21"/>
                <w:highlight w:val="none"/>
                <w:lang w:val="en-US" w:eastAsia="zh-CN"/>
              </w:rPr>
              <w:t>甲方</w:t>
            </w:r>
            <w:r>
              <w:rPr>
                <w:rFonts w:hint="eastAsia" w:ascii="宋体" w:hAnsi="宋体" w:eastAsia="宋体" w:cs="宋体"/>
                <w:color w:val="auto"/>
                <w:spacing w:val="3"/>
                <w:sz w:val="21"/>
                <w:szCs w:val="21"/>
                <w:highlight w:val="none"/>
                <w:lang w:eastAsia="zh-CN"/>
              </w:rPr>
              <w:t>并给出解决方案，未报告的扣1</w:t>
            </w:r>
            <w:r>
              <w:rPr>
                <w:rFonts w:hint="eastAsia" w:ascii="宋体" w:hAnsi="宋体" w:eastAsia="宋体" w:cs="宋体"/>
                <w:color w:val="auto"/>
                <w:spacing w:val="8"/>
                <w:sz w:val="21"/>
                <w:szCs w:val="21"/>
                <w:highlight w:val="none"/>
                <w:lang w:eastAsia="zh-CN"/>
              </w:rPr>
              <w:t>分。</w:t>
            </w:r>
          </w:p>
        </w:tc>
        <w:tc>
          <w:tcPr>
            <w:tcW w:w="453" w:type="pct"/>
            <w:vAlign w:val="center"/>
          </w:tcPr>
          <w:p w14:paraId="22E28861">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15</w:t>
            </w:r>
          </w:p>
        </w:tc>
        <w:tc>
          <w:tcPr>
            <w:tcW w:w="1132" w:type="pct"/>
            <w:vAlign w:val="center"/>
          </w:tcPr>
          <w:p w14:paraId="60DD872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发生事件后，</w:t>
            </w:r>
            <w:r>
              <w:rPr>
                <w:rFonts w:hint="eastAsia" w:ascii="宋体" w:hAnsi="宋体" w:eastAsia="宋体" w:cs="宋体"/>
                <w:color w:val="auto"/>
                <w:spacing w:val="-2"/>
                <w:sz w:val="21"/>
                <w:szCs w:val="21"/>
                <w:highlight w:val="none"/>
                <w:lang w:eastAsia="zh-CN"/>
              </w:rPr>
              <w:t>通过</w:t>
            </w:r>
            <w:r>
              <w:rPr>
                <w:rFonts w:hint="eastAsia" w:cs="宋体"/>
                <w:color w:val="auto"/>
                <w:sz w:val="21"/>
                <w:szCs w:val="21"/>
                <w:highlight w:val="none"/>
                <w:lang w:val="en-US" w:eastAsia="zh-CN"/>
              </w:rPr>
              <w:t>甲方</w:t>
            </w:r>
            <w:r>
              <w:rPr>
                <w:rFonts w:hint="eastAsia" w:ascii="宋体" w:hAnsi="宋体" w:eastAsia="宋体" w:cs="宋体"/>
                <w:color w:val="auto"/>
                <w:spacing w:val="-2"/>
                <w:sz w:val="21"/>
                <w:szCs w:val="21"/>
                <w:highlight w:val="none"/>
                <w:lang w:eastAsia="zh-CN"/>
              </w:rPr>
              <w:t>讨论</w:t>
            </w:r>
            <w:r>
              <w:rPr>
                <w:rFonts w:hint="eastAsia" w:ascii="宋体" w:hAnsi="宋体" w:eastAsia="宋体" w:cs="宋体"/>
                <w:color w:val="auto"/>
                <w:spacing w:val="5"/>
                <w:sz w:val="21"/>
                <w:szCs w:val="21"/>
                <w:highlight w:val="none"/>
                <w:lang w:eastAsia="zh-CN"/>
              </w:rPr>
              <w:t>形成意见。</w:t>
            </w:r>
          </w:p>
        </w:tc>
      </w:tr>
      <w:tr w14:paraId="5E5D0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Borders>
              <w:top w:val="nil"/>
            </w:tcBorders>
            <w:vAlign w:val="center"/>
          </w:tcPr>
          <w:p w14:paraId="3590C582">
            <w:pPr>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snapToGrid w:val="0"/>
                <w:color w:val="auto"/>
                <w:kern w:val="0"/>
                <w:sz w:val="21"/>
                <w:szCs w:val="21"/>
                <w:highlight w:val="none"/>
                <w:lang w:eastAsia="zh-CN"/>
              </w:rPr>
            </w:pPr>
          </w:p>
        </w:tc>
        <w:tc>
          <w:tcPr>
            <w:tcW w:w="623" w:type="pct"/>
            <w:vAlign w:val="center"/>
          </w:tcPr>
          <w:p w14:paraId="342FD642">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服务态度</w:t>
            </w:r>
          </w:p>
        </w:tc>
        <w:tc>
          <w:tcPr>
            <w:tcW w:w="2112" w:type="pct"/>
            <w:vAlign w:val="center"/>
          </w:tcPr>
          <w:p w14:paraId="46CDF6BE">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w:t>
            </w:r>
            <w:r>
              <w:rPr>
                <w:rFonts w:hint="eastAsia" w:ascii="宋体" w:hAnsi="宋体" w:eastAsia="宋体" w:cs="宋体"/>
                <w:color w:val="auto"/>
                <w:spacing w:val="-6"/>
                <w:sz w:val="21"/>
                <w:szCs w:val="21"/>
                <w:highlight w:val="none"/>
                <w:lang w:eastAsia="zh-CN"/>
              </w:rPr>
              <w:t>服务态度恶劣，消极怠工，</w:t>
            </w:r>
            <w:r>
              <w:rPr>
                <w:rFonts w:hint="eastAsia" w:ascii="宋体" w:hAnsi="宋体" w:eastAsia="宋体" w:cs="宋体"/>
                <w:color w:val="auto"/>
                <w:sz w:val="21"/>
                <w:szCs w:val="21"/>
                <w:highlight w:val="none"/>
                <w:lang w:eastAsia="zh-CN"/>
              </w:rPr>
              <w:t>影响有关工作开展的，每次扣5分，连续两次以上，除扣分外，</w:t>
            </w:r>
            <w:r>
              <w:rPr>
                <w:rFonts w:hint="eastAsia" w:ascii="宋体" w:hAnsi="宋体" w:eastAsia="宋体" w:cs="宋体"/>
                <w:color w:val="auto"/>
                <w:spacing w:val="5"/>
                <w:sz w:val="21"/>
                <w:szCs w:val="21"/>
                <w:highlight w:val="none"/>
                <w:lang w:eastAsia="zh-CN"/>
              </w:rPr>
              <w:t>可要求</w:t>
            </w:r>
            <w:r>
              <w:rPr>
                <w:rFonts w:hint="eastAsia" w:cs="宋体"/>
                <w:color w:val="auto"/>
                <w:spacing w:val="5"/>
                <w:sz w:val="21"/>
                <w:szCs w:val="21"/>
                <w:highlight w:val="none"/>
                <w:lang w:val="en-US" w:eastAsia="zh-CN"/>
              </w:rPr>
              <w:t>乙方</w:t>
            </w:r>
            <w:r>
              <w:rPr>
                <w:rFonts w:hint="eastAsia" w:ascii="宋体" w:hAnsi="宋体" w:eastAsia="宋体" w:cs="宋体"/>
                <w:color w:val="auto"/>
                <w:spacing w:val="5"/>
                <w:sz w:val="21"/>
                <w:szCs w:val="21"/>
                <w:highlight w:val="none"/>
                <w:lang w:eastAsia="zh-CN"/>
              </w:rPr>
              <w:t>更换</w:t>
            </w:r>
            <w:r>
              <w:rPr>
                <w:rFonts w:hint="eastAsia" w:cs="宋体"/>
                <w:color w:val="auto"/>
                <w:spacing w:val="5"/>
                <w:sz w:val="21"/>
                <w:szCs w:val="21"/>
                <w:highlight w:val="none"/>
                <w:lang w:val="en-US" w:eastAsia="zh-CN"/>
              </w:rPr>
              <w:t>服务</w:t>
            </w:r>
            <w:r>
              <w:rPr>
                <w:rFonts w:hint="eastAsia" w:ascii="宋体" w:hAnsi="宋体" w:eastAsia="宋体" w:cs="宋体"/>
                <w:color w:val="auto"/>
                <w:spacing w:val="5"/>
                <w:sz w:val="21"/>
                <w:szCs w:val="21"/>
                <w:highlight w:val="none"/>
                <w:lang w:eastAsia="zh-CN"/>
              </w:rPr>
              <w:t>人员</w:t>
            </w:r>
            <w:r>
              <w:rPr>
                <w:rFonts w:hint="eastAsia" w:ascii="宋体" w:hAnsi="宋体" w:eastAsia="宋体" w:cs="宋体"/>
                <w:color w:val="auto"/>
                <w:spacing w:val="-2"/>
                <w:sz w:val="21"/>
                <w:szCs w:val="21"/>
                <w:highlight w:val="none"/>
                <w:lang w:eastAsia="zh-CN"/>
              </w:rPr>
              <w:t>。</w:t>
            </w:r>
          </w:p>
        </w:tc>
        <w:tc>
          <w:tcPr>
            <w:tcW w:w="453" w:type="pct"/>
            <w:vAlign w:val="center"/>
          </w:tcPr>
          <w:p w14:paraId="781802C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2151403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以投诉的事实</w:t>
            </w:r>
            <w:r>
              <w:rPr>
                <w:rFonts w:hint="eastAsia" w:ascii="宋体" w:hAnsi="宋体" w:eastAsia="宋体" w:cs="宋体"/>
                <w:color w:val="auto"/>
                <w:spacing w:val="-1"/>
                <w:sz w:val="21"/>
                <w:szCs w:val="21"/>
                <w:highlight w:val="none"/>
                <w:lang w:eastAsia="zh-CN"/>
              </w:rPr>
              <w:t>为考核依据。</w:t>
            </w:r>
          </w:p>
        </w:tc>
      </w:tr>
      <w:tr w14:paraId="467B8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restart"/>
            <w:vAlign w:val="center"/>
          </w:tcPr>
          <w:p w14:paraId="106B9AFD">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运维管理</w:t>
            </w:r>
          </w:p>
        </w:tc>
        <w:tc>
          <w:tcPr>
            <w:tcW w:w="623" w:type="pct"/>
            <w:vAlign w:val="center"/>
          </w:tcPr>
          <w:p w14:paraId="7C87E7D8">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人为失误</w:t>
            </w:r>
          </w:p>
        </w:tc>
        <w:tc>
          <w:tcPr>
            <w:tcW w:w="2112" w:type="pct"/>
            <w:vAlign w:val="center"/>
          </w:tcPr>
          <w:p w14:paraId="76B86470">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由于</w:t>
            </w:r>
            <w:r>
              <w:rPr>
                <w:rFonts w:hint="eastAsia" w:cs="宋体"/>
                <w:color w:val="auto"/>
                <w:spacing w:val="1"/>
                <w:sz w:val="21"/>
                <w:szCs w:val="21"/>
                <w:highlight w:val="none"/>
                <w:lang w:val="en-US" w:eastAsia="zh-CN"/>
              </w:rPr>
              <w:t>服务</w:t>
            </w:r>
            <w:r>
              <w:rPr>
                <w:rFonts w:hint="eastAsia" w:ascii="宋体" w:hAnsi="宋体" w:eastAsia="宋体" w:cs="宋体"/>
                <w:color w:val="auto"/>
                <w:spacing w:val="1"/>
                <w:sz w:val="21"/>
                <w:szCs w:val="21"/>
                <w:highlight w:val="none"/>
                <w:lang w:eastAsia="zh-CN"/>
              </w:rPr>
              <w:t>人员操作失误，导致系</w:t>
            </w:r>
            <w:r>
              <w:rPr>
                <w:rFonts w:hint="eastAsia" w:ascii="宋体" w:hAnsi="宋体" w:eastAsia="宋体" w:cs="宋体"/>
                <w:color w:val="auto"/>
                <w:sz w:val="21"/>
                <w:szCs w:val="21"/>
                <w:highlight w:val="none"/>
                <w:lang w:eastAsia="zh-CN"/>
              </w:rPr>
              <w:t>统无法正常运行影</w:t>
            </w:r>
            <w:r>
              <w:rPr>
                <w:rFonts w:hint="eastAsia" w:ascii="宋体" w:hAnsi="宋体" w:eastAsia="宋体" w:cs="宋体"/>
                <w:b w:val="0"/>
                <w:bCs w:val="0"/>
                <w:color w:val="auto"/>
                <w:sz w:val="21"/>
                <w:szCs w:val="21"/>
                <w:highlight w:val="none"/>
                <w:lang w:eastAsia="zh-CN"/>
              </w:rPr>
              <w:t>响运维服务</w:t>
            </w:r>
            <w:r>
              <w:rPr>
                <w:rFonts w:hint="eastAsia" w:ascii="宋体" w:hAnsi="宋体" w:eastAsia="宋体" w:cs="宋体"/>
                <w:b w:val="0"/>
                <w:bCs w:val="0"/>
                <w:color w:val="auto"/>
                <w:spacing w:val="-3"/>
                <w:sz w:val="21"/>
                <w:szCs w:val="21"/>
                <w:highlight w:val="none"/>
                <w:lang w:eastAsia="zh-CN"/>
              </w:rPr>
              <w:t>的，每次扣2-5分。</w:t>
            </w:r>
          </w:p>
        </w:tc>
        <w:tc>
          <w:tcPr>
            <w:tcW w:w="453" w:type="pct"/>
            <w:vAlign w:val="center"/>
          </w:tcPr>
          <w:p w14:paraId="7C7A3395">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10</w:t>
            </w:r>
          </w:p>
        </w:tc>
        <w:tc>
          <w:tcPr>
            <w:tcW w:w="1132" w:type="pct"/>
            <w:vAlign w:val="center"/>
          </w:tcPr>
          <w:p w14:paraId="74896FBF">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由</w:t>
            </w:r>
            <w:r>
              <w:rPr>
                <w:rFonts w:hint="eastAsia"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提出</w:t>
            </w:r>
            <w:r>
              <w:rPr>
                <w:rFonts w:hint="eastAsia" w:cs="宋体"/>
                <w:color w:val="auto"/>
                <w:sz w:val="21"/>
                <w:szCs w:val="21"/>
                <w:highlight w:val="none"/>
                <w:lang w:eastAsia="zh-CN"/>
              </w:rPr>
              <w:t>，</w:t>
            </w:r>
            <w:r>
              <w:rPr>
                <w:rFonts w:hint="eastAsia" w:ascii="宋体" w:hAnsi="宋体" w:eastAsia="宋体" w:cs="宋体"/>
                <w:color w:val="auto"/>
                <w:spacing w:val="-2"/>
                <w:sz w:val="21"/>
                <w:szCs w:val="21"/>
                <w:highlight w:val="none"/>
                <w:lang w:eastAsia="zh-CN"/>
              </w:rPr>
              <w:t>经</w:t>
            </w:r>
            <w:r>
              <w:rPr>
                <w:rFonts w:hint="eastAsia" w:cs="宋体"/>
                <w:color w:val="auto"/>
                <w:spacing w:val="-2"/>
                <w:sz w:val="21"/>
                <w:szCs w:val="21"/>
                <w:highlight w:val="none"/>
                <w:lang w:val="en-US" w:eastAsia="zh-CN"/>
              </w:rPr>
              <w:t>相关</w:t>
            </w:r>
            <w:r>
              <w:rPr>
                <w:rFonts w:hint="eastAsia" w:ascii="宋体" w:hAnsi="宋体" w:eastAsia="宋体" w:cs="宋体"/>
                <w:color w:val="auto"/>
                <w:spacing w:val="-2"/>
                <w:sz w:val="21"/>
                <w:szCs w:val="21"/>
                <w:highlight w:val="none"/>
                <w:lang w:eastAsia="zh-CN"/>
              </w:rPr>
              <w:t>科室讨论决定。</w:t>
            </w:r>
          </w:p>
        </w:tc>
      </w:tr>
      <w:tr w14:paraId="78614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678" w:type="pct"/>
            <w:vMerge w:val="continue"/>
          </w:tcPr>
          <w:p w14:paraId="7BF97E93">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rPr>
                <w:rFonts w:hint="eastAsia" w:ascii="宋体" w:hAnsi="宋体" w:eastAsia="宋体" w:cs="宋体"/>
                <w:color w:val="auto"/>
                <w:spacing w:val="-2"/>
                <w:sz w:val="21"/>
                <w:szCs w:val="21"/>
                <w:highlight w:val="none"/>
                <w:lang w:eastAsia="zh-CN"/>
              </w:rPr>
            </w:pPr>
          </w:p>
        </w:tc>
        <w:tc>
          <w:tcPr>
            <w:tcW w:w="623" w:type="pct"/>
            <w:vAlign w:val="center"/>
          </w:tcPr>
          <w:p w14:paraId="3242E679">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pacing w:val="2"/>
                <w:sz w:val="21"/>
                <w:szCs w:val="21"/>
                <w:highlight w:val="none"/>
              </w:rPr>
            </w:pPr>
            <w:r>
              <w:rPr>
                <w:rFonts w:hint="eastAsia" w:ascii="宋体" w:hAnsi="宋体" w:eastAsia="宋体" w:cs="宋体"/>
                <w:color w:val="auto"/>
                <w:sz w:val="21"/>
                <w:szCs w:val="21"/>
                <w:highlight w:val="none"/>
              </w:rPr>
              <w:t>信息安全保密工作</w:t>
            </w:r>
          </w:p>
        </w:tc>
        <w:tc>
          <w:tcPr>
            <w:tcW w:w="2112" w:type="pct"/>
            <w:vAlign w:val="center"/>
          </w:tcPr>
          <w:p w14:paraId="6166C694">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both"/>
              <w:rPr>
                <w:rFonts w:hint="eastAsia" w:ascii="宋体" w:hAnsi="宋体" w:eastAsia="宋体" w:cs="宋体"/>
                <w:color w:val="auto"/>
                <w:spacing w:val="1"/>
                <w:sz w:val="21"/>
                <w:szCs w:val="21"/>
                <w:highlight w:val="none"/>
                <w:lang w:eastAsia="zh-CN"/>
              </w:rPr>
            </w:pP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人员未按规定签保密协议的，每人扣1分。</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人员未及时清理U盘或互联网电脑中可能会泄密的资料和数据的，每次扣1</w:t>
            </w:r>
            <w:r>
              <w:rPr>
                <w:rFonts w:hint="eastAsia" w:cs="宋体"/>
                <w:color w:val="auto"/>
                <w:sz w:val="21"/>
                <w:szCs w:val="21"/>
                <w:highlight w:val="none"/>
                <w:lang w:val="en-US" w:eastAsia="zh-CN"/>
              </w:rPr>
              <w:t>0</w:t>
            </w:r>
            <w:r>
              <w:rPr>
                <w:rFonts w:hint="eastAsia" w:ascii="宋体" w:hAnsi="宋体" w:eastAsia="宋体" w:cs="宋体"/>
                <w:color w:val="auto"/>
                <w:sz w:val="21"/>
                <w:szCs w:val="21"/>
                <w:highlight w:val="none"/>
                <w:lang w:eastAsia="zh-CN"/>
              </w:rPr>
              <w:t>分。因</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eastAsia="zh-CN"/>
              </w:rPr>
              <w:t>人员工作失误造成</w:t>
            </w:r>
            <w:r>
              <w:rPr>
                <w:rFonts w:hint="eastAsia"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被上级部门通报，每次扣1</w:t>
            </w:r>
            <w:r>
              <w:rPr>
                <w:rFonts w:hint="eastAsia" w:cs="宋体"/>
                <w:color w:val="auto"/>
                <w:sz w:val="21"/>
                <w:szCs w:val="21"/>
                <w:highlight w:val="none"/>
                <w:lang w:val="en-US" w:eastAsia="zh-CN"/>
              </w:rPr>
              <w:t>0</w:t>
            </w:r>
            <w:r>
              <w:rPr>
                <w:rFonts w:hint="eastAsia" w:ascii="宋体" w:hAnsi="宋体" w:eastAsia="宋体" w:cs="宋体"/>
                <w:color w:val="auto"/>
                <w:sz w:val="21"/>
                <w:szCs w:val="21"/>
                <w:highlight w:val="none"/>
                <w:lang w:eastAsia="zh-CN"/>
              </w:rPr>
              <w:t>分。</w:t>
            </w:r>
          </w:p>
        </w:tc>
        <w:tc>
          <w:tcPr>
            <w:tcW w:w="453" w:type="pct"/>
            <w:vAlign w:val="center"/>
          </w:tcPr>
          <w:p w14:paraId="43B6B292">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pacing w:val="-7"/>
                <w:sz w:val="21"/>
                <w:szCs w:val="21"/>
                <w:highlight w:val="none"/>
              </w:rPr>
            </w:pPr>
            <w:r>
              <w:rPr>
                <w:rFonts w:hint="eastAsia" w:ascii="宋体" w:hAnsi="宋体" w:eastAsia="宋体" w:cs="宋体"/>
                <w:color w:val="auto"/>
                <w:sz w:val="21"/>
                <w:szCs w:val="21"/>
                <w:highlight w:val="none"/>
              </w:rPr>
              <w:t>10</w:t>
            </w:r>
          </w:p>
        </w:tc>
        <w:tc>
          <w:tcPr>
            <w:tcW w:w="1132" w:type="pct"/>
            <w:vAlign w:val="center"/>
          </w:tcPr>
          <w:p w14:paraId="2C4BC216">
            <w:pPr>
              <w:pStyle w:val="79"/>
              <w:keepNext w:val="0"/>
              <w:keepLines w:val="0"/>
              <w:pageBreakBefore w:val="0"/>
              <w:widowControl/>
              <w:wordWrap/>
              <w:overflowPunct/>
              <w:topLinePunct w:val="0"/>
              <w:bidi w:val="0"/>
              <w:adjustRightInd/>
              <w:snapToGrid/>
              <w:spacing w:before="32" w:beforeLines="10" w:after="32" w:afterLines="10" w:line="240" w:lineRule="auto"/>
              <w:ind w:left="42" w:leftChars="2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由</w:t>
            </w:r>
            <w:r>
              <w:rPr>
                <w:rFonts w:hint="eastAsia" w:cs="宋体"/>
                <w:color w:val="auto"/>
                <w:sz w:val="21"/>
                <w:szCs w:val="21"/>
                <w:highlight w:val="none"/>
                <w:lang w:val="en-US" w:eastAsia="zh-CN"/>
              </w:rPr>
              <w:t>甲方</w:t>
            </w:r>
            <w:r>
              <w:rPr>
                <w:rFonts w:hint="eastAsia" w:ascii="宋体" w:hAnsi="宋体" w:eastAsia="宋体" w:cs="宋体"/>
                <w:color w:val="auto"/>
                <w:sz w:val="21"/>
                <w:szCs w:val="21"/>
                <w:highlight w:val="none"/>
              </w:rPr>
              <w:t>查验、决定。</w:t>
            </w:r>
          </w:p>
        </w:tc>
      </w:tr>
    </w:tbl>
    <w:p w14:paraId="0A451F91">
      <w:pPr>
        <w:keepNext w:val="0"/>
        <w:keepLines w:val="0"/>
        <w:pageBreakBefore w:val="0"/>
        <w:widowControl w:val="0"/>
        <w:numPr>
          <w:ilvl w:val="0"/>
          <w:numId w:val="110"/>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考核评价——加分项</w:t>
      </w:r>
    </w:p>
    <w:tbl>
      <w:tblPr>
        <w:tblStyle w:val="80"/>
        <w:tblW w:w="506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75"/>
        <w:gridCol w:w="6148"/>
        <w:gridCol w:w="1573"/>
      </w:tblGrid>
      <w:tr w14:paraId="4F981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802" w:type="pct"/>
            <w:vAlign w:val="center"/>
          </w:tcPr>
          <w:p w14:paraId="534D0F7A">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6"/>
                <w:sz w:val="21"/>
                <w:szCs w:val="21"/>
                <w:highlight w:val="none"/>
              </w:rPr>
              <w:t>考核项目</w:t>
            </w:r>
          </w:p>
        </w:tc>
        <w:tc>
          <w:tcPr>
            <w:tcW w:w="3342" w:type="pct"/>
            <w:vAlign w:val="center"/>
          </w:tcPr>
          <w:p w14:paraId="22FBA9E8">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4"/>
                <w:sz w:val="21"/>
                <w:szCs w:val="21"/>
                <w:highlight w:val="none"/>
              </w:rPr>
              <w:t>考核内容</w:t>
            </w:r>
          </w:p>
        </w:tc>
        <w:tc>
          <w:tcPr>
            <w:tcW w:w="855" w:type="pct"/>
            <w:vAlign w:val="center"/>
          </w:tcPr>
          <w:p w14:paraId="717137B1">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pacing w:val="-4"/>
                <w:sz w:val="21"/>
                <w:szCs w:val="21"/>
                <w:highlight w:val="none"/>
              </w:rPr>
              <w:t>考核方法</w:t>
            </w:r>
          </w:p>
        </w:tc>
      </w:tr>
      <w:tr w14:paraId="73B7B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802" w:type="pct"/>
            <w:vAlign w:val="center"/>
          </w:tcPr>
          <w:p w14:paraId="3E7B7CEC">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日常运维及重</w:t>
            </w:r>
            <w:r>
              <w:rPr>
                <w:rFonts w:hint="eastAsia" w:ascii="宋体" w:hAnsi="宋体" w:eastAsia="宋体" w:cs="宋体"/>
                <w:color w:val="auto"/>
                <w:spacing w:val="-4"/>
                <w:sz w:val="21"/>
                <w:szCs w:val="21"/>
                <w:highlight w:val="none"/>
                <w:lang w:eastAsia="zh-CN"/>
              </w:rPr>
              <w:t>大安保期间表</w:t>
            </w:r>
            <w:r>
              <w:rPr>
                <w:rFonts w:hint="eastAsia" w:ascii="宋体" w:hAnsi="宋体" w:eastAsia="宋体" w:cs="宋体"/>
                <w:color w:val="auto"/>
                <w:spacing w:val="-3"/>
                <w:sz w:val="21"/>
                <w:szCs w:val="21"/>
                <w:highlight w:val="none"/>
                <w:lang w:eastAsia="zh-CN"/>
              </w:rPr>
              <w:t>现</w:t>
            </w:r>
          </w:p>
        </w:tc>
        <w:tc>
          <w:tcPr>
            <w:tcW w:w="3342" w:type="pct"/>
            <w:vAlign w:val="center"/>
          </w:tcPr>
          <w:p w14:paraId="5B3E4728">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both"/>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在日常运维及重大安保运维期间</w:t>
            </w:r>
            <w:r>
              <w:rPr>
                <w:rFonts w:hint="eastAsia" w:cs="宋体"/>
                <w:color w:val="auto"/>
                <w:spacing w:val="-2"/>
                <w:sz w:val="21"/>
                <w:szCs w:val="21"/>
                <w:highlight w:val="none"/>
                <w:lang w:eastAsia="zh-CN"/>
              </w:rPr>
              <w:t>，</w:t>
            </w:r>
            <w:r>
              <w:rPr>
                <w:rFonts w:hint="eastAsia" w:cs="宋体"/>
                <w:color w:val="auto"/>
                <w:spacing w:val="-2"/>
                <w:sz w:val="21"/>
                <w:szCs w:val="21"/>
                <w:highlight w:val="none"/>
                <w:lang w:val="en-US" w:eastAsia="zh-CN"/>
              </w:rPr>
              <w:t>乙方服务人员</w:t>
            </w:r>
            <w:r>
              <w:rPr>
                <w:rFonts w:hint="eastAsia" w:ascii="宋体" w:hAnsi="宋体" w:eastAsia="宋体" w:cs="宋体"/>
                <w:color w:val="auto"/>
                <w:spacing w:val="-3"/>
                <w:sz w:val="21"/>
                <w:szCs w:val="21"/>
                <w:highlight w:val="none"/>
                <w:lang w:eastAsia="zh-CN"/>
              </w:rPr>
              <w:t>及时主动发现隐患，提出合理整改措施，并且及</w:t>
            </w:r>
            <w:r>
              <w:rPr>
                <w:rFonts w:hint="eastAsia" w:ascii="宋体" w:hAnsi="宋体" w:eastAsia="宋体" w:cs="宋体"/>
                <w:color w:val="auto"/>
                <w:spacing w:val="-2"/>
                <w:sz w:val="21"/>
                <w:szCs w:val="21"/>
                <w:highlight w:val="none"/>
                <w:lang w:eastAsia="zh-CN"/>
              </w:rPr>
              <w:t>时排除隐患，或能够按照</w:t>
            </w:r>
            <w:r>
              <w:rPr>
                <w:rFonts w:hint="eastAsia" w:cs="宋体"/>
                <w:color w:val="auto"/>
                <w:sz w:val="21"/>
                <w:szCs w:val="21"/>
                <w:highlight w:val="none"/>
                <w:lang w:val="en-US" w:eastAsia="zh-CN"/>
              </w:rPr>
              <w:t>甲方</w:t>
            </w:r>
            <w:r>
              <w:rPr>
                <w:rFonts w:hint="eastAsia" w:ascii="宋体" w:hAnsi="宋体" w:eastAsia="宋体" w:cs="宋体"/>
                <w:color w:val="auto"/>
                <w:spacing w:val="-2"/>
                <w:sz w:val="21"/>
                <w:szCs w:val="21"/>
                <w:highlight w:val="none"/>
                <w:lang w:eastAsia="zh-CN"/>
              </w:rPr>
              <w:t>要求，积极协调前后端</w:t>
            </w:r>
            <w:r>
              <w:rPr>
                <w:rFonts w:hint="eastAsia" w:ascii="宋体" w:hAnsi="宋体" w:eastAsia="宋体" w:cs="宋体"/>
                <w:color w:val="auto"/>
                <w:spacing w:val="-1"/>
                <w:sz w:val="21"/>
                <w:szCs w:val="21"/>
                <w:highlight w:val="none"/>
                <w:lang w:eastAsia="zh-CN"/>
              </w:rPr>
              <w:t>资源解决并最终及时处理故障的，最高加5分。</w:t>
            </w:r>
          </w:p>
        </w:tc>
        <w:tc>
          <w:tcPr>
            <w:tcW w:w="855" w:type="pct"/>
            <w:vAlign w:val="center"/>
          </w:tcPr>
          <w:p w14:paraId="16241454">
            <w:pPr>
              <w:pStyle w:val="79"/>
              <w:keepNext w:val="0"/>
              <w:keepLines w:val="0"/>
              <w:pageBreakBefore w:val="0"/>
              <w:widowControl/>
              <w:kinsoku w:val="0"/>
              <w:wordWrap/>
              <w:overflowPunct/>
              <w:topLinePunct w:val="0"/>
              <w:autoSpaceDE w:val="0"/>
              <w:autoSpaceDN w:val="0"/>
              <w:bidi w:val="0"/>
              <w:adjustRightInd/>
              <w:snapToGrid/>
              <w:spacing w:before="32" w:beforeLines="10" w:after="32" w:afterLines="1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由</w:t>
            </w:r>
            <w:r>
              <w:rPr>
                <w:rFonts w:hint="eastAsia" w:cs="宋体"/>
                <w:color w:val="auto"/>
                <w:sz w:val="21"/>
                <w:szCs w:val="21"/>
                <w:highlight w:val="none"/>
                <w:lang w:val="en-US" w:eastAsia="zh-CN"/>
              </w:rPr>
              <w:t>甲方</w:t>
            </w:r>
            <w:r>
              <w:rPr>
                <w:rFonts w:hint="eastAsia" w:ascii="宋体" w:hAnsi="宋体" w:eastAsia="宋体" w:cs="宋体"/>
                <w:color w:val="auto"/>
                <w:sz w:val="21"/>
                <w:szCs w:val="21"/>
                <w:highlight w:val="none"/>
                <w:lang w:eastAsia="zh-CN"/>
              </w:rPr>
              <w:t>根据</w:t>
            </w:r>
            <w:r>
              <w:rPr>
                <w:rFonts w:hint="eastAsia" w:cs="宋体"/>
                <w:color w:val="auto"/>
                <w:sz w:val="21"/>
                <w:szCs w:val="21"/>
                <w:highlight w:val="none"/>
                <w:lang w:val="en-US" w:eastAsia="zh-CN"/>
              </w:rPr>
              <w:t>乙方</w:t>
            </w:r>
            <w:r>
              <w:rPr>
                <w:rFonts w:hint="eastAsia" w:ascii="宋体" w:hAnsi="宋体" w:eastAsia="宋体" w:cs="宋体"/>
                <w:color w:val="auto"/>
                <w:sz w:val="21"/>
                <w:szCs w:val="21"/>
                <w:highlight w:val="none"/>
                <w:lang w:eastAsia="zh-CN"/>
              </w:rPr>
              <w:t>表现程度酌情加分。</w:t>
            </w:r>
          </w:p>
        </w:tc>
      </w:tr>
    </w:tbl>
    <w:p w14:paraId="761FCE62">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2" w:firstLineChars="200"/>
        <w:contextualSpacing/>
        <w:textAlignment w:val="auto"/>
        <w:rPr>
          <w:rFonts w:hint="eastAsia" w:ascii="宋体" w:hAnsi="宋体" w:eastAsia="宋体"/>
          <w:b/>
          <w:bCs/>
          <w:color w:val="auto"/>
          <w:szCs w:val="21"/>
          <w:highlight w:val="none"/>
          <w:lang w:eastAsia="zh-CN"/>
        </w:rPr>
      </w:pPr>
      <w:r>
        <w:rPr>
          <w:rFonts w:hint="eastAsia" w:ascii="宋体" w:hAnsi="宋体"/>
          <w:b/>
          <w:bCs/>
          <w:color w:val="auto"/>
          <w:szCs w:val="21"/>
          <w:highlight w:val="none"/>
        </w:rPr>
        <w:t>服务考核评分使用</w:t>
      </w:r>
      <w:r>
        <w:rPr>
          <w:rFonts w:hint="eastAsia" w:ascii="宋体" w:hAnsi="宋体"/>
          <w:b/>
          <w:bCs/>
          <w:color w:val="auto"/>
          <w:szCs w:val="21"/>
          <w:highlight w:val="none"/>
          <w:lang w:val="en-US" w:eastAsia="zh-CN"/>
        </w:rPr>
        <w:t>方法（考核评分四舍五入保留到个位）</w:t>
      </w:r>
      <w:r>
        <w:rPr>
          <w:rFonts w:hint="eastAsia" w:ascii="宋体" w:hAnsi="宋体"/>
          <w:b/>
          <w:bCs/>
          <w:color w:val="auto"/>
          <w:szCs w:val="21"/>
          <w:highlight w:val="none"/>
          <w:lang w:eastAsia="zh-CN"/>
        </w:rPr>
        <w:t>：</w:t>
      </w:r>
    </w:p>
    <w:p w14:paraId="57735A1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乙方服务每满1个月后10日内</w:t>
      </w:r>
      <w:r>
        <w:rPr>
          <w:rFonts w:hint="eastAsia" w:ascii="宋体" w:hAnsi="宋体"/>
          <w:color w:val="auto"/>
          <w:szCs w:val="21"/>
          <w:highlight w:val="none"/>
        </w:rPr>
        <w:t>，</w:t>
      </w:r>
      <w:r>
        <w:rPr>
          <w:rFonts w:hint="eastAsia" w:ascii="宋体" w:hAnsi="宋体"/>
          <w:color w:val="auto"/>
          <w:szCs w:val="21"/>
          <w:highlight w:val="none"/>
          <w:lang w:val="en-US" w:eastAsia="zh-CN"/>
        </w:rPr>
        <w:t>甲方</w:t>
      </w:r>
      <w:r>
        <w:rPr>
          <w:rFonts w:hint="eastAsia" w:ascii="宋体" w:hAnsi="宋体"/>
          <w:color w:val="auto"/>
          <w:szCs w:val="21"/>
          <w:highlight w:val="none"/>
        </w:rPr>
        <w:t>根据</w:t>
      </w:r>
      <w:r>
        <w:rPr>
          <w:rFonts w:hint="eastAsia" w:ascii="宋体" w:hAnsi="宋体"/>
          <w:color w:val="auto"/>
          <w:szCs w:val="21"/>
          <w:highlight w:val="none"/>
          <w:lang w:val="en-US" w:eastAsia="zh-CN"/>
        </w:rPr>
        <w:t>该</w:t>
      </w:r>
      <w:r>
        <w:rPr>
          <w:rFonts w:hint="eastAsia" w:ascii="宋体" w:hAnsi="宋体"/>
          <w:color w:val="auto"/>
          <w:szCs w:val="21"/>
          <w:highlight w:val="none"/>
        </w:rPr>
        <w:t>月</w:t>
      </w:r>
      <w:r>
        <w:rPr>
          <w:rFonts w:hint="eastAsia" w:ascii="宋体" w:hAnsi="宋体"/>
          <w:color w:val="auto"/>
          <w:szCs w:val="21"/>
          <w:highlight w:val="none"/>
          <w:lang w:val="en-US" w:eastAsia="zh-CN"/>
        </w:rPr>
        <w:t>乙方</w:t>
      </w:r>
      <w:r>
        <w:rPr>
          <w:rFonts w:hint="eastAsia" w:ascii="宋体" w:hAnsi="宋体"/>
          <w:color w:val="auto"/>
          <w:szCs w:val="21"/>
          <w:highlight w:val="none"/>
        </w:rPr>
        <w:t>的实际服务情况作出服务考核评价得分</w:t>
      </w:r>
      <w:r>
        <w:rPr>
          <w:rFonts w:hint="eastAsia" w:ascii="宋体" w:hAnsi="宋体"/>
          <w:color w:val="auto"/>
          <w:szCs w:val="21"/>
          <w:highlight w:val="none"/>
          <w:lang w:val="en-US" w:eastAsia="zh-CN"/>
        </w:rPr>
        <w:t>并</w:t>
      </w:r>
      <w:r>
        <w:rPr>
          <w:rFonts w:hint="eastAsia" w:ascii="宋体" w:hAnsi="宋体"/>
          <w:color w:val="auto"/>
          <w:szCs w:val="21"/>
          <w:highlight w:val="none"/>
        </w:rPr>
        <w:t>送达</w:t>
      </w:r>
      <w:r>
        <w:rPr>
          <w:rFonts w:hint="eastAsia" w:ascii="宋体" w:hAnsi="宋体"/>
          <w:color w:val="auto"/>
          <w:szCs w:val="21"/>
          <w:highlight w:val="none"/>
          <w:lang w:val="en-US" w:eastAsia="zh-CN"/>
        </w:rPr>
        <w:t>乙方</w:t>
      </w:r>
      <w:r>
        <w:rPr>
          <w:rFonts w:hint="eastAsia" w:ascii="宋体" w:hAnsi="宋体"/>
          <w:color w:val="auto"/>
          <w:szCs w:val="21"/>
          <w:highlight w:val="none"/>
        </w:rPr>
        <w:t>。每个支付周期的服务考核评价分由各月服务评价组成，当月分值</w:t>
      </w:r>
      <w:r>
        <w:rPr>
          <w:rFonts w:hint="eastAsia" w:ascii="宋体" w:hAnsi="宋体"/>
          <w:color w:val="auto"/>
          <w:szCs w:val="21"/>
          <w:highlight w:val="none"/>
          <w:lang w:val="en-US" w:eastAsia="zh-CN"/>
        </w:rPr>
        <w:t>≥</w:t>
      </w:r>
      <w:r>
        <w:rPr>
          <w:rFonts w:hint="eastAsia" w:ascii="宋体" w:hAnsi="宋体"/>
          <w:color w:val="auto"/>
          <w:szCs w:val="21"/>
          <w:highlight w:val="none"/>
        </w:rPr>
        <w:t>90分为合格，不</w:t>
      </w:r>
      <w:r>
        <w:rPr>
          <w:rFonts w:hint="eastAsia" w:ascii="宋体" w:hAnsi="宋体"/>
          <w:color w:val="auto"/>
          <w:szCs w:val="21"/>
          <w:highlight w:val="none"/>
          <w:lang w:val="en-US" w:eastAsia="zh-CN"/>
        </w:rPr>
        <w:t>进行</w:t>
      </w:r>
      <w:r>
        <w:rPr>
          <w:rFonts w:hint="eastAsia" w:ascii="宋体" w:hAnsi="宋体"/>
          <w:color w:val="auto"/>
          <w:szCs w:val="21"/>
          <w:highlight w:val="none"/>
        </w:rPr>
        <w:t>服务考核扣款</w:t>
      </w:r>
      <w:r>
        <w:rPr>
          <w:rFonts w:hint="eastAsia" w:ascii="宋体" w:hAnsi="宋体"/>
          <w:color w:val="auto"/>
          <w:szCs w:val="21"/>
          <w:highlight w:val="none"/>
          <w:lang w:eastAsia="zh-CN"/>
        </w:rPr>
        <w:t>，</w:t>
      </w:r>
      <w:r>
        <w:rPr>
          <w:rFonts w:hint="eastAsia" w:ascii="宋体" w:hAnsi="宋体"/>
          <w:color w:val="auto"/>
          <w:szCs w:val="21"/>
          <w:highlight w:val="none"/>
        </w:rPr>
        <w:t>服务考核评价成绩</w:t>
      </w:r>
      <w:r>
        <w:rPr>
          <w:rFonts w:hint="eastAsia" w:ascii="宋体" w:hAnsi="宋体"/>
          <w:color w:val="auto"/>
          <w:szCs w:val="21"/>
          <w:highlight w:val="none"/>
          <w:lang w:val="en-US" w:eastAsia="zh-CN"/>
        </w:rPr>
        <w:t>＜</w:t>
      </w:r>
      <w:r>
        <w:rPr>
          <w:rFonts w:hint="eastAsia" w:ascii="宋体" w:hAnsi="宋体"/>
          <w:color w:val="auto"/>
          <w:szCs w:val="21"/>
          <w:highlight w:val="none"/>
        </w:rPr>
        <w:t>90分的</w:t>
      </w:r>
      <w:r>
        <w:rPr>
          <w:rFonts w:hint="eastAsia" w:ascii="宋体" w:hAnsi="宋体"/>
          <w:color w:val="auto"/>
          <w:szCs w:val="21"/>
          <w:highlight w:val="none"/>
          <w:lang w:val="en-US" w:eastAsia="zh-CN"/>
        </w:rPr>
        <w:t>为不合格，服务期内累计出现三次不合格或连续两次不合格的，除按约定进行服务考核扣款外，甲方有权解除合同</w:t>
      </w:r>
      <w:r>
        <w:rPr>
          <w:rFonts w:hint="eastAsia" w:ascii="宋体" w:hAnsi="宋体"/>
          <w:color w:val="auto"/>
          <w:szCs w:val="21"/>
          <w:highlight w:val="none"/>
        </w:rPr>
        <w:t>。</w:t>
      </w:r>
    </w:p>
    <w:p w14:paraId="70080FC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每个月以合同总额的5%作为违约金和服务考核扣款之和的上限</w:t>
      </w:r>
      <w:r>
        <w:rPr>
          <w:rFonts w:hint="eastAsia" w:ascii="宋体" w:hAnsi="宋体"/>
          <w:color w:val="auto"/>
          <w:szCs w:val="21"/>
          <w:highlight w:val="none"/>
          <w:lang w:eastAsia="zh-CN"/>
        </w:rPr>
        <w:t>（</w:t>
      </w:r>
      <w:r>
        <w:rPr>
          <w:rFonts w:hint="eastAsia" w:ascii="宋体" w:hAnsi="宋体"/>
          <w:color w:val="auto"/>
          <w:szCs w:val="21"/>
          <w:highlight w:val="none"/>
        </w:rPr>
        <w:t>即本合同项上每月的违约金和每月服务考核扣款金额总和上限为合同总额的5%</w:t>
      </w:r>
      <w:r>
        <w:rPr>
          <w:rFonts w:hint="eastAsia" w:ascii="宋体" w:hAnsi="宋体"/>
          <w:color w:val="auto"/>
          <w:szCs w:val="21"/>
          <w:highlight w:val="none"/>
          <w:lang w:eastAsia="zh-CN"/>
        </w:rPr>
        <w:t>）</w:t>
      </w:r>
      <w:r>
        <w:rPr>
          <w:rFonts w:hint="eastAsia" w:ascii="宋体" w:hAnsi="宋体"/>
          <w:color w:val="auto"/>
          <w:szCs w:val="21"/>
          <w:highlight w:val="none"/>
        </w:rPr>
        <w:t>,服务考核评价成绩</w:t>
      </w:r>
      <w:r>
        <w:rPr>
          <w:rFonts w:hint="eastAsia" w:ascii="宋体" w:hAnsi="宋体"/>
          <w:color w:val="auto"/>
          <w:szCs w:val="21"/>
          <w:highlight w:val="none"/>
          <w:lang w:val="en-US" w:eastAsia="zh-CN"/>
        </w:rPr>
        <w:t>＜</w:t>
      </w:r>
      <w:r>
        <w:rPr>
          <w:rFonts w:hint="eastAsia" w:ascii="宋体" w:hAnsi="宋体"/>
          <w:color w:val="auto"/>
          <w:szCs w:val="21"/>
          <w:highlight w:val="none"/>
        </w:rPr>
        <w:t>90分的</w:t>
      </w:r>
      <w:r>
        <w:rPr>
          <w:rFonts w:hint="eastAsia" w:ascii="宋体" w:hAnsi="宋体"/>
          <w:color w:val="auto"/>
          <w:szCs w:val="21"/>
          <w:highlight w:val="none"/>
          <w:lang w:eastAsia="zh-CN"/>
        </w:rPr>
        <w:t>，</w:t>
      </w:r>
      <w:r>
        <w:rPr>
          <w:rFonts w:hint="eastAsia" w:ascii="宋体" w:hAnsi="宋体"/>
          <w:color w:val="auto"/>
          <w:szCs w:val="21"/>
          <w:highlight w:val="none"/>
        </w:rPr>
        <w:t>每</w:t>
      </w:r>
      <w:r>
        <w:rPr>
          <w:rFonts w:hint="eastAsia" w:ascii="宋体" w:hAnsi="宋体"/>
          <w:color w:val="auto"/>
          <w:szCs w:val="21"/>
          <w:highlight w:val="none"/>
          <w:lang w:val="en-US" w:eastAsia="zh-CN"/>
        </w:rPr>
        <w:t>低1</w:t>
      </w:r>
      <w:r>
        <w:rPr>
          <w:rFonts w:hint="eastAsia" w:ascii="宋体" w:hAnsi="宋体"/>
          <w:color w:val="auto"/>
          <w:szCs w:val="21"/>
          <w:highlight w:val="none"/>
        </w:rPr>
        <w:t>分，扣除合同总额的</w:t>
      </w:r>
      <w:r>
        <w:rPr>
          <w:rFonts w:hint="eastAsia" w:ascii="宋体" w:hAnsi="宋体"/>
          <w:color w:val="auto"/>
          <w:szCs w:val="21"/>
          <w:highlight w:val="none"/>
          <w:lang w:val="en-US" w:eastAsia="zh-CN"/>
        </w:rPr>
        <w:t>千分之一</w:t>
      </w:r>
      <w:r>
        <w:rPr>
          <w:rFonts w:hint="eastAsia" w:ascii="宋体" w:hAnsi="宋体"/>
          <w:color w:val="auto"/>
          <w:szCs w:val="21"/>
          <w:highlight w:val="none"/>
        </w:rPr>
        <w:t>作为服务考核扣款。</w:t>
      </w:r>
    </w:p>
    <w:p w14:paraId="65261E8B">
      <w:pPr>
        <w:numPr>
          <w:ilvl w:val="0"/>
          <w:numId w:val="106"/>
        </w:numPr>
        <w:tabs>
          <w:tab w:val="left" w:pos="284"/>
        </w:tabs>
        <w:snapToGrid w:val="0"/>
        <w:spacing w:line="360" w:lineRule="auto"/>
        <w:ind w:left="284" w:hanging="284"/>
        <w:contextualSpacing/>
        <w:rPr>
          <w:rFonts w:ascii="宋体" w:hAnsi="宋体"/>
          <w:b w:val="0"/>
          <w:bCs w:val="0"/>
          <w:color w:val="auto"/>
          <w:szCs w:val="21"/>
          <w:highlight w:val="none"/>
          <w:u w:val="none"/>
        </w:rPr>
      </w:pPr>
      <w:r>
        <w:rPr>
          <w:rFonts w:hint="eastAsia" w:ascii="宋体" w:hAnsi="宋体"/>
          <w:b w:val="0"/>
          <w:bCs w:val="0"/>
          <w:color w:val="auto"/>
          <w:szCs w:val="21"/>
          <w:highlight w:val="none"/>
          <w:u w:val="none"/>
          <w:lang w:val="en-US" w:eastAsia="zh-CN"/>
        </w:rPr>
        <w:t>其他服务要求</w:t>
      </w:r>
    </w:p>
    <w:p w14:paraId="1D048707">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b w:val="0"/>
          <w:bCs w:val="0"/>
          <w:color w:val="auto"/>
          <w:szCs w:val="21"/>
          <w:highlight w:val="none"/>
          <w:u w:val="none"/>
        </w:rPr>
      </w:pPr>
      <w:r>
        <w:rPr>
          <w:rFonts w:hint="eastAsia" w:ascii="宋体" w:hAnsi="宋体"/>
          <w:b w:val="0"/>
          <w:bCs w:val="0"/>
          <w:color w:val="auto"/>
          <w:szCs w:val="21"/>
          <w:highlight w:val="none"/>
          <w:u w:val="none"/>
          <w:lang w:val="en-US" w:eastAsia="zh-CN"/>
        </w:rPr>
        <w:t>本合同</w:t>
      </w:r>
      <w:r>
        <w:rPr>
          <w:rFonts w:hint="eastAsia" w:ascii="宋体" w:hAnsi="宋体"/>
          <w:b w:val="0"/>
          <w:bCs w:val="0"/>
          <w:color w:val="auto"/>
          <w:szCs w:val="21"/>
          <w:highlight w:val="none"/>
          <w:u w:val="none"/>
        </w:rPr>
        <w:t>未尽事宜，将在项目执行过程中</w:t>
      </w:r>
      <w:r>
        <w:rPr>
          <w:rFonts w:hint="eastAsia" w:ascii="宋体" w:hAnsi="宋体"/>
          <w:b w:val="0"/>
          <w:bCs w:val="0"/>
          <w:color w:val="auto"/>
          <w:szCs w:val="21"/>
          <w:highlight w:val="none"/>
          <w:u w:val="none"/>
          <w:lang w:val="en-US" w:eastAsia="zh-CN"/>
        </w:rPr>
        <w:t>由</w:t>
      </w:r>
      <w:r>
        <w:rPr>
          <w:rFonts w:hint="eastAsia" w:ascii="宋体" w:hAnsi="宋体"/>
          <w:b w:val="0"/>
          <w:bCs w:val="0"/>
          <w:color w:val="auto"/>
          <w:szCs w:val="21"/>
          <w:highlight w:val="none"/>
          <w:u w:val="none"/>
        </w:rPr>
        <w:t>双方协商确定，</w:t>
      </w:r>
      <w:r>
        <w:rPr>
          <w:rFonts w:hint="eastAsia" w:ascii="宋体" w:hAnsi="宋体"/>
          <w:b w:val="0"/>
          <w:bCs w:val="0"/>
          <w:color w:val="auto"/>
          <w:szCs w:val="21"/>
          <w:highlight w:val="none"/>
          <w:u w:val="none"/>
          <w:lang w:val="en-US" w:eastAsia="zh-CN"/>
        </w:rPr>
        <w:t>乙方</w:t>
      </w:r>
      <w:r>
        <w:rPr>
          <w:rFonts w:hint="eastAsia" w:ascii="宋体" w:hAnsi="宋体"/>
          <w:b w:val="0"/>
          <w:bCs w:val="0"/>
          <w:color w:val="auto"/>
          <w:szCs w:val="21"/>
          <w:highlight w:val="none"/>
          <w:u w:val="none"/>
        </w:rPr>
        <w:t>须无条件满足</w:t>
      </w:r>
      <w:r>
        <w:rPr>
          <w:rFonts w:hint="eastAsia" w:ascii="宋体" w:hAnsi="宋体"/>
          <w:b w:val="0"/>
          <w:bCs w:val="0"/>
          <w:color w:val="auto"/>
          <w:szCs w:val="21"/>
          <w:highlight w:val="none"/>
          <w:u w:val="none"/>
          <w:lang w:eastAsia="zh-CN"/>
        </w:rPr>
        <w:t>甲方</w:t>
      </w:r>
      <w:r>
        <w:rPr>
          <w:rFonts w:hint="eastAsia" w:ascii="宋体" w:hAnsi="宋体"/>
          <w:b w:val="0"/>
          <w:bCs w:val="0"/>
          <w:color w:val="auto"/>
          <w:szCs w:val="21"/>
          <w:highlight w:val="none"/>
          <w:u w:val="none"/>
        </w:rPr>
        <w:t>的合理要求。</w:t>
      </w:r>
    </w:p>
    <w:p w14:paraId="19A5E7C3">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电子警察运维服务</w:t>
      </w:r>
    </w:p>
    <w:p w14:paraId="4379A262">
      <w:pPr>
        <w:numPr>
          <w:ilvl w:val="0"/>
          <w:numId w:val="111"/>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服务概述</w:t>
      </w:r>
    </w:p>
    <w:p w14:paraId="4E3778B1">
      <w:pPr>
        <w:numPr>
          <w:ilvl w:val="0"/>
          <w:numId w:val="112"/>
        </w:numPr>
        <w:tabs>
          <w:tab w:val="left" w:pos="284"/>
        </w:tabs>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本电子警察运维服务范围包含18个路口</w:t>
      </w:r>
      <w:r>
        <w:rPr>
          <w:rFonts w:hint="eastAsia" w:ascii="宋体" w:hAnsi="宋体"/>
          <w:color w:val="auto"/>
          <w:szCs w:val="21"/>
          <w:highlight w:val="none"/>
          <w:lang w:eastAsia="zh-CN"/>
        </w:rPr>
        <w:t>（</w:t>
      </w:r>
      <w:r>
        <w:rPr>
          <w:rFonts w:hint="eastAsia" w:ascii="宋体" w:hAnsi="宋体"/>
          <w:color w:val="auto"/>
          <w:szCs w:val="21"/>
          <w:highlight w:val="none"/>
        </w:rPr>
        <w:t>或路段</w:t>
      </w:r>
      <w:r>
        <w:rPr>
          <w:rFonts w:hint="eastAsia" w:ascii="宋体" w:hAnsi="宋体"/>
          <w:color w:val="auto"/>
          <w:szCs w:val="21"/>
          <w:highlight w:val="none"/>
          <w:lang w:eastAsia="zh-CN"/>
        </w:rPr>
        <w:t>）</w:t>
      </w:r>
      <w:r>
        <w:rPr>
          <w:rFonts w:hint="eastAsia" w:ascii="宋体" w:hAnsi="宋体"/>
          <w:color w:val="auto"/>
          <w:szCs w:val="21"/>
          <w:highlight w:val="none"/>
        </w:rPr>
        <w:t>的40套电子警察违法抓拍设备及机房后台系统设备</w:t>
      </w:r>
      <w:r>
        <w:rPr>
          <w:rFonts w:hint="eastAsia" w:ascii="宋体" w:hAnsi="宋体"/>
          <w:color w:val="auto"/>
          <w:szCs w:val="21"/>
          <w:highlight w:val="none"/>
          <w:lang w:eastAsia="zh-CN"/>
        </w:rPr>
        <w:t>，</w:t>
      </w:r>
      <w:r>
        <w:rPr>
          <w:rFonts w:hint="eastAsia" w:ascii="宋体" w:hAnsi="宋体"/>
          <w:color w:val="auto"/>
          <w:szCs w:val="21"/>
          <w:highlight w:val="none"/>
        </w:rPr>
        <w:t>通过对前端40个方向的电子警察配套设施进行常规维护和保养巡检</w:t>
      </w:r>
      <w:r>
        <w:rPr>
          <w:rFonts w:hint="eastAsia" w:ascii="宋体" w:hAnsi="宋体"/>
          <w:color w:val="auto"/>
          <w:szCs w:val="21"/>
          <w:highlight w:val="none"/>
          <w:lang w:eastAsia="zh-CN"/>
        </w:rPr>
        <w:t>（</w:t>
      </w:r>
      <w:r>
        <w:rPr>
          <w:rFonts w:hint="eastAsia" w:ascii="宋体" w:hAnsi="宋体"/>
          <w:color w:val="auto"/>
          <w:szCs w:val="21"/>
          <w:highlight w:val="none"/>
        </w:rPr>
        <w:t>含设备自然损坏、人为损坏、交通事故、偷盗破坏、道路施工等造成损坏的维护</w:t>
      </w:r>
      <w:r>
        <w:rPr>
          <w:rFonts w:hint="eastAsia" w:ascii="宋体" w:hAnsi="宋体"/>
          <w:color w:val="auto"/>
          <w:szCs w:val="21"/>
          <w:highlight w:val="none"/>
          <w:lang w:eastAsia="zh-CN"/>
        </w:rPr>
        <w:t>）；</w:t>
      </w:r>
      <w:r>
        <w:rPr>
          <w:rFonts w:hint="eastAsia" w:ascii="宋体" w:hAnsi="宋体"/>
          <w:color w:val="auto"/>
          <w:szCs w:val="21"/>
          <w:highlight w:val="none"/>
        </w:rPr>
        <w:t>对电子警察后端服务器、存储设备、交换机、以及其他各种系统进行维护；定期检查电子警察在线率；对</w:t>
      </w:r>
      <w:r>
        <w:rPr>
          <w:rFonts w:hint="eastAsia" w:cs="宋体"/>
          <w:color w:val="auto"/>
          <w:sz w:val="21"/>
          <w:szCs w:val="21"/>
          <w:highlight w:val="none"/>
          <w:lang w:val="en-US" w:eastAsia="zh-CN"/>
        </w:rPr>
        <w:t>甲方</w:t>
      </w:r>
      <w:r>
        <w:rPr>
          <w:rFonts w:hint="eastAsia" w:ascii="宋体" w:hAnsi="宋体"/>
          <w:color w:val="auto"/>
          <w:szCs w:val="21"/>
          <w:highlight w:val="none"/>
        </w:rPr>
        <w:t>使用的所有测速设备做标定、区间测速做校时等；在</w:t>
      </w:r>
      <w:r>
        <w:rPr>
          <w:rFonts w:hint="eastAsia" w:ascii="宋体" w:hAnsi="宋体"/>
          <w:color w:val="auto"/>
          <w:szCs w:val="21"/>
          <w:highlight w:val="none"/>
          <w:lang w:val="en-US" w:eastAsia="zh-CN"/>
        </w:rPr>
        <w:t>服务</w:t>
      </w:r>
      <w:r>
        <w:rPr>
          <w:rFonts w:hint="eastAsia" w:ascii="宋体" w:hAnsi="宋体"/>
          <w:color w:val="auto"/>
          <w:szCs w:val="21"/>
          <w:highlight w:val="none"/>
        </w:rPr>
        <w:t>期内，</w:t>
      </w:r>
      <w:r>
        <w:rPr>
          <w:rFonts w:hint="eastAsia" w:cs="宋体"/>
          <w:color w:val="auto"/>
          <w:sz w:val="21"/>
          <w:szCs w:val="21"/>
          <w:highlight w:val="none"/>
          <w:lang w:val="en-US" w:eastAsia="zh-CN"/>
        </w:rPr>
        <w:t>甲方</w:t>
      </w:r>
      <w:r>
        <w:rPr>
          <w:rFonts w:hint="eastAsia" w:ascii="宋体" w:hAnsi="宋体"/>
          <w:color w:val="auto"/>
          <w:szCs w:val="21"/>
          <w:highlight w:val="none"/>
        </w:rPr>
        <w:t>接收外单位移交的电子警察设备，</w:t>
      </w:r>
      <w:r>
        <w:rPr>
          <w:rFonts w:hint="eastAsia" w:ascii="宋体" w:hAnsi="宋体"/>
          <w:color w:val="auto"/>
          <w:szCs w:val="21"/>
          <w:highlight w:val="none"/>
          <w:lang w:val="en-US" w:eastAsia="zh-CN"/>
        </w:rPr>
        <w:t>乙方</w:t>
      </w:r>
      <w:r>
        <w:rPr>
          <w:rFonts w:hint="eastAsia" w:ascii="宋体" w:hAnsi="宋体"/>
          <w:color w:val="auto"/>
          <w:szCs w:val="21"/>
          <w:highlight w:val="none"/>
        </w:rPr>
        <w:t>需配合</w:t>
      </w:r>
      <w:r>
        <w:rPr>
          <w:rFonts w:hint="eastAsia" w:cs="宋体"/>
          <w:color w:val="auto"/>
          <w:sz w:val="21"/>
          <w:szCs w:val="21"/>
          <w:highlight w:val="none"/>
          <w:lang w:val="en-US" w:eastAsia="zh-CN"/>
        </w:rPr>
        <w:t>甲方</w:t>
      </w:r>
      <w:r>
        <w:rPr>
          <w:rFonts w:hint="eastAsia" w:ascii="宋体" w:hAnsi="宋体"/>
          <w:color w:val="auto"/>
          <w:szCs w:val="21"/>
          <w:highlight w:val="none"/>
        </w:rPr>
        <w:t>核对移交的电子警察数量以及确认设备状态</w:t>
      </w:r>
      <w:r>
        <w:rPr>
          <w:rFonts w:hint="eastAsia" w:ascii="宋体" w:hAnsi="宋体"/>
          <w:color w:val="auto"/>
          <w:szCs w:val="21"/>
          <w:highlight w:val="none"/>
          <w:lang w:eastAsia="zh-CN"/>
        </w:rPr>
        <w:t>；</w:t>
      </w:r>
      <w:r>
        <w:rPr>
          <w:rFonts w:hint="eastAsia" w:cs="宋体"/>
          <w:color w:val="auto"/>
          <w:sz w:val="21"/>
          <w:szCs w:val="21"/>
          <w:highlight w:val="none"/>
          <w:lang w:val="en-US" w:eastAsia="zh-CN"/>
        </w:rPr>
        <w:t>甲方</w:t>
      </w:r>
      <w:r>
        <w:rPr>
          <w:rFonts w:hint="eastAsia" w:ascii="宋体" w:hAnsi="宋体"/>
          <w:color w:val="auto"/>
          <w:szCs w:val="21"/>
          <w:highlight w:val="none"/>
        </w:rPr>
        <w:t>与外单位办理好移交手续并接收的电子警察设备，从移交之日起也纳入</w:t>
      </w:r>
      <w:r>
        <w:rPr>
          <w:rFonts w:hint="eastAsia" w:ascii="宋体" w:hAnsi="宋体"/>
          <w:color w:val="auto"/>
          <w:szCs w:val="21"/>
          <w:highlight w:val="none"/>
          <w:lang w:val="en-US" w:eastAsia="zh-CN"/>
        </w:rPr>
        <w:t>乙方</w:t>
      </w:r>
      <w:r>
        <w:rPr>
          <w:rFonts w:hint="eastAsia" w:ascii="宋体" w:hAnsi="宋体"/>
          <w:color w:val="auto"/>
          <w:szCs w:val="21"/>
          <w:highlight w:val="none"/>
        </w:rPr>
        <w:t>运维范围并按照运维相关要求，开展维护、保养、巡检、检测标定</w:t>
      </w:r>
      <w:r>
        <w:rPr>
          <w:rFonts w:hint="eastAsia" w:ascii="宋体" w:hAnsi="宋体"/>
          <w:color w:val="auto"/>
          <w:szCs w:val="21"/>
          <w:highlight w:val="none"/>
          <w:lang w:eastAsia="zh-CN"/>
        </w:rPr>
        <w:t>（</w:t>
      </w:r>
      <w:r>
        <w:rPr>
          <w:rFonts w:hint="eastAsia" w:ascii="宋体" w:hAnsi="宋体"/>
          <w:color w:val="auto"/>
          <w:szCs w:val="21"/>
          <w:highlight w:val="none"/>
        </w:rPr>
        <w:t>测速设备</w:t>
      </w:r>
      <w:r>
        <w:rPr>
          <w:rFonts w:hint="eastAsia" w:ascii="宋体" w:hAnsi="宋体"/>
          <w:color w:val="auto"/>
          <w:szCs w:val="21"/>
          <w:highlight w:val="none"/>
          <w:lang w:eastAsia="zh-CN"/>
        </w:rPr>
        <w:t>）</w:t>
      </w:r>
      <w:r>
        <w:rPr>
          <w:rFonts w:hint="eastAsia" w:ascii="宋体" w:hAnsi="宋体"/>
          <w:color w:val="auto"/>
          <w:szCs w:val="21"/>
          <w:highlight w:val="none"/>
        </w:rPr>
        <w:t>。</w:t>
      </w:r>
    </w:p>
    <w:p w14:paraId="175A0766">
      <w:pPr>
        <w:numPr>
          <w:ilvl w:val="0"/>
          <w:numId w:val="112"/>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cs="宋体"/>
          <w:color w:val="auto"/>
          <w:sz w:val="21"/>
          <w:szCs w:val="21"/>
          <w:highlight w:val="none"/>
          <w:lang w:val="en-US" w:eastAsia="zh-CN"/>
        </w:rPr>
        <w:t>甲方</w:t>
      </w:r>
      <w:r>
        <w:rPr>
          <w:rFonts w:hint="eastAsia" w:ascii="宋体" w:hAnsi="宋体"/>
          <w:color w:val="auto"/>
          <w:szCs w:val="21"/>
          <w:highlight w:val="none"/>
        </w:rPr>
        <w:t>机房部署了一系列的小型机、存储设备、PC服务器、网络交换、网络安全设备等信息中心设备</w:t>
      </w:r>
      <w:r>
        <w:rPr>
          <w:rFonts w:hint="eastAsia" w:ascii="宋体" w:hAnsi="宋体"/>
          <w:color w:val="auto"/>
          <w:szCs w:val="21"/>
          <w:highlight w:val="none"/>
          <w:lang w:eastAsia="zh-CN"/>
        </w:rPr>
        <w:t>；</w:t>
      </w:r>
      <w:r>
        <w:rPr>
          <w:rFonts w:hint="eastAsia" w:ascii="宋体" w:hAnsi="宋体"/>
          <w:color w:val="auto"/>
          <w:szCs w:val="21"/>
          <w:highlight w:val="none"/>
        </w:rPr>
        <w:t>为保障</w:t>
      </w:r>
      <w:r>
        <w:rPr>
          <w:rFonts w:hint="eastAsia" w:cs="宋体"/>
          <w:color w:val="auto"/>
          <w:sz w:val="21"/>
          <w:szCs w:val="21"/>
          <w:highlight w:val="none"/>
          <w:lang w:val="en-US" w:eastAsia="zh-CN"/>
        </w:rPr>
        <w:t>甲方</w:t>
      </w:r>
      <w:r>
        <w:rPr>
          <w:rFonts w:hint="eastAsia" w:ascii="宋体" w:hAnsi="宋体"/>
          <w:color w:val="auto"/>
          <w:szCs w:val="21"/>
          <w:highlight w:val="none"/>
        </w:rPr>
        <w:t>信息机房设备、系统数据稳定、高效、安全地运行，需要</w:t>
      </w:r>
      <w:r>
        <w:rPr>
          <w:rFonts w:hint="eastAsia" w:ascii="宋体" w:hAnsi="宋体"/>
          <w:color w:val="auto"/>
          <w:szCs w:val="21"/>
          <w:highlight w:val="none"/>
          <w:lang w:val="en-US" w:eastAsia="zh-CN"/>
        </w:rPr>
        <w:t>服务</w:t>
      </w:r>
      <w:r>
        <w:rPr>
          <w:rFonts w:hint="eastAsia" w:ascii="宋体" w:hAnsi="宋体"/>
          <w:color w:val="auto"/>
          <w:szCs w:val="21"/>
          <w:highlight w:val="none"/>
        </w:rPr>
        <w:t>人员对机房存储设备、PC服务器、网络交换设备、网络安全设备等信息中心设备的日常维护保养与巡检和应对突发事件提供技术保障。</w:t>
      </w:r>
    </w:p>
    <w:p w14:paraId="1A53205E">
      <w:pPr>
        <w:numPr>
          <w:ilvl w:val="0"/>
          <w:numId w:val="111"/>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电子警察运维服务</w:t>
      </w:r>
      <w:r>
        <w:rPr>
          <w:rFonts w:hint="eastAsia" w:ascii="宋体" w:hAnsi="宋体"/>
          <w:color w:val="auto"/>
          <w:szCs w:val="21"/>
          <w:highlight w:val="none"/>
          <w:lang w:val="en-US" w:eastAsia="zh-CN"/>
        </w:rPr>
        <w:t>运维点位</w:t>
      </w:r>
      <w:r>
        <w:rPr>
          <w:rFonts w:hint="eastAsia" w:ascii="宋体" w:hAnsi="宋体"/>
          <w:color w:val="auto"/>
          <w:szCs w:val="21"/>
          <w:highlight w:val="none"/>
        </w:rPr>
        <w:t>情况一览表</w:t>
      </w:r>
    </w:p>
    <w:tbl>
      <w:tblPr>
        <w:tblStyle w:val="80"/>
        <w:tblW w:w="501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94"/>
        <w:gridCol w:w="1461"/>
        <w:gridCol w:w="3157"/>
        <w:gridCol w:w="717"/>
        <w:gridCol w:w="3284"/>
      </w:tblGrid>
      <w:tr w14:paraId="694C3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1" w:type="pct"/>
            <w:vAlign w:val="center"/>
          </w:tcPr>
          <w:p w14:paraId="472DB58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6"/>
                <w:sz w:val="21"/>
                <w:szCs w:val="21"/>
                <w:highlight w:val="none"/>
              </w:rPr>
              <w:t>序号</w:t>
            </w:r>
          </w:p>
        </w:tc>
        <w:tc>
          <w:tcPr>
            <w:tcW w:w="801" w:type="pct"/>
            <w:vAlign w:val="center"/>
          </w:tcPr>
          <w:p w14:paraId="11C92C2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设备类型</w:t>
            </w:r>
          </w:p>
        </w:tc>
        <w:tc>
          <w:tcPr>
            <w:tcW w:w="1731" w:type="pct"/>
            <w:vAlign w:val="center"/>
          </w:tcPr>
          <w:p w14:paraId="0B09B68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4"/>
                <w:sz w:val="21"/>
                <w:szCs w:val="21"/>
                <w:highlight w:val="none"/>
              </w:rPr>
              <w:t>所在地点</w:t>
            </w:r>
          </w:p>
        </w:tc>
        <w:tc>
          <w:tcPr>
            <w:tcW w:w="393" w:type="pct"/>
            <w:vAlign w:val="center"/>
          </w:tcPr>
          <w:p w14:paraId="2511F80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方向数</w:t>
            </w:r>
          </w:p>
        </w:tc>
        <w:tc>
          <w:tcPr>
            <w:tcW w:w="1801" w:type="pct"/>
            <w:vAlign w:val="center"/>
          </w:tcPr>
          <w:p w14:paraId="0E0D0F8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2"/>
                <w:sz w:val="21"/>
                <w:szCs w:val="21"/>
                <w:highlight w:val="none"/>
              </w:rPr>
              <w:t>违法抓拍类型</w:t>
            </w:r>
          </w:p>
        </w:tc>
      </w:tr>
      <w:tr w14:paraId="3198B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271" w:type="pct"/>
            <w:vAlign w:val="center"/>
          </w:tcPr>
          <w:p w14:paraId="6D8DEEE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801" w:type="pct"/>
            <w:vAlign w:val="center"/>
          </w:tcPr>
          <w:p w14:paraId="7221690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4E87A1B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东莞市道滘镇粤晖路大罗沙</w:t>
            </w:r>
            <w:r>
              <w:rPr>
                <w:rFonts w:hint="eastAsia" w:ascii="宋体" w:hAnsi="宋体" w:eastAsia="宋体" w:cs="宋体"/>
                <w:color w:val="auto"/>
                <w:spacing w:val="-1"/>
                <w:sz w:val="21"/>
                <w:szCs w:val="21"/>
                <w:highlight w:val="none"/>
                <w:lang w:eastAsia="zh-CN"/>
              </w:rPr>
              <w:t>路段</w:t>
            </w:r>
          </w:p>
        </w:tc>
        <w:tc>
          <w:tcPr>
            <w:tcW w:w="393" w:type="pct"/>
            <w:vAlign w:val="center"/>
          </w:tcPr>
          <w:p w14:paraId="5965C43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restart"/>
            <w:tcBorders>
              <w:bottom w:val="nil"/>
            </w:tcBorders>
            <w:vAlign w:val="center"/>
          </w:tcPr>
          <w:p w14:paraId="125D1D1A">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w:t>
            </w:r>
            <w:r>
              <w:rPr>
                <w:rFonts w:hint="eastAsia" w:ascii="宋体" w:hAnsi="宋体" w:eastAsia="宋体" w:cs="宋体"/>
                <w:color w:val="auto"/>
                <w:spacing w:val="-1"/>
                <w:sz w:val="21"/>
                <w:szCs w:val="21"/>
                <w:highlight w:val="none"/>
                <w:lang w:eastAsia="zh-CN"/>
              </w:rPr>
              <w:t>全带的</w:t>
            </w:r>
            <w:r>
              <w:rPr>
                <w:rFonts w:hint="eastAsia" w:cs="宋体"/>
                <w:color w:val="auto"/>
                <w:spacing w:val="-1"/>
                <w:sz w:val="21"/>
                <w:szCs w:val="21"/>
                <w:highlight w:val="none"/>
                <w:lang w:eastAsia="zh-CN"/>
              </w:rPr>
              <w:t>；</w:t>
            </w:r>
          </w:p>
          <w:p w14:paraId="59FC14CD">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4"/>
                <w:sz w:val="21"/>
                <w:szCs w:val="21"/>
                <w:highlight w:val="none"/>
                <w:lang w:eastAsia="zh-CN"/>
              </w:rPr>
            </w:pPr>
            <w:r>
              <w:rPr>
                <w:rFonts w:hint="eastAsia" w:ascii="宋体" w:hAnsi="宋体" w:eastAsia="宋体" w:cs="宋体"/>
                <w:color w:val="auto"/>
                <w:spacing w:val="-1"/>
                <w:sz w:val="21"/>
                <w:szCs w:val="21"/>
                <w:highlight w:val="none"/>
                <w:lang w:eastAsia="zh-CN"/>
              </w:rPr>
              <w:t>2、驾驶</w:t>
            </w:r>
            <w:r>
              <w:rPr>
                <w:rFonts w:hint="eastAsia" w:ascii="宋体" w:hAnsi="宋体" w:eastAsia="宋体" w:cs="宋体"/>
                <w:color w:val="auto"/>
                <w:spacing w:val="1"/>
                <w:sz w:val="21"/>
                <w:szCs w:val="21"/>
                <w:highlight w:val="none"/>
                <w:lang w:eastAsia="zh-CN"/>
              </w:rPr>
              <w:t>时拨打接听手</w:t>
            </w:r>
            <w:r>
              <w:rPr>
                <w:rFonts w:hint="eastAsia" w:ascii="宋体" w:hAnsi="宋体" w:eastAsia="宋体" w:cs="宋体"/>
                <w:color w:val="auto"/>
                <w:spacing w:val="4"/>
                <w:sz w:val="21"/>
                <w:szCs w:val="21"/>
                <w:highlight w:val="none"/>
                <w:lang w:eastAsia="zh-CN"/>
              </w:rPr>
              <w:t>持电话的</w:t>
            </w:r>
            <w:r>
              <w:rPr>
                <w:rFonts w:hint="eastAsia" w:cs="宋体"/>
                <w:color w:val="auto"/>
                <w:spacing w:val="4"/>
                <w:sz w:val="21"/>
                <w:szCs w:val="21"/>
                <w:highlight w:val="none"/>
                <w:lang w:eastAsia="zh-CN"/>
              </w:rPr>
              <w:t>；</w:t>
            </w:r>
          </w:p>
          <w:p w14:paraId="4CF996ED">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4"/>
                <w:sz w:val="21"/>
                <w:szCs w:val="21"/>
                <w:highlight w:val="none"/>
                <w:lang w:eastAsia="zh-CN"/>
              </w:rPr>
              <w:t>3、驾</w:t>
            </w:r>
            <w:r>
              <w:rPr>
                <w:rFonts w:hint="eastAsia" w:ascii="宋体" w:hAnsi="宋体" w:eastAsia="宋体" w:cs="宋体"/>
                <w:color w:val="auto"/>
                <w:spacing w:val="-2"/>
                <w:sz w:val="21"/>
                <w:szCs w:val="21"/>
                <w:highlight w:val="none"/>
                <w:lang w:eastAsia="zh-CN"/>
              </w:rPr>
              <w:t>驶机动车在高</w:t>
            </w:r>
            <w:r>
              <w:rPr>
                <w:rFonts w:hint="eastAsia" w:ascii="宋体" w:hAnsi="宋体" w:eastAsia="宋体" w:cs="宋体"/>
                <w:color w:val="auto"/>
                <w:spacing w:val="-1"/>
                <w:sz w:val="21"/>
                <w:szCs w:val="21"/>
                <w:highlight w:val="none"/>
                <w:lang w:eastAsia="zh-CN"/>
              </w:rPr>
              <w:t>速公路、城市快</w:t>
            </w:r>
            <w:r>
              <w:rPr>
                <w:rFonts w:hint="eastAsia" w:ascii="宋体" w:hAnsi="宋体" w:eastAsia="宋体" w:cs="宋体"/>
                <w:color w:val="auto"/>
                <w:spacing w:val="-2"/>
                <w:sz w:val="21"/>
                <w:szCs w:val="21"/>
                <w:highlight w:val="none"/>
                <w:lang w:eastAsia="zh-CN"/>
              </w:rPr>
              <w:t>速路以外超过</w:t>
            </w:r>
            <w:r>
              <w:rPr>
                <w:rFonts w:hint="eastAsia" w:ascii="宋体" w:hAnsi="宋体" w:eastAsia="宋体" w:cs="宋体"/>
                <w:color w:val="auto"/>
                <w:sz w:val="21"/>
                <w:szCs w:val="21"/>
                <w:highlight w:val="none"/>
                <w:lang w:eastAsia="zh-CN"/>
              </w:rPr>
              <w:t>规定时速的。</w:t>
            </w:r>
          </w:p>
        </w:tc>
      </w:tr>
      <w:tr w14:paraId="4C87DC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2990353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801" w:type="pct"/>
            <w:vAlign w:val="center"/>
          </w:tcPr>
          <w:p w14:paraId="500BB5E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0E1D37D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东莞市道滘镇南阁东路南丫</w:t>
            </w:r>
            <w:r>
              <w:rPr>
                <w:rFonts w:hint="eastAsia" w:ascii="宋体" w:hAnsi="宋体" w:eastAsia="宋体" w:cs="宋体"/>
                <w:color w:val="auto"/>
                <w:spacing w:val="-1"/>
                <w:sz w:val="21"/>
                <w:szCs w:val="21"/>
                <w:highlight w:val="none"/>
                <w:lang w:eastAsia="zh-CN"/>
              </w:rPr>
              <w:t>路段</w:t>
            </w:r>
          </w:p>
        </w:tc>
        <w:tc>
          <w:tcPr>
            <w:tcW w:w="393" w:type="pct"/>
            <w:vAlign w:val="center"/>
          </w:tcPr>
          <w:p w14:paraId="093DB1A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continue"/>
            <w:tcBorders>
              <w:top w:val="nil"/>
            </w:tcBorders>
            <w:vAlign w:val="center"/>
          </w:tcPr>
          <w:p w14:paraId="6368E239">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3153A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3" w:hRule="atLeast"/>
        </w:trPr>
        <w:tc>
          <w:tcPr>
            <w:tcW w:w="271" w:type="pct"/>
            <w:vAlign w:val="center"/>
          </w:tcPr>
          <w:p w14:paraId="3BCC692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801" w:type="pct"/>
            <w:vAlign w:val="center"/>
          </w:tcPr>
          <w:p w14:paraId="042F3EE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588A0B1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东莞市道滘镇虹南路立交桥</w:t>
            </w:r>
            <w:r>
              <w:rPr>
                <w:rFonts w:hint="eastAsia" w:ascii="宋体" w:hAnsi="宋体" w:eastAsia="宋体" w:cs="宋体"/>
                <w:color w:val="auto"/>
                <w:spacing w:val="1"/>
                <w:sz w:val="21"/>
                <w:szCs w:val="21"/>
                <w:highlight w:val="none"/>
                <w:lang w:eastAsia="zh-CN"/>
              </w:rPr>
              <w:t>路段</w:t>
            </w:r>
          </w:p>
        </w:tc>
        <w:tc>
          <w:tcPr>
            <w:tcW w:w="393" w:type="pct"/>
            <w:vAlign w:val="center"/>
          </w:tcPr>
          <w:p w14:paraId="37DCC8F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Align w:val="center"/>
          </w:tcPr>
          <w:p w14:paraId="75C3C85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1、驾驶机动车在高速公路以外的道路上行驶时，驾驶人未按规定使用安全带的</w:t>
            </w:r>
            <w:r>
              <w:rPr>
                <w:rFonts w:hint="eastAsia" w:cs="宋体"/>
                <w:color w:val="auto"/>
                <w:spacing w:val="1"/>
                <w:sz w:val="21"/>
                <w:szCs w:val="21"/>
                <w:highlight w:val="none"/>
                <w:lang w:eastAsia="zh-CN"/>
              </w:rPr>
              <w:t>；</w:t>
            </w:r>
          </w:p>
          <w:p w14:paraId="5DDA130B">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2、驾驶时拨打接听手持电话的。</w:t>
            </w:r>
          </w:p>
        </w:tc>
      </w:tr>
      <w:tr w14:paraId="29AE8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5" w:hRule="atLeast"/>
        </w:trPr>
        <w:tc>
          <w:tcPr>
            <w:tcW w:w="271" w:type="pct"/>
            <w:vAlign w:val="center"/>
          </w:tcPr>
          <w:p w14:paraId="34D88D8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801" w:type="pct"/>
            <w:vAlign w:val="center"/>
          </w:tcPr>
          <w:p w14:paraId="2D335D7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6C39A1B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东莞市道滘镇振兴路花园大</w:t>
            </w:r>
            <w:r>
              <w:rPr>
                <w:rFonts w:hint="eastAsia" w:ascii="宋体" w:hAnsi="宋体" w:eastAsia="宋体" w:cs="宋体"/>
                <w:color w:val="auto"/>
                <w:spacing w:val="-1"/>
                <w:sz w:val="21"/>
                <w:szCs w:val="21"/>
                <w:highlight w:val="none"/>
                <w:lang w:eastAsia="zh-CN"/>
              </w:rPr>
              <w:t>街路口</w:t>
            </w:r>
          </w:p>
        </w:tc>
        <w:tc>
          <w:tcPr>
            <w:tcW w:w="393" w:type="pct"/>
            <w:vAlign w:val="center"/>
          </w:tcPr>
          <w:p w14:paraId="4A3296F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Align w:val="center"/>
          </w:tcPr>
          <w:p w14:paraId="6EFEF48F">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08452262">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9"/>
                <w:sz w:val="21"/>
                <w:szCs w:val="21"/>
                <w:highlight w:val="none"/>
                <w:lang w:eastAsia="zh-CN"/>
              </w:rPr>
            </w:pPr>
            <w:r>
              <w:rPr>
                <w:rFonts w:hint="eastAsia" w:ascii="宋体" w:hAnsi="宋体" w:eastAsia="宋体" w:cs="宋体"/>
                <w:color w:val="auto"/>
                <w:spacing w:val="2"/>
                <w:sz w:val="21"/>
                <w:szCs w:val="21"/>
                <w:highlight w:val="none"/>
                <w:lang w:eastAsia="zh-CN"/>
              </w:rPr>
              <w:t>2、驾驶时拨打接听</w:t>
            </w:r>
            <w:r>
              <w:rPr>
                <w:rFonts w:hint="eastAsia" w:ascii="宋体" w:hAnsi="宋体" w:eastAsia="宋体" w:cs="宋体"/>
                <w:color w:val="auto"/>
                <w:spacing w:val="-19"/>
                <w:sz w:val="21"/>
                <w:szCs w:val="21"/>
                <w:highlight w:val="none"/>
                <w:lang w:eastAsia="zh-CN"/>
              </w:rPr>
              <w:t>手持电话的</w:t>
            </w:r>
            <w:r>
              <w:rPr>
                <w:rFonts w:hint="eastAsia" w:cs="宋体"/>
                <w:color w:val="auto"/>
                <w:spacing w:val="-19"/>
                <w:sz w:val="21"/>
                <w:szCs w:val="21"/>
                <w:highlight w:val="none"/>
                <w:lang w:eastAsia="zh-CN"/>
              </w:rPr>
              <w:t>；</w:t>
            </w:r>
          </w:p>
          <w:p w14:paraId="75D17733">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9"/>
                <w:sz w:val="21"/>
                <w:szCs w:val="21"/>
                <w:highlight w:val="none"/>
                <w:lang w:eastAsia="zh-CN"/>
              </w:rPr>
              <w:t>3、</w:t>
            </w:r>
            <w:r>
              <w:rPr>
                <w:rFonts w:hint="eastAsia" w:ascii="宋体" w:hAnsi="宋体" w:eastAsia="宋体" w:cs="宋体"/>
                <w:color w:val="auto"/>
                <w:spacing w:val="-8"/>
                <w:sz w:val="21"/>
                <w:szCs w:val="21"/>
                <w:highlight w:val="none"/>
                <w:lang w:eastAsia="zh-CN"/>
              </w:rPr>
              <w:t>遇行人正在通</w:t>
            </w:r>
            <w:r>
              <w:rPr>
                <w:rFonts w:hint="eastAsia" w:ascii="宋体" w:hAnsi="宋体" w:eastAsia="宋体" w:cs="宋体"/>
                <w:color w:val="auto"/>
                <w:spacing w:val="-5"/>
                <w:sz w:val="21"/>
                <w:szCs w:val="21"/>
                <w:highlight w:val="none"/>
                <w:lang w:eastAsia="zh-CN"/>
              </w:rPr>
              <w:t>过人行横道时</w:t>
            </w:r>
            <w:r>
              <w:rPr>
                <w:rFonts w:hint="eastAsia" w:ascii="宋体" w:hAnsi="宋体" w:eastAsia="宋体" w:cs="宋体"/>
                <w:color w:val="auto"/>
                <w:spacing w:val="-12"/>
                <w:sz w:val="21"/>
                <w:szCs w:val="21"/>
                <w:highlight w:val="none"/>
                <w:lang w:eastAsia="zh-CN"/>
              </w:rPr>
              <w:t>未停车让行的。</w:t>
            </w:r>
          </w:p>
        </w:tc>
      </w:tr>
      <w:tr w14:paraId="39737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71" w:type="pct"/>
            <w:vAlign w:val="center"/>
          </w:tcPr>
          <w:p w14:paraId="07A3820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w:t>
            </w:r>
          </w:p>
        </w:tc>
        <w:tc>
          <w:tcPr>
            <w:tcW w:w="801" w:type="pct"/>
            <w:vAlign w:val="center"/>
          </w:tcPr>
          <w:p w14:paraId="12F4A0B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7D107CC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东莞市道滘镇振兴路路段</w:t>
            </w:r>
          </w:p>
        </w:tc>
        <w:tc>
          <w:tcPr>
            <w:tcW w:w="393" w:type="pct"/>
            <w:vAlign w:val="center"/>
          </w:tcPr>
          <w:p w14:paraId="2E612A0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restart"/>
            <w:vAlign w:val="center"/>
          </w:tcPr>
          <w:p w14:paraId="522B354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0CD2D7EE">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2"/>
                <w:sz w:val="21"/>
                <w:szCs w:val="21"/>
                <w:highlight w:val="none"/>
                <w:lang w:eastAsia="zh-CN"/>
              </w:rPr>
              <w:t>2、驾</w:t>
            </w:r>
            <w:r>
              <w:rPr>
                <w:rFonts w:hint="eastAsia" w:ascii="宋体" w:hAnsi="宋体" w:eastAsia="宋体" w:cs="宋体"/>
                <w:color w:val="auto"/>
                <w:spacing w:val="-2"/>
                <w:sz w:val="21"/>
                <w:szCs w:val="21"/>
                <w:highlight w:val="none"/>
                <w:lang w:eastAsia="zh-CN"/>
              </w:rPr>
              <w:t>驶机动车在高速公路、城市快速路以外的道</w:t>
            </w:r>
            <w:r>
              <w:rPr>
                <w:rFonts w:hint="eastAsia" w:ascii="宋体" w:hAnsi="宋体" w:eastAsia="宋体" w:cs="宋体"/>
                <w:color w:val="auto"/>
                <w:spacing w:val="6"/>
                <w:sz w:val="21"/>
                <w:szCs w:val="21"/>
                <w:highlight w:val="none"/>
                <w:lang w:eastAsia="zh-CN"/>
              </w:rPr>
              <w:t>路上逆向行驶</w:t>
            </w:r>
            <w:r>
              <w:rPr>
                <w:rFonts w:hint="eastAsia" w:ascii="宋体" w:hAnsi="宋体" w:eastAsia="宋体" w:cs="宋体"/>
                <w:color w:val="auto"/>
                <w:spacing w:val="1"/>
                <w:sz w:val="21"/>
                <w:szCs w:val="21"/>
                <w:highlight w:val="none"/>
                <w:lang w:eastAsia="zh-CN"/>
              </w:rPr>
              <w:t>的</w:t>
            </w:r>
            <w:r>
              <w:rPr>
                <w:rFonts w:hint="eastAsia" w:cs="宋体"/>
                <w:color w:val="auto"/>
                <w:spacing w:val="1"/>
                <w:sz w:val="21"/>
                <w:szCs w:val="21"/>
                <w:highlight w:val="none"/>
                <w:lang w:eastAsia="zh-CN"/>
              </w:rPr>
              <w:t>；</w:t>
            </w:r>
          </w:p>
          <w:p w14:paraId="1466CED3">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3、驾驶时</w:t>
            </w:r>
            <w:r>
              <w:rPr>
                <w:rFonts w:hint="eastAsia" w:ascii="宋体" w:hAnsi="宋体" w:eastAsia="宋体" w:cs="宋体"/>
                <w:color w:val="auto"/>
                <w:spacing w:val="6"/>
                <w:sz w:val="21"/>
                <w:szCs w:val="21"/>
                <w:highlight w:val="none"/>
                <w:lang w:eastAsia="zh-CN"/>
              </w:rPr>
              <w:t>拨打接听手持</w:t>
            </w:r>
            <w:r>
              <w:rPr>
                <w:rFonts w:hint="eastAsia" w:ascii="宋体" w:hAnsi="宋体" w:eastAsia="宋体" w:cs="宋体"/>
                <w:color w:val="auto"/>
                <w:spacing w:val="7"/>
                <w:sz w:val="21"/>
                <w:szCs w:val="21"/>
                <w:highlight w:val="none"/>
                <w:lang w:eastAsia="zh-CN"/>
              </w:rPr>
              <w:t>电话的</w:t>
            </w:r>
            <w:r>
              <w:rPr>
                <w:rFonts w:hint="eastAsia" w:cs="宋体"/>
                <w:color w:val="auto"/>
                <w:spacing w:val="7"/>
                <w:sz w:val="21"/>
                <w:szCs w:val="21"/>
                <w:highlight w:val="none"/>
                <w:lang w:eastAsia="zh-CN"/>
              </w:rPr>
              <w:t>。</w:t>
            </w:r>
          </w:p>
        </w:tc>
      </w:tr>
      <w:tr w14:paraId="16965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151C5F07">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6</w:t>
            </w:r>
          </w:p>
        </w:tc>
        <w:tc>
          <w:tcPr>
            <w:tcW w:w="801" w:type="pct"/>
            <w:vAlign w:val="center"/>
          </w:tcPr>
          <w:p w14:paraId="307DEEF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90C66F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东莞市道滘镇新田西路路段</w:t>
            </w:r>
          </w:p>
        </w:tc>
        <w:tc>
          <w:tcPr>
            <w:tcW w:w="393" w:type="pct"/>
            <w:vAlign w:val="center"/>
          </w:tcPr>
          <w:p w14:paraId="482CE31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0373147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rPr>
            </w:pPr>
          </w:p>
        </w:tc>
      </w:tr>
      <w:tr w14:paraId="0759B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3A427047">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w:t>
            </w:r>
          </w:p>
        </w:tc>
        <w:tc>
          <w:tcPr>
            <w:tcW w:w="801" w:type="pct"/>
            <w:vAlign w:val="center"/>
          </w:tcPr>
          <w:p w14:paraId="66EFC20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5321ECF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东莞市道滘镇兴隆街路段</w:t>
            </w:r>
          </w:p>
        </w:tc>
        <w:tc>
          <w:tcPr>
            <w:tcW w:w="393" w:type="pct"/>
            <w:vAlign w:val="center"/>
          </w:tcPr>
          <w:p w14:paraId="5632A9A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178D1F70">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p>
        </w:tc>
      </w:tr>
      <w:tr w14:paraId="5CC468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7529CFE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w:t>
            </w:r>
          </w:p>
        </w:tc>
        <w:tc>
          <w:tcPr>
            <w:tcW w:w="801" w:type="pct"/>
            <w:vAlign w:val="center"/>
          </w:tcPr>
          <w:p w14:paraId="37DD327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E7CA20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东莞市道滘镇南边街路段</w:t>
            </w:r>
          </w:p>
        </w:tc>
        <w:tc>
          <w:tcPr>
            <w:tcW w:w="393" w:type="pct"/>
            <w:vAlign w:val="center"/>
          </w:tcPr>
          <w:p w14:paraId="56E623F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1F2E9CBF">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2AAB4A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7DD6E4B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w:t>
            </w:r>
          </w:p>
        </w:tc>
        <w:tc>
          <w:tcPr>
            <w:tcW w:w="801" w:type="pct"/>
            <w:vAlign w:val="center"/>
          </w:tcPr>
          <w:p w14:paraId="75D54F0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787C3C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东莞市道滘镇兴隆街路段</w:t>
            </w:r>
          </w:p>
          <w:p w14:paraId="16265AB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(街心公园)</w:t>
            </w:r>
          </w:p>
        </w:tc>
        <w:tc>
          <w:tcPr>
            <w:tcW w:w="393" w:type="pct"/>
            <w:vAlign w:val="center"/>
          </w:tcPr>
          <w:p w14:paraId="0FA47CA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3C98D71F">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47C813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 w:hRule="atLeast"/>
        </w:trPr>
        <w:tc>
          <w:tcPr>
            <w:tcW w:w="271" w:type="pct"/>
            <w:vAlign w:val="center"/>
          </w:tcPr>
          <w:p w14:paraId="29288BC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10</w:t>
            </w:r>
          </w:p>
        </w:tc>
        <w:tc>
          <w:tcPr>
            <w:tcW w:w="801" w:type="pct"/>
            <w:vAlign w:val="center"/>
          </w:tcPr>
          <w:p w14:paraId="779A56D5">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0D2F8FE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东莞市道活镇闸口东路路段</w:t>
            </w:r>
          </w:p>
        </w:tc>
        <w:tc>
          <w:tcPr>
            <w:tcW w:w="393" w:type="pct"/>
            <w:vAlign w:val="center"/>
          </w:tcPr>
          <w:p w14:paraId="03333B3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01" w:type="pct"/>
            <w:vMerge w:val="continue"/>
            <w:vAlign w:val="center"/>
          </w:tcPr>
          <w:p w14:paraId="71288D83">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72876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2EBBBC2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11</w:t>
            </w:r>
          </w:p>
        </w:tc>
        <w:tc>
          <w:tcPr>
            <w:tcW w:w="801" w:type="pct"/>
            <w:vAlign w:val="center"/>
          </w:tcPr>
          <w:p w14:paraId="4B31968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3F946EF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东莞市道滘镇道滘大桥</w:t>
            </w:r>
          </w:p>
          <w:p w14:paraId="663EFF0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(桥</w:t>
            </w:r>
            <w:r>
              <w:rPr>
                <w:rFonts w:hint="eastAsia" w:ascii="宋体" w:hAnsi="宋体" w:eastAsia="宋体" w:cs="宋体"/>
                <w:color w:val="auto"/>
                <w:spacing w:val="6"/>
                <w:sz w:val="21"/>
                <w:szCs w:val="21"/>
                <w:highlight w:val="none"/>
                <w:lang w:eastAsia="zh-CN"/>
              </w:rPr>
              <w:t>东路道厚路路口)</w:t>
            </w:r>
          </w:p>
        </w:tc>
        <w:tc>
          <w:tcPr>
            <w:tcW w:w="393" w:type="pct"/>
            <w:vAlign w:val="center"/>
          </w:tcPr>
          <w:p w14:paraId="34A60E3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restart"/>
            <w:tcBorders>
              <w:bottom w:val="nil"/>
            </w:tcBorders>
            <w:vAlign w:val="center"/>
          </w:tcPr>
          <w:p w14:paraId="650183C9">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驶时，驾驶人未</w:t>
            </w:r>
            <w:r>
              <w:rPr>
                <w:rFonts w:hint="eastAsia" w:ascii="宋体" w:hAnsi="宋体" w:eastAsia="宋体" w:cs="宋体"/>
                <w:color w:val="auto"/>
                <w:spacing w:val="2"/>
                <w:sz w:val="21"/>
                <w:szCs w:val="21"/>
                <w:highlight w:val="none"/>
                <w:lang w:eastAsia="zh-CN"/>
              </w:rPr>
              <w:t>按规定使用安全带的</w:t>
            </w:r>
            <w:r>
              <w:rPr>
                <w:rFonts w:hint="eastAsia" w:cs="宋体"/>
                <w:color w:val="auto"/>
                <w:spacing w:val="2"/>
                <w:sz w:val="21"/>
                <w:szCs w:val="21"/>
                <w:highlight w:val="none"/>
                <w:lang w:eastAsia="zh-CN"/>
              </w:rPr>
              <w:t>；</w:t>
            </w:r>
          </w:p>
          <w:p w14:paraId="63711875">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2、驾</w:t>
            </w:r>
            <w:r>
              <w:rPr>
                <w:rFonts w:hint="eastAsia" w:ascii="宋体" w:hAnsi="宋体" w:eastAsia="宋体" w:cs="宋体"/>
                <w:color w:val="auto"/>
                <w:spacing w:val="-2"/>
                <w:sz w:val="21"/>
                <w:szCs w:val="21"/>
                <w:highlight w:val="none"/>
                <w:lang w:eastAsia="zh-CN"/>
              </w:rPr>
              <w:t>驶机动车违反</w:t>
            </w:r>
            <w:r>
              <w:rPr>
                <w:rFonts w:hint="eastAsia" w:ascii="宋体" w:hAnsi="宋体" w:eastAsia="宋体" w:cs="宋体"/>
                <w:color w:val="auto"/>
                <w:spacing w:val="2"/>
                <w:sz w:val="21"/>
                <w:szCs w:val="21"/>
                <w:highlight w:val="none"/>
                <w:lang w:eastAsia="zh-CN"/>
              </w:rPr>
              <w:t>道路交通信号</w:t>
            </w:r>
          </w:p>
          <w:p w14:paraId="2CEC02B7">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2"/>
                <w:sz w:val="21"/>
                <w:szCs w:val="21"/>
                <w:highlight w:val="none"/>
                <w:lang w:eastAsia="zh-CN"/>
              </w:rPr>
              <w:t>灯通行的</w:t>
            </w:r>
            <w:r>
              <w:rPr>
                <w:rFonts w:hint="eastAsia" w:cs="宋体"/>
                <w:color w:val="auto"/>
                <w:spacing w:val="2"/>
                <w:sz w:val="21"/>
                <w:szCs w:val="21"/>
                <w:highlight w:val="none"/>
                <w:lang w:eastAsia="zh-CN"/>
              </w:rPr>
              <w:t>；</w:t>
            </w:r>
          </w:p>
          <w:p w14:paraId="0001F532">
            <w:pPr>
              <w:pStyle w:val="79"/>
              <w:keepNext w:val="0"/>
              <w:keepLines w:val="0"/>
              <w:pageBreakBefore w:val="0"/>
              <w:wordWrap/>
              <w:overflowPunct/>
              <w:topLinePunct w:val="0"/>
              <w:bidi w:val="0"/>
              <w:adjustRightInd/>
              <w:snapToGrid/>
              <w:spacing w:after="0" w:line="240" w:lineRule="auto"/>
              <w:ind w:left="0" w:right="0" w:firstLine="0"/>
              <w:jc w:val="left"/>
              <w:rPr>
                <w:rFonts w:hint="eastAsia" w:cs="宋体"/>
                <w:color w:val="auto"/>
                <w:spacing w:val="7"/>
                <w:sz w:val="21"/>
                <w:szCs w:val="21"/>
                <w:highlight w:val="none"/>
                <w:lang w:eastAsia="zh-CN"/>
              </w:rPr>
            </w:pPr>
            <w:r>
              <w:rPr>
                <w:rFonts w:hint="eastAsia" w:ascii="宋体" w:hAnsi="宋体" w:eastAsia="宋体" w:cs="宋体"/>
                <w:color w:val="auto"/>
                <w:spacing w:val="2"/>
                <w:sz w:val="21"/>
                <w:szCs w:val="21"/>
                <w:highlight w:val="none"/>
                <w:lang w:eastAsia="zh-CN"/>
              </w:rPr>
              <w:t>3、驾</w:t>
            </w:r>
            <w:r>
              <w:rPr>
                <w:rFonts w:hint="eastAsia" w:ascii="宋体" w:hAnsi="宋体" w:eastAsia="宋体" w:cs="宋体"/>
                <w:color w:val="auto"/>
                <w:sz w:val="21"/>
                <w:szCs w:val="21"/>
                <w:highlight w:val="none"/>
                <w:lang w:eastAsia="zh-CN"/>
              </w:rPr>
              <w:t>驶时拨打接听</w:t>
            </w:r>
            <w:r>
              <w:rPr>
                <w:rFonts w:hint="eastAsia" w:ascii="宋体" w:hAnsi="宋体" w:eastAsia="宋体" w:cs="宋体"/>
                <w:color w:val="auto"/>
                <w:spacing w:val="7"/>
                <w:sz w:val="21"/>
                <w:szCs w:val="21"/>
                <w:highlight w:val="none"/>
                <w:lang w:eastAsia="zh-CN"/>
              </w:rPr>
              <w:t>手持电话的</w:t>
            </w:r>
            <w:r>
              <w:rPr>
                <w:rFonts w:hint="eastAsia" w:cs="宋体"/>
                <w:color w:val="auto"/>
                <w:spacing w:val="7"/>
                <w:sz w:val="21"/>
                <w:szCs w:val="21"/>
                <w:highlight w:val="none"/>
                <w:lang w:eastAsia="zh-CN"/>
              </w:rPr>
              <w:t>；</w:t>
            </w:r>
          </w:p>
          <w:p w14:paraId="7EC09B66">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7"/>
                <w:sz w:val="21"/>
                <w:szCs w:val="21"/>
                <w:highlight w:val="none"/>
                <w:lang w:eastAsia="zh-CN"/>
              </w:rPr>
              <w:t>4</w:t>
            </w:r>
            <w:r>
              <w:rPr>
                <w:rFonts w:hint="eastAsia" w:cs="宋体"/>
                <w:color w:val="auto"/>
                <w:spacing w:val="7"/>
                <w:sz w:val="21"/>
                <w:szCs w:val="21"/>
                <w:highlight w:val="none"/>
                <w:lang w:eastAsia="zh-CN"/>
              </w:rPr>
              <w:t>、</w:t>
            </w:r>
            <w:r>
              <w:rPr>
                <w:rFonts w:hint="eastAsia" w:ascii="宋体" w:hAnsi="宋体" w:eastAsia="宋体" w:cs="宋体"/>
                <w:color w:val="auto"/>
                <w:spacing w:val="-2"/>
                <w:sz w:val="21"/>
                <w:szCs w:val="21"/>
                <w:highlight w:val="none"/>
                <w:lang w:eastAsia="zh-CN"/>
              </w:rPr>
              <w:t>机动车违反规</w:t>
            </w:r>
            <w:r>
              <w:rPr>
                <w:rFonts w:hint="eastAsia" w:ascii="宋体" w:hAnsi="宋体" w:eastAsia="宋体" w:cs="宋体"/>
                <w:color w:val="auto"/>
                <w:spacing w:val="1"/>
                <w:sz w:val="21"/>
                <w:szCs w:val="21"/>
                <w:highlight w:val="none"/>
                <w:lang w:eastAsia="zh-CN"/>
              </w:rPr>
              <w:t>定停放、临时停</w:t>
            </w:r>
            <w:r>
              <w:rPr>
                <w:rFonts w:hint="eastAsia" w:ascii="宋体" w:hAnsi="宋体" w:eastAsia="宋体" w:cs="宋体"/>
                <w:color w:val="auto"/>
                <w:spacing w:val="-2"/>
                <w:sz w:val="21"/>
                <w:szCs w:val="21"/>
                <w:highlight w:val="none"/>
                <w:lang w:eastAsia="zh-CN"/>
              </w:rPr>
              <w:t>车，妨碍其它车</w:t>
            </w:r>
            <w:r>
              <w:rPr>
                <w:rFonts w:hint="eastAsia" w:ascii="宋体" w:hAnsi="宋体" w:eastAsia="宋体" w:cs="宋体"/>
                <w:color w:val="auto"/>
                <w:spacing w:val="10"/>
                <w:sz w:val="21"/>
                <w:szCs w:val="21"/>
                <w:highlight w:val="none"/>
                <w:lang w:eastAsia="zh-CN"/>
              </w:rPr>
              <w:t>辆行人通行。</w:t>
            </w:r>
          </w:p>
        </w:tc>
      </w:tr>
      <w:tr w14:paraId="5CE0D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271" w:type="pct"/>
            <w:vAlign w:val="center"/>
          </w:tcPr>
          <w:p w14:paraId="020AE123">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12</w:t>
            </w:r>
          </w:p>
        </w:tc>
        <w:tc>
          <w:tcPr>
            <w:tcW w:w="801" w:type="pct"/>
            <w:vAlign w:val="center"/>
          </w:tcPr>
          <w:p w14:paraId="31BB00C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18A9DC0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东莞市道滘镇振兴路小河路</w:t>
            </w:r>
            <w:r>
              <w:rPr>
                <w:rFonts w:hint="eastAsia" w:ascii="宋体" w:hAnsi="宋体" w:eastAsia="宋体" w:cs="宋体"/>
                <w:color w:val="auto"/>
                <w:spacing w:val="6"/>
                <w:sz w:val="21"/>
                <w:szCs w:val="21"/>
                <w:highlight w:val="none"/>
                <w:lang w:eastAsia="zh-CN"/>
              </w:rPr>
              <w:t>道厚路路口</w:t>
            </w:r>
          </w:p>
        </w:tc>
        <w:tc>
          <w:tcPr>
            <w:tcW w:w="393" w:type="pct"/>
            <w:vAlign w:val="center"/>
          </w:tcPr>
          <w:p w14:paraId="6D01AC5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bottom w:val="nil"/>
            </w:tcBorders>
            <w:vAlign w:val="center"/>
          </w:tcPr>
          <w:p w14:paraId="45CAC824">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60A94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2636813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13</w:t>
            </w:r>
          </w:p>
        </w:tc>
        <w:tc>
          <w:tcPr>
            <w:tcW w:w="801" w:type="pct"/>
            <w:vAlign w:val="center"/>
          </w:tcPr>
          <w:p w14:paraId="22675EE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66E675E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2"/>
                <w:sz w:val="21"/>
                <w:szCs w:val="21"/>
                <w:highlight w:val="none"/>
                <w:lang w:eastAsia="zh-CN"/>
              </w:rPr>
              <w:t>东莞市道滘镇大鱼沙路口</w:t>
            </w:r>
          </w:p>
          <w:p w14:paraId="67C4494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6"/>
                <w:sz w:val="21"/>
                <w:szCs w:val="21"/>
                <w:highlight w:val="none"/>
                <w:lang w:eastAsia="zh-CN"/>
              </w:rPr>
              <w:t>(九曲桥路口)</w:t>
            </w:r>
          </w:p>
        </w:tc>
        <w:tc>
          <w:tcPr>
            <w:tcW w:w="393" w:type="pct"/>
            <w:vAlign w:val="center"/>
          </w:tcPr>
          <w:p w14:paraId="15C4052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801" w:type="pct"/>
            <w:vMerge w:val="continue"/>
            <w:tcBorders>
              <w:top w:val="nil"/>
              <w:bottom w:val="nil"/>
            </w:tcBorders>
            <w:vAlign w:val="center"/>
          </w:tcPr>
          <w:p w14:paraId="5300E2F9">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46506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7A62CD4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14</w:t>
            </w:r>
          </w:p>
        </w:tc>
        <w:tc>
          <w:tcPr>
            <w:tcW w:w="801" w:type="pct"/>
            <w:vAlign w:val="center"/>
          </w:tcPr>
          <w:p w14:paraId="137EC33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4E9A3B7C">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东莞市道滘镇粤晖园路口</w:t>
            </w:r>
          </w:p>
        </w:tc>
        <w:tc>
          <w:tcPr>
            <w:tcW w:w="393" w:type="pct"/>
            <w:vAlign w:val="center"/>
          </w:tcPr>
          <w:p w14:paraId="04FA984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bottom w:val="nil"/>
            </w:tcBorders>
            <w:vAlign w:val="center"/>
          </w:tcPr>
          <w:p w14:paraId="57A5BDB0">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2719D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794343E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15</w:t>
            </w:r>
          </w:p>
        </w:tc>
        <w:tc>
          <w:tcPr>
            <w:tcW w:w="801" w:type="pct"/>
            <w:vAlign w:val="center"/>
          </w:tcPr>
          <w:p w14:paraId="6A291B02">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公路卡口</w:t>
            </w:r>
            <w:r>
              <w:rPr>
                <w:rFonts w:hint="eastAsia" w:ascii="宋体" w:hAnsi="宋体" w:eastAsia="宋体" w:cs="宋体"/>
                <w:color w:val="auto"/>
                <w:spacing w:val="5"/>
                <w:sz w:val="21"/>
                <w:szCs w:val="21"/>
                <w:highlight w:val="none"/>
              </w:rPr>
              <w:t>设备</w:t>
            </w:r>
          </w:p>
        </w:tc>
        <w:tc>
          <w:tcPr>
            <w:tcW w:w="1731" w:type="pct"/>
            <w:vAlign w:val="center"/>
          </w:tcPr>
          <w:p w14:paraId="534602C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东莞市道滘镇南阁工业区红</w:t>
            </w:r>
            <w:r>
              <w:rPr>
                <w:rFonts w:hint="eastAsia" w:ascii="宋体" w:hAnsi="宋体" w:eastAsia="宋体" w:cs="宋体"/>
                <w:color w:val="auto"/>
                <w:spacing w:val="8"/>
                <w:sz w:val="21"/>
                <w:szCs w:val="21"/>
                <w:highlight w:val="none"/>
                <w:lang w:eastAsia="zh-CN"/>
              </w:rPr>
              <w:t>绿灯路口</w:t>
            </w:r>
          </w:p>
        </w:tc>
        <w:tc>
          <w:tcPr>
            <w:tcW w:w="393" w:type="pct"/>
            <w:vAlign w:val="center"/>
          </w:tcPr>
          <w:p w14:paraId="068E1B5E">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tcBorders>
            <w:vAlign w:val="center"/>
          </w:tcPr>
          <w:p w14:paraId="05D32FD6">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395DD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271" w:type="pct"/>
            <w:vAlign w:val="center"/>
          </w:tcPr>
          <w:p w14:paraId="3B9192F6">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16</w:t>
            </w:r>
          </w:p>
        </w:tc>
        <w:tc>
          <w:tcPr>
            <w:tcW w:w="801" w:type="pct"/>
            <w:vAlign w:val="center"/>
          </w:tcPr>
          <w:p w14:paraId="69F17CAF">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373A0467">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东莞市道滘镇道厚路律涌桥</w:t>
            </w:r>
            <w:r>
              <w:rPr>
                <w:rFonts w:hint="eastAsia" w:ascii="宋体" w:hAnsi="宋体" w:eastAsia="宋体" w:cs="宋体"/>
                <w:color w:val="auto"/>
                <w:spacing w:val="-3"/>
                <w:sz w:val="21"/>
                <w:szCs w:val="21"/>
                <w:highlight w:val="none"/>
                <w:lang w:eastAsia="zh-CN"/>
              </w:rPr>
              <w:t>路段</w:t>
            </w:r>
          </w:p>
        </w:tc>
        <w:tc>
          <w:tcPr>
            <w:tcW w:w="393" w:type="pct"/>
            <w:vAlign w:val="center"/>
          </w:tcPr>
          <w:p w14:paraId="5A06039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restart"/>
            <w:tcBorders>
              <w:bottom w:val="nil"/>
            </w:tcBorders>
            <w:vAlign w:val="center"/>
          </w:tcPr>
          <w:p w14:paraId="486EC5B1">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1"/>
                <w:sz w:val="21"/>
                <w:szCs w:val="21"/>
                <w:highlight w:val="none"/>
                <w:lang w:eastAsia="zh-CN"/>
              </w:rPr>
            </w:pPr>
            <w:r>
              <w:rPr>
                <w:rFonts w:hint="eastAsia" w:ascii="宋体" w:hAnsi="宋体" w:eastAsia="宋体" w:cs="宋体"/>
                <w:color w:val="auto"/>
                <w:spacing w:val="1"/>
                <w:sz w:val="21"/>
                <w:szCs w:val="21"/>
                <w:highlight w:val="none"/>
                <w:lang w:eastAsia="zh-CN"/>
              </w:rPr>
              <w:t>1、驾驶机动车</w:t>
            </w:r>
            <w:r>
              <w:rPr>
                <w:rFonts w:hint="eastAsia" w:ascii="宋体" w:hAnsi="宋体" w:eastAsia="宋体" w:cs="宋体"/>
                <w:color w:val="auto"/>
                <w:spacing w:val="3"/>
                <w:sz w:val="21"/>
                <w:szCs w:val="21"/>
                <w:highlight w:val="none"/>
                <w:lang w:eastAsia="zh-CN"/>
              </w:rPr>
              <w:t>在高速公路以</w:t>
            </w:r>
            <w:r>
              <w:rPr>
                <w:rFonts w:hint="eastAsia" w:ascii="宋体" w:hAnsi="宋体" w:eastAsia="宋体" w:cs="宋体"/>
                <w:color w:val="auto"/>
                <w:spacing w:val="1"/>
                <w:sz w:val="21"/>
                <w:szCs w:val="21"/>
                <w:highlight w:val="none"/>
                <w:lang w:eastAsia="zh-CN"/>
              </w:rPr>
              <w:t>外的道路上行</w:t>
            </w:r>
            <w:r>
              <w:rPr>
                <w:rFonts w:hint="eastAsia" w:ascii="宋体" w:hAnsi="宋体" w:eastAsia="宋体" w:cs="宋体"/>
                <w:color w:val="auto"/>
                <w:spacing w:val="-2"/>
                <w:sz w:val="21"/>
                <w:szCs w:val="21"/>
                <w:highlight w:val="none"/>
                <w:lang w:eastAsia="zh-CN"/>
              </w:rPr>
              <w:t>驶时</w:t>
            </w:r>
            <w:r>
              <w:rPr>
                <w:rFonts w:hint="eastAsia" w:cs="宋体"/>
                <w:color w:val="auto"/>
                <w:spacing w:val="-2"/>
                <w:sz w:val="21"/>
                <w:szCs w:val="21"/>
                <w:highlight w:val="none"/>
                <w:lang w:eastAsia="zh-CN"/>
              </w:rPr>
              <w:t>，</w:t>
            </w:r>
            <w:r>
              <w:rPr>
                <w:rFonts w:hint="eastAsia" w:ascii="宋体" w:hAnsi="宋体" w:eastAsia="宋体" w:cs="宋体"/>
                <w:color w:val="auto"/>
                <w:spacing w:val="-2"/>
                <w:sz w:val="21"/>
                <w:szCs w:val="21"/>
                <w:highlight w:val="none"/>
                <w:lang w:eastAsia="zh-CN"/>
              </w:rPr>
              <w:t>驾驶人未</w:t>
            </w:r>
            <w:r>
              <w:rPr>
                <w:rFonts w:hint="eastAsia" w:ascii="宋体" w:hAnsi="宋体" w:eastAsia="宋体" w:cs="宋体"/>
                <w:color w:val="auto"/>
                <w:spacing w:val="2"/>
                <w:sz w:val="21"/>
                <w:szCs w:val="21"/>
                <w:highlight w:val="none"/>
                <w:lang w:eastAsia="zh-CN"/>
              </w:rPr>
              <w:t>按规定使用安</w:t>
            </w:r>
            <w:r>
              <w:rPr>
                <w:rFonts w:hint="eastAsia" w:ascii="宋体" w:hAnsi="宋体" w:eastAsia="宋体" w:cs="宋体"/>
                <w:color w:val="auto"/>
                <w:spacing w:val="-1"/>
                <w:sz w:val="21"/>
                <w:szCs w:val="21"/>
                <w:highlight w:val="none"/>
                <w:lang w:eastAsia="zh-CN"/>
              </w:rPr>
              <w:t>全带的</w:t>
            </w:r>
            <w:r>
              <w:rPr>
                <w:rFonts w:hint="eastAsia" w:cs="宋体"/>
                <w:color w:val="auto"/>
                <w:spacing w:val="-1"/>
                <w:sz w:val="21"/>
                <w:szCs w:val="21"/>
                <w:highlight w:val="none"/>
                <w:lang w:eastAsia="zh-CN"/>
              </w:rPr>
              <w:t>；</w:t>
            </w:r>
          </w:p>
          <w:p w14:paraId="31DFA306">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pacing w:val="2"/>
                <w:sz w:val="21"/>
                <w:szCs w:val="21"/>
                <w:highlight w:val="none"/>
                <w:lang w:eastAsia="zh-CN"/>
              </w:rPr>
            </w:pPr>
            <w:r>
              <w:rPr>
                <w:rFonts w:hint="eastAsia" w:ascii="宋体" w:hAnsi="宋体" w:eastAsia="宋体" w:cs="宋体"/>
                <w:color w:val="auto"/>
                <w:spacing w:val="-1"/>
                <w:sz w:val="21"/>
                <w:szCs w:val="21"/>
                <w:highlight w:val="none"/>
                <w:lang w:eastAsia="zh-CN"/>
              </w:rPr>
              <w:t>2、驾驶</w:t>
            </w:r>
            <w:r>
              <w:rPr>
                <w:rFonts w:hint="eastAsia" w:ascii="宋体" w:hAnsi="宋体" w:eastAsia="宋体" w:cs="宋体"/>
                <w:color w:val="auto"/>
                <w:spacing w:val="1"/>
                <w:sz w:val="21"/>
                <w:szCs w:val="21"/>
                <w:highlight w:val="none"/>
                <w:lang w:eastAsia="zh-CN"/>
              </w:rPr>
              <w:t>时拨打接听手</w:t>
            </w:r>
            <w:r>
              <w:rPr>
                <w:rFonts w:hint="eastAsia" w:ascii="宋体" w:hAnsi="宋体" w:eastAsia="宋体" w:cs="宋体"/>
                <w:color w:val="auto"/>
                <w:spacing w:val="2"/>
                <w:sz w:val="21"/>
                <w:szCs w:val="21"/>
                <w:highlight w:val="none"/>
                <w:lang w:eastAsia="zh-CN"/>
              </w:rPr>
              <w:t>持电话的</w:t>
            </w:r>
            <w:r>
              <w:rPr>
                <w:rFonts w:hint="eastAsia" w:cs="宋体"/>
                <w:color w:val="auto"/>
                <w:spacing w:val="2"/>
                <w:sz w:val="21"/>
                <w:szCs w:val="21"/>
                <w:highlight w:val="none"/>
                <w:lang w:eastAsia="zh-CN"/>
              </w:rPr>
              <w:t>；</w:t>
            </w:r>
          </w:p>
          <w:p w14:paraId="2352F28D">
            <w:pPr>
              <w:pStyle w:val="79"/>
              <w:keepNext w:val="0"/>
              <w:keepLines w:val="0"/>
              <w:pageBreakBefore w:val="0"/>
              <w:wordWrap/>
              <w:overflowPunct/>
              <w:topLinePunct w:val="0"/>
              <w:bidi w:val="0"/>
              <w:adjustRightInd/>
              <w:snapToGrid/>
              <w:spacing w:after="0" w:line="240" w:lineRule="auto"/>
              <w:ind w:left="0" w:right="0" w:firstLine="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lang w:eastAsia="zh-CN"/>
              </w:rPr>
              <w:t>3、驾</w:t>
            </w:r>
            <w:r>
              <w:rPr>
                <w:rFonts w:hint="eastAsia" w:ascii="宋体" w:hAnsi="宋体" w:eastAsia="宋体" w:cs="宋体"/>
                <w:color w:val="auto"/>
                <w:spacing w:val="-2"/>
                <w:sz w:val="21"/>
                <w:szCs w:val="21"/>
                <w:highlight w:val="none"/>
                <w:lang w:eastAsia="zh-CN"/>
              </w:rPr>
              <w:t>驶机动车在高速公路、城市快速路以外，超过</w:t>
            </w:r>
            <w:r>
              <w:rPr>
                <w:rFonts w:hint="eastAsia" w:ascii="宋体" w:hAnsi="宋体" w:eastAsia="宋体" w:cs="宋体"/>
                <w:color w:val="auto"/>
                <w:spacing w:val="8"/>
                <w:sz w:val="21"/>
                <w:szCs w:val="21"/>
                <w:highlight w:val="none"/>
                <w:lang w:eastAsia="zh-CN"/>
              </w:rPr>
              <w:t>规定时速的。</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主路3车道+</w:t>
            </w:r>
            <w:r>
              <w:rPr>
                <w:rFonts w:hint="eastAsia" w:ascii="宋体" w:hAnsi="宋体" w:eastAsia="宋体" w:cs="宋体"/>
                <w:color w:val="auto"/>
                <w:spacing w:val="8"/>
                <w:sz w:val="21"/>
                <w:szCs w:val="21"/>
                <w:highlight w:val="none"/>
                <w:lang w:eastAsia="zh-CN"/>
              </w:rPr>
              <w:t>辅道2车道</w:t>
            </w:r>
            <w:r>
              <w:rPr>
                <w:rFonts w:hint="eastAsia" w:cs="宋体"/>
                <w:color w:val="auto"/>
                <w:sz w:val="21"/>
                <w:szCs w:val="21"/>
                <w:highlight w:val="none"/>
                <w:lang w:eastAsia="zh-CN"/>
              </w:rPr>
              <w:t>）</w:t>
            </w:r>
          </w:p>
        </w:tc>
      </w:tr>
      <w:tr w14:paraId="240AAB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271" w:type="pct"/>
            <w:vAlign w:val="center"/>
          </w:tcPr>
          <w:p w14:paraId="267358E0">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17</w:t>
            </w:r>
          </w:p>
        </w:tc>
        <w:tc>
          <w:tcPr>
            <w:tcW w:w="801" w:type="pct"/>
            <w:vAlign w:val="center"/>
          </w:tcPr>
          <w:p w14:paraId="699EF4D9">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771F746A">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东莞市道滘镇港口大道丽水</w:t>
            </w:r>
            <w:r>
              <w:rPr>
                <w:rFonts w:hint="eastAsia" w:ascii="宋体" w:hAnsi="宋体" w:eastAsia="宋体" w:cs="宋体"/>
                <w:color w:val="auto"/>
                <w:spacing w:val="-2"/>
                <w:sz w:val="21"/>
                <w:szCs w:val="21"/>
                <w:highlight w:val="none"/>
                <w:lang w:eastAsia="zh-CN"/>
              </w:rPr>
              <w:t>佳园路段</w:t>
            </w:r>
          </w:p>
        </w:tc>
        <w:tc>
          <w:tcPr>
            <w:tcW w:w="393" w:type="pct"/>
            <w:vAlign w:val="center"/>
          </w:tcPr>
          <w:p w14:paraId="4C6D44EB">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01" w:type="pct"/>
            <w:vMerge w:val="continue"/>
            <w:tcBorders>
              <w:top w:val="nil"/>
              <w:bottom w:val="nil"/>
            </w:tcBorders>
            <w:vAlign w:val="center"/>
          </w:tcPr>
          <w:p w14:paraId="3B6E0B69">
            <w:pPr>
              <w:keepNext w:val="0"/>
              <w:keepLines w:val="0"/>
              <w:pageBreakBefore w:val="0"/>
              <w:wordWrap/>
              <w:overflowPunct/>
              <w:topLinePunct w:val="0"/>
              <w:bidi w:val="0"/>
              <w:adjustRightInd/>
              <w:snapToGrid/>
              <w:spacing w:after="160" w:line="240" w:lineRule="auto"/>
              <w:ind w:left="0" w:right="0" w:firstLine="0"/>
              <w:jc w:val="left"/>
              <w:rPr>
                <w:rFonts w:hint="eastAsia" w:ascii="宋体" w:hAnsi="宋体" w:eastAsia="宋体" w:cs="宋体"/>
                <w:snapToGrid w:val="0"/>
                <w:color w:val="auto"/>
                <w:kern w:val="0"/>
                <w:sz w:val="21"/>
                <w:szCs w:val="21"/>
                <w:highlight w:val="none"/>
                <w:lang w:eastAsia="en-US"/>
              </w:rPr>
            </w:pPr>
          </w:p>
        </w:tc>
      </w:tr>
      <w:tr w14:paraId="79F3E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71" w:type="pct"/>
            <w:vAlign w:val="center"/>
          </w:tcPr>
          <w:p w14:paraId="2DC630AD">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18</w:t>
            </w:r>
          </w:p>
        </w:tc>
        <w:tc>
          <w:tcPr>
            <w:tcW w:w="801" w:type="pct"/>
            <w:vAlign w:val="center"/>
          </w:tcPr>
          <w:p w14:paraId="625BC658">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测速设备</w:t>
            </w:r>
          </w:p>
        </w:tc>
        <w:tc>
          <w:tcPr>
            <w:tcW w:w="1731" w:type="pct"/>
            <w:vAlign w:val="center"/>
          </w:tcPr>
          <w:p w14:paraId="1684E474">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东莞市道滘镇水乡大道四联</w:t>
            </w:r>
            <w:r>
              <w:rPr>
                <w:rFonts w:hint="eastAsia" w:ascii="宋体" w:hAnsi="宋体" w:eastAsia="宋体" w:cs="宋体"/>
                <w:color w:val="auto"/>
                <w:spacing w:val="2"/>
                <w:sz w:val="21"/>
                <w:szCs w:val="21"/>
                <w:highlight w:val="none"/>
                <w:lang w:eastAsia="zh-CN"/>
              </w:rPr>
              <w:t>小学路段</w:t>
            </w:r>
          </w:p>
        </w:tc>
        <w:tc>
          <w:tcPr>
            <w:tcW w:w="393" w:type="pct"/>
            <w:vAlign w:val="center"/>
          </w:tcPr>
          <w:p w14:paraId="2C8AA611">
            <w:pPr>
              <w:pStyle w:val="79"/>
              <w:keepNext w:val="0"/>
              <w:keepLines w:val="0"/>
              <w:pageBreakBefore w:val="0"/>
              <w:wordWrap/>
              <w:overflowPunct/>
              <w:topLinePunct w:val="0"/>
              <w:bidi w:val="0"/>
              <w:adjustRightInd/>
              <w:snapToGrid/>
              <w:spacing w:after="0" w:line="240" w:lineRule="auto"/>
              <w:ind w:left="0" w:right="0" w:firstLine="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801" w:type="pct"/>
            <w:vMerge w:val="continue"/>
            <w:tcBorders>
              <w:top w:val="nil"/>
            </w:tcBorders>
            <w:vAlign w:val="center"/>
          </w:tcPr>
          <w:p w14:paraId="26D31752">
            <w:pPr>
              <w:keepNext w:val="0"/>
              <w:keepLines w:val="0"/>
              <w:pageBreakBefore w:val="0"/>
              <w:wordWrap/>
              <w:overflowPunct/>
              <w:topLinePunct w:val="0"/>
              <w:bidi w:val="0"/>
              <w:adjustRightInd/>
              <w:snapToGrid/>
              <w:spacing w:after="160" w:line="240" w:lineRule="auto"/>
              <w:ind w:left="0" w:right="0" w:firstLine="0"/>
              <w:jc w:val="center"/>
              <w:rPr>
                <w:rFonts w:hint="eastAsia" w:ascii="宋体" w:hAnsi="宋体" w:eastAsia="宋体" w:cs="宋体"/>
                <w:snapToGrid w:val="0"/>
                <w:color w:val="auto"/>
                <w:kern w:val="0"/>
                <w:sz w:val="21"/>
                <w:szCs w:val="21"/>
                <w:highlight w:val="none"/>
                <w:lang w:eastAsia="en-US"/>
              </w:rPr>
            </w:pPr>
          </w:p>
        </w:tc>
      </w:tr>
    </w:tbl>
    <w:p w14:paraId="7A481839">
      <w:pPr>
        <w:numPr>
          <w:ilvl w:val="0"/>
          <w:numId w:val="111"/>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运维服务</w:t>
      </w:r>
      <w:r>
        <w:rPr>
          <w:rFonts w:hint="eastAsia" w:ascii="宋体" w:hAnsi="宋体"/>
          <w:color w:val="auto"/>
          <w:szCs w:val="21"/>
          <w:highlight w:val="none"/>
          <w:lang w:val="en-US" w:eastAsia="zh-CN"/>
        </w:rPr>
        <w:t>要求</w:t>
      </w:r>
    </w:p>
    <w:p w14:paraId="67B3E4F8">
      <w:pPr>
        <w:numPr>
          <w:ilvl w:val="0"/>
          <w:numId w:val="113"/>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lang w:val="en-US" w:eastAsia="zh-CN"/>
        </w:rPr>
        <w:t>巡检项目及周期要求</w:t>
      </w:r>
    </w:p>
    <w:tbl>
      <w:tblPr>
        <w:tblStyle w:val="80"/>
        <w:tblW w:w="505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4"/>
        <w:gridCol w:w="2417"/>
        <w:gridCol w:w="6085"/>
      </w:tblGrid>
      <w:tr w14:paraId="57819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367" w:type="pct"/>
            <w:vAlign w:val="center"/>
          </w:tcPr>
          <w:p w14:paraId="73DEC037">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0"/>
              <w:jc w:val="center"/>
              <w:textAlignment w:val="baseline"/>
              <w:rPr>
                <w:rFonts w:hint="eastAsia" w:ascii="宋体" w:hAnsi="宋体" w:eastAsia="宋体" w:cs="宋体"/>
                <w:b/>
                <w:bCs/>
                <w:color w:val="auto"/>
                <w:spacing w:val="-6"/>
                <w:sz w:val="21"/>
                <w:szCs w:val="21"/>
                <w:highlight w:val="none"/>
                <w:lang w:val="en-US" w:eastAsia="zh-CN"/>
              </w:rPr>
            </w:pPr>
            <w:r>
              <w:rPr>
                <w:rFonts w:hint="eastAsia" w:cs="宋体"/>
                <w:b/>
                <w:bCs/>
                <w:color w:val="auto"/>
                <w:spacing w:val="-6"/>
                <w:sz w:val="21"/>
                <w:szCs w:val="21"/>
                <w:highlight w:val="none"/>
                <w:lang w:val="en-US" w:eastAsia="zh-CN"/>
              </w:rPr>
              <w:t>序号</w:t>
            </w:r>
          </w:p>
        </w:tc>
        <w:tc>
          <w:tcPr>
            <w:tcW w:w="1317" w:type="pct"/>
            <w:vAlign w:val="center"/>
          </w:tcPr>
          <w:p w14:paraId="078469E5">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6"/>
                <w:sz w:val="21"/>
                <w:szCs w:val="21"/>
                <w:highlight w:val="none"/>
              </w:rPr>
              <w:t>项目</w:t>
            </w:r>
          </w:p>
        </w:tc>
        <w:tc>
          <w:tcPr>
            <w:tcW w:w="3315" w:type="pct"/>
            <w:vAlign w:val="center"/>
          </w:tcPr>
          <w:p w14:paraId="38DE61E5">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2"/>
                <w:sz w:val="21"/>
                <w:szCs w:val="21"/>
                <w:highlight w:val="none"/>
              </w:rPr>
              <w:t>巡检周期要求</w:t>
            </w:r>
          </w:p>
        </w:tc>
      </w:tr>
      <w:tr w14:paraId="7246B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367" w:type="pct"/>
            <w:vAlign w:val="center"/>
          </w:tcPr>
          <w:p w14:paraId="7E783689">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1</w:t>
            </w:r>
          </w:p>
        </w:tc>
        <w:tc>
          <w:tcPr>
            <w:tcW w:w="1317" w:type="pct"/>
            <w:vAlign w:val="center"/>
          </w:tcPr>
          <w:p w14:paraId="601ED700">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cs="宋体"/>
                <w:color w:val="auto"/>
                <w:sz w:val="21"/>
                <w:szCs w:val="21"/>
                <w:highlight w:val="none"/>
                <w:lang w:val="en-US" w:eastAsia="zh-CN"/>
              </w:rPr>
              <w:t>本</w:t>
            </w:r>
            <w:r>
              <w:rPr>
                <w:rFonts w:hint="eastAsia" w:ascii="宋体" w:hAnsi="宋体" w:eastAsia="宋体" w:cs="宋体"/>
                <w:color w:val="auto"/>
                <w:sz w:val="21"/>
                <w:szCs w:val="21"/>
                <w:highlight w:val="none"/>
                <w:lang w:eastAsia="zh-CN"/>
              </w:rPr>
              <w:t>项目范围内道</w:t>
            </w:r>
            <w:r>
              <w:rPr>
                <w:rFonts w:hint="eastAsia" w:ascii="宋体" w:hAnsi="宋体" w:eastAsia="宋体" w:cs="宋体"/>
                <w:color w:val="auto"/>
                <w:spacing w:val="1"/>
                <w:sz w:val="21"/>
                <w:szCs w:val="21"/>
                <w:highlight w:val="none"/>
                <w:lang w:eastAsia="zh-CN"/>
              </w:rPr>
              <w:t>路交通设施日常维护项</w:t>
            </w:r>
            <w:r>
              <w:rPr>
                <w:rFonts w:hint="eastAsia" w:ascii="宋体" w:hAnsi="宋体" w:eastAsia="宋体" w:cs="宋体"/>
                <w:color w:val="auto"/>
                <w:sz w:val="21"/>
                <w:szCs w:val="21"/>
                <w:highlight w:val="none"/>
                <w:lang w:eastAsia="zh-CN"/>
              </w:rPr>
              <w:t>目</w:t>
            </w:r>
          </w:p>
        </w:tc>
        <w:tc>
          <w:tcPr>
            <w:tcW w:w="3315" w:type="pct"/>
          </w:tcPr>
          <w:p w14:paraId="331E6DBF">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前端设备每</w:t>
            </w:r>
            <w:r>
              <w:rPr>
                <w:rFonts w:hint="eastAsia" w:cs="宋体"/>
                <w:color w:val="auto"/>
                <w:spacing w:val="3"/>
                <w:sz w:val="21"/>
                <w:szCs w:val="21"/>
                <w:highlight w:val="none"/>
                <w:lang w:val="en-US" w:eastAsia="zh-CN"/>
              </w:rPr>
              <w:t>2周不少于</w:t>
            </w:r>
            <w:r>
              <w:rPr>
                <w:rFonts w:hint="eastAsia" w:ascii="宋体" w:hAnsi="宋体" w:eastAsia="宋体" w:cs="宋体"/>
                <w:color w:val="auto"/>
                <w:spacing w:val="3"/>
                <w:sz w:val="21"/>
                <w:szCs w:val="21"/>
                <w:highlight w:val="none"/>
                <w:lang w:eastAsia="zh-CN"/>
              </w:rPr>
              <w:t>1次巡检包括电警设备、杆件、沙井盖、线路、</w:t>
            </w:r>
            <w:r>
              <w:rPr>
                <w:rFonts w:hint="eastAsia" w:ascii="宋体" w:hAnsi="宋体" w:eastAsia="宋体" w:cs="宋体"/>
                <w:color w:val="auto"/>
                <w:sz w:val="21"/>
                <w:szCs w:val="21"/>
                <w:highlight w:val="none"/>
                <w:lang w:eastAsia="zh-CN"/>
              </w:rPr>
              <w:t>机箱门、机箱基础等，每周对终端服务器进行巡检</w:t>
            </w:r>
            <w:r>
              <w:rPr>
                <w:rFonts w:hint="eastAsia" w:ascii="宋体" w:hAnsi="宋体" w:eastAsia="宋体" w:cs="宋体"/>
                <w:color w:val="auto"/>
                <w:spacing w:val="-1"/>
                <w:sz w:val="21"/>
                <w:szCs w:val="21"/>
                <w:highlight w:val="none"/>
                <w:lang w:eastAsia="zh-CN"/>
              </w:rPr>
              <w:t>，巡检内容包括(但</w:t>
            </w:r>
            <w:r>
              <w:rPr>
                <w:rFonts w:hint="eastAsia" w:ascii="宋体" w:hAnsi="宋体" w:eastAsia="宋体" w:cs="宋体"/>
                <w:color w:val="auto"/>
                <w:sz w:val="21"/>
                <w:szCs w:val="21"/>
                <w:highlight w:val="none"/>
                <w:lang w:eastAsia="zh-CN"/>
              </w:rPr>
              <w:t>不限于以下指标)</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lang w:eastAsia="zh-CN"/>
              </w:rPr>
              <w:t>定期检查校时、服务器</w:t>
            </w:r>
            <w:r>
              <w:rPr>
                <w:rFonts w:hint="eastAsia" w:ascii="宋体" w:hAnsi="宋体" w:eastAsia="宋体" w:cs="宋体"/>
                <w:color w:val="auto"/>
                <w:spacing w:val="-1"/>
                <w:sz w:val="21"/>
                <w:szCs w:val="21"/>
                <w:highlight w:val="none"/>
                <w:lang w:eastAsia="zh-CN"/>
              </w:rPr>
              <w:t>进程、CPU使用率、内存使用率、网络端口情况。</w:t>
            </w:r>
          </w:p>
        </w:tc>
      </w:tr>
      <w:tr w14:paraId="24708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367" w:type="pct"/>
            <w:vAlign w:val="center"/>
          </w:tcPr>
          <w:p w14:paraId="4C638B66">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2</w:t>
            </w:r>
          </w:p>
        </w:tc>
        <w:tc>
          <w:tcPr>
            <w:tcW w:w="1317" w:type="pct"/>
            <w:vAlign w:val="center"/>
          </w:tcPr>
          <w:p w14:paraId="51E68780">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电子警察硬件</w:t>
            </w:r>
            <w:r>
              <w:rPr>
                <w:rFonts w:hint="eastAsia" w:ascii="宋体" w:hAnsi="宋体" w:eastAsia="宋体" w:cs="宋体"/>
                <w:color w:val="auto"/>
                <w:spacing w:val="9"/>
                <w:sz w:val="21"/>
                <w:szCs w:val="21"/>
                <w:highlight w:val="none"/>
                <w:lang w:eastAsia="zh-CN"/>
              </w:rPr>
              <w:t>维护项目</w:t>
            </w:r>
          </w:p>
        </w:tc>
        <w:tc>
          <w:tcPr>
            <w:tcW w:w="3315" w:type="pct"/>
            <w:vAlign w:val="center"/>
          </w:tcPr>
          <w:p w14:paraId="7BDB0DBC">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left"/>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前端设备每</w:t>
            </w:r>
            <w:r>
              <w:rPr>
                <w:rFonts w:hint="eastAsia" w:cs="宋体"/>
                <w:color w:val="auto"/>
                <w:sz w:val="21"/>
                <w:szCs w:val="21"/>
                <w:highlight w:val="none"/>
                <w:lang w:val="en-US" w:eastAsia="zh-CN"/>
              </w:rPr>
              <w:t>2周不少于1次</w:t>
            </w:r>
            <w:r>
              <w:rPr>
                <w:rFonts w:hint="eastAsia" w:ascii="宋体" w:hAnsi="宋体" w:eastAsia="宋体" w:cs="宋体"/>
                <w:color w:val="auto"/>
                <w:sz w:val="21"/>
                <w:szCs w:val="21"/>
                <w:highlight w:val="none"/>
                <w:lang w:eastAsia="zh-CN"/>
              </w:rPr>
              <w:t>，每</w:t>
            </w:r>
            <w:r>
              <w:rPr>
                <w:rFonts w:hint="eastAsia"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个月对地标线开展</w:t>
            </w:r>
            <w:r>
              <w:rPr>
                <w:rFonts w:hint="eastAsia" w:cs="宋体"/>
                <w:color w:val="auto"/>
                <w:sz w:val="21"/>
                <w:szCs w:val="21"/>
                <w:highlight w:val="none"/>
                <w:lang w:val="en-US" w:eastAsia="zh-CN"/>
              </w:rPr>
              <w:t>不少于</w:t>
            </w:r>
            <w:r>
              <w:rPr>
                <w:rFonts w:hint="eastAsia" w:ascii="宋体" w:hAnsi="宋体" w:eastAsia="宋体" w:cs="宋体"/>
                <w:color w:val="auto"/>
                <w:sz w:val="21"/>
                <w:szCs w:val="21"/>
                <w:highlight w:val="none"/>
                <w:lang w:eastAsia="zh-CN"/>
              </w:rPr>
              <w:t>1次巡检</w:t>
            </w:r>
            <w:r>
              <w:rPr>
                <w:rFonts w:hint="eastAsia" w:ascii="宋体" w:hAnsi="宋体" w:eastAsia="宋体" w:cs="宋体"/>
                <w:color w:val="auto"/>
                <w:spacing w:val="-1"/>
                <w:sz w:val="21"/>
                <w:szCs w:val="21"/>
                <w:highlight w:val="none"/>
                <w:lang w:eastAsia="zh-CN"/>
              </w:rPr>
              <w:t>。</w:t>
            </w:r>
          </w:p>
        </w:tc>
      </w:tr>
      <w:tr w14:paraId="0E609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67" w:type="pct"/>
            <w:vAlign w:val="center"/>
          </w:tcPr>
          <w:p w14:paraId="48DE99F5">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w:t>
            </w:r>
          </w:p>
        </w:tc>
        <w:tc>
          <w:tcPr>
            <w:tcW w:w="1317" w:type="pct"/>
            <w:vAlign w:val="center"/>
          </w:tcPr>
          <w:p w14:paraId="69771148">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机房、网络设备</w:t>
            </w:r>
            <w:r>
              <w:rPr>
                <w:rFonts w:hint="eastAsia" w:ascii="宋体" w:hAnsi="宋体" w:eastAsia="宋体" w:cs="宋体"/>
                <w:color w:val="auto"/>
                <w:spacing w:val="9"/>
                <w:sz w:val="21"/>
                <w:szCs w:val="21"/>
                <w:highlight w:val="none"/>
                <w:lang w:eastAsia="zh-CN"/>
              </w:rPr>
              <w:t>维护项目</w:t>
            </w:r>
          </w:p>
        </w:tc>
        <w:tc>
          <w:tcPr>
            <w:tcW w:w="3315" w:type="pct"/>
          </w:tcPr>
          <w:p w14:paraId="575FEF0E">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每月1次巡检对服务器，存储设备，网络设备等</w:t>
            </w:r>
            <w:r>
              <w:rPr>
                <w:rFonts w:hint="eastAsia" w:ascii="宋体" w:hAnsi="宋体" w:eastAsia="宋体" w:cs="宋体"/>
                <w:color w:val="auto"/>
                <w:spacing w:val="-1"/>
                <w:sz w:val="21"/>
                <w:szCs w:val="21"/>
                <w:highlight w:val="none"/>
                <w:lang w:eastAsia="zh-CN"/>
              </w:rPr>
              <w:t>系统检查，运行状态接</w:t>
            </w:r>
            <w:r>
              <w:rPr>
                <w:rFonts w:hint="eastAsia" w:ascii="宋体" w:hAnsi="宋体" w:eastAsia="宋体" w:cs="宋体"/>
                <w:color w:val="auto"/>
                <w:sz w:val="21"/>
                <w:szCs w:val="21"/>
                <w:highlight w:val="none"/>
                <w:lang w:eastAsia="zh-CN"/>
              </w:rPr>
              <w:t>入服务检查等；机房中心设备每周开展1次巡查工</w:t>
            </w:r>
            <w:r>
              <w:rPr>
                <w:rFonts w:hint="eastAsia" w:ascii="宋体" w:hAnsi="宋体" w:eastAsia="宋体" w:cs="宋体"/>
                <w:color w:val="auto"/>
                <w:spacing w:val="-1"/>
                <w:sz w:val="21"/>
                <w:szCs w:val="21"/>
                <w:highlight w:val="none"/>
                <w:lang w:eastAsia="zh-CN"/>
              </w:rPr>
              <w:t>作。</w:t>
            </w:r>
          </w:p>
        </w:tc>
      </w:tr>
      <w:tr w14:paraId="52E91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67" w:type="pct"/>
            <w:vAlign w:val="center"/>
          </w:tcPr>
          <w:p w14:paraId="5FF4B896">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default" w:ascii="宋体" w:hAnsi="宋体" w:eastAsia="宋体" w:cs="宋体"/>
                <w:color w:val="auto"/>
                <w:spacing w:val="1"/>
                <w:sz w:val="21"/>
                <w:szCs w:val="21"/>
                <w:highlight w:val="none"/>
                <w:lang w:val="en-US" w:eastAsia="zh-CN"/>
              </w:rPr>
            </w:pPr>
            <w:r>
              <w:rPr>
                <w:rFonts w:hint="eastAsia" w:cs="宋体"/>
                <w:color w:val="auto"/>
                <w:spacing w:val="1"/>
                <w:sz w:val="21"/>
                <w:szCs w:val="21"/>
                <w:highlight w:val="none"/>
                <w:lang w:val="en-US" w:eastAsia="zh-CN"/>
              </w:rPr>
              <w:t>4</w:t>
            </w:r>
          </w:p>
        </w:tc>
        <w:tc>
          <w:tcPr>
            <w:tcW w:w="1317" w:type="pct"/>
            <w:vAlign w:val="center"/>
          </w:tcPr>
          <w:p w14:paraId="52034BAD">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1"/>
                <w:sz w:val="21"/>
                <w:szCs w:val="21"/>
                <w:highlight w:val="none"/>
                <w:lang w:eastAsia="zh-CN"/>
              </w:rPr>
              <w:t>业务系统维护</w:t>
            </w:r>
            <w:r>
              <w:rPr>
                <w:rFonts w:hint="eastAsia" w:ascii="宋体" w:hAnsi="宋体" w:eastAsia="宋体" w:cs="宋体"/>
                <w:color w:val="auto"/>
                <w:spacing w:val="-6"/>
                <w:sz w:val="21"/>
                <w:szCs w:val="21"/>
                <w:highlight w:val="none"/>
                <w:lang w:eastAsia="zh-CN"/>
              </w:rPr>
              <w:t>项目</w:t>
            </w:r>
          </w:p>
        </w:tc>
        <w:tc>
          <w:tcPr>
            <w:tcW w:w="3315" w:type="pct"/>
          </w:tcPr>
          <w:p w14:paraId="129EBBB6">
            <w:pPr>
              <w:pStyle w:val="79"/>
              <w:keepNext w:val="0"/>
              <w:keepLines w:val="0"/>
              <w:pageBreakBefore w:val="0"/>
              <w:widowControl/>
              <w:kinsoku w:val="0"/>
              <w:wordWrap/>
              <w:overflowPunct/>
              <w:topLinePunct w:val="0"/>
              <w:autoSpaceDE w:val="0"/>
              <w:autoSpaceDN w:val="0"/>
              <w:bidi w:val="0"/>
              <w:adjustRightInd/>
              <w:snapToGrid w:val="0"/>
              <w:spacing w:after="0" w:line="240" w:lineRule="auto"/>
              <w:ind w:left="42" w:leftChars="20" w:right="0" w:firstLine="0"/>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每两个月1次巡检对系统性能检查，数据库运行</w:t>
            </w:r>
            <w:r>
              <w:rPr>
                <w:rFonts w:hint="eastAsia" w:ascii="宋体" w:hAnsi="宋体" w:eastAsia="宋体" w:cs="宋体"/>
                <w:color w:val="auto"/>
                <w:spacing w:val="-1"/>
                <w:sz w:val="21"/>
                <w:szCs w:val="21"/>
                <w:highlight w:val="none"/>
                <w:lang w:eastAsia="zh-CN"/>
              </w:rPr>
              <w:t>状态接入服务检查，数</w:t>
            </w:r>
            <w:r>
              <w:rPr>
                <w:rFonts w:hint="eastAsia" w:ascii="宋体" w:hAnsi="宋体" w:eastAsia="宋体" w:cs="宋体"/>
                <w:color w:val="auto"/>
                <w:sz w:val="21"/>
                <w:szCs w:val="21"/>
                <w:highlight w:val="none"/>
                <w:lang w:eastAsia="zh-CN"/>
              </w:rPr>
              <w:t>据库运行状态检查，对业务系统应用功能的测试等并提交巡检报告</w:t>
            </w:r>
            <w:r>
              <w:rPr>
                <w:rFonts w:hint="eastAsia" w:cs="宋体"/>
                <w:color w:val="auto"/>
                <w:sz w:val="21"/>
                <w:szCs w:val="21"/>
                <w:highlight w:val="none"/>
                <w:lang w:eastAsia="zh-CN"/>
              </w:rPr>
              <w:t>。</w:t>
            </w:r>
          </w:p>
        </w:tc>
      </w:tr>
    </w:tbl>
    <w:p w14:paraId="4B59D23A">
      <w:pPr>
        <w:numPr>
          <w:ilvl w:val="0"/>
          <w:numId w:val="113"/>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电子警察</w:t>
      </w:r>
      <w:r>
        <w:rPr>
          <w:rFonts w:hint="eastAsia" w:ascii="宋体" w:hAnsi="宋体"/>
          <w:color w:val="auto"/>
          <w:szCs w:val="21"/>
          <w:highlight w:val="none"/>
          <w:lang w:val="en-US" w:eastAsia="zh-CN"/>
        </w:rPr>
        <w:t>前端设备运维服务内容</w:t>
      </w:r>
    </w:p>
    <w:p w14:paraId="757D105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为了确保电子警察系统能够正常、良好、稳定地运行，</w:t>
      </w:r>
      <w:r>
        <w:rPr>
          <w:rFonts w:hint="eastAsia" w:ascii="宋体" w:hAnsi="宋体"/>
          <w:color w:val="auto"/>
          <w:szCs w:val="21"/>
          <w:highlight w:val="none"/>
          <w:lang w:val="en-US" w:eastAsia="zh-CN"/>
        </w:rPr>
        <w:t>乙方须</w:t>
      </w:r>
      <w:r>
        <w:rPr>
          <w:rFonts w:hint="eastAsia" w:ascii="宋体" w:hAnsi="宋体"/>
          <w:color w:val="auto"/>
          <w:szCs w:val="21"/>
          <w:highlight w:val="none"/>
        </w:rPr>
        <w:t>对前端约40个方向的电子警察前端系统设备、配套设施及其后台系统进行常规维护。</w:t>
      </w:r>
      <w:r>
        <w:rPr>
          <w:rFonts w:hint="eastAsia" w:ascii="宋体" w:hAnsi="宋体"/>
          <w:color w:val="auto"/>
          <w:szCs w:val="21"/>
          <w:highlight w:val="none"/>
          <w:lang w:val="en-US" w:eastAsia="zh-CN"/>
        </w:rPr>
        <w:t>乙方</w:t>
      </w:r>
      <w:r>
        <w:rPr>
          <w:rFonts w:hint="eastAsia" w:ascii="宋体" w:hAnsi="宋体"/>
          <w:color w:val="auto"/>
          <w:szCs w:val="21"/>
          <w:highlight w:val="none"/>
        </w:rPr>
        <w:t>应按行业技术、质量和以往的系统设计、设备生产制造、维护管理经验进行深化设计，合格优质</w:t>
      </w:r>
      <w:r>
        <w:rPr>
          <w:rFonts w:hint="eastAsia" w:ascii="宋体" w:hAnsi="宋体"/>
          <w:color w:val="auto"/>
          <w:szCs w:val="21"/>
          <w:highlight w:val="none"/>
          <w:lang w:val="en-US" w:eastAsia="zh-CN"/>
        </w:rPr>
        <w:t>地</w:t>
      </w:r>
      <w:r>
        <w:rPr>
          <w:rFonts w:hint="eastAsia" w:ascii="宋体" w:hAnsi="宋体"/>
          <w:color w:val="auto"/>
          <w:szCs w:val="21"/>
          <w:highlight w:val="none"/>
        </w:rPr>
        <w:t>完成采购内容和包含的全部实际工序及服务。</w:t>
      </w:r>
    </w:p>
    <w:p w14:paraId="7C3596CD">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在</w:t>
      </w:r>
      <w:r>
        <w:rPr>
          <w:rFonts w:hint="eastAsia" w:ascii="宋体" w:hAnsi="宋体"/>
          <w:color w:val="auto"/>
          <w:szCs w:val="21"/>
          <w:highlight w:val="none"/>
          <w:lang w:val="en-US" w:eastAsia="zh-CN"/>
        </w:rPr>
        <w:t>服务</w:t>
      </w:r>
      <w:r>
        <w:rPr>
          <w:rFonts w:hint="eastAsia" w:ascii="宋体" w:hAnsi="宋体"/>
          <w:color w:val="auto"/>
          <w:szCs w:val="21"/>
          <w:highlight w:val="none"/>
        </w:rPr>
        <w:t>期内，要保障本项目相关范围内的电子警察系统正常运行，对设备维护</w:t>
      </w:r>
      <w:r>
        <w:rPr>
          <w:rFonts w:hint="eastAsia" w:ascii="宋体" w:hAnsi="宋体"/>
          <w:color w:val="auto"/>
          <w:szCs w:val="21"/>
          <w:highlight w:val="none"/>
          <w:lang w:eastAsia="zh-CN"/>
        </w:rPr>
        <w:t>（</w:t>
      </w:r>
      <w:r>
        <w:rPr>
          <w:rFonts w:hint="eastAsia" w:ascii="宋体" w:hAnsi="宋体"/>
          <w:color w:val="auto"/>
          <w:szCs w:val="21"/>
          <w:highlight w:val="none"/>
        </w:rPr>
        <w:t>含设备自然损坏、人为损坏、交通事故、偷盗破坏、道路施工等造成损坏的维护</w:t>
      </w:r>
      <w:r>
        <w:rPr>
          <w:rFonts w:hint="eastAsia" w:ascii="宋体" w:hAnsi="宋体"/>
          <w:color w:val="auto"/>
          <w:szCs w:val="21"/>
          <w:highlight w:val="none"/>
          <w:lang w:eastAsia="zh-CN"/>
        </w:rPr>
        <w:t>）</w:t>
      </w:r>
      <w:r>
        <w:rPr>
          <w:rFonts w:hint="eastAsia" w:ascii="宋体" w:hAnsi="宋体"/>
          <w:color w:val="auto"/>
          <w:szCs w:val="21"/>
          <w:highlight w:val="none"/>
        </w:rPr>
        <w:t>、</w:t>
      </w:r>
      <w:r>
        <w:rPr>
          <w:rFonts w:hint="eastAsia" w:ascii="宋体" w:hAnsi="宋体"/>
          <w:color w:val="auto"/>
          <w:szCs w:val="21"/>
          <w:highlight w:val="none"/>
          <w:lang w:eastAsia="zh-CN"/>
        </w:rPr>
        <w:t>（</w:t>
      </w:r>
      <w:r>
        <w:rPr>
          <w:rFonts w:hint="eastAsia" w:ascii="宋体" w:hAnsi="宋体"/>
          <w:color w:val="auto"/>
          <w:szCs w:val="21"/>
          <w:highlight w:val="none"/>
        </w:rPr>
        <w:t>设备人为损坏的，</w:t>
      </w:r>
      <w:r>
        <w:rPr>
          <w:rFonts w:hint="eastAsia" w:ascii="宋体" w:hAnsi="宋体"/>
          <w:color w:val="auto"/>
          <w:szCs w:val="21"/>
          <w:highlight w:val="none"/>
          <w:lang w:val="en-US" w:eastAsia="zh-CN"/>
        </w:rPr>
        <w:t>乙方</w:t>
      </w:r>
      <w:r>
        <w:rPr>
          <w:rFonts w:hint="eastAsia" w:ascii="宋体" w:hAnsi="宋体"/>
          <w:color w:val="auto"/>
          <w:szCs w:val="21"/>
          <w:highlight w:val="none"/>
        </w:rPr>
        <w:t>有自行追偿的权利</w:t>
      </w:r>
      <w:r>
        <w:rPr>
          <w:rFonts w:hint="eastAsia" w:ascii="宋体" w:hAnsi="宋体"/>
          <w:color w:val="auto"/>
          <w:szCs w:val="21"/>
          <w:highlight w:val="none"/>
          <w:lang w:eastAsia="zh-CN"/>
        </w:rPr>
        <w:t>）</w:t>
      </w:r>
      <w:r>
        <w:rPr>
          <w:rFonts w:hint="eastAsia" w:ascii="宋体" w:hAnsi="宋体"/>
          <w:color w:val="auto"/>
          <w:szCs w:val="21"/>
          <w:highlight w:val="none"/>
        </w:rPr>
        <w:t>；</w:t>
      </w:r>
    </w:p>
    <w:p w14:paraId="120369C9">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维护过程中的安全问题由</w:t>
      </w:r>
      <w:r>
        <w:rPr>
          <w:rFonts w:hint="eastAsia" w:ascii="宋体" w:hAnsi="宋体"/>
          <w:color w:val="auto"/>
          <w:szCs w:val="21"/>
          <w:highlight w:val="none"/>
          <w:lang w:val="en-US" w:eastAsia="zh-CN"/>
        </w:rPr>
        <w:t>乙方</w:t>
      </w:r>
      <w:r>
        <w:rPr>
          <w:rFonts w:hint="eastAsia" w:ascii="宋体" w:hAnsi="宋体"/>
          <w:color w:val="auto"/>
          <w:szCs w:val="21"/>
          <w:highlight w:val="none"/>
        </w:rPr>
        <w:t>负责；</w:t>
      </w:r>
    </w:p>
    <w:p w14:paraId="4D07FA13">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不得将本项目涉及到的车辆数据、管理信息等公安管理及公民隐私等内容外传或另作他用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乙方</w:t>
      </w:r>
      <w:r>
        <w:rPr>
          <w:rFonts w:hint="eastAsia" w:ascii="宋体" w:hAnsi="宋体"/>
          <w:color w:val="auto"/>
          <w:szCs w:val="21"/>
          <w:highlight w:val="none"/>
        </w:rPr>
        <w:t>需对项目内所有资料进行保密，并签署相关保密协议；</w:t>
      </w:r>
    </w:p>
    <w:p w14:paraId="74E331CC">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每</w:t>
      </w:r>
      <w:r>
        <w:rPr>
          <w:rFonts w:hint="eastAsia" w:ascii="宋体" w:hAnsi="宋体"/>
          <w:color w:val="auto"/>
          <w:szCs w:val="21"/>
          <w:highlight w:val="none"/>
          <w:lang w:val="en-US" w:eastAsia="zh-CN"/>
        </w:rPr>
        <w:t>2</w:t>
      </w:r>
      <w:r>
        <w:rPr>
          <w:rFonts w:hint="eastAsia" w:ascii="宋体" w:hAnsi="宋体"/>
          <w:color w:val="auto"/>
          <w:szCs w:val="21"/>
          <w:highlight w:val="none"/>
        </w:rPr>
        <w:t>个月需对地标线开展</w:t>
      </w:r>
      <w:r>
        <w:rPr>
          <w:rFonts w:hint="eastAsia" w:ascii="宋体" w:hAnsi="宋体"/>
          <w:color w:val="auto"/>
          <w:szCs w:val="21"/>
          <w:highlight w:val="none"/>
          <w:lang w:val="en-US" w:eastAsia="zh-CN"/>
        </w:rPr>
        <w:t>不少于1次</w:t>
      </w:r>
      <w:r>
        <w:rPr>
          <w:rFonts w:hint="eastAsia" w:ascii="宋体" w:hAnsi="宋体"/>
          <w:color w:val="auto"/>
          <w:szCs w:val="21"/>
          <w:highlight w:val="none"/>
        </w:rPr>
        <w:t>巡检工作，地标线巡检工作结束后的2周内完成对影响电警设备抓拍执法不清晰的地标线翻新；</w:t>
      </w:r>
    </w:p>
    <w:p w14:paraId="6FC44673">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设备超过7个自然日无数据回传至集成指挥平台，</w:t>
      </w:r>
      <w:r>
        <w:rPr>
          <w:rFonts w:hint="eastAsia" w:ascii="宋体" w:hAnsi="宋体"/>
          <w:color w:val="auto"/>
          <w:szCs w:val="21"/>
          <w:highlight w:val="none"/>
          <w:lang w:val="en-US" w:eastAsia="zh-CN"/>
        </w:rPr>
        <w:t>乙方</w:t>
      </w:r>
      <w:r>
        <w:rPr>
          <w:rFonts w:hint="eastAsia" w:ascii="宋体" w:hAnsi="宋体"/>
          <w:color w:val="auto"/>
          <w:szCs w:val="21"/>
          <w:highlight w:val="none"/>
        </w:rPr>
        <w:t>须检查设备运行状态并举证设备正常运转；</w:t>
      </w:r>
    </w:p>
    <w:p w14:paraId="67166231">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数据传输系统</w:t>
      </w:r>
      <w:r>
        <w:rPr>
          <w:rFonts w:hint="eastAsia" w:ascii="宋体" w:hAnsi="宋体"/>
          <w:color w:val="auto"/>
          <w:szCs w:val="21"/>
          <w:highlight w:val="none"/>
          <w:lang w:eastAsia="zh-CN"/>
        </w:rPr>
        <w:t>（</w:t>
      </w:r>
      <w:r>
        <w:rPr>
          <w:rFonts w:hint="eastAsia" w:ascii="宋体" w:hAnsi="宋体"/>
          <w:color w:val="auto"/>
          <w:szCs w:val="21"/>
          <w:highlight w:val="none"/>
        </w:rPr>
        <w:t>数据传输不限于光纤故障</w:t>
      </w:r>
      <w:r>
        <w:rPr>
          <w:rFonts w:hint="eastAsia" w:ascii="宋体" w:hAnsi="宋体"/>
          <w:color w:val="auto"/>
          <w:szCs w:val="21"/>
          <w:highlight w:val="none"/>
          <w:lang w:eastAsia="zh-CN"/>
        </w:rPr>
        <w:t>）</w:t>
      </w:r>
      <w:r>
        <w:rPr>
          <w:rFonts w:hint="eastAsia" w:ascii="宋体" w:hAnsi="宋体"/>
          <w:color w:val="auto"/>
          <w:szCs w:val="21"/>
          <w:highlight w:val="none"/>
        </w:rPr>
        <w:t>停止运行期间，由</w:t>
      </w:r>
      <w:r>
        <w:rPr>
          <w:rFonts w:hint="eastAsia" w:ascii="宋体" w:hAnsi="宋体"/>
          <w:color w:val="auto"/>
          <w:szCs w:val="21"/>
          <w:highlight w:val="none"/>
          <w:lang w:val="en-US" w:eastAsia="zh-CN"/>
        </w:rPr>
        <w:t>乙方</w:t>
      </w:r>
      <w:r>
        <w:rPr>
          <w:rFonts w:hint="eastAsia" w:ascii="宋体" w:hAnsi="宋体"/>
          <w:color w:val="auto"/>
          <w:szCs w:val="21"/>
          <w:highlight w:val="none"/>
        </w:rPr>
        <w:t>负责按每24小时一次到现场采集受影响设备数据</w:t>
      </w:r>
      <w:r>
        <w:rPr>
          <w:rFonts w:hint="eastAsia" w:ascii="宋体" w:hAnsi="宋体"/>
          <w:color w:val="auto"/>
          <w:szCs w:val="21"/>
          <w:highlight w:val="none"/>
          <w:lang w:val="en-US" w:eastAsia="zh-CN"/>
        </w:rPr>
        <w:t>报送甲方</w:t>
      </w:r>
      <w:r>
        <w:rPr>
          <w:rFonts w:hint="eastAsia" w:ascii="宋体" w:hAnsi="宋体"/>
          <w:color w:val="auto"/>
          <w:szCs w:val="21"/>
          <w:highlight w:val="none"/>
        </w:rPr>
        <w:t>；</w:t>
      </w:r>
    </w:p>
    <w:p w14:paraId="256CFCDE">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故障报障修复要求：要求提供固定报障电话，提供7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24小时系统任何故障响应服务，收到报障必须要30分钟内响应，</w:t>
      </w:r>
      <w:r>
        <w:rPr>
          <w:rFonts w:hint="eastAsia" w:ascii="宋体" w:hAnsi="宋体"/>
          <w:color w:val="auto"/>
          <w:szCs w:val="21"/>
          <w:highlight w:val="none"/>
          <w:lang w:val="en-US" w:eastAsia="zh-CN"/>
        </w:rPr>
        <w:t>3</w:t>
      </w:r>
      <w:r>
        <w:rPr>
          <w:rFonts w:hint="eastAsia" w:ascii="宋体" w:hAnsi="宋体"/>
          <w:color w:val="auto"/>
          <w:szCs w:val="21"/>
          <w:highlight w:val="none"/>
        </w:rPr>
        <w:t>小时内赶到现场，到达现场后需拍照取证</w:t>
      </w:r>
      <w:r>
        <w:rPr>
          <w:rFonts w:hint="eastAsia" w:ascii="宋体" w:hAnsi="宋体"/>
          <w:color w:val="auto"/>
          <w:szCs w:val="21"/>
          <w:highlight w:val="none"/>
          <w:lang w:eastAsia="zh-CN"/>
        </w:rPr>
        <w:t>，</w:t>
      </w:r>
      <w:r>
        <w:rPr>
          <w:rFonts w:hint="eastAsia" w:ascii="宋体" w:hAnsi="宋体"/>
          <w:color w:val="auto"/>
          <w:szCs w:val="21"/>
          <w:highlight w:val="none"/>
        </w:rPr>
        <w:t>如遇不可抗拒的原因无法按时到达现场的，需提供书面详细情况说明原因。</w:t>
      </w:r>
      <w:r>
        <w:rPr>
          <w:rFonts w:hint="eastAsia" w:ascii="宋体" w:hAnsi="宋体"/>
          <w:color w:val="auto"/>
          <w:szCs w:val="21"/>
          <w:highlight w:val="none"/>
          <w:lang w:val="en-US" w:eastAsia="zh-CN"/>
        </w:rPr>
        <w:t>本项目履约过程中如果遇到需要与第三方（包括但不限于网络运营商、设备厂商、市政部门等）协调处理的问题，原则上由乙方全权负责沟通解决，必要时可由甲方进行协助。本项目相关</w:t>
      </w:r>
      <w:r>
        <w:rPr>
          <w:rFonts w:hint="eastAsia" w:ascii="宋体" w:hAnsi="宋体"/>
          <w:color w:val="auto"/>
          <w:szCs w:val="21"/>
          <w:highlight w:val="none"/>
        </w:rPr>
        <w:t>故障修复时间要求如下：</w:t>
      </w:r>
    </w:p>
    <w:p w14:paraId="6295BE35">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常规故障：采用更换零配件的方式维修后可保证现场设备正常运行的，24小时内修复现场故障，涉及到设备返厂维修的故障，返厂维修期间需提供同等档次备机更换并在更换后确保设备保持正常运行状态，直到故障设备维修好后送返现场返厂维修时限需在双方约定时间期限内完成；无法维修的设备，</w:t>
      </w:r>
      <w:r>
        <w:rPr>
          <w:rFonts w:hint="eastAsia" w:ascii="宋体" w:hAnsi="宋体"/>
          <w:color w:val="auto"/>
          <w:szCs w:val="21"/>
          <w:highlight w:val="none"/>
          <w:lang w:eastAsia="zh-CN"/>
        </w:rPr>
        <w:t>乙方</w:t>
      </w:r>
      <w:r>
        <w:rPr>
          <w:rFonts w:hint="eastAsia" w:ascii="宋体" w:hAnsi="宋体"/>
          <w:color w:val="auto"/>
          <w:szCs w:val="21"/>
          <w:highlight w:val="none"/>
        </w:rPr>
        <w:t>需提供同等</w:t>
      </w:r>
      <w:r>
        <w:rPr>
          <w:rFonts w:hint="eastAsia" w:ascii="宋体" w:hAnsi="宋体"/>
          <w:color w:val="auto"/>
          <w:szCs w:val="21"/>
          <w:highlight w:val="none"/>
          <w:lang w:val="en-US" w:eastAsia="zh-CN"/>
        </w:rPr>
        <w:t>或更强</w:t>
      </w:r>
      <w:r>
        <w:rPr>
          <w:rFonts w:hint="eastAsia" w:ascii="宋体" w:hAnsi="宋体"/>
          <w:color w:val="auto"/>
          <w:szCs w:val="21"/>
          <w:highlight w:val="none"/>
        </w:rPr>
        <w:t>性能的设备进行替换。</w:t>
      </w:r>
    </w:p>
    <w:p w14:paraId="15217CE3">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运营商光纤线路故障，经抢修人员电话或邮件与报障人员确认后，由</w:t>
      </w:r>
      <w:r>
        <w:rPr>
          <w:rFonts w:hint="eastAsia" w:ascii="宋体" w:hAnsi="宋体"/>
          <w:color w:val="auto"/>
          <w:szCs w:val="21"/>
          <w:highlight w:val="none"/>
          <w:lang w:eastAsia="zh-CN"/>
        </w:rPr>
        <w:t>乙方</w:t>
      </w:r>
      <w:r>
        <w:rPr>
          <w:rFonts w:hint="eastAsia" w:ascii="宋体" w:hAnsi="宋体"/>
          <w:color w:val="auto"/>
          <w:szCs w:val="21"/>
          <w:highlight w:val="none"/>
        </w:rPr>
        <w:t>与运营商沟通修复时限。非运营商光纤线路故障</w:t>
      </w:r>
      <w:r>
        <w:rPr>
          <w:rFonts w:hint="eastAsia" w:ascii="宋体" w:hAnsi="宋体"/>
          <w:color w:val="auto"/>
          <w:szCs w:val="21"/>
          <w:highlight w:val="none"/>
          <w:lang w:eastAsia="zh-CN"/>
        </w:rPr>
        <w:t>（</w:t>
      </w:r>
      <w:r>
        <w:rPr>
          <w:rFonts w:hint="eastAsia" w:ascii="宋体" w:hAnsi="宋体"/>
          <w:color w:val="auto"/>
          <w:szCs w:val="21"/>
          <w:highlight w:val="none"/>
        </w:rPr>
        <w:t>机箱ONU到前端设备的尾纤或网线以及电警杆上连接设备的网线</w:t>
      </w:r>
      <w:r>
        <w:rPr>
          <w:rFonts w:hint="eastAsia" w:ascii="宋体" w:hAnsi="宋体"/>
          <w:color w:val="auto"/>
          <w:szCs w:val="21"/>
          <w:highlight w:val="none"/>
          <w:lang w:eastAsia="zh-CN"/>
        </w:rPr>
        <w:t>），</w:t>
      </w:r>
      <w:r>
        <w:rPr>
          <w:rFonts w:hint="eastAsia" w:ascii="宋体" w:hAnsi="宋体"/>
          <w:color w:val="auto"/>
          <w:szCs w:val="21"/>
          <w:highlight w:val="none"/>
        </w:rPr>
        <w:t>故障解决时限为72小时内修复。当故障查明是运营商光纤线路故障，由</w:t>
      </w:r>
      <w:r>
        <w:rPr>
          <w:rFonts w:hint="eastAsia" w:ascii="宋体" w:hAnsi="宋体"/>
          <w:color w:val="auto"/>
          <w:szCs w:val="21"/>
          <w:highlight w:val="none"/>
          <w:lang w:eastAsia="zh-CN"/>
        </w:rPr>
        <w:t>乙方</w:t>
      </w:r>
      <w:r>
        <w:rPr>
          <w:rFonts w:hint="eastAsia" w:ascii="宋体" w:hAnsi="宋体"/>
          <w:color w:val="auto"/>
          <w:szCs w:val="21"/>
          <w:highlight w:val="none"/>
        </w:rPr>
        <w:t>负责与光纤运营商报障并跟进故障修复进度，直到故障修复完成后才算完成结单。若报给运营商光纤故障修复进度缓慢，</w:t>
      </w:r>
      <w:r>
        <w:rPr>
          <w:rFonts w:hint="eastAsia" w:ascii="宋体" w:hAnsi="宋体"/>
          <w:color w:val="auto"/>
          <w:szCs w:val="21"/>
          <w:highlight w:val="none"/>
          <w:lang w:eastAsia="zh-CN"/>
        </w:rPr>
        <w:t>乙方</w:t>
      </w:r>
      <w:r>
        <w:rPr>
          <w:rFonts w:hint="eastAsia" w:ascii="宋体" w:hAnsi="宋体"/>
          <w:color w:val="auto"/>
          <w:szCs w:val="21"/>
          <w:highlight w:val="none"/>
        </w:rPr>
        <w:t>需及时报告</w:t>
      </w:r>
      <w:r>
        <w:rPr>
          <w:rFonts w:hint="eastAsia" w:ascii="宋体" w:hAnsi="宋体"/>
          <w:color w:val="auto"/>
          <w:szCs w:val="21"/>
          <w:highlight w:val="none"/>
          <w:lang w:val="en-US" w:eastAsia="zh-CN"/>
        </w:rPr>
        <w:t>甲方</w:t>
      </w:r>
      <w:r>
        <w:rPr>
          <w:rFonts w:hint="eastAsia" w:ascii="宋体" w:hAnsi="宋体"/>
          <w:color w:val="auto"/>
          <w:szCs w:val="21"/>
          <w:highlight w:val="none"/>
        </w:rPr>
        <w:t>，并把该故障单申请挂单。</w:t>
      </w:r>
    </w:p>
    <w:p w14:paraId="17CA78E7">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取电等涉及的线路故障</w:t>
      </w:r>
      <w:r>
        <w:rPr>
          <w:rFonts w:hint="eastAsia" w:ascii="宋体" w:hAnsi="宋体"/>
          <w:color w:val="auto"/>
          <w:szCs w:val="21"/>
          <w:highlight w:val="none"/>
          <w:lang w:eastAsia="zh-CN"/>
        </w:rPr>
        <w:t>（</w:t>
      </w:r>
      <w:r>
        <w:rPr>
          <w:rFonts w:hint="eastAsia" w:ascii="宋体" w:hAnsi="宋体"/>
          <w:color w:val="auto"/>
          <w:szCs w:val="21"/>
          <w:highlight w:val="none"/>
        </w:rPr>
        <w:t>电源取电点到机箱端线路断路、短路</w:t>
      </w:r>
      <w:r>
        <w:rPr>
          <w:rFonts w:hint="eastAsia" w:ascii="宋体" w:hAnsi="宋体"/>
          <w:color w:val="auto"/>
          <w:szCs w:val="21"/>
          <w:highlight w:val="none"/>
          <w:lang w:eastAsia="zh-CN"/>
        </w:rPr>
        <w:t>），</w:t>
      </w:r>
      <w:r>
        <w:rPr>
          <w:rFonts w:hint="eastAsia" w:ascii="宋体" w:hAnsi="宋体"/>
          <w:color w:val="auto"/>
          <w:szCs w:val="21"/>
          <w:highlight w:val="none"/>
        </w:rPr>
        <w:t>经抢修人员电话或邮件与报障人员确认后，需在</w:t>
      </w:r>
      <w:r>
        <w:rPr>
          <w:rFonts w:hint="eastAsia" w:ascii="宋体" w:hAnsi="宋体"/>
          <w:color w:val="auto"/>
          <w:szCs w:val="21"/>
          <w:highlight w:val="none"/>
          <w:lang w:val="en-US" w:eastAsia="zh-CN"/>
        </w:rPr>
        <w:t>24</w:t>
      </w:r>
      <w:r>
        <w:rPr>
          <w:rFonts w:hint="eastAsia" w:ascii="宋体" w:hAnsi="宋体"/>
          <w:color w:val="auto"/>
          <w:szCs w:val="21"/>
          <w:highlight w:val="none"/>
        </w:rPr>
        <w:t>小时内修复故障。电警机箱内部电源线路、机箱到杆上设备线路以及设备端接电源线路故障，经抢修人员电话或邮件与报障人员确认后，需在24小时内修复故障。因第三方原因，如道路施工，造成短期停电做挂单或者停维，如果是取电位置长时间没电或取电位置不存在，</w:t>
      </w:r>
      <w:r>
        <w:rPr>
          <w:rFonts w:hint="eastAsia" w:ascii="宋体" w:hAnsi="宋体"/>
          <w:color w:val="auto"/>
          <w:szCs w:val="21"/>
          <w:highlight w:val="none"/>
          <w:lang w:eastAsia="zh-CN"/>
        </w:rPr>
        <w:t>乙方</w:t>
      </w:r>
      <w:r>
        <w:rPr>
          <w:rFonts w:hint="eastAsia" w:ascii="宋体" w:hAnsi="宋体"/>
          <w:color w:val="auto"/>
          <w:szCs w:val="21"/>
          <w:highlight w:val="none"/>
        </w:rPr>
        <w:t>需制定新的取电方案，实施费用由</w:t>
      </w:r>
      <w:r>
        <w:rPr>
          <w:rFonts w:hint="eastAsia" w:ascii="宋体" w:hAnsi="宋体"/>
          <w:color w:val="auto"/>
          <w:szCs w:val="21"/>
          <w:highlight w:val="none"/>
          <w:lang w:eastAsia="zh-CN"/>
        </w:rPr>
        <w:t>乙方</w:t>
      </w:r>
      <w:r>
        <w:rPr>
          <w:rFonts w:hint="eastAsia" w:ascii="宋体" w:hAnsi="宋体"/>
          <w:color w:val="auto"/>
          <w:szCs w:val="21"/>
          <w:highlight w:val="none"/>
        </w:rPr>
        <w:t>支付。</w:t>
      </w:r>
      <w:r>
        <w:rPr>
          <w:rFonts w:hint="eastAsia" w:ascii="宋体" w:hAnsi="宋体"/>
          <w:color w:val="auto"/>
          <w:szCs w:val="21"/>
          <w:highlight w:val="none"/>
          <w:lang w:eastAsia="zh-CN"/>
        </w:rPr>
        <w:t>（</w:t>
      </w:r>
      <w:r>
        <w:rPr>
          <w:rFonts w:hint="eastAsia" w:ascii="宋体" w:hAnsi="宋体"/>
          <w:color w:val="auto"/>
          <w:szCs w:val="21"/>
          <w:highlight w:val="none"/>
        </w:rPr>
        <w:t>超过10个自然日仍无法恢复设备正常使用，经双方确认，由</w:t>
      </w:r>
      <w:r>
        <w:rPr>
          <w:rFonts w:hint="eastAsia" w:ascii="宋体" w:hAnsi="宋体"/>
          <w:color w:val="auto"/>
          <w:szCs w:val="21"/>
          <w:highlight w:val="none"/>
          <w:lang w:eastAsia="zh-CN"/>
        </w:rPr>
        <w:t>乙方</w:t>
      </w:r>
      <w:r>
        <w:rPr>
          <w:rFonts w:hint="eastAsia" w:ascii="宋体" w:hAnsi="宋体"/>
          <w:color w:val="auto"/>
          <w:szCs w:val="21"/>
          <w:highlight w:val="none"/>
        </w:rPr>
        <w:t>向</w:t>
      </w:r>
      <w:r>
        <w:rPr>
          <w:rFonts w:hint="eastAsia" w:ascii="宋体" w:hAnsi="宋体"/>
          <w:color w:val="auto"/>
          <w:szCs w:val="21"/>
          <w:highlight w:val="none"/>
          <w:lang w:val="en-US" w:eastAsia="zh-CN"/>
        </w:rPr>
        <w:t>甲方</w:t>
      </w:r>
      <w:r>
        <w:rPr>
          <w:rFonts w:hint="eastAsia" w:ascii="宋体" w:hAnsi="宋体"/>
          <w:color w:val="auto"/>
          <w:szCs w:val="21"/>
          <w:highlight w:val="none"/>
        </w:rPr>
        <w:t>申请该故障设备作停维处理</w:t>
      </w:r>
      <w:r>
        <w:rPr>
          <w:rFonts w:hint="eastAsia" w:ascii="宋体" w:hAnsi="宋体"/>
          <w:color w:val="auto"/>
          <w:szCs w:val="21"/>
          <w:highlight w:val="none"/>
          <w:lang w:eastAsia="zh-CN"/>
        </w:rPr>
        <w:t>）</w:t>
      </w:r>
      <w:r>
        <w:rPr>
          <w:rFonts w:hint="eastAsia" w:ascii="宋体" w:hAnsi="宋体"/>
          <w:color w:val="auto"/>
          <w:szCs w:val="21"/>
          <w:highlight w:val="none"/>
        </w:rPr>
        <w:t>。</w:t>
      </w:r>
    </w:p>
    <w:p w14:paraId="0FABA76D">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涉及基础、地下管线施工等需要报批施工的故障，经抢修人员电话或邮件与报障人员确认，具备恢复条件并取得审批许可后，需在</w:t>
      </w:r>
      <w:r>
        <w:rPr>
          <w:rFonts w:hint="eastAsia" w:ascii="宋体" w:hAnsi="宋体"/>
          <w:color w:val="auto"/>
          <w:szCs w:val="21"/>
          <w:highlight w:val="none"/>
          <w:lang w:val="en-US" w:eastAsia="zh-CN"/>
        </w:rPr>
        <w:t>72小时</w:t>
      </w:r>
      <w:r>
        <w:rPr>
          <w:rFonts w:hint="eastAsia" w:ascii="宋体" w:hAnsi="宋体"/>
          <w:color w:val="auto"/>
          <w:szCs w:val="21"/>
          <w:highlight w:val="none"/>
        </w:rPr>
        <w:t>内修复故障，如果修复涉及必须消耗的施工时间</w:t>
      </w:r>
      <w:r>
        <w:rPr>
          <w:rFonts w:hint="eastAsia" w:ascii="宋体" w:hAnsi="宋体"/>
          <w:color w:val="auto"/>
          <w:szCs w:val="21"/>
          <w:highlight w:val="none"/>
          <w:lang w:eastAsia="zh-CN"/>
        </w:rPr>
        <w:t>（</w:t>
      </w:r>
      <w:r>
        <w:rPr>
          <w:rFonts w:hint="eastAsia" w:ascii="宋体" w:hAnsi="宋体"/>
          <w:color w:val="auto"/>
          <w:szCs w:val="21"/>
          <w:highlight w:val="none"/>
        </w:rPr>
        <w:t>如倒基础必须等水泥干后才能进行下一步的施工等</w:t>
      </w:r>
      <w:r>
        <w:rPr>
          <w:rFonts w:hint="eastAsia" w:ascii="宋体" w:hAnsi="宋体"/>
          <w:color w:val="auto"/>
          <w:szCs w:val="21"/>
          <w:highlight w:val="none"/>
          <w:lang w:eastAsia="zh-CN"/>
        </w:rPr>
        <w:t>），</w:t>
      </w:r>
      <w:r>
        <w:rPr>
          <w:rFonts w:hint="eastAsia" w:ascii="宋体" w:hAnsi="宋体"/>
          <w:color w:val="auto"/>
          <w:szCs w:val="21"/>
          <w:highlight w:val="none"/>
        </w:rPr>
        <w:t>可以根据具体情况延长修复时间，但</w:t>
      </w:r>
      <w:r>
        <w:rPr>
          <w:rFonts w:hint="eastAsia" w:ascii="宋体" w:hAnsi="宋体"/>
          <w:color w:val="auto"/>
          <w:szCs w:val="21"/>
          <w:highlight w:val="none"/>
          <w:lang w:eastAsia="zh-CN"/>
        </w:rPr>
        <w:t>乙方</w:t>
      </w:r>
      <w:r>
        <w:rPr>
          <w:rFonts w:hint="eastAsia" w:ascii="宋体" w:hAnsi="宋体"/>
          <w:color w:val="auto"/>
          <w:szCs w:val="21"/>
          <w:highlight w:val="none"/>
        </w:rPr>
        <w:t>必须提供施工的进度报告说明情况。</w:t>
      </w:r>
    </w:p>
    <w:p w14:paraId="2148004E">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遇紧急安全情况</w:t>
      </w:r>
      <w:r>
        <w:rPr>
          <w:rFonts w:hint="eastAsia" w:ascii="宋体" w:hAnsi="宋体"/>
          <w:color w:val="auto"/>
          <w:szCs w:val="21"/>
          <w:highlight w:val="none"/>
          <w:lang w:eastAsia="zh-CN"/>
        </w:rPr>
        <w:t>（</w:t>
      </w:r>
      <w:r>
        <w:rPr>
          <w:rFonts w:hint="eastAsia" w:ascii="宋体" w:hAnsi="宋体"/>
          <w:color w:val="auto"/>
          <w:szCs w:val="21"/>
          <w:highlight w:val="none"/>
        </w:rPr>
        <w:t>交通事故损坏、设备掉落等造成现场存在其他安全隐患的情况</w:t>
      </w:r>
      <w:r>
        <w:rPr>
          <w:rFonts w:hint="eastAsia" w:ascii="宋体" w:hAnsi="宋体"/>
          <w:color w:val="auto"/>
          <w:szCs w:val="21"/>
          <w:highlight w:val="none"/>
          <w:lang w:eastAsia="zh-CN"/>
        </w:rPr>
        <w:t>），乙方</w:t>
      </w:r>
      <w:r>
        <w:rPr>
          <w:rFonts w:hint="eastAsia" w:ascii="宋体" w:hAnsi="宋体"/>
          <w:color w:val="auto"/>
          <w:szCs w:val="21"/>
          <w:highlight w:val="none"/>
        </w:rPr>
        <w:t>接任何报障通知后，必须30分钟内</w:t>
      </w:r>
      <w:r>
        <w:rPr>
          <w:rFonts w:hint="eastAsia" w:ascii="宋体" w:hAnsi="宋体"/>
          <w:color w:val="auto"/>
          <w:szCs w:val="21"/>
          <w:highlight w:val="none"/>
          <w:lang w:val="en-US" w:eastAsia="zh-CN"/>
        </w:rPr>
        <w:t>响应</w:t>
      </w:r>
      <w:r>
        <w:rPr>
          <w:rFonts w:hint="eastAsia" w:ascii="宋体" w:hAnsi="宋体"/>
          <w:color w:val="auto"/>
          <w:szCs w:val="21"/>
          <w:highlight w:val="none"/>
        </w:rPr>
        <w:t>，3小时内</w:t>
      </w:r>
      <w:r>
        <w:rPr>
          <w:rFonts w:hint="eastAsia" w:ascii="宋体" w:hAnsi="宋体"/>
          <w:color w:val="auto"/>
          <w:szCs w:val="21"/>
          <w:highlight w:val="none"/>
          <w:lang w:val="en-US" w:eastAsia="zh-CN"/>
        </w:rPr>
        <w:t>到达现场</w:t>
      </w:r>
      <w:r>
        <w:rPr>
          <w:rFonts w:hint="eastAsia" w:ascii="宋体" w:hAnsi="宋体"/>
          <w:color w:val="auto"/>
          <w:szCs w:val="21"/>
          <w:highlight w:val="none"/>
        </w:rPr>
        <w:t>消除安全隐患，可以根据具体情况延长修复时间，但</w:t>
      </w:r>
      <w:r>
        <w:rPr>
          <w:rFonts w:hint="eastAsia" w:ascii="宋体" w:hAnsi="宋体"/>
          <w:color w:val="auto"/>
          <w:szCs w:val="21"/>
          <w:highlight w:val="none"/>
          <w:lang w:eastAsia="zh-CN"/>
        </w:rPr>
        <w:t>乙方</w:t>
      </w:r>
      <w:r>
        <w:rPr>
          <w:rFonts w:hint="eastAsia" w:ascii="宋体" w:hAnsi="宋体"/>
          <w:color w:val="auto"/>
          <w:szCs w:val="21"/>
          <w:highlight w:val="none"/>
        </w:rPr>
        <w:t>必须提供施工的进度报告说明情况。</w:t>
      </w:r>
    </w:p>
    <w:p w14:paraId="3C85A296">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第三方协调：涉及第三方施工破坏、管道修复、城市建设需要土建报批施工等的故障经抢修人员电话或邮件与报障人员确认，具备恢复条件并取得审批许可后，需在15个自然日内修复故障并提供专题修复报告说明情况。相关施工许可须在一个月内完成，未能完成的须向</w:t>
      </w:r>
      <w:r>
        <w:rPr>
          <w:rFonts w:hint="eastAsia" w:ascii="宋体" w:hAnsi="宋体"/>
          <w:color w:val="auto"/>
          <w:szCs w:val="21"/>
          <w:highlight w:val="none"/>
          <w:lang w:val="en-US" w:eastAsia="zh-CN"/>
        </w:rPr>
        <w:t>甲方</w:t>
      </w:r>
      <w:r>
        <w:rPr>
          <w:rFonts w:hint="eastAsia" w:ascii="宋体" w:hAnsi="宋体"/>
          <w:color w:val="auto"/>
          <w:szCs w:val="21"/>
          <w:highlight w:val="none"/>
        </w:rPr>
        <w:t>书面申请。</w:t>
      </w:r>
    </w:p>
    <w:p w14:paraId="78ED4C71">
      <w:pPr>
        <w:keepNext w:val="0"/>
        <w:keepLines w:val="0"/>
        <w:pageBreakBefore w:val="0"/>
        <w:widowControl w:val="0"/>
        <w:numPr>
          <w:ilvl w:val="0"/>
          <w:numId w:val="115"/>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报障涉及对抓拍效果、违法图片合规性优化或调整，需要厂家对设备或平台的算法优化、修复设备安全漏洞、软件二次开发及升级，需在</w:t>
      </w:r>
      <w:r>
        <w:rPr>
          <w:rFonts w:hint="eastAsia" w:ascii="宋体" w:hAnsi="宋体"/>
          <w:color w:val="auto"/>
          <w:szCs w:val="21"/>
          <w:highlight w:val="none"/>
          <w:lang w:val="en-US" w:eastAsia="zh-CN"/>
        </w:rPr>
        <w:t>48小时</w:t>
      </w:r>
      <w:r>
        <w:rPr>
          <w:rFonts w:hint="eastAsia" w:ascii="宋体" w:hAnsi="宋体"/>
          <w:color w:val="auto"/>
          <w:szCs w:val="21"/>
          <w:highlight w:val="none"/>
        </w:rPr>
        <w:t>内</w:t>
      </w:r>
      <w:r>
        <w:rPr>
          <w:rFonts w:hint="eastAsia" w:ascii="宋体" w:hAnsi="宋体"/>
          <w:color w:val="auto"/>
          <w:szCs w:val="21"/>
          <w:highlight w:val="none"/>
          <w:lang w:val="en-US" w:eastAsia="zh-CN"/>
        </w:rPr>
        <w:t>完成</w:t>
      </w:r>
      <w:r>
        <w:rPr>
          <w:rFonts w:hint="eastAsia" w:ascii="宋体" w:hAnsi="宋体"/>
          <w:color w:val="auto"/>
          <w:szCs w:val="21"/>
          <w:highlight w:val="none"/>
        </w:rPr>
        <w:t>。</w:t>
      </w:r>
    </w:p>
    <w:p w14:paraId="2E40DE7A">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故障报障修复延期或挂单的机制要求：</w:t>
      </w:r>
    </w:p>
    <w:p w14:paraId="7180CB7E">
      <w:pPr>
        <w:keepNext w:val="0"/>
        <w:keepLines w:val="0"/>
        <w:pageBreakBefore w:val="0"/>
        <w:widowControl w:val="0"/>
        <w:numPr>
          <w:ilvl w:val="0"/>
          <w:numId w:val="24"/>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当遇到客观困难情况</w:t>
      </w:r>
      <w:r>
        <w:rPr>
          <w:rFonts w:hint="eastAsia" w:ascii="宋体" w:hAnsi="宋体"/>
          <w:color w:val="auto"/>
          <w:szCs w:val="21"/>
          <w:highlight w:val="none"/>
          <w:lang w:eastAsia="zh-CN"/>
        </w:rPr>
        <w:t>（</w:t>
      </w:r>
      <w:r>
        <w:rPr>
          <w:rFonts w:hint="eastAsia" w:ascii="宋体" w:hAnsi="宋体"/>
          <w:color w:val="auto"/>
          <w:szCs w:val="21"/>
          <w:highlight w:val="none"/>
        </w:rPr>
        <w:t>例如：道路严重堵车、交通事故、恶劣天气、车流高峰期、第三方维护的机房环境或各种不可抗力情况</w:t>
      </w:r>
      <w:r>
        <w:rPr>
          <w:rFonts w:hint="eastAsia" w:ascii="宋体" w:hAnsi="宋体"/>
          <w:color w:val="auto"/>
          <w:szCs w:val="21"/>
          <w:highlight w:val="none"/>
          <w:lang w:eastAsia="zh-CN"/>
        </w:rPr>
        <w:t>），</w:t>
      </w:r>
      <w:r>
        <w:rPr>
          <w:rFonts w:hint="eastAsia" w:ascii="宋体" w:hAnsi="宋体"/>
          <w:color w:val="auto"/>
          <w:szCs w:val="21"/>
          <w:highlight w:val="none"/>
        </w:rPr>
        <w:t>对故障修复时效造成影响，</w:t>
      </w:r>
      <w:r>
        <w:rPr>
          <w:rFonts w:hint="eastAsia" w:ascii="宋体" w:hAnsi="宋体"/>
          <w:color w:val="auto"/>
          <w:szCs w:val="21"/>
          <w:highlight w:val="none"/>
          <w:lang w:eastAsia="zh-CN"/>
        </w:rPr>
        <w:t>乙方</w:t>
      </w:r>
      <w:r>
        <w:rPr>
          <w:rFonts w:hint="eastAsia" w:ascii="宋体" w:hAnsi="宋体"/>
          <w:color w:val="auto"/>
          <w:szCs w:val="21"/>
          <w:highlight w:val="none"/>
        </w:rPr>
        <w:t>可24小时内以书面方式向</w:t>
      </w:r>
      <w:r>
        <w:rPr>
          <w:rFonts w:hint="eastAsia" w:ascii="宋体" w:hAnsi="宋体"/>
          <w:color w:val="auto"/>
          <w:szCs w:val="21"/>
          <w:highlight w:val="none"/>
          <w:lang w:val="en-US" w:eastAsia="zh-CN"/>
        </w:rPr>
        <w:t>甲方</w:t>
      </w:r>
      <w:r>
        <w:rPr>
          <w:rFonts w:hint="eastAsia" w:ascii="宋体" w:hAnsi="宋体"/>
          <w:color w:val="auto"/>
          <w:szCs w:val="21"/>
          <w:highlight w:val="none"/>
        </w:rPr>
        <w:t>提出故障修复时效延期或挂单。</w:t>
      </w:r>
      <w:r>
        <w:rPr>
          <w:rFonts w:hint="eastAsia" w:ascii="宋体" w:hAnsi="宋体"/>
          <w:color w:val="auto"/>
          <w:szCs w:val="21"/>
          <w:highlight w:val="none"/>
          <w:lang w:eastAsia="zh-CN"/>
        </w:rPr>
        <w:t>乙方</w:t>
      </w:r>
      <w:r>
        <w:rPr>
          <w:rFonts w:hint="eastAsia" w:ascii="宋体" w:hAnsi="宋体"/>
          <w:color w:val="auto"/>
          <w:szCs w:val="21"/>
          <w:highlight w:val="none"/>
        </w:rPr>
        <w:t>工程作业车通行证、年检过期不属于客观困难，故不能申请延期或挂单；</w:t>
      </w:r>
      <w:r>
        <w:rPr>
          <w:rFonts w:hint="eastAsia" w:ascii="宋体" w:hAnsi="宋体"/>
          <w:color w:val="auto"/>
          <w:szCs w:val="21"/>
          <w:highlight w:val="none"/>
          <w:lang w:eastAsia="zh-CN"/>
        </w:rPr>
        <w:t>乙方</w:t>
      </w:r>
      <w:r>
        <w:rPr>
          <w:rFonts w:hint="eastAsia" w:ascii="宋体" w:hAnsi="宋体"/>
          <w:color w:val="auto"/>
          <w:szCs w:val="21"/>
          <w:highlight w:val="none"/>
        </w:rPr>
        <w:t>不能以工程作业车数量不足无法修复故障为由，申请故障延期或挂单。</w:t>
      </w:r>
    </w:p>
    <w:p w14:paraId="24296F7A">
      <w:pPr>
        <w:keepNext w:val="0"/>
        <w:keepLines w:val="0"/>
        <w:pageBreakBefore w:val="0"/>
        <w:widowControl w:val="0"/>
        <w:numPr>
          <w:ilvl w:val="0"/>
          <w:numId w:val="24"/>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延期或挂单申请在取得</w:t>
      </w:r>
      <w:r>
        <w:rPr>
          <w:rFonts w:hint="eastAsia" w:ascii="宋体" w:hAnsi="宋体"/>
          <w:color w:val="auto"/>
          <w:szCs w:val="21"/>
          <w:highlight w:val="none"/>
          <w:lang w:val="en-US" w:eastAsia="zh-CN"/>
        </w:rPr>
        <w:t>甲方</w:t>
      </w:r>
      <w:r>
        <w:rPr>
          <w:rFonts w:hint="eastAsia" w:ascii="宋体" w:hAnsi="宋体"/>
          <w:color w:val="auto"/>
          <w:szCs w:val="21"/>
          <w:highlight w:val="none"/>
        </w:rPr>
        <w:t>同意后，延期或挂单机制才生效</w:t>
      </w:r>
      <w:r>
        <w:rPr>
          <w:rFonts w:hint="eastAsia" w:ascii="宋体" w:hAnsi="宋体"/>
          <w:color w:val="auto"/>
          <w:szCs w:val="21"/>
          <w:highlight w:val="none"/>
          <w:lang w:eastAsia="zh-CN"/>
        </w:rPr>
        <w:t>，</w:t>
      </w:r>
      <w:r>
        <w:rPr>
          <w:rFonts w:hint="eastAsia" w:ascii="宋体" w:hAnsi="宋体"/>
          <w:color w:val="auto"/>
          <w:szCs w:val="21"/>
          <w:highlight w:val="none"/>
        </w:rPr>
        <w:t>当故障已排除修复困难后，可重新计算故障修复时间。</w:t>
      </w:r>
    </w:p>
    <w:p w14:paraId="6C3CF27D">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甲方</w:t>
      </w:r>
      <w:r>
        <w:rPr>
          <w:rFonts w:hint="eastAsia" w:ascii="宋体" w:hAnsi="宋体"/>
          <w:color w:val="auto"/>
          <w:szCs w:val="21"/>
          <w:highlight w:val="none"/>
        </w:rPr>
        <w:t>技术服务要求及性能指标：</w:t>
      </w:r>
    </w:p>
    <w:p w14:paraId="00349E1E">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甲方</w:t>
      </w:r>
      <w:r>
        <w:rPr>
          <w:rFonts w:hint="eastAsia" w:ascii="宋体" w:hAnsi="宋体"/>
          <w:color w:val="auto"/>
          <w:szCs w:val="21"/>
          <w:highlight w:val="none"/>
        </w:rPr>
        <w:t>下发服务单，</w:t>
      </w:r>
      <w:r>
        <w:rPr>
          <w:rFonts w:hint="eastAsia" w:ascii="宋体" w:hAnsi="宋体"/>
          <w:color w:val="auto"/>
          <w:szCs w:val="21"/>
          <w:highlight w:val="none"/>
          <w:lang w:eastAsia="zh-CN"/>
        </w:rPr>
        <w:t>乙方</w:t>
      </w:r>
      <w:r>
        <w:rPr>
          <w:rFonts w:hint="eastAsia" w:ascii="宋体" w:hAnsi="宋体"/>
          <w:color w:val="auto"/>
          <w:szCs w:val="21"/>
          <w:highlight w:val="none"/>
        </w:rPr>
        <w:t>则按照</w:t>
      </w:r>
      <w:r>
        <w:rPr>
          <w:rFonts w:hint="eastAsia" w:ascii="宋体" w:hAnsi="宋体"/>
          <w:color w:val="auto"/>
          <w:szCs w:val="21"/>
          <w:highlight w:val="none"/>
          <w:lang w:val="en-US" w:eastAsia="zh-CN"/>
        </w:rPr>
        <w:t>甲方</w:t>
      </w:r>
      <w:r>
        <w:rPr>
          <w:rFonts w:hint="eastAsia" w:ascii="宋体" w:hAnsi="宋体"/>
          <w:color w:val="auto"/>
          <w:szCs w:val="21"/>
          <w:highlight w:val="none"/>
        </w:rPr>
        <w:t>提出的技术服务需求，提供技术支撑服务，服务内容包含但不限于：电警抓拍效果优化、数据统计及整理、抓拍功能适时启停用、配套标牌标线的排查、地标线翻新、设备迁移、设备拆除、重大节假日、应急保障及活动现场保障、</w:t>
      </w:r>
      <w:r>
        <w:rPr>
          <w:rFonts w:hint="eastAsia" w:ascii="宋体" w:hAnsi="宋体"/>
          <w:color w:val="auto"/>
          <w:szCs w:val="21"/>
          <w:highlight w:val="none"/>
          <w:lang w:val="en-US" w:eastAsia="zh-CN"/>
        </w:rPr>
        <w:t>服务</w:t>
      </w:r>
      <w:r>
        <w:rPr>
          <w:rFonts w:hint="eastAsia" w:ascii="宋体" w:hAnsi="宋体"/>
          <w:color w:val="auto"/>
          <w:szCs w:val="21"/>
          <w:highlight w:val="none"/>
        </w:rPr>
        <w:t>清单内所有测速设备标定、周期性巡检工作、及一机一档、一杆一档信息修改服务等。</w:t>
      </w:r>
    </w:p>
    <w:p w14:paraId="35989196">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期内，设备厂家按</w:t>
      </w:r>
      <w:r>
        <w:rPr>
          <w:rFonts w:hint="eastAsia" w:ascii="宋体" w:hAnsi="宋体"/>
          <w:color w:val="auto"/>
          <w:szCs w:val="21"/>
          <w:highlight w:val="none"/>
          <w:lang w:val="en-US" w:eastAsia="zh-CN"/>
        </w:rPr>
        <w:t>甲方</w:t>
      </w:r>
      <w:r>
        <w:rPr>
          <w:rFonts w:hint="eastAsia" w:ascii="宋体" w:hAnsi="宋体"/>
          <w:color w:val="auto"/>
          <w:szCs w:val="21"/>
          <w:highlight w:val="none"/>
        </w:rPr>
        <w:t>业务需求，研发出前端设备新功能的程序安装包，</w:t>
      </w:r>
      <w:r>
        <w:rPr>
          <w:rFonts w:hint="eastAsia" w:ascii="宋体" w:hAnsi="宋体"/>
          <w:color w:val="auto"/>
          <w:szCs w:val="21"/>
          <w:highlight w:val="none"/>
          <w:lang w:val="en-US" w:eastAsia="zh-CN"/>
        </w:rPr>
        <w:t>乙方</w:t>
      </w:r>
      <w:r>
        <w:rPr>
          <w:rFonts w:hint="eastAsia" w:ascii="宋体" w:hAnsi="宋体"/>
          <w:color w:val="auto"/>
          <w:szCs w:val="21"/>
          <w:highlight w:val="none"/>
        </w:rPr>
        <w:t>须提供人力资源和技术力量的服务，按照</w:t>
      </w:r>
      <w:r>
        <w:rPr>
          <w:rFonts w:hint="eastAsia" w:ascii="宋体" w:hAnsi="宋体"/>
          <w:color w:val="auto"/>
          <w:szCs w:val="21"/>
          <w:highlight w:val="none"/>
          <w:lang w:val="en-US" w:eastAsia="zh-CN"/>
        </w:rPr>
        <w:t>甲方</w:t>
      </w:r>
      <w:r>
        <w:rPr>
          <w:rFonts w:hint="eastAsia" w:ascii="宋体" w:hAnsi="宋体"/>
          <w:color w:val="auto"/>
          <w:szCs w:val="21"/>
          <w:highlight w:val="none"/>
        </w:rPr>
        <w:t>业务功能需求，完成程序安装包的安装、更新、升级的工作。</w:t>
      </w:r>
    </w:p>
    <w:p w14:paraId="3C1AE32A">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服务单的完成时限，由双方通过书面服务单形式约定的时间内完成。</w:t>
      </w:r>
    </w:p>
    <w:p w14:paraId="3B25B082">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在线率检查及无数据巡查作为服务中的其中一项工作内容，检查结果需提交</w:t>
      </w:r>
      <w:r>
        <w:rPr>
          <w:rFonts w:hint="eastAsia" w:ascii="宋体" w:hAnsi="宋体"/>
          <w:color w:val="auto"/>
          <w:szCs w:val="21"/>
          <w:highlight w:val="none"/>
          <w:lang w:val="en-US" w:eastAsia="zh-CN"/>
        </w:rPr>
        <w:t>甲方</w:t>
      </w:r>
      <w:r>
        <w:rPr>
          <w:rFonts w:hint="eastAsia" w:ascii="宋体" w:hAnsi="宋体"/>
          <w:color w:val="auto"/>
          <w:szCs w:val="21"/>
          <w:highlight w:val="none"/>
        </w:rPr>
        <w:t>确认，检查发现为设备故障的点位则当天转入报障抢修流程，修复时限与故障修复时限要求一致，</w:t>
      </w:r>
      <w:r>
        <w:rPr>
          <w:rFonts w:hint="eastAsia" w:ascii="宋体" w:hAnsi="宋体"/>
          <w:color w:val="auto"/>
          <w:szCs w:val="21"/>
          <w:highlight w:val="none"/>
          <w:lang w:eastAsia="zh-CN"/>
        </w:rPr>
        <w:t>乙方</w:t>
      </w:r>
      <w:r>
        <w:rPr>
          <w:rFonts w:hint="eastAsia" w:ascii="宋体" w:hAnsi="宋体"/>
          <w:color w:val="auto"/>
          <w:szCs w:val="21"/>
          <w:highlight w:val="none"/>
        </w:rPr>
        <w:t>必须保障设备每月在线率</w:t>
      </w:r>
      <w:r>
        <w:rPr>
          <w:rFonts w:hint="eastAsia" w:ascii="宋体" w:hAnsi="宋体"/>
          <w:color w:val="auto"/>
          <w:szCs w:val="21"/>
          <w:highlight w:val="none"/>
          <w:lang w:val="en-US" w:eastAsia="zh-CN"/>
        </w:rPr>
        <w:t>≥</w:t>
      </w:r>
      <w:r>
        <w:rPr>
          <w:rFonts w:hint="eastAsia" w:ascii="宋体" w:hAnsi="宋体"/>
          <w:color w:val="auto"/>
          <w:szCs w:val="21"/>
          <w:highlight w:val="none"/>
        </w:rPr>
        <w:t>95%。</w:t>
      </w:r>
    </w:p>
    <w:p w14:paraId="636D02DE">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w:t>
      </w:r>
      <w:r>
        <w:rPr>
          <w:rFonts w:hint="eastAsia" w:ascii="宋体" w:hAnsi="宋体"/>
          <w:color w:val="auto"/>
          <w:szCs w:val="21"/>
          <w:highlight w:val="none"/>
          <w:lang w:eastAsia="zh-CN"/>
        </w:rPr>
        <w:t>乙方</w:t>
      </w:r>
      <w:r>
        <w:rPr>
          <w:rFonts w:hint="eastAsia" w:ascii="宋体" w:hAnsi="宋体"/>
          <w:color w:val="auto"/>
          <w:szCs w:val="21"/>
          <w:highlight w:val="none"/>
        </w:rPr>
        <w:t>必须对电子警察设备的建档率做到100%一机一档、一杆一档信息的修改。</w:t>
      </w:r>
    </w:p>
    <w:p w14:paraId="695B0ECF">
      <w:pPr>
        <w:keepNext w:val="0"/>
        <w:keepLines w:val="0"/>
        <w:pageBreakBefore w:val="0"/>
        <w:widowControl w:val="0"/>
        <w:numPr>
          <w:ilvl w:val="0"/>
          <w:numId w:val="116"/>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维护性能指标要求，各类型闯红灯标准环境：</w:t>
      </w:r>
    </w:p>
    <w:p w14:paraId="2DDEF2D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不按导向车道行车标准环境捕获率：≥95%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违法变线、压线，捕获率：≥95%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逆行、不按规定倒车标准环境，捕获率：≥95%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违法占用专用车道标准环境捕获率：≥95%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违法调头标准环境捕获率：≥95%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违法停车标准环境捕获率：≥95%</w:t>
      </w:r>
      <w:r>
        <w:rPr>
          <w:rFonts w:hint="eastAsia" w:ascii="宋体" w:hAnsi="宋体"/>
          <w:color w:val="auto"/>
          <w:szCs w:val="21"/>
          <w:highlight w:val="none"/>
          <w:lang w:eastAsia="zh-CN"/>
        </w:rPr>
        <w:t>，</w:t>
      </w:r>
      <w:r>
        <w:rPr>
          <w:rFonts w:hint="eastAsia" w:ascii="宋体" w:hAnsi="宋体"/>
          <w:color w:val="auto"/>
          <w:szCs w:val="21"/>
          <w:highlight w:val="none"/>
        </w:rPr>
        <w:t>检测率：≥90%</w:t>
      </w:r>
      <w:r>
        <w:rPr>
          <w:rFonts w:hint="eastAsia" w:ascii="宋体" w:hAnsi="宋体"/>
          <w:color w:val="auto"/>
          <w:szCs w:val="21"/>
          <w:highlight w:val="none"/>
          <w:lang w:eastAsia="zh-CN"/>
        </w:rPr>
        <w:t>；</w:t>
      </w:r>
      <w:r>
        <w:rPr>
          <w:rFonts w:hint="eastAsia" w:ascii="宋体" w:hAnsi="宋体"/>
          <w:color w:val="auto"/>
          <w:szCs w:val="21"/>
          <w:highlight w:val="none"/>
        </w:rPr>
        <w:t>卡口抓拍标准环境车辆捕获率：≥99%</w:t>
      </w:r>
      <w:r>
        <w:rPr>
          <w:rFonts w:hint="eastAsia" w:ascii="宋体" w:hAnsi="宋体"/>
          <w:color w:val="auto"/>
          <w:szCs w:val="21"/>
          <w:highlight w:val="none"/>
          <w:lang w:eastAsia="zh-CN"/>
        </w:rPr>
        <w:t>；</w:t>
      </w:r>
      <w:r>
        <w:rPr>
          <w:rFonts w:hint="eastAsia" w:ascii="宋体" w:hAnsi="宋体"/>
          <w:color w:val="auto"/>
          <w:szCs w:val="21"/>
          <w:highlight w:val="none"/>
        </w:rPr>
        <w:t>号牌识别正确率：≥95%</w:t>
      </w:r>
      <w:r>
        <w:rPr>
          <w:rFonts w:hint="eastAsia" w:ascii="宋体" w:hAnsi="宋体"/>
          <w:color w:val="auto"/>
          <w:szCs w:val="21"/>
          <w:highlight w:val="none"/>
          <w:lang w:eastAsia="zh-CN"/>
        </w:rPr>
        <w:t>；</w:t>
      </w:r>
      <w:r>
        <w:rPr>
          <w:rFonts w:hint="eastAsia" w:ascii="宋体" w:hAnsi="宋体"/>
          <w:color w:val="auto"/>
          <w:szCs w:val="21"/>
          <w:highlight w:val="none"/>
        </w:rPr>
        <w:t>车牌识别，白天车辆号牌识别率</w:t>
      </w:r>
      <w:r>
        <w:rPr>
          <w:rFonts w:hint="eastAsia" w:ascii="宋体" w:hAnsi="宋体"/>
          <w:color w:val="auto"/>
          <w:szCs w:val="21"/>
          <w:highlight w:val="none"/>
          <w:lang w:val="en-US" w:eastAsia="zh-CN"/>
        </w:rPr>
        <w:t>≥</w:t>
      </w:r>
      <w:r>
        <w:rPr>
          <w:rFonts w:hint="eastAsia" w:ascii="宋体" w:hAnsi="宋体"/>
          <w:color w:val="auto"/>
          <w:szCs w:val="21"/>
          <w:highlight w:val="none"/>
        </w:rPr>
        <w:t>95%</w:t>
      </w:r>
      <w:r>
        <w:rPr>
          <w:rFonts w:hint="eastAsia" w:ascii="宋体" w:hAnsi="宋体"/>
          <w:color w:val="auto"/>
          <w:szCs w:val="21"/>
          <w:highlight w:val="none"/>
          <w:lang w:eastAsia="zh-CN"/>
        </w:rPr>
        <w:t>，</w:t>
      </w:r>
      <w:r>
        <w:rPr>
          <w:rFonts w:hint="eastAsia" w:ascii="宋体" w:hAnsi="宋体"/>
          <w:color w:val="auto"/>
          <w:szCs w:val="21"/>
          <w:highlight w:val="none"/>
        </w:rPr>
        <w:t>号牌识别准确率</w:t>
      </w:r>
      <w:r>
        <w:rPr>
          <w:rFonts w:hint="eastAsia" w:ascii="宋体" w:hAnsi="宋体"/>
          <w:color w:val="auto"/>
          <w:szCs w:val="21"/>
          <w:highlight w:val="none"/>
          <w:lang w:val="en-US" w:eastAsia="zh-CN"/>
        </w:rPr>
        <w:t>≥</w:t>
      </w:r>
      <w:r>
        <w:rPr>
          <w:rFonts w:hint="eastAsia" w:ascii="宋体" w:hAnsi="宋体"/>
          <w:color w:val="auto"/>
          <w:szCs w:val="21"/>
          <w:highlight w:val="none"/>
        </w:rPr>
        <w:t>90%</w:t>
      </w:r>
      <w:r>
        <w:rPr>
          <w:rFonts w:hint="eastAsia" w:ascii="宋体" w:hAnsi="宋体"/>
          <w:color w:val="auto"/>
          <w:szCs w:val="21"/>
          <w:highlight w:val="none"/>
          <w:lang w:eastAsia="zh-CN"/>
        </w:rPr>
        <w:t>；</w:t>
      </w:r>
      <w:r>
        <w:rPr>
          <w:rFonts w:hint="eastAsia" w:ascii="宋体" w:hAnsi="宋体"/>
          <w:color w:val="auto"/>
          <w:szCs w:val="21"/>
          <w:highlight w:val="none"/>
        </w:rPr>
        <w:t>夜间车辆号牌识别准确率</w:t>
      </w:r>
      <w:r>
        <w:rPr>
          <w:rFonts w:hint="eastAsia" w:ascii="宋体" w:hAnsi="宋体"/>
          <w:color w:val="auto"/>
          <w:szCs w:val="21"/>
          <w:highlight w:val="none"/>
          <w:lang w:val="en-US" w:eastAsia="zh-CN"/>
        </w:rPr>
        <w:t>≥</w:t>
      </w:r>
      <w:r>
        <w:rPr>
          <w:rFonts w:hint="eastAsia" w:ascii="宋体" w:hAnsi="宋体"/>
          <w:color w:val="auto"/>
          <w:szCs w:val="21"/>
          <w:highlight w:val="none"/>
        </w:rPr>
        <w:t>85%。</w:t>
      </w:r>
    </w:p>
    <w:p w14:paraId="2AF5D654">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375" w:leftChars="0" w:hanging="375" w:hangingChars="179"/>
        <w:contextualSpacing/>
        <w:textAlignment w:val="auto"/>
        <w:rPr>
          <w:rFonts w:hint="eastAsia" w:ascii="宋体" w:hAnsi="宋体"/>
          <w:color w:val="auto"/>
          <w:szCs w:val="21"/>
          <w:highlight w:val="none"/>
        </w:rPr>
      </w:pPr>
      <w:r>
        <w:rPr>
          <w:rFonts w:hint="eastAsia" w:ascii="宋体" w:hAnsi="宋体"/>
          <w:color w:val="auto"/>
          <w:szCs w:val="21"/>
          <w:highlight w:val="none"/>
        </w:rPr>
        <w:t>报障方式及故障修复确认方式：</w:t>
      </w:r>
      <w:r>
        <w:rPr>
          <w:rFonts w:hint="eastAsia" w:ascii="宋体" w:hAnsi="宋体"/>
          <w:color w:val="auto"/>
          <w:szCs w:val="21"/>
          <w:highlight w:val="none"/>
          <w:lang w:val="en-US" w:eastAsia="zh-CN"/>
        </w:rPr>
        <w:t>甲方</w:t>
      </w:r>
      <w:r>
        <w:rPr>
          <w:rFonts w:hint="eastAsia" w:ascii="宋体" w:hAnsi="宋体"/>
          <w:color w:val="auto"/>
          <w:szCs w:val="21"/>
          <w:highlight w:val="none"/>
        </w:rPr>
        <w:t>以电话、微信、电子邮件及现场会议方式申报故障。故障修复时间由</w:t>
      </w:r>
      <w:r>
        <w:rPr>
          <w:rFonts w:hint="eastAsia" w:ascii="宋体" w:hAnsi="宋体"/>
          <w:color w:val="auto"/>
          <w:szCs w:val="21"/>
          <w:highlight w:val="none"/>
          <w:lang w:val="en-US" w:eastAsia="zh-CN"/>
        </w:rPr>
        <w:t>甲方</w:t>
      </w:r>
      <w:r>
        <w:rPr>
          <w:rFonts w:hint="eastAsia" w:ascii="宋体" w:hAnsi="宋体"/>
          <w:color w:val="auto"/>
          <w:szCs w:val="21"/>
          <w:highlight w:val="none"/>
        </w:rPr>
        <w:t>发出故障时间为起点，以</w:t>
      </w:r>
      <w:r>
        <w:rPr>
          <w:rFonts w:hint="eastAsia" w:ascii="宋体" w:hAnsi="宋体"/>
          <w:color w:val="auto"/>
          <w:szCs w:val="21"/>
          <w:highlight w:val="none"/>
          <w:lang w:eastAsia="zh-CN"/>
        </w:rPr>
        <w:t>乙方</w:t>
      </w:r>
      <w:r>
        <w:rPr>
          <w:rFonts w:hint="eastAsia" w:ascii="宋体" w:hAnsi="宋体"/>
          <w:color w:val="auto"/>
          <w:szCs w:val="21"/>
          <w:highlight w:val="none"/>
        </w:rPr>
        <w:t>回复已修复时间截止。对于</w:t>
      </w:r>
      <w:r>
        <w:rPr>
          <w:rFonts w:hint="eastAsia" w:ascii="宋体" w:hAnsi="宋体"/>
          <w:color w:val="auto"/>
          <w:szCs w:val="21"/>
          <w:highlight w:val="none"/>
          <w:lang w:eastAsia="zh-CN"/>
        </w:rPr>
        <w:t>乙方</w:t>
      </w:r>
      <w:r>
        <w:rPr>
          <w:rFonts w:hint="eastAsia" w:ascii="宋体" w:hAnsi="宋体"/>
          <w:color w:val="auto"/>
          <w:szCs w:val="21"/>
          <w:highlight w:val="none"/>
        </w:rPr>
        <w:t>已修复故障单未及时回复的情况按实际回复时间为准。若设备修复后后续12小时内还是出现相同的故障，</w:t>
      </w:r>
      <w:r>
        <w:rPr>
          <w:rFonts w:hint="eastAsia" w:ascii="宋体" w:hAnsi="宋体"/>
          <w:color w:val="auto"/>
          <w:szCs w:val="21"/>
          <w:highlight w:val="none"/>
          <w:lang w:val="en-US" w:eastAsia="zh-CN"/>
        </w:rPr>
        <w:t>甲方</w:t>
      </w:r>
      <w:r>
        <w:rPr>
          <w:rFonts w:hint="eastAsia" w:ascii="宋体" w:hAnsi="宋体"/>
          <w:color w:val="auto"/>
          <w:szCs w:val="21"/>
          <w:highlight w:val="none"/>
        </w:rPr>
        <w:t>则按最后修复故障的时间进行计算。</w:t>
      </w:r>
    </w:p>
    <w:p w14:paraId="4FA3CEDB">
      <w:pPr>
        <w:keepNext w:val="0"/>
        <w:keepLines w:val="0"/>
        <w:pageBreakBefore w:val="0"/>
        <w:widowControl w:val="0"/>
        <w:numPr>
          <w:ilvl w:val="0"/>
          <w:numId w:val="114"/>
        </w:numPr>
        <w:tabs>
          <w:tab w:val="left" w:pos="284"/>
        </w:tabs>
        <w:kinsoku/>
        <w:wordWrap/>
        <w:overflowPunct/>
        <w:topLinePunct w:val="0"/>
        <w:autoSpaceDE/>
        <w:autoSpaceDN/>
        <w:bidi w:val="0"/>
        <w:adjustRightInd/>
        <w:snapToGrid w:val="0"/>
        <w:spacing w:line="360" w:lineRule="auto"/>
        <w:ind w:left="375" w:leftChars="0" w:hanging="375" w:hangingChars="17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期结束，</w:t>
      </w:r>
      <w:r>
        <w:rPr>
          <w:rFonts w:hint="eastAsia" w:ascii="宋体" w:hAnsi="宋体"/>
          <w:color w:val="auto"/>
          <w:szCs w:val="21"/>
          <w:highlight w:val="none"/>
          <w:lang w:eastAsia="zh-CN"/>
        </w:rPr>
        <w:t>乙方</w:t>
      </w:r>
      <w:r>
        <w:rPr>
          <w:rFonts w:hint="eastAsia" w:ascii="宋体" w:hAnsi="宋体"/>
          <w:color w:val="auto"/>
          <w:szCs w:val="21"/>
          <w:highlight w:val="none"/>
        </w:rPr>
        <w:t>须保证维护设备状态正常，并在</w:t>
      </w:r>
      <w:r>
        <w:rPr>
          <w:rFonts w:hint="eastAsia" w:ascii="宋体" w:hAnsi="宋体"/>
          <w:color w:val="auto"/>
          <w:szCs w:val="21"/>
          <w:highlight w:val="none"/>
          <w:lang w:val="en-US" w:eastAsia="zh-CN"/>
        </w:rPr>
        <w:t>甲方</w:t>
      </w:r>
      <w:r>
        <w:rPr>
          <w:rFonts w:hint="eastAsia" w:ascii="宋体" w:hAnsi="宋体"/>
          <w:color w:val="auto"/>
          <w:szCs w:val="21"/>
          <w:highlight w:val="none"/>
        </w:rPr>
        <w:t>监督下与下一年度</w:t>
      </w:r>
      <w:r>
        <w:rPr>
          <w:rFonts w:hint="eastAsia" w:ascii="宋体" w:hAnsi="宋体"/>
          <w:color w:val="auto"/>
          <w:szCs w:val="21"/>
          <w:highlight w:val="none"/>
          <w:lang w:val="en-US" w:eastAsia="zh-CN"/>
        </w:rPr>
        <w:t>服务供应商</w:t>
      </w:r>
      <w:r>
        <w:rPr>
          <w:rFonts w:hint="eastAsia" w:ascii="宋体" w:hAnsi="宋体"/>
          <w:color w:val="auto"/>
          <w:szCs w:val="21"/>
          <w:highlight w:val="none"/>
        </w:rPr>
        <w:t>交接。</w:t>
      </w:r>
    </w:p>
    <w:p w14:paraId="65542E36">
      <w:pPr>
        <w:numPr>
          <w:ilvl w:val="0"/>
          <w:numId w:val="113"/>
        </w:numPr>
        <w:tabs>
          <w:tab w:val="left" w:pos="284"/>
        </w:tabs>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电子警察后台机房、网络设备</w:t>
      </w:r>
      <w:r>
        <w:rPr>
          <w:rFonts w:hint="eastAsia" w:ascii="宋体" w:hAnsi="宋体"/>
          <w:color w:val="auto"/>
          <w:szCs w:val="21"/>
          <w:highlight w:val="none"/>
          <w:lang w:val="en-US" w:eastAsia="zh-CN"/>
        </w:rPr>
        <w:t>运维服务内容</w:t>
      </w:r>
    </w:p>
    <w:p w14:paraId="6FD4841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本项目主要目标是保障交警</w:t>
      </w:r>
      <w:r>
        <w:rPr>
          <w:rFonts w:hint="eastAsia" w:ascii="宋体" w:hAnsi="宋体"/>
          <w:color w:val="auto"/>
          <w:szCs w:val="21"/>
          <w:highlight w:val="none"/>
          <w:lang w:val="en-US" w:eastAsia="zh-CN"/>
        </w:rPr>
        <w:t>甲方</w:t>
      </w:r>
      <w:r>
        <w:rPr>
          <w:rFonts w:hint="eastAsia" w:ascii="宋体" w:hAnsi="宋体"/>
          <w:color w:val="auto"/>
          <w:szCs w:val="21"/>
          <w:highlight w:val="none"/>
        </w:rPr>
        <w:t>机房及网络设备24小时无故障稳定运行，确保系统数据绝对的安全。</w:t>
      </w:r>
    </w:p>
    <w:p w14:paraId="0E1E5DED">
      <w:pPr>
        <w:keepNext w:val="0"/>
        <w:keepLines w:val="0"/>
        <w:pageBreakBefore w:val="0"/>
        <w:widowControl w:val="0"/>
        <w:numPr>
          <w:ilvl w:val="0"/>
          <w:numId w:val="11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根据相关文件要求安排合格的人员驻场进行维护工作。</w:t>
      </w:r>
    </w:p>
    <w:p w14:paraId="5CFDA809">
      <w:pPr>
        <w:keepNext w:val="0"/>
        <w:keepLines w:val="0"/>
        <w:pageBreakBefore w:val="0"/>
        <w:widowControl w:val="0"/>
        <w:numPr>
          <w:ilvl w:val="0"/>
          <w:numId w:val="117"/>
        </w:numPr>
        <w:tabs>
          <w:tab w:val="left" w:pos="284"/>
        </w:tabs>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在规定的时限内根据故障等级处理完毕。</w:t>
      </w:r>
    </w:p>
    <w:p w14:paraId="5BF459DB">
      <w:pPr>
        <w:keepNext w:val="0"/>
        <w:keepLines w:val="0"/>
        <w:pageBreakBefore w:val="0"/>
        <w:widowControl w:val="0"/>
        <w:numPr>
          <w:ilvl w:val="0"/>
          <w:numId w:val="117"/>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期内机房改造如：UPS、空调更换等在新建设备交接前采标人正常维护，新建设备交接后保修日期内为原厂保修服务，保修期后交由相应的维保单位维护。</w:t>
      </w:r>
    </w:p>
    <w:p w14:paraId="3D0AC70B">
      <w:pPr>
        <w:keepNext w:val="0"/>
        <w:keepLines w:val="0"/>
        <w:pageBreakBefore w:val="0"/>
        <w:widowControl w:val="0"/>
        <w:numPr>
          <w:ilvl w:val="0"/>
          <w:numId w:val="117"/>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hint="eastAsia" w:ascii="宋体" w:hAnsi="宋体"/>
          <w:color w:val="auto"/>
          <w:szCs w:val="21"/>
          <w:highlight w:val="none"/>
        </w:rPr>
      </w:pPr>
      <w:r>
        <w:rPr>
          <w:rFonts w:hint="eastAsia" w:ascii="宋体" w:hAnsi="宋体"/>
          <w:color w:val="auto"/>
          <w:szCs w:val="21"/>
          <w:highlight w:val="none"/>
        </w:rPr>
        <w:t>故障修复要求：要求提供7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24小时系统任何故障响应服务，各种故障类型按如下时限修复要求完成修复：</w:t>
      </w:r>
    </w:p>
    <w:p w14:paraId="27E1FDC6">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系统无响应故障：软件故障，48小时内解决；</w:t>
      </w:r>
    </w:p>
    <w:p w14:paraId="756AF20D">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非本地应用故障和</w:t>
      </w:r>
      <w:r>
        <w:rPr>
          <w:rFonts w:hint="eastAsia" w:ascii="宋体" w:hAnsi="宋体"/>
          <w:color w:val="auto"/>
          <w:szCs w:val="21"/>
          <w:highlight w:val="none"/>
          <w:lang w:val="en-US" w:eastAsia="zh-CN"/>
        </w:rPr>
        <w:t>甲方</w:t>
      </w:r>
      <w:r>
        <w:rPr>
          <w:rFonts w:hint="eastAsia" w:ascii="宋体" w:hAnsi="宋体"/>
          <w:color w:val="auto"/>
          <w:szCs w:val="21"/>
          <w:highlight w:val="none"/>
        </w:rPr>
        <w:t>应用故障：非本地部署的应用，需48小时内解决；</w:t>
      </w:r>
      <w:r>
        <w:rPr>
          <w:rFonts w:hint="eastAsia" w:ascii="宋体" w:hAnsi="宋体"/>
          <w:color w:val="auto"/>
          <w:szCs w:val="21"/>
          <w:highlight w:val="none"/>
          <w:lang w:val="en-US" w:eastAsia="zh-CN"/>
        </w:rPr>
        <w:t>甲方</w:t>
      </w:r>
      <w:r>
        <w:rPr>
          <w:rFonts w:hint="eastAsia" w:ascii="宋体" w:hAnsi="宋体"/>
          <w:color w:val="auto"/>
          <w:szCs w:val="21"/>
          <w:highlight w:val="none"/>
        </w:rPr>
        <w:t>部署的应用，需24小时内解决；</w:t>
      </w:r>
    </w:p>
    <w:p w14:paraId="399022F2">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非原厂服务故障和原厂服务故障：非原厂服务系统故障，需48小时完成；原厂服务系统故障，需24小时完成；</w:t>
      </w:r>
    </w:p>
    <w:p w14:paraId="4C0289F9">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数据库故障：软件故障，需48小时处理；</w:t>
      </w:r>
    </w:p>
    <w:p w14:paraId="3FF91747">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服务器故障类：</w:t>
      </w:r>
    </w:p>
    <w:p w14:paraId="5A2685A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系统故障类：检测为操作系统损坏，系统宕机，涉及业务较多，需要重装系统需要48小时解决；检测为系统资源不足、应用服务启动不了，48小时解决；</w:t>
      </w:r>
    </w:p>
    <w:p w14:paraId="57A636B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硬件故障类：检测为服务器硬件</w:t>
      </w:r>
      <w:r>
        <w:rPr>
          <w:rFonts w:hint="eastAsia" w:ascii="宋体" w:hAnsi="宋体"/>
          <w:color w:val="auto"/>
          <w:szCs w:val="21"/>
          <w:highlight w:val="none"/>
          <w:lang w:eastAsia="zh-CN"/>
        </w:rPr>
        <w:t>（</w:t>
      </w:r>
      <w:r>
        <w:rPr>
          <w:rFonts w:hint="eastAsia" w:ascii="宋体" w:hAnsi="宋体"/>
          <w:color w:val="auto"/>
          <w:szCs w:val="21"/>
          <w:highlight w:val="none"/>
        </w:rPr>
        <w:t>cpu、内存、硬盘、风扇、电源、主板</w:t>
      </w:r>
      <w:r>
        <w:rPr>
          <w:rFonts w:hint="eastAsia" w:ascii="宋体" w:hAnsi="宋体"/>
          <w:color w:val="auto"/>
          <w:szCs w:val="21"/>
          <w:highlight w:val="none"/>
          <w:lang w:eastAsia="zh-CN"/>
        </w:rPr>
        <w:t>）</w:t>
      </w:r>
      <w:r>
        <w:rPr>
          <w:rFonts w:hint="eastAsia" w:ascii="宋体" w:hAnsi="宋体"/>
          <w:color w:val="auto"/>
          <w:szCs w:val="21"/>
          <w:highlight w:val="none"/>
        </w:rPr>
        <w:t>故障，需要返厂，需申请挂单处理，需72小时解决；软件故障类：检测为软件故障，需要重装软件48小时解决；检测为软件配置故障，48小时解决；</w:t>
      </w:r>
    </w:p>
    <w:p w14:paraId="2575D5E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ftp服务类：需要新增账户及文件夹权限，24小时解决；检测为ftp服务无法启动，24小时解决；</w:t>
      </w:r>
    </w:p>
    <w:p w14:paraId="6F782362">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消防故障类：硬件类24小时解决；</w:t>
      </w:r>
    </w:p>
    <w:p w14:paraId="60BE74B4">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ups类：硬件类24小时解决；</w:t>
      </w:r>
    </w:p>
    <w:p w14:paraId="297D82CD">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空调类：检测空调故障类，24小时解决；硬件48小时解决；</w:t>
      </w:r>
    </w:p>
    <w:p w14:paraId="4053F756">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小机故障，软件类，需要重启服务24小时解决；系统故障类，需要重装系统48小时解决；硬件类、硬盘故障、内存故障、风扇故障、主板故障、CPU故障、电源故障、48小时解决；存储故障检测为硬件故障(模块、硬盘、内存)需要更换模块48小时解决；</w:t>
      </w:r>
    </w:p>
    <w:p w14:paraId="44965338">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链路故障：</w:t>
      </w:r>
    </w:p>
    <w:p w14:paraId="7269996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w:t>
      </w:r>
      <w:r>
        <w:rPr>
          <w:rFonts w:hint="eastAsia" w:ascii="宋体" w:hAnsi="宋体"/>
          <w:color w:val="auto"/>
          <w:szCs w:val="21"/>
          <w:highlight w:val="none"/>
          <w:lang w:val="en-US" w:eastAsia="zh-CN"/>
        </w:rPr>
        <w:t>甲方</w:t>
      </w:r>
      <w:r>
        <w:rPr>
          <w:rFonts w:hint="eastAsia" w:ascii="宋体" w:hAnsi="宋体"/>
          <w:color w:val="auto"/>
          <w:szCs w:val="21"/>
          <w:highlight w:val="none"/>
        </w:rPr>
        <w:t>本端公安网交换机端口模块故障、端口配置、交换机配置故障导致，24小时内解决；</w:t>
      </w:r>
    </w:p>
    <w:p w14:paraId="717ACFD5">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诊断为电信光纤链路、尾纤故障，则挂单交由运营商处理，直到运营商处理完故障后，验证故障，48小时解决；</w:t>
      </w:r>
    </w:p>
    <w:p w14:paraId="027BF03D">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诊断为对端交换机、端口模块、配置故障导致，则挂单转给对方单位进行处理，直到对方故障解决后，验证故障，48小时内解决；</w:t>
      </w:r>
    </w:p>
    <w:p w14:paraId="22B9D111">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配置故障：</w:t>
      </w:r>
    </w:p>
    <w:p w14:paraId="2428D7FA">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配置新增链路、Vlan、子网、端口等24小时内解决；接入层交换机新机配置，24小时内解决；</w:t>
      </w:r>
    </w:p>
    <w:p w14:paraId="47C510A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汇聚层、核心层新机配置，48小时内解决；防火墙新机配置，48小时内解决；</w:t>
      </w:r>
    </w:p>
    <w:p w14:paraId="516BC315">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硬件故障：</w:t>
      </w:r>
    </w:p>
    <w:p w14:paraId="3C15ECC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机房或楼层配线间接入层交换机端口、端口模块、端口配置、网线光纤链路、交换机配置或交换机硬件损坏导致网络中断故障，48小时内解决；</w:t>
      </w:r>
    </w:p>
    <w:p w14:paraId="14300C5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核心层或汇聚层交换机端口、端口配置、端口模块、链路故障导致网络中断，48小时内解决；</w:t>
      </w:r>
    </w:p>
    <w:p w14:paraId="75168904">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网络核心层交换机、汇聚层交换机设备或硬件板卡损坏，根据实际零部件采购所需时间申请相应延时，在申请时效内解决故障；如建筑物电源故障导致网络设备断电网络不通，则挂单转给物业单位处理，直到物业解决电源故障后，验证故障，48小时解决；</w:t>
      </w:r>
    </w:p>
    <w:p w14:paraId="698EBBD7">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软件故障：交换机、路由器系统假死导致设备无响应，48小时内解决；系统、版本等其它软件故障48小时内解决；</w:t>
      </w:r>
    </w:p>
    <w:p w14:paraId="26AA2BE6">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边界故障：诊断为边界设备故障，48小时内解决；诊断为其它网络中的服务器、网络、服务引起，挂单转给对方处理，直到对方处理完成后，验证故障，48小时内解决；其它边界类故障则根据实际情况在申请时效内解决；跨网络环境故障：涉及到跨网络环境(公安网、政务网、视频网、车管网及边界)需48小时完成；涉及到跨网络环境从政务网ftp传数据至公安网ftp,需48小时完成；</w:t>
      </w:r>
    </w:p>
    <w:p w14:paraId="77F79720">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协助配合：诊断为负责范围内的常规网络故障(交换机配置、端口模块、光纤链路故障、接入层交换机故障)48小时内解决；诊断为负责范围内网络正常，反馈诊断结果并转给相应单位处理；其它根据实际情况申请时效；</w:t>
      </w:r>
    </w:p>
    <w:p w14:paraId="0E7C3D42">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网络建设项目：中大型网络及安全项目建设，48小时解决；新建项目等分配VLANID号、子网，48小时内解决；机房上架5台以下服务器、防火墙、网闸、交换机等，分配IP地址及确定机柜位置，24小时内解决；机房上架5台以上服务器、防火墙、网闸、交换机等，分配IP地址及确定机柜位置，48小时内解决；</w:t>
      </w:r>
    </w:p>
    <w:p w14:paraId="219AFD33">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甲方</w:t>
      </w:r>
      <w:r>
        <w:rPr>
          <w:rFonts w:hint="eastAsia" w:ascii="宋体" w:hAnsi="宋体"/>
          <w:color w:val="auto"/>
          <w:szCs w:val="21"/>
          <w:highlight w:val="none"/>
        </w:rPr>
        <w:t>网络故障：PC主机网络不通，网卡、IP地址、网关配置错误或冲突导致，24小时内解决；PC主机网络不通，网线或水晶头接触不良故障导致，48小时内解决；PC主机网络不通，路线所连接的面板故障导致，48小时解决；接入层交换机配置、端口、端口配置、端口模块导致，48小时内解决；如建筑物电源故障导致网络设备断电网络不通，则挂单转给物业单位处理，直到物业解决电源故障后，验证故障，48小时解决；</w:t>
      </w:r>
    </w:p>
    <w:p w14:paraId="3709ACC3">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对</w:t>
      </w:r>
      <w:r>
        <w:rPr>
          <w:rFonts w:hint="eastAsia" w:ascii="宋体" w:hAnsi="宋体"/>
          <w:color w:val="auto"/>
          <w:szCs w:val="21"/>
          <w:highlight w:val="none"/>
          <w:lang w:val="en-US" w:eastAsia="zh-CN"/>
        </w:rPr>
        <w:t>甲方</w:t>
      </w:r>
      <w:r>
        <w:rPr>
          <w:rFonts w:hint="eastAsia" w:ascii="宋体" w:hAnsi="宋体"/>
          <w:color w:val="auto"/>
          <w:szCs w:val="21"/>
          <w:highlight w:val="none"/>
        </w:rPr>
        <w:t>PC终端类的维护，只对软件类进行维护，不包括硬件维护；</w:t>
      </w:r>
    </w:p>
    <w:p w14:paraId="4E174C78">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挂单：</w:t>
      </w:r>
    </w:p>
    <w:p w14:paraId="61DF7306">
      <w:pPr>
        <w:keepNext w:val="0"/>
        <w:keepLines w:val="0"/>
        <w:pageBreakBefore w:val="0"/>
        <w:widowControl w:val="0"/>
        <w:numPr>
          <w:ilvl w:val="0"/>
          <w:numId w:val="11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诊断为第三方负责管理范围故障，把诊断情况反馈给第三方负责人；</w:t>
      </w:r>
    </w:p>
    <w:p w14:paraId="545B2272">
      <w:pPr>
        <w:keepNext w:val="0"/>
        <w:keepLines w:val="0"/>
        <w:pageBreakBefore w:val="0"/>
        <w:widowControl w:val="0"/>
        <w:numPr>
          <w:ilvl w:val="0"/>
          <w:numId w:val="11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硬件设备(核心设备)需要返厂维修，需采购核心设备，根据厂家维修预估完成时间，进行时效申请，待厂家维修好设备，在申请时效内处理好；</w:t>
      </w:r>
    </w:p>
    <w:p w14:paraId="4A73FC8E">
      <w:pPr>
        <w:keepNext w:val="0"/>
        <w:keepLines w:val="0"/>
        <w:pageBreakBefore w:val="0"/>
        <w:widowControl w:val="0"/>
        <w:numPr>
          <w:ilvl w:val="0"/>
          <w:numId w:val="119"/>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非原厂服务(上级系统)需评估修复故障时间；</w:t>
      </w:r>
    </w:p>
    <w:p w14:paraId="24586FBD">
      <w:pPr>
        <w:keepNext w:val="0"/>
        <w:keepLines w:val="0"/>
        <w:pageBreakBefore w:val="0"/>
        <w:widowControl w:val="0"/>
        <w:numPr>
          <w:ilvl w:val="0"/>
          <w:numId w:val="118"/>
        </w:numPr>
        <w:tabs>
          <w:tab w:val="left" w:pos="284"/>
        </w:tabs>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申请延时：</w:t>
      </w:r>
    </w:p>
    <w:p w14:paraId="34E4471C">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申请购买设备、零部件，需申请延时处理；</w:t>
      </w:r>
    </w:p>
    <w:p w14:paraId="189F3EC0">
      <w:pPr>
        <w:keepNext w:val="0"/>
        <w:keepLines w:val="0"/>
        <w:pageBreakBefore w:val="0"/>
        <w:widowControl w:val="0"/>
        <w:numPr>
          <w:ilvl w:val="0"/>
          <w:numId w:val="120"/>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提供7</w:t>
      </w:r>
      <w:r>
        <w:rPr>
          <w:rFonts w:hint="eastAsia" w:ascii="宋体" w:hAnsi="宋体"/>
          <w:color w:val="auto"/>
          <w:szCs w:val="21"/>
          <w:highlight w:val="none"/>
          <w:lang w:val="en-US" w:eastAsia="zh-CN"/>
        </w:rPr>
        <w:t>×</w:t>
      </w:r>
      <w:r>
        <w:rPr>
          <w:rFonts w:hint="eastAsia" w:ascii="宋体" w:hAnsi="宋体"/>
          <w:color w:val="auto"/>
          <w:szCs w:val="21"/>
          <w:highlight w:val="none"/>
        </w:rPr>
        <w:t>24小时的服务请求响应服务，并保证报障电话24小时畅通，接到服务单后，工作日：30分钟内响应，1个工作日内完成，如有困难无法解决的，经</w:t>
      </w:r>
      <w:r>
        <w:rPr>
          <w:rFonts w:hint="eastAsia" w:ascii="宋体" w:hAnsi="宋体"/>
          <w:color w:val="auto"/>
          <w:szCs w:val="21"/>
          <w:highlight w:val="none"/>
          <w:lang w:val="en-US" w:eastAsia="zh-CN"/>
        </w:rPr>
        <w:t>甲方</w:t>
      </w:r>
      <w:r>
        <w:rPr>
          <w:rFonts w:hint="eastAsia" w:ascii="宋体" w:hAnsi="宋体"/>
          <w:color w:val="auto"/>
          <w:szCs w:val="21"/>
          <w:highlight w:val="none"/>
        </w:rPr>
        <w:t>同意，可延长至3个工作日；若有特殊情况3个工作日无法解决的，需将情况报</w:t>
      </w:r>
      <w:r>
        <w:rPr>
          <w:rFonts w:hint="eastAsia" w:ascii="宋体" w:hAnsi="宋体"/>
          <w:color w:val="auto"/>
          <w:szCs w:val="21"/>
          <w:highlight w:val="none"/>
          <w:lang w:val="en-US" w:eastAsia="zh-CN"/>
        </w:rPr>
        <w:t>甲方</w:t>
      </w:r>
      <w:r>
        <w:rPr>
          <w:rFonts w:hint="eastAsia" w:ascii="宋体" w:hAnsi="宋体"/>
          <w:color w:val="auto"/>
          <w:szCs w:val="21"/>
          <w:highlight w:val="none"/>
        </w:rPr>
        <w:t>核准同意后延期完成。非工作日：原则上不派发服务工单，如遇特殊情况的以实际商议时限按时完成。</w:t>
      </w:r>
    </w:p>
    <w:p w14:paraId="645EC14F">
      <w:pPr>
        <w:keepNext w:val="0"/>
        <w:keepLines w:val="0"/>
        <w:pageBreakBefore w:val="0"/>
        <w:widowControl w:val="0"/>
        <w:numPr>
          <w:ilvl w:val="0"/>
          <w:numId w:val="120"/>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如遇到重大故障，驻场人员无法处理的，</w:t>
      </w:r>
      <w:r>
        <w:rPr>
          <w:rFonts w:hint="eastAsia" w:ascii="宋体" w:hAnsi="宋体"/>
          <w:color w:val="auto"/>
          <w:szCs w:val="21"/>
          <w:highlight w:val="none"/>
          <w:lang w:val="en-US" w:eastAsia="zh-CN"/>
        </w:rPr>
        <w:t>乙方</w:t>
      </w:r>
      <w:r>
        <w:rPr>
          <w:rFonts w:hint="eastAsia" w:ascii="宋体" w:hAnsi="宋体"/>
          <w:color w:val="auto"/>
          <w:szCs w:val="21"/>
          <w:highlight w:val="none"/>
        </w:rPr>
        <w:t>应马上委派二线人员支援；需现场解决的，二线人员应在2个工作日内到达现场，到达后1个工作日内解决问题。</w:t>
      </w:r>
    </w:p>
    <w:p w14:paraId="3F121653">
      <w:pPr>
        <w:keepNext w:val="0"/>
        <w:keepLines w:val="0"/>
        <w:pageBreakBefore w:val="0"/>
        <w:widowControl w:val="0"/>
        <w:numPr>
          <w:ilvl w:val="0"/>
          <w:numId w:val="120"/>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rPr>
        <w:t>对系统按月、季度定期巡检：每月最后一周进行一次常规的整体运行巡检服务，包括软件系统的稳定性情况、硬件设备的运行情况；每个季度的最后一周进行一次业务系统全面的巡检，包括并不限于软件系统运行情况分析，存在问题的原因剖析(例如性能瓶颈可能是缺乏内存或CPU资源),数据库、中间件、备份系统的运行状态等，</w:t>
      </w:r>
      <w:r>
        <w:rPr>
          <w:rFonts w:hint="eastAsia" w:ascii="宋体" w:hAnsi="宋体"/>
          <w:color w:val="auto"/>
          <w:szCs w:val="21"/>
          <w:highlight w:val="none"/>
          <w:lang w:val="en-US" w:eastAsia="zh-CN"/>
        </w:rPr>
        <w:t>乙方</w:t>
      </w:r>
      <w:r>
        <w:rPr>
          <w:rFonts w:hint="eastAsia" w:ascii="宋体" w:hAnsi="宋体"/>
          <w:color w:val="auto"/>
          <w:szCs w:val="21"/>
          <w:highlight w:val="none"/>
        </w:rPr>
        <w:t>应给出分析报表和改进意见报</w:t>
      </w:r>
      <w:r>
        <w:rPr>
          <w:rFonts w:hint="eastAsia" w:ascii="宋体" w:hAnsi="宋体"/>
          <w:color w:val="auto"/>
          <w:szCs w:val="21"/>
          <w:highlight w:val="none"/>
          <w:lang w:val="en-US" w:eastAsia="zh-CN"/>
        </w:rPr>
        <w:t>甲方</w:t>
      </w:r>
      <w:r>
        <w:rPr>
          <w:rFonts w:hint="eastAsia" w:ascii="宋体" w:hAnsi="宋体"/>
          <w:color w:val="auto"/>
          <w:szCs w:val="21"/>
          <w:highlight w:val="none"/>
        </w:rPr>
        <w:t>审核。上述巡检服务应按双方约定格式提交巡检报告，装订成册提交</w:t>
      </w:r>
      <w:r>
        <w:rPr>
          <w:rFonts w:hint="eastAsia" w:ascii="宋体" w:hAnsi="宋体"/>
          <w:color w:val="auto"/>
          <w:szCs w:val="21"/>
          <w:highlight w:val="none"/>
          <w:lang w:val="en-US" w:eastAsia="zh-CN"/>
        </w:rPr>
        <w:t>甲方</w:t>
      </w:r>
      <w:r>
        <w:rPr>
          <w:rFonts w:hint="eastAsia" w:ascii="宋体" w:hAnsi="宋体"/>
          <w:color w:val="auto"/>
          <w:szCs w:val="21"/>
          <w:highlight w:val="none"/>
          <w:lang w:eastAsia="zh-CN"/>
        </w:rPr>
        <w:t>，</w:t>
      </w:r>
      <w:r>
        <w:rPr>
          <w:rFonts w:hint="eastAsia" w:ascii="宋体" w:hAnsi="宋体"/>
          <w:color w:val="auto"/>
          <w:szCs w:val="21"/>
          <w:highlight w:val="none"/>
        </w:rPr>
        <w:t>各类文档应在工作完成后5个工作日内提供。</w:t>
      </w:r>
    </w:p>
    <w:p w14:paraId="2C692121">
      <w:pPr>
        <w:keepNext w:val="0"/>
        <w:keepLines w:val="0"/>
        <w:pageBreakBefore w:val="0"/>
        <w:widowControl w:val="0"/>
        <w:numPr>
          <w:ilvl w:val="0"/>
          <w:numId w:val="120"/>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期内上述业务系统会随机被上级部门抽取参加信息安全等级保护评定，在评定过程中</w:t>
      </w:r>
      <w:r>
        <w:rPr>
          <w:rFonts w:hint="eastAsia" w:ascii="宋体" w:hAnsi="宋体"/>
          <w:color w:val="auto"/>
          <w:szCs w:val="21"/>
          <w:highlight w:val="none"/>
          <w:lang w:val="en-US" w:eastAsia="zh-CN"/>
        </w:rPr>
        <w:t>乙方</w:t>
      </w:r>
      <w:r>
        <w:rPr>
          <w:rFonts w:hint="eastAsia" w:ascii="宋体" w:hAnsi="宋体"/>
          <w:color w:val="auto"/>
          <w:szCs w:val="21"/>
          <w:highlight w:val="none"/>
        </w:rPr>
        <w:t>就检测机构提出的系统隐患、安全漏洞等存在问题进行相应的整改，确保被抽查系统通过网监部门的等保评定。</w:t>
      </w:r>
    </w:p>
    <w:p w14:paraId="00678665">
      <w:pPr>
        <w:keepNext w:val="0"/>
        <w:keepLines w:val="0"/>
        <w:pageBreakBefore w:val="0"/>
        <w:widowControl w:val="0"/>
        <w:numPr>
          <w:ilvl w:val="0"/>
          <w:numId w:val="120"/>
        </w:numPr>
        <w:tabs>
          <w:tab w:val="left" w:pos="284"/>
        </w:tabs>
        <w:kinsoku/>
        <w:wordWrap/>
        <w:overflowPunct/>
        <w:topLinePunct w:val="0"/>
        <w:autoSpaceDE/>
        <w:autoSpaceDN/>
        <w:bidi w:val="0"/>
        <w:adjustRightInd/>
        <w:snapToGrid w:val="0"/>
        <w:spacing w:line="360" w:lineRule="auto"/>
        <w:ind w:left="845" w:leftChars="200" w:hanging="425" w:firstLineChars="0"/>
        <w:contextualSpacing/>
        <w:textAlignment w:val="auto"/>
        <w:rPr>
          <w:rFonts w:hint="eastAsia" w:ascii="宋体" w:hAnsi="宋体"/>
          <w:color w:val="auto"/>
          <w:szCs w:val="21"/>
          <w:highlight w:val="none"/>
        </w:rPr>
      </w:pPr>
      <w:r>
        <w:rPr>
          <w:rFonts w:hint="eastAsia" w:ascii="宋体" w:hAnsi="宋体"/>
          <w:color w:val="auto"/>
          <w:szCs w:val="21"/>
          <w:highlight w:val="none"/>
          <w:lang w:val="en-US" w:eastAsia="zh-CN"/>
        </w:rPr>
        <w:t>服务</w:t>
      </w:r>
      <w:r>
        <w:rPr>
          <w:rFonts w:hint="eastAsia" w:ascii="宋体" w:hAnsi="宋体"/>
          <w:color w:val="auto"/>
          <w:szCs w:val="21"/>
          <w:highlight w:val="none"/>
        </w:rPr>
        <w:t>期内上述业务系统遇到省厅、市府、市局等上级网信部门发出的安全漏洞通报，</w:t>
      </w:r>
      <w:r>
        <w:rPr>
          <w:rFonts w:hint="eastAsia" w:ascii="宋体" w:hAnsi="宋体"/>
          <w:color w:val="auto"/>
          <w:szCs w:val="21"/>
          <w:highlight w:val="none"/>
          <w:lang w:val="en-US" w:eastAsia="zh-CN"/>
        </w:rPr>
        <w:t>乙方</w:t>
      </w:r>
      <w:r>
        <w:rPr>
          <w:rFonts w:hint="eastAsia" w:ascii="宋体" w:hAnsi="宋体"/>
          <w:color w:val="auto"/>
          <w:szCs w:val="21"/>
          <w:highlight w:val="none"/>
        </w:rPr>
        <w:t>应根据通报问题有针对性的进行整改修复，并将处理情况形成书面报告回复</w:t>
      </w:r>
      <w:r>
        <w:rPr>
          <w:rFonts w:hint="eastAsia" w:ascii="宋体" w:hAnsi="宋体"/>
          <w:color w:val="auto"/>
          <w:szCs w:val="21"/>
          <w:highlight w:val="none"/>
          <w:lang w:val="en-US" w:eastAsia="zh-CN"/>
        </w:rPr>
        <w:t>甲方</w:t>
      </w:r>
      <w:r>
        <w:rPr>
          <w:rFonts w:hint="eastAsia" w:ascii="宋体" w:hAnsi="宋体"/>
          <w:color w:val="auto"/>
          <w:szCs w:val="21"/>
          <w:highlight w:val="none"/>
        </w:rPr>
        <w:t>。</w:t>
      </w:r>
    </w:p>
    <w:p w14:paraId="13738BF3">
      <w:pPr>
        <w:keepNext w:val="0"/>
        <w:keepLines w:val="0"/>
        <w:pageBreakBefore w:val="0"/>
        <w:widowControl w:val="0"/>
        <w:numPr>
          <w:ilvl w:val="0"/>
          <w:numId w:val="117"/>
        </w:numPr>
        <w:tabs>
          <w:tab w:val="left" w:pos="284"/>
        </w:tabs>
        <w:kinsoku/>
        <w:wordWrap/>
        <w:overflowPunct/>
        <w:topLinePunct w:val="0"/>
        <w:autoSpaceDE/>
        <w:autoSpaceDN/>
        <w:bidi w:val="0"/>
        <w:adjustRightInd/>
        <w:snapToGrid w:val="0"/>
        <w:spacing w:line="360" w:lineRule="auto"/>
        <w:ind w:left="291" w:leftChars="0" w:hanging="291" w:hangingChars="139"/>
        <w:contextualSpacing/>
        <w:textAlignment w:val="auto"/>
        <w:rPr>
          <w:rFonts w:ascii="宋体" w:hAnsi="宋体"/>
          <w:color w:val="auto"/>
          <w:szCs w:val="21"/>
          <w:highlight w:val="none"/>
        </w:rPr>
      </w:pPr>
      <w:r>
        <w:rPr>
          <w:rFonts w:hint="eastAsia" w:ascii="宋体" w:hAnsi="宋体"/>
          <w:color w:val="auto"/>
          <w:szCs w:val="21"/>
          <w:highlight w:val="none"/>
          <w:lang w:val="en-US" w:eastAsia="zh-CN"/>
        </w:rPr>
        <w:t>服务流程及应急保障</w:t>
      </w:r>
    </w:p>
    <w:p w14:paraId="5E8C30CF">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color w:val="auto"/>
          <w:szCs w:val="21"/>
          <w:highlight w:val="none"/>
        </w:rPr>
      </w:pPr>
      <w:r>
        <w:rPr>
          <w:rFonts w:hint="eastAsia" w:ascii="宋体" w:hAnsi="宋体"/>
          <w:color w:val="auto"/>
          <w:szCs w:val="21"/>
          <w:highlight w:val="none"/>
        </w:rPr>
        <w:t>参照运维服务标准体系，建立各项运维服务标准流程，制定服务规章制度，应按照流程要求提供高质量、快响应的服务。服务流程应该包括服务台管理、事件管理、问题管理、配置管理、服务质量管理、服务考核评估等。针对重大或特定保障任务，提供应急保障服务。在接到保障任务后及时安排工作，保障运维人员按照</w:t>
      </w:r>
      <w:r>
        <w:rPr>
          <w:rFonts w:hint="eastAsia" w:ascii="宋体" w:hAnsi="宋体"/>
          <w:color w:val="auto"/>
          <w:szCs w:val="21"/>
          <w:highlight w:val="none"/>
          <w:lang w:val="en-US" w:eastAsia="zh-CN"/>
        </w:rPr>
        <w:t>甲方</w:t>
      </w:r>
      <w:r>
        <w:rPr>
          <w:rFonts w:hint="eastAsia" w:ascii="宋体" w:hAnsi="宋体"/>
          <w:color w:val="auto"/>
          <w:szCs w:val="21"/>
          <w:highlight w:val="none"/>
        </w:rPr>
        <w:t>要求到位。</w:t>
      </w:r>
    </w:p>
    <w:p w14:paraId="7CE3632C">
      <w:pPr>
        <w:numPr>
          <w:ilvl w:val="0"/>
          <w:numId w:val="121"/>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重大保障期间按照</w:t>
      </w:r>
      <w:r>
        <w:rPr>
          <w:rFonts w:hint="eastAsia" w:ascii="宋体" w:hAnsi="宋体"/>
          <w:color w:val="auto"/>
          <w:szCs w:val="21"/>
          <w:highlight w:val="none"/>
          <w:lang w:val="en-US" w:eastAsia="zh-CN"/>
        </w:rPr>
        <w:t>甲方</w:t>
      </w:r>
      <w:r>
        <w:rPr>
          <w:rFonts w:hint="eastAsia" w:ascii="宋体" w:hAnsi="宋体"/>
          <w:color w:val="auto"/>
          <w:szCs w:val="21"/>
          <w:highlight w:val="none"/>
        </w:rPr>
        <w:t>要求完成保障工作。</w:t>
      </w:r>
    </w:p>
    <w:p w14:paraId="31BCB325">
      <w:pPr>
        <w:numPr>
          <w:ilvl w:val="0"/>
          <w:numId w:val="121"/>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按</w:t>
      </w:r>
      <w:r>
        <w:rPr>
          <w:rFonts w:hint="eastAsia" w:ascii="宋体" w:hAnsi="宋体"/>
          <w:color w:val="auto"/>
          <w:szCs w:val="21"/>
          <w:highlight w:val="none"/>
          <w:lang w:val="en-US" w:eastAsia="zh-CN"/>
        </w:rPr>
        <w:t>甲方</w:t>
      </w:r>
      <w:r>
        <w:rPr>
          <w:rFonts w:hint="eastAsia" w:ascii="宋体" w:hAnsi="宋体"/>
          <w:color w:val="auto"/>
          <w:szCs w:val="21"/>
          <w:highlight w:val="none"/>
        </w:rPr>
        <w:t>要求安排工程师常驻现场服务。</w:t>
      </w:r>
    </w:p>
    <w:p w14:paraId="262DB086">
      <w:pPr>
        <w:numPr>
          <w:ilvl w:val="0"/>
          <w:numId w:val="121"/>
        </w:numPr>
        <w:tabs>
          <w:tab w:val="left" w:pos="284"/>
        </w:tabs>
        <w:snapToGrid w:val="0"/>
        <w:spacing w:line="360" w:lineRule="auto"/>
        <w:ind w:left="0" w:leftChars="0" w:firstLine="420" w:firstLineChars="200"/>
        <w:contextualSpacing/>
        <w:rPr>
          <w:rFonts w:hint="eastAsia" w:ascii="宋体" w:hAnsi="宋体"/>
          <w:color w:val="auto"/>
          <w:szCs w:val="21"/>
          <w:highlight w:val="none"/>
        </w:rPr>
      </w:pPr>
      <w:r>
        <w:rPr>
          <w:rFonts w:hint="eastAsia" w:ascii="宋体" w:hAnsi="宋体"/>
          <w:color w:val="auto"/>
          <w:szCs w:val="21"/>
          <w:highlight w:val="none"/>
        </w:rPr>
        <w:t>场外及驻点工程师服务时间不限于上班时间，24小时接受工作安排。</w:t>
      </w:r>
    </w:p>
    <w:p w14:paraId="1E745F3C">
      <w:pPr>
        <w:numPr>
          <w:ilvl w:val="0"/>
          <w:numId w:val="121"/>
        </w:numPr>
        <w:tabs>
          <w:tab w:val="left" w:pos="284"/>
        </w:tabs>
        <w:snapToGrid w:val="0"/>
        <w:spacing w:line="360" w:lineRule="auto"/>
        <w:ind w:left="0" w:leftChars="0" w:firstLine="420" w:firstLineChars="200"/>
        <w:contextualSpacing/>
        <w:rPr>
          <w:rFonts w:ascii="宋体" w:hAnsi="宋体"/>
          <w:color w:val="auto"/>
          <w:szCs w:val="21"/>
          <w:highlight w:val="none"/>
        </w:rPr>
      </w:pPr>
      <w:r>
        <w:rPr>
          <w:rFonts w:hint="eastAsia" w:ascii="宋体" w:hAnsi="宋体"/>
          <w:color w:val="auto"/>
          <w:szCs w:val="21"/>
          <w:highlight w:val="none"/>
        </w:rPr>
        <w:t>及时增加运维人员和设备，以保障任务顺利完成。</w:t>
      </w:r>
    </w:p>
    <w:p w14:paraId="62C059D2">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道路交通信号灯运维服务</w:t>
      </w:r>
    </w:p>
    <w:p w14:paraId="43DD93C7">
      <w:pPr>
        <w:numPr>
          <w:ilvl w:val="0"/>
          <w:numId w:val="122"/>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道路交通信号灯运维服务路口和路段情况一览表</w:t>
      </w:r>
    </w:p>
    <w:tbl>
      <w:tblPr>
        <w:tblStyle w:val="8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4"/>
        <w:gridCol w:w="3303"/>
        <w:gridCol w:w="2092"/>
        <w:gridCol w:w="2837"/>
      </w:tblGrid>
      <w:tr w14:paraId="0A7B3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51733964">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序号</w:t>
            </w:r>
          </w:p>
        </w:tc>
        <w:tc>
          <w:tcPr>
            <w:tcW w:w="1819" w:type="pct"/>
            <w:vAlign w:val="center"/>
          </w:tcPr>
          <w:p w14:paraId="4CB5C9CD">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1"/>
                <w:sz w:val="21"/>
                <w:szCs w:val="21"/>
                <w:highlight w:val="none"/>
              </w:rPr>
              <w:t>路口/路段名称</w:t>
            </w:r>
          </w:p>
        </w:tc>
        <w:tc>
          <w:tcPr>
            <w:tcW w:w="1152" w:type="pct"/>
            <w:vAlign w:val="center"/>
          </w:tcPr>
          <w:p w14:paraId="225017DB">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路口类型</w:t>
            </w:r>
          </w:p>
        </w:tc>
        <w:tc>
          <w:tcPr>
            <w:tcW w:w="1562" w:type="pct"/>
            <w:vAlign w:val="center"/>
          </w:tcPr>
          <w:p w14:paraId="7F2E9E9D">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3"/>
                <w:sz w:val="21"/>
                <w:szCs w:val="21"/>
                <w:highlight w:val="none"/>
              </w:rPr>
              <w:t>控制机类型</w:t>
            </w:r>
          </w:p>
        </w:tc>
      </w:tr>
      <w:tr w14:paraId="4DB1F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73612D1D">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p>
        </w:tc>
        <w:tc>
          <w:tcPr>
            <w:tcW w:w="1819" w:type="pct"/>
            <w:vAlign w:val="center"/>
          </w:tcPr>
          <w:p w14:paraId="507DE98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沿江中路江月湾路口</w:t>
            </w:r>
          </w:p>
        </w:tc>
        <w:tc>
          <w:tcPr>
            <w:tcW w:w="1152" w:type="pct"/>
            <w:vAlign w:val="center"/>
          </w:tcPr>
          <w:p w14:paraId="058FCDD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丁字</w:t>
            </w:r>
          </w:p>
        </w:tc>
        <w:tc>
          <w:tcPr>
            <w:tcW w:w="1562" w:type="pct"/>
            <w:vAlign w:val="center"/>
          </w:tcPr>
          <w:p w14:paraId="21B1EEA8">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4C0C9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7E362FAB">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p>
        </w:tc>
        <w:tc>
          <w:tcPr>
            <w:tcW w:w="1819" w:type="pct"/>
            <w:vAlign w:val="center"/>
          </w:tcPr>
          <w:p w14:paraId="1C7966C7">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道厚路道滘大桥路口</w:t>
            </w:r>
          </w:p>
        </w:tc>
        <w:tc>
          <w:tcPr>
            <w:tcW w:w="1152" w:type="pct"/>
            <w:vAlign w:val="center"/>
          </w:tcPr>
          <w:p w14:paraId="19ACCDC8">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11AB585">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-B</w:t>
            </w:r>
          </w:p>
        </w:tc>
      </w:tr>
      <w:tr w14:paraId="333C7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54AEFBED">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p>
        </w:tc>
        <w:tc>
          <w:tcPr>
            <w:tcW w:w="1819" w:type="pct"/>
            <w:vAlign w:val="center"/>
          </w:tcPr>
          <w:p w14:paraId="220FDA42">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道厚路新兴派出所路口</w:t>
            </w:r>
          </w:p>
        </w:tc>
        <w:tc>
          <w:tcPr>
            <w:tcW w:w="1152" w:type="pct"/>
            <w:vAlign w:val="center"/>
          </w:tcPr>
          <w:p w14:paraId="405ED67A">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1418BF1A">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3F7970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4CA539D2">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w:t>
            </w:r>
          </w:p>
        </w:tc>
        <w:tc>
          <w:tcPr>
            <w:tcW w:w="1819" w:type="pct"/>
            <w:vAlign w:val="center"/>
          </w:tcPr>
          <w:p w14:paraId="62A65C74">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道洪路九曲路口</w:t>
            </w:r>
          </w:p>
        </w:tc>
        <w:tc>
          <w:tcPr>
            <w:tcW w:w="1152" w:type="pct"/>
            <w:vAlign w:val="center"/>
          </w:tcPr>
          <w:p w14:paraId="5BC4D3E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1B66CC9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法马QR-C</w:t>
            </w:r>
          </w:p>
        </w:tc>
      </w:tr>
      <w:tr w14:paraId="0C69F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5E2BB14F">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w:t>
            </w:r>
          </w:p>
        </w:tc>
        <w:tc>
          <w:tcPr>
            <w:tcW w:w="1819" w:type="pct"/>
            <w:vAlign w:val="center"/>
          </w:tcPr>
          <w:p w14:paraId="130026AB">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粤晖路粤晖园路口</w:t>
            </w:r>
          </w:p>
        </w:tc>
        <w:tc>
          <w:tcPr>
            <w:tcW w:w="1152" w:type="pct"/>
            <w:vAlign w:val="center"/>
          </w:tcPr>
          <w:p w14:paraId="13D8BA85">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0D5A2BD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-C</w:t>
            </w:r>
          </w:p>
        </w:tc>
      </w:tr>
      <w:tr w14:paraId="3C10D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22FB0347">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6</w:t>
            </w:r>
          </w:p>
        </w:tc>
        <w:tc>
          <w:tcPr>
            <w:tcW w:w="1819" w:type="pct"/>
            <w:vAlign w:val="center"/>
          </w:tcPr>
          <w:p w14:paraId="39FB4121">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粤晖路大罗沙路口</w:t>
            </w:r>
          </w:p>
        </w:tc>
        <w:tc>
          <w:tcPr>
            <w:tcW w:w="1152" w:type="pct"/>
            <w:vAlign w:val="center"/>
          </w:tcPr>
          <w:p w14:paraId="2F1DB16B">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6873A17F">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青松</w:t>
            </w:r>
            <w:r>
              <w:rPr>
                <w:rFonts w:hint="eastAsia" w:ascii="宋体" w:hAnsi="宋体" w:eastAsia="宋体" w:cs="宋体"/>
                <w:color w:val="auto"/>
                <w:sz w:val="21"/>
                <w:szCs w:val="21"/>
                <w:highlight w:val="none"/>
              </w:rPr>
              <w:t>TC</w:t>
            </w:r>
            <w:r>
              <w:rPr>
                <w:rFonts w:hint="eastAsia" w:ascii="宋体" w:hAnsi="宋体" w:eastAsia="宋体" w:cs="宋体"/>
                <w:color w:val="auto"/>
                <w:spacing w:val="1"/>
                <w:sz w:val="21"/>
                <w:szCs w:val="21"/>
                <w:highlight w:val="none"/>
              </w:rPr>
              <w:t>-3100</w:t>
            </w:r>
          </w:p>
        </w:tc>
      </w:tr>
      <w:tr w14:paraId="2BB466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2C03BAE9">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7</w:t>
            </w:r>
          </w:p>
        </w:tc>
        <w:tc>
          <w:tcPr>
            <w:tcW w:w="1819" w:type="pct"/>
            <w:vAlign w:val="center"/>
          </w:tcPr>
          <w:p w14:paraId="7BA00986">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南阁中路卫屋路口</w:t>
            </w:r>
          </w:p>
        </w:tc>
        <w:tc>
          <w:tcPr>
            <w:tcW w:w="1152" w:type="pct"/>
            <w:vAlign w:val="center"/>
          </w:tcPr>
          <w:p w14:paraId="1C00E4B7">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1C9E19A8">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南昌金科</w:t>
            </w:r>
            <w:r>
              <w:rPr>
                <w:rFonts w:hint="eastAsia" w:ascii="宋体" w:hAnsi="宋体" w:eastAsia="宋体" w:cs="宋体"/>
                <w:color w:val="auto"/>
                <w:sz w:val="21"/>
                <w:szCs w:val="21"/>
                <w:highlight w:val="none"/>
              </w:rPr>
              <w:t>JK</w:t>
            </w:r>
            <w:r>
              <w:rPr>
                <w:rFonts w:hint="eastAsia" w:ascii="宋体" w:hAnsi="宋体" w:eastAsia="宋体" w:cs="宋体"/>
                <w:color w:val="auto"/>
                <w:spacing w:val="1"/>
                <w:sz w:val="21"/>
                <w:szCs w:val="21"/>
                <w:highlight w:val="none"/>
              </w:rPr>
              <w:t>-B</w:t>
            </w:r>
          </w:p>
        </w:tc>
      </w:tr>
      <w:tr w14:paraId="27AF3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7331C811">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w:t>
            </w:r>
          </w:p>
        </w:tc>
        <w:tc>
          <w:tcPr>
            <w:tcW w:w="1819" w:type="pct"/>
            <w:vAlign w:val="center"/>
          </w:tcPr>
          <w:p w14:paraId="661033B2">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南阁中路南阁路口</w:t>
            </w:r>
          </w:p>
        </w:tc>
        <w:tc>
          <w:tcPr>
            <w:tcW w:w="1152" w:type="pct"/>
            <w:vAlign w:val="center"/>
          </w:tcPr>
          <w:p w14:paraId="12749A3E">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48AD9343">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0C9A5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419406AC">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w:t>
            </w:r>
          </w:p>
        </w:tc>
        <w:tc>
          <w:tcPr>
            <w:tcW w:w="1819" w:type="pct"/>
            <w:vAlign w:val="center"/>
          </w:tcPr>
          <w:p w14:paraId="33446013">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南阁东路南丫大桥路口</w:t>
            </w:r>
          </w:p>
        </w:tc>
        <w:tc>
          <w:tcPr>
            <w:tcW w:w="1152" w:type="pct"/>
            <w:vAlign w:val="center"/>
          </w:tcPr>
          <w:p w14:paraId="35D73FDB">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56AFC5E5">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国星光电HG-K2002A</w:t>
            </w:r>
          </w:p>
        </w:tc>
      </w:tr>
      <w:tr w14:paraId="04ADD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79A59C30">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10</w:t>
            </w:r>
          </w:p>
        </w:tc>
        <w:tc>
          <w:tcPr>
            <w:tcW w:w="1819" w:type="pct"/>
            <w:vAlign w:val="center"/>
          </w:tcPr>
          <w:p w14:paraId="5A300368">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小河路创意路口</w:t>
            </w:r>
          </w:p>
        </w:tc>
        <w:tc>
          <w:tcPr>
            <w:tcW w:w="1152" w:type="pct"/>
            <w:vAlign w:val="center"/>
          </w:tcPr>
          <w:p w14:paraId="2D36F010">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十字</w:t>
            </w:r>
          </w:p>
        </w:tc>
        <w:tc>
          <w:tcPr>
            <w:tcW w:w="1562" w:type="pct"/>
            <w:vAlign w:val="center"/>
          </w:tcPr>
          <w:p w14:paraId="5E3AC6C2">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青松</w:t>
            </w:r>
          </w:p>
        </w:tc>
      </w:tr>
      <w:tr w14:paraId="1B971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13AC6C37">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11</w:t>
            </w:r>
          </w:p>
        </w:tc>
        <w:tc>
          <w:tcPr>
            <w:tcW w:w="1819" w:type="pct"/>
            <w:vAlign w:val="center"/>
          </w:tcPr>
          <w:p w14:paraId="2200B8F9">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3"/>
                <w:sz w:val="21"/>
                <w:szCs w:val="21"/>
                <w:highlight w:val="none"/>
                <w:lang w:eastAsia="zh-CN"/>
              </w:rPr>
              <w:t>港口大道丽水佳园路口</w:t>
            </w:r>
          </w:p>
        </w:tc>
        <w:tc>
          <w:tcPr>
            <w:tcW w:w="1152" w:type="pct"/>
            <w:vAlign w:val="center"/>
          </w:tcPr>
          <w:p w14:paraId="7D0DEF59">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行人过街红绿灯</w:t>
            </w:r>
          </w:p>
        </w:tc>
        <w:tc>
          <w:tcPr>
            <w:tcW w:w="1562" w:type="pct"/>
            <w:vAlign w:val="center"/>
          </w:tcPr>
          <w:p w14:paraId="2F2FB4BC">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青松</w:t>
            </w:r>
            <w:r>
              <w:rPr>
                <w:rFonts w:hint="eastAsia" w:ascii="宋体" w:hAnsi="宋体" w:eastAsia="宋体" w:cs="宋体"/>
                <w:color w:val="auto"/>
                <w:sz w:val="21"/>
                <w:szCs w:val="21"/>
                <w:highlight w:val="none"/>
              </w:rPr>
              <w:t>QS</w:t>
            </w:r>
            <w:r>
              <w:rPr>
                <w:rFonts w:hint="eastAsia" w:ascii="宋体" w:hAnsi="宋体" w:eastAsia="宋体" w:cs="宋体"/>
                <w:color w:val="auto"/>
                <w:spacing w:val="4"/>
                <w:sz w:val="21"/>
                <w:szCs w:val="21"/>
                <w:highlight w:val="none"/>
              </w:rPr>
              <w:t>-B1</w:t>
            </w:r>
          </w:p>
        </w:tc>
      </w:tr>
      <w:tr w14:paraId="694405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65" w:type="pct"/>
            <w:vAlign w:val="center"/>
          </w:tcPr>
          <w:p w14:paraId="0C9AAE8D">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b/>
                <w:bCs/>
                <w:color w:val="auto"/>
                <w:sz w:val="21"/>
                <w:szCs w:val="21"/>
                <w:highlight w:val="none"/>
              </w:rPr>
            </w:pPr>
            <w:r>
              <w:rPr>
                <w:rFonts w:hint="eastAsia" w:ascii="宋体" w:hAnsi="宋体" w:eastAsia="宋体" w:cs="宋体"/>
                <w:b/>
                <w:bCs/>
                <w:color w:val="auto"/>
                <w:spacing w:val="-7"/>
                <w:sz w:val="21"/>
                <w:szCs w:val="21"/>
                <w:highlight w:val="none"/>
              </w:rPr>
              <w:t>12</w:t>
            </w:r>
          </w:p>
        </w:tc>
        <w:tc>
          <w:tcPr>
            <w:tcW w:w="1819" w:type="pct"/>
            <w:vAlign w:val="center"/>
          </w:tcPr>
          <w:p w14:paraId="543A2DC2">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大罗沙天桥</w:t>
            </w:r>
          </w:p>
        </w:tc>
        <w:tc>
          <w:tcPr>
            <w:tcW w:w="1152" w:type="pct"/>
            <w:vAlign w:val="center"/>
          </w:tcPr>
          <w:p w14:paraId="1F374307">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行人过街红绿灯</w:t>
            </w:r>
          </w:p>
        </w:tc>
        <w:tc>
          <w:tcPr>
            <w:tcW w:w="1562" w:type="pct"/>
            <w:vAlign w:val="center"/>
          </w:tcPr>
          <w:p w14:paraId="22A899B8">
            <w:pPr>
              <w:pStyle w:val="79"/>
              <w:keepNext w:val="0"/>
              <w:keepLines w:val="0"/>
              <w:pageBreakBefore w:val="0"/>
              <w:widowControl/>
              <w:kinsoku w:val="0"/>
              <w:wordWrap/>
              <w:overflowPunct/>
              <w:topLinePunct w:val="0"/>
              <w:autoSpaceDE w:val="0"/>
              <w:autoSpaceDN w:val="0"/>
              <w:bidi w:val="0"/>
              <w:adjustRightInd w:val="0"/>
              <w:snapToGrid w:val="0"/>
              <w:spacing w:before="2" w:after="2" w:line="240" w:lineRule="auto"/>
              <w:ind w:left="0"/>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法马QR-C</w:t>
            </w:r>
          </w:p>
        </w:tc>
      </w:tr>
    </w:tbl>
    <w:p w14:paraId="0CFCD9BB">
      <w:pPr>
        <w:numPr>
          <w:ilvl w:val="0"/>
          <w:numId w:val="122"/>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运维服务要求</w:t>
      </w:r>
    </w:p>
    <w:p w14:paraId="75F08859">
      <w:pPr>
        <w:numPr>
          <w:ilvl w:val="0"/>
          <w:numId w:val="12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要确保</w:t>
      </w:r>
      <w:r>
        <w:rPr>
          <w:rFonts w:hint="eastAsia" w:ascii="宋体" w:hAnsi="宋体"/>
          <w:color w:val="auto"/>
          <w:szCs w:val="21"/>
          <w:highlight w:val="none"/>
          <w:lang w:val="en-US" w:eastAsia="zh-CN"/>
        </w:rPr>
        <w:t>本项目范围内</w:t>
      </w:r>
      <w:r>
        <w:rPr>
          <w:rFonts w:hint="eastAsia" w:ascii="宋体" w:hAnsi="宋体"/>
          <w:color w:val="auto"/>
          <w:szCs w:val="21"/>
          <w:highlight w:val="none"/>
        </w:rPr>
        <w:t>所有设备的正常使用，负责设备及其它配件的维修保养、保管，确保资产不受损失</w:t>
      </w:r>
      <w:r>
        <w:rPr>
          <w:rFonts w:hint="eastAsia" w:ascii="宋体" w:hAnsi="宋体"/>
          <w:color w:val="auto"/>
          <w:szCs w:val="21"/>
          <w:highlight w:val="none"/>
          <w:lang w:eastAsia="zh-CN"/>
        </w:rPr>
        <w:t>；</w:t>
      </w:r>
      <w:r>
        <w:rPr>
          <w:rFonts w:hint="eastAsia" w:ascii="宋体" w:hAnsi="宋体"/>
          <w:color w:val="auto"/>
          <w:szCs w:val="21"/>
          <w:highlight w:val="none"/>
        </w:rPr>
        <w:t>维修保养、保管的范围包括设备自然损坏、道路施工、人为破坏、车辆撞击损坏、被盗的损坏。</w:t>
      </w:r>
    </w:p>
    <w:p w14:paraId="51AAE489">
      <w:pPr>
        <w:numPr>
          <w:ilvl w:val="0"/>
          <w:numId w:val="12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配备专业技术人员队伍、维修设备及其他专用工具，定期派出专业维修人员到</w:t>
      </w:r>
      <w:r>
        <w:rPr>
          <w:rFonts w:hint="eastAsia" w:ascii="宋体" w:hAnsi="宋体"/>
          <w:color w:val="auto"/>
          <w:szCs w:val="21"/>
          <w:highlight w:val="none"/>
          <w:lang w:val="en-US" w:eastAsia="zh-CN"/>
        </w:rPr>
        <w:t>本项目服务范围内</w:t>
      </w:r>
      <w:r>
        <w:rPr>
          <w:rFonts w:hint="eastAsia" w:ascii="宋体" w:hAnsi="宋体"/>
          <w:color w:val="auto"/>
          <w:szCs w:val="21"/>
          <w:highlight w:val="none"/>
        </w:rPr>
        <w:t>的</w:t>
      </w:r>
      <w:r>
        <w:rPr>
          <w:rFonts w:hint="eastAsia" w:ascii="宋体" w:hAnsi="宋体"/>
          <w:color w:val="auto"/>
          <w:szCs w:val="21"/>
          <w:highlight w:val="none"/>
          <w:lang w:val="en-US" w:eastAsia="zh-CN"/>
        </w:rPr>
        <w:t>各个</w:t>
      </w:r>
      <w:r>
        <w:rPr>
          <w:rFonts w:hint="eastAsia" w:ascii="宋体" w:hAnsi="宋体"/>
          <w:color w:val="auto"/>
          <w:szCs w:val="21"/>
          <w:highlight w:val="none"/>
        </w:rPr>
        <w:t>路口巡查，做好巡查日志记录。</w:t>
      </w:r>
    </w:p>
    <w:p w14:paraId="76864D37">
      <w:pPr>
        <w:numPr>
          <w:ilvl w:val="0"/>
          <w:numId w:val="12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故障修复要求：</w:t>
      </w:r>
      <w:r>
        <w:rPr>
          <w:rFonts w:hint="eastAsia" w:ascii="宋体" w:hAnsi="宋体"/>
          <w:color w:val="auto"/>
          <w:szCs w:val="21"/>
          <w:highlight w:val="none"/>
          <w:lang w:val="en-US" w:eastAsia="zh-CN"/>
        </w:rPr>
        <w:t>乙方须</w:t>
      </w:r>
      <w:r>
        <w:rPr>
          <w:rFonts w:hint="eastAsia" w:ascii="宋体" w:hAnsi="宋体"/>
          <w:color w:val="auto"/>
          <w:szCs w:val="21"/>
          <w:highlight w:val="none"/>
        </w:rPr>
        <w:t>提供固定报障电话，提供24小时系统任何故障响应服务，收到报障必须要30分钟内响应，</w:t>
      </w:r>
      <w:r>
        <w:rPr>
          <w:rFonts w:hint="eastAsia" w:ascii="宋体" w:hAnsi="宋体"/>
          <w:color w:val="auto"/>
          <w:szCs w:val="21"/>
          <w:highlight w:val="none"/>
          <w:lang w:val="en-US" w:eastAsia="zh-CN"/>
        </w:rPr>
        <w:t>3</w:t>
      </w:r>
      <w:r>
        <w:rPr>
          <w:rFonts w:hint="eastAsia" w:ascii="宋体" w:hAnsi="宋体"/>
          <w:color w:val="auto"/>
          <w:szCs w:val="21"/>
          <w:highlight w:val="none"/>
        </w:rPr>
        <w:t>小时内赶到现场，故障修复时间要求如下：</w:t>
      </w:r>
    </w:p>
    <w:p w14:paraId="6750045A">
      <w:pPr>
        <w:numPr>
          <w:ilvl w:val="0"/>
          <w:numId w:val="12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常规故障，2小时内修复故障</w:t>
      </w:r>
      <w:r>
        <w:rPr>
          <w:rFonts w:hint="eastAsia" w:ascii="宋体" w:hAnsi="宋体"/>
          <w:color w:val="auto"/>
          <w:szCs w:val="21"/>
          <w:highlight w:val="none"/>
          <w:lang w:eastAsia="zh-CN"/>
        </w:rPr>
        <w:t>，</w:t>
      </w:r>
      <w:r>
        <w:rPr>
          <w:rFonts w:hint="eastAsia" w:ascii="宋体" w:hAnsi="宋体"/>
          <w:color w:val="auto"/>
          <w:szCs w:val="21"/>
          <w:highlight w:val="none"/>
        </w:rPr>
        <w:t>如果在2小时内不能修复的必须提供同</w:t>
      </w:r>
      <w:r>
        <w:rPr>
          <w:rFonts w:hint="eastAsia" w:ascii="宋体" w:hAnsi="宋体"/>
          <w:color w:val="auto"/>
          <w:szCs w:val="21"/>
          <w:highlight w:val="none"/>
          <w:lang w:val="en-US" w:eastAsia="zh-CN"/>
        </w:rPr>
        <w:t>性能</w:t>
      </w:r>
      <w:r>
        <w:rPr>
          <w:rFonts w:hint="eastAsia" w:ascii="宋体" w:hAnsi="宋体"/>
          <w:color w:val="auto"/>
          <w:szCs w:val="21"/>
          <w:highlight w:val="none"/>
        </w:rPr>
        <w:t>或更高性能的设备供</w:t>
      </w:r>
      <w:r>
        <w:rPr>
          <w:rFonts w:hint="eastAsia" w:ascii="宋体" w:hAnsi="宋体"/>
          <w:color w:val="auto"/>
          <w:szCs w:val="21"/>
          <w:highlight w:val="none"/>
          <w:lang w:val="en-US" w:eastAsia="zh-CN"/>
        </w:rPr>
        <w:t>甲方</w:t>
      </w:r>
      <w:r>
        <w:rPr>
          <w:rFonts w:hint="eastAsia" w:ascii="宋体" w:hAnsi="宋体"/>
          <w:color w:val="auto"/>
          <w:szCs w:val="21"/>
          <w:highlight w:val="none"/>
        </w:rPr>
        <w:t>使用，详细报障流程</w:t>
      </w:r>
      <w:r>
        <w:rPr>
          <w:rFonts w:hint="eastAsia" w:ascii="宋体" w:hAnsi="宋体"/>
          <w:color w:val="auto"/>
          <w:szCs w:val="21"/>
          <w:highlight w:val="none"/>
          <w:lang w:val="en-US" w:eastAsia="zh-CN"/>
        </w:rPr>
        <w:t>如下图所示：</w:t>
      </w:r>
    </w:p>
    <w:p w14:paraId="7A12C3DF">
      <w:pPr>
        <w:numPr>
          <w:ilvl w:val="0"/>
          <w:numId w:val="0"/>
        </w:numPr>
        <w:snapToGrid w:val="0"/>
        <w:spacing w:line="360" w:lineRule="auto"/>
        <w:ind w:leftChars="0"/>
        <w:contextualSpacing/>
        <w:jc w:val="center"/>
        <w:rPr>
          <w:rFonts w:hint="eastAsia" w:ascii="宋体" w:hAnsi="宋体"/>
          <w:color w:val="auto"/>
          <w:szCs w:val="21"/>
          <w:highlight w:val="none"/>
        </w:rPr>
      </w:pPr>
      <w:r>
        <w:rPr>
          <w:rFonts w:ascii="微软雅黑" w:hAnsi="微软雅黑" w:eastAsia="微软雅黑"/>
          <w:color w:val="auto"/>
          <w:highlight w:val="none"/>
        </w:rPr>
        <w:drawing>
          <wp:inline distT="0" distB="0" distL="0" distR="0">
            <wp:extent cx="4552315" cy="5351145"/>
            <wp:effectExtent l="0" t="0" r="635" b="1905"/>
            <wp:docPr id="2" name="图片 1" descr="手机屏幕截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手机屏幕截图&#10;&#10;AI 生成的内容可能不正确。"/>
                    <pic:cNvPicPr>
                      <a:picLocks noChangeAspect="1"/>
                    </pic:cNvPicPr>
                  </pic:nvPicPr>
                  <pic:blipFill>
                    <a:blip r:embed="rId6"/>
                    <a:srcRect l="6364" t="2222" r="2502" b="2857"/>
                    <a:stretch>
                      <a:fillRect/>
                    </a:stretch>
                  </pic:blipFill>
                  <pic:spPr>
                    <a:xfrm>
                      <a:off x="0" y="0"/>
                      <a:ext cx="4552315" cy="5351145"/>
                    </a:xfrm>
                    <a:prstGeom prst="rect">
                      <a:avLst/>
                    </a:prstGeom>
                  </pic:spPr>
                </pic:pic>
              </a:graphicData>
            </a:graphic>
          </wp:inline>
        </w:drawing>
      </w:r>
    </w:p>
    <w:p w14:paraId="0543E22A">
      <w:pPr>
        <w:numPr>
          <w:ilvl w:val="0"/>
          <w:numId w:val="12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线路、取电等涉及线路故障的，经抢修人员电话或邮件与报障人员确认后，需在12小时内修复故障；</w:t>
      </w:r>
    </w:p>
    <w:p w14:paraId="7AAB4A8E">
      <w:pPr>
        <w:numPr>
          <w:ilvl w:val="0"/>
          <w:numId w:val="12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需要土建报批施工等的故障，经抢修人员电话或邮件与报障人员确认，具备恢复条件并取得审批许可证件后，需在10天内修复故障并提供专题修复报告说明情况</w:t>
      </w:r>
      <w:r>
        <w:rPr>
          <w:rFonts w:hint="eastAsia" w:ascii="宋体" w:hAnsi="宋体"/>
          <w:color w:val="auto"/>
          <w:szCs w:val="21"/>
          <w:highlight w:val="none"/>
          <w:lang w:eastAsia="zh-CN"/>
        </w:rPr>
        <w:t>；</w:t>
      </w:r>
    </w:p>
    <w:p w14:paraId="312340EE">
      <w:pPr>
        <w:numPr>
          <w:ilvl w:val="0"/>
          <w:numId w:val="124"/>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大型活动、节假日期间</w:t>
      </w:r>
      <w:r>
        <w:rPr>
          <w:rFonts w:hint="eastAsia" w:ascii="宋体" w:hAnsi="宋体"/>
          <w:color w:val="auto"/>
          <w:szCs w:val="21"/>
          <w:highlight w:val="none"/>
          <w:lang w:val="en-US" w:eastAsia="zh-CN"/>
        </w:rPr>
        <w:t>乙方</w:t>
      </w:r>
      <w:r>
        <w:rPr>
          <w:rFonts w:hint="eastAsia" w:ascii="宋体" w:hAnsi="宋体"/>
          <w:color w:val="auto"/>
          <w:szCs w:val="21"/>
          <w:highlight w:val="none"/>
        </w:rPr>
        <w:t>须安排值班人员确保设备正常运作。</w:t>
      </w:r>
    </w:p>
    <w:p w14:paraId="0A2E7A40">
      <w:pPr>
        <w:numPr>
          <w:ilvl w:val="0"/>
          <w:numId w:val="123"/>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须定期对辖区的交通信号灯提供巡检服务，每一个月巡检</w:t>
      </w:r>
      <w:r>
        <w:rPr>
          <w:rFonts w:hint="eastAsia" w:ascii="宋体" w:hAnsi="宋体"/>
          <w:color w:val="auto"/>
          <w:szCs w:val="21"/>
          <w:highlight w:val="none"/>
          <w:lang w:val="en-US" w:eastAsia="zh-CN"/>
        </w:rPr>
        <w:t>不少于</w:t>
      </w:r>
      <w:r>
        <w:rPr>
          <w:rFonts w:hint="eastAsia" w:ascii="宋体" w:hAnsi="宋体"/>
          <w:color w:val="auto"/>
          <w:szCs w:val="21"/>
          <w:highlight w:val="none"/>
        </w:rPr>
        <w:t>一次，并在下一个月的5号前向交警部门提供巡检报告</w:t>
      </w:r>
      <w:r>
        <w:rPr>
          <w:rFonts w:hint="eastAsia" w:ascii="宋体" w:hAnsi="宋体"/>
          <w:color w:val="auto"/>
          <w:szCs w:val="21"/>
          <w:highlight w:val="none"/>
          <w:lang w:eastAsia="zh-CN"/>
        </w:rPr>
        <w:t>，</w:t>
      </w:r>
      <w:r>
        <w:rPr>
          <w:rFonts w:hint="eastAsia" w:ascii="宋体" w:hAnsi="宋体"/>
          <w:color w:val="auto"/>
          <w:szCs w:val="21"/>
          <w:highlight w:val="none"/>
        </w:rPr>
        <w:t>巡检内容包括：</w:t>
      </w:r>
    </w:p>
    <w:p w14:paraId="1BFF1891">
      <w:pPr>
        <w:numPr>
          <w:ilvl w:val="0"/>
          <w:numId w:val="12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对</w:t>
      </w:r>
      <w:r>
        <w:rPr>
          <w:rFonts w:hint="eastAsia" w:ascii="宋体" w:hAnsi="宋体"/>
          <w:color w:val="auto"/>
          <w:szCs w:val="21"/>
          <w:highlight w:val="none"/>
          <w:lang w:val="en-US" w:eastAsia="zh-CN"/>
        </w:rPr>
        <w:t>本项目范围内</w:t>
      </w:r>
      <w:r>
        <w:rPr>
          <w:rFonts w:hint="eastAsia" w:ascii="宋体" w:hAnsi="宋体"/>
          <w:color w:val="auto"/>
          <w:szCs w:val="21"/>
          <w:highlight w:val="none"/>
        </w:rPr>
        <w:t>的红绿灯设备进行巡检，包括信号灯灯组、杆件、控制机板卡、沙井盖、线路等，未打标签的补上标签，登记造册</w:t>
      </w:r>
      <w:r>
        <w:rPr>
          <w:rFonts w:hint="eastAsia" w:ascii="宋体" w:hAnsi="宋体"/>
          <w:color w:val="auto"/>
          <w:szCs w:val="21"/>
          <w:highlight w:val="none"/>
          <w:lang w:eastAsia="zh-CN"/>
        </w:rPr>
        <w:t>；</w:t>
      </w:r>
    </w:p>
    <w:p w14:paraId="12EC332C">
      <w:pPr>
        <w:numPr>
          <w:ilvl w:val="0"/>
          <w:numId w:val="125"/>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描述信号灯运行情况，统计分析故障原因，制定下一个维护周期的维护策略</w:t>
      </w:r>
      <w:r>
        <w:rPr>
          <w:rFonts w:hint="eastAsia" w:ascii="宋体" w:hAnsi="宋体"/>
          <w:color w:val="auto"/>
          <w:szCs w:val="21"/>
          <w:highlight w:val="none"/>
          <w:lang w:eastAsia="zh-CN"/>
        </w:rPr>
        <w:t>。</w:t>
      </w:r>
    </w:p>
    <w:p w14:paraId="5E9BC4FA">
      <w:pPr>
        <w:numPr>
          <w:ilvl w:val="0"/>
          <w:numId w:val="123"/>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服务期</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负责对所</w:t>
      </w:r>
      <w:r>
        <w:rPr>
          <w:rFonts w:hint="eastAsia" w:ascii="宋体" w:hAnsi="宋体" w:eastAsia="宋体" w:cs="Times New Roman"/>
          <w:color w:val="auto"/>
          <w:szCs w:val="21"/>
          <w:highlight w:val="none"/>
          <w:lang w:val="en-US" w:eastAsia="zh-CN"/>
        </w:rPr>
        <w:t>服务</w:t>
      </w:r>
      <w:r>
        <w:rPr>
          <w:rFonts w:hint="eastAsia" w:ascii="宋体" w:hAnsi="宋体" w:eastAsia="宋体" w:cs="Times New Roman"/>
          <w:color w:val="auto"/>
          <w:szCs w:val="21"/>
          <w:highlight w:val="none"/>
        </w:rPr>
        <w:t>范围内的交通信号灯及所有配件进行维护保养，保证每个路口信号灯及其配件完好无损，正常运行</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rPr>
        <w:t>服务期间</w:t>
      </w:r>
      <w:r>
        <w:rPr>
          <w:rFonts w:hint="eastAsia" w:ascii="宋体" w:hAnsi="宋体"/>
          <w:color w:val="auto"/>
          <w:szCs w:val="21"/>
          <w:highlight w:val="none"/>
          <w:lang w:val="en-US" w:eastAsia="zh-CN"/>
        </w:rPr>
        <w:t>产生的费用由乙方承担</w:t>
      </w:r>
      <w:r>
        <w:rPr>
          <w:rFonts w:hint="eastAsia" w:ascii="宋体" w:hAnsi="宋体" w:eastAsia="宋体" w:cs="Times New Roman"/>
          <w:color w:val="auto"/>
          <w:szCs w:val="21"/>
          <w:highlight w:val="none"/>
          <w:lang w:eastAsia="zh-CN"/>
        </w:rPr>
        <w:t>。</w:t>
      </w:r>
    </w:p>
    <w:p w14:paraId="70C37822">
      <w:pPr>
        <w:numPr>
          <w:ilvl w:val="0"/>
          <w:numId w:val="123"/>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服务期</w:t>
      </w:r>
      <w:r>
        <w:rPr>
          <w:rFonts w:hint="eastAsia" w:ascii="宋体" w:hAnsi="宋体" w:eastAsia="宋体" w:cs="Times New Roman"/>
          <w:color w:val="auto"/>
          <w:szCs w:val="21"/>
          <w:highlight w:val="none"/>
          <w:lang w:val="en-US" w:eastAsia="zh-CN"/>
        </w:rPr>
        <w:t>内</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须对承包范围内的信号灯灯杆、控制机、机箱、线路、线材、信号灯灯组、沙井、防雷等进行全面检查，具体内容</w:t>
      </w:r>
      <w:r>
        <w:rPr>
          <w:rFonts w:hint="eastAsia" w:ascii="宋体" w:hAnsi="宋体" w:eastAsia="宋体" w:cs="Times New Roman"/>
          <w:color w:val="auto"/>
          <w:szCs w:val="21"/>
          <w:highlight w:val="none"/>
          <w:lang w:val="en-US" w:eastAsia="zh-CN"/>
        </w:rPr>
        <w:t>包括</w:t>
      </w:r>
      <w:r>
        <w:rPr>
          <w:rFonts w:hint="eastAsia" w:ascii="宋体" w:hAnsi="宋体" w:eastAsia="宋体" w:cs="Times New Roman"/>
          <w:color w:val="auto"/>
          <w:szCs w:val="21"/>
          <w:highlight w:val="none"/>
        </w:rPr>
        <w:t>：</w:t>
      </w:r>
    </w:p>
    <w:p w14:paraId="4259563D">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信号灯杆安装牢固、垂直，坚固件无松动，垂直安装的倾斜度不得超过杆体长度1%</w:t>
      </w:r>
      <w:r>
        <w:rPr>
          <w:rFonts w:hint="eastAsia" w:ascii="宋体" w:hAnsi="宋体"/>
          <w:color w:val="auto"/>
          <w:szCs w:val="21"/>
          <w:highlight w:val="none"/>
          <w:lang w:eastAsia="zh-CN"/>
        </w:rPr>
        <w:t>，</w:t>
      </w:r>
      <w:r>
        <w:rPr>
          <w:rFonts w:hint="eastAsia" w:ascii="宋体" w:hAnsi="宋体"/>
          <w:color w:val="auto"/>
          <w:szCs w:val="21"/>
          <w:highlight w:val="none"/>
        </w:rPr>
        <w:t>信号灯杆、信号灯机箱清洁干净，无文字广告，无污迹，无生锈变形，机械强度满足要求</w:t>
      </w:r>
      <w:r>
        <w:rPr>
          <w:rFonts w:hint="eastAsia" w:ascii="宋体" w:hAnsi="宋体"/>
          <w:color w:val="auto"/>
          <w:szCs w:val="21"/>
          <w:highlight w:val="none"/>
          <w:lang w:eastAsia="zh-CN"/>
        </w:rPr>
        <w:t>；</w:t>
      </w:r>
    </w:p>
    <w:p w14:paraId="76F98D84">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性能测试：在每年的3月份雷雨季节来临前，对所有信号灯的接地电阻进行测试和数据记录，并检查所有的信号灯的避雷是否正常</w:t>
      </w:r>
      <w:r>
        <w:rPr>
          <w:rFonts w:hint="eastAsia" w:ascii="宋体" w:hAnsi="宋体"/>
          <w:color w:val="auto"/>
          <w:szCs w:val="21"/>
          <w:highlight w:val="none"/>
          <w:lang w:eastAsia="zh-CN"/>
        </w:rPr>
        <w:t>，</w:t>
      </w:r>
      <w:r>
        <w:rPr>
          <w:rFonts w:hint="eastAsia" w:ascii="宋体" w:hAnsi="宋体"/>
          <w:color w:val="auto"/>
          <w:szCs w:val="21"/>
          <w:highlight w:val="none"/>
        </w:rPr>
        <w:t>对测试后数据达不到要求</w:t>
      </w:r>
      <w:r>
        <w:rPr>
          <w:rFonts w:hint="eastAsia" w:ascii="宋体" w:hAnsi="宋体"/>
          <w:color w:val="auto"/>
          <w:szCs w:val="21"/>
          <w:highlight w:val="none"/>
          <w:lang w:val="en-US" w:eastAsia="zh-CN"/>
        </w:rPr>
        <w:t>部分</w:t>
      </w:r>
      <w:r>
        <w:rPr>
          <w:rFonts w:hint="eastAsia" w:ascii="宋体" w:hAnsi="宋体"/>
          <w:color w:val="auto"/>
          <w:szCs w:val="21"/>
          <w:highlight w:val="none"/>
        </w:rPr>
        <w:t>提供整改报告</w:t>
      </w:r>
      <w:r>
        <w:rPr>
          <w:rFonts w:hint="eastAsia" w:ascii="宋体" w:hAnsi="宋体"/>
          <w:color w:val="auto"/>
          <w:szCs w:val="21"/>
          <w:highlight w:val="none"/>
          <w:lang w:eastAsia="zh-CN"/>
        </w:rPr>
        <w:t>；</w:t>
      </w:r>
      <w:r>
        <w:rPr>
          <w:rFonts w:hint="eastAsia" w:ascii="宋体" w:hAnsi="宋体"/>
          <w:color w:val="auto"/>
          <w:szCs w:val="21"/>
          <w:highlight w:val="none"/>
        </w:rPr>
        <w:t>同时检查各接地线是否正常，以避免在雷雨季节避雷器被击穿而造成设备损坏</w:t>
      </w:r>
      <w:r>
        <w:rPr>
          <w:rFonts w:hint="eastAsia" w:ascii="宋体" w:hAnsi="宋体"/>
          <w:color w:val="auto"/>
          <w:szCs w:val="21"/>
          <w:highlight w:val="none"/>
          <w:lang w:eastAsia="zh-CN"/>
        </w:rPr>
        <w:t>；</w:t>
      </w:r>
    </w:p>
    <w:p w14:paraId="3CBB88E0">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对被盗窃、短路、断线、老化、绝缘不符合要求的电缆，</w:t>
      </w:r>
      <w:r>
        <w:rPr>
          <w:rFonts w:hint="eastAsia" w:ascii="宋体" w:hAnsi="宋体"/>
          <w:color w:val="auto"/>
          <w:szCs w:val="21"/>
          <w:highlight w:val="none"/>
          <w:lang w:val="en-US" w:eastAsia="zh-CN"/>
        </w:rPr>
        <w:t>乙方</w:t>
      </w:r>
      <w:r>
        <w:rPr>
          <w:rFonts w:hint="eastAsia" w:ascii="宋体" w:hAnsi="宋体"/>
          <w:color w:val="auto"/>
          <w:szCs w:val="21"/>
          <w:highlight w:val="none"/>
        </w:rPr>
        <w:t>应</w:t>
      </w:r>
      <w:r>
        <w:rPr>
          <w:rFonts w:hint="eastAsia" w:ascii="宋体" w:hAnsi="宋体"/>
          <w:color w:val="auto"/>
          <w:szCs w:val="21"/>
          <w:highlight w:val="none"/>
          <w:lang w:val="en-US" w:eastAsia="zh-CN"/>
        </w:rPr>
        <w:t>负责</w:t>
      </w:r>
      <w:r>
        <w:rPr>
          <w:rFonts w:hint="eastAsia" w:ascii="宋体" w:hAnsi="宋体"/>
          <w:color w:val="auto"/>
          <w:szCs w:val="21"/>
          <w:highlight w:val="none"/>
        </w:rPr>
        <w:t>予以更换</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产生的费用由乙方承担</w:t>
      </w:r>
      <w:r>
        <w:rPr>
          <w:rFonts w:hint="eastAsia" w:ascii="宋体" w:hAnsi="宋体"/>
          <w:color w:val="auto"/>
          <w:szCs w:val="21"/>
          <w:highlight w:val="none"/>
          <w:lang w:eastAsia="zh-CN"/>
        </w:rPr>
        <w:t>；</w:t>
      </w:r>
      <w:r>
        <w:rPr>
          <w:rFonts w:hint="eastAsia" w:ascii="宋体" w:hAnsi="宋体"/>
          <w:color w:val="auto"/>
          <w:szCs w:val="21"/>
          <w:highlight w:val="none"/>
        </w:rPr>
        <w:t>信号灯与信号机之间的电缆颜色要与灯具颜色对应连接，电缆在灯具端和信号机端连接牢固，电缆线在信号机端要根据</w:t>
      </w:r>
      <w:r>
        <w:rPr>
          <w:rFonts w:hint="eastAsia" w:ascii="宋体" w:hAnsi="宋体"/>
          <w:color w:val="auto"/>
          <w:szCs w:val="21"/>
          <w:highlight w:val="none"/>
          <w:lang w:val="en-US" w:eastAsia="zh-CN"/>
        </w:rPr>
        <w:t>甲方</w:t>
      </w:r>
      <w:r>
        <w:rPr>
          <w:rFonts w:hint="eastAsia" w:ascii="宋体" w:hAnsi="宋体"/>
          <w:color w:val="auto"/>
          <w:szCs w:val="21"/>
          <w:highlight w:val="none"/>
        </w:rPr>
        <w:t>要求进行编号</w:t>
      </w:r>
      <w:r>
        <w:rPr>
          <w:rFonts w:hint="eastAsia" w:ascii="宋体" w:hAnsi="宋体"/>
          <w:color w:val="auto"/>
          <w:szCs w:val="21"/>
          <w:highlight w:val="none"/>
          <w:lang w:eastAsia="zh-CN"/>
        </w:rPr>
        <w:t>；</w:t>
      </w:r>
    </w:p>
    <w:p w14:paraId="644E2E09">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路口信号灯有树林或其它障碍物遮挡视线时，应马上上报</w:t>
      </w:r>
      <w:r>
        <w:rPr>
          <w:rFonts w:hint="eastAsia" w:ascii="宋体" w:hAnsi="宋体"/>
          <w:color w:val="auto"/>
          <w:szCs w:val="21"/>
          <w:highlight w:val="none"/>
          <w:lang w:val="en-US" w:eastAsia="zh-CN"/>
        </w:rPr>
        <w:t>甲方相关部门</w:t>
      </w:r>
      <w:r>
        <w:rPr>
          <w:rFonts w:hint="eastAsia" w:ascii="宋体" w:hAnsi="宋体"/>
          <w:color w:val="auto"/>
          <w:szCs w:val="21"/>
          <w:highlight w:val="none"/>
        </w:rPr>
        <w:t>负责人</w:t>
      </w:r>
      <w:r>
        <w:rPr>
          <w:rFonts w:hint="eastAsia" w:ascii="宋体" w:hAnsi="宋体"/>
          <w:color w:val="auto"/>
          <w:szCs w:val="21"/>
          <w:highlight w:val="none"/>
          <w:lang w:eastAsia="zh-CN"/>
        </w:rPr>
        <w:t>；</w:t>
      </w:r>
    </w:p>
    <w:p w14:paraId="127D703E">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主动配合交警部门对路口信号灯设施进行抽查</w:t>
      </w:r>
      <w:r>
        <w:rPr>
          <w:rFonts w:hint="eastAsia" w:ascii="宋体" w:hAnsi="宋体"/>
          <w:color w:val="auto"/>
          <w:szCs w:val="21"/>
          <w:highlight w:val="none"/>
          <w:lang w:eastAsia="zh-CN"/>
        </w:rPr>
        <w:t>，</w:t>
      </w:r>
      <w:r>
        <w:rPr>
          <w:rFonts w:hint="eastAsia" w:ascii="宋体" w:hAnsi="宋体"/>
          <w:color w:val="auto"/>
          <w:szCs w:val="21"/>
          <w:highlight w:val="none"/>
        </w:rPr>
        <w:t>对抽查中发现的问题马上进行返工并追究维护责任人的责任</w:t>
      </w:r>
      <w:r>
        <w:rPr>
          <w:rFonts w:hint="eastAsia" w:ascii="宋体" w:hAnsi="宋体"/>
          <w:color w:val="auto"/>
          <w:szCs w:val="21"/>
          <w:highlight w:val="none"/>
          <w:lang w:eastAsia="zh-CN"/>
        </w:rPr>
        <w:t>；</w:t>
      </w:r>
    </w:p>
    <w:p w14:paraId="06DDB997">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定期</w:t>
      </w:r>
      <w:r>
        <w:rPr>
          <w:rFonts w:hint="eastAsia" w:ascii="宋体" w:hAnsi="宋体"/>
          <w:color w:val="auto"/>
          <w:szCs w:val="21"/>
          <w:highlight w:val="none"/>
          <w:lang w:eastAsia="zh-CN"/>
        </w:rPr>
        <w:t>（</w:t>
      </w:r>
      <w:r>
        <w:rPr>
          <w:rFonts w:hint="eastAsia" w:ascii="宋体" w:hAnsi="宋体"/>
          <w:color w:val="auto"/>
          <w:szCs w:val="21"/>
          <w:highlight w:val="none"/>
        </w:rPr>
        <w:t>每季度</w:t>
      </w:r>
      <w:r>
        <w:rPr>
          <w:rFonts w:hint="eastAsia" w:ascii="宋体" w:hAnsi="宋体"/>
          <w:color w:val="auto"/>
          <w:szCs w:val="21"/>
          <w:highlight w:val="none"/>
          <w:lang w:val="en-US" w:eastAsia="zh-CN"/>
        </w:rPr>
        <w:t>不少于</w:t>
      </w:r>
      <w:r>
        <w:rPr>
          <w:rFonts w:hint="eastAsia" w:ascii="宋体" w:hAnsi="宋体"/>
          <w:color w:val="auto"/>
          <w:szCs w:val="21"/>
          <w:highlight w:val="none"/>
        </w:rPr>
        <w:t>一次</w:t>
      </w:r>
      <w:r>
        <w:rPr>
          <w:rFonts w:hint="eastAsia" w:ascii="宋体" w:hAnsi="宋体"/>
          <w:color w:val="auto"/>
          <w:szCs w:val="21"/>
          <w:highlight w:val="none"/>
          <w:lang w:eastAsia="zh-CN"/>
        </w:rPr>
        <w:t>）</w:t>
      </w:r>
      <w:r>
        <w:rPr>
          <w:rFonts w:hint="eastAsia" w:ascii="宋体" w:hAnsi="宋体"/>
          <w:color w:val="auto"/>
          <w:szCs w:val="21"/>
          <w:highlight w:val="none"/>
        </w:rPr>
        <w:t>对信号灯具</w:t>
      </w:r>
      <w:r>
        <w:rPr>
          <w:rFonts w:hint="eastAsia" w:ascii="宋体" w:hAnsi="宋体"/>
          <w:color w:val="auto"/>
          <w:szCs w:val="21"/>
          <w:highlight w:val="none"/>
          <w:lang w:val="en-US" w:eastAsia="zh-CN"/>
        </w:rPr>
        <w:t>进行</w:t>
      </w:r>
      <w:r>
        <w:rPr>
          <w:rFonts w:hint="eastAsia" w:ascii="宋体" w:hAnsi="宋体"/>
          <w:color w:val="auto"/>
          <w:szCs w:val="21"/>
          <w:highlight w:val="none"/>
        </w:rPr>
        <w:t>清洗和保养并提交书面报告，做到灯具外壳、透光玻璃、背板、遮罩、内部反光杆干净无尘，无破损，无老化变形</w:t>
      </w:r>
      <w:r>
        <w:rPr>
          <w:rFonts w:hint="eastAsia" w:ascii="宋体" w:hAnsi="宋体"/>
          <w:color w:val="auto"/>
          <w:szCs w:val="21"/>
          <w:highlight w:val="none"/>
          <w:lang w:eastAsia="zh-CN"/>
        </w:rPr>
        <w:t>，</w:t>
      </w:r>
      <w:r>
        <w:rPr>
          <w:rFonts w:hint="eastAsia" w:ascii="宋体" w:hAnsi="宋体"/>
          <w:color w:val="auto"/>
          <w:szCs w:val="21"/>
          <w:highlight w:val="none"/>
        </w:rPr>
        <w:t>灯壳内无积水，密封性能好，亮度符合要求，信号灯具在杆上安装牢固，竖式安装时应垂直，横向安装时应平行，机动车信号灯具显示面正对所控制的机动车道，人行横道信号灯具显示面应正对人行横道</w:t>
      </w:r>
      <w:r>
        <w:rPr>
          <w:rFonts w:hint="eastAsia" w:ascii="宋体" w:hAnsi="宋体"/>
          <w:color w:val="auto"/>
          <w:szCs w:val="21"/>
          <w:highlight w:val="none"/>
          <w:lang w:eastAsia="zh-CN"/>
        </w:rPr>
        <w:t>；</w:t>
      </w:r>
    </w:p>
    <w:p w14:paraId="2321E1A7">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信号灯沙井须完好，密封性能好，新换的井盖必须有“公安交通”的标志，自觉遵守市政管理部门的工作要求，对被盗、损坏的井盖要及时更换</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因</w:t>
      </w:r>
      <w:r>
        <w:rPr>
          <w:rFonts w:hint="eastAsia" w:ascii="宋体" w:hAnsi="宋体"/>
          <w:color w:val="auto"/>
          <w:szCs w:val="21"/>
          <w:highlight w:val="none"/>
        </w:rPr>
        <w:t>井盖损坏没有及时维修而引发安全事故</w:t>
      </w:r>
      <w:r>
        <w:rPr>
          <w:rFonts w:hint="eastAsia" w:ascii="宋体" w:hAnsi="宋体"/>
          <w:color w:val="auto"/>
          <w:szCs w:val="21"/>
          <w:highlight w:val="none"/>
          <w:lang w:val="en-US" w:eastAsia="zh-CN"/>
        </w:rPr>
        <w:t>的，由乙方承担一切的法律和经济赔偿责任</w:t>
      </w:r>
      <w:r>
        <w:rPr>
          <w:rFonts w:hint="eastAsia" w:ascii="宋体" w:hAnsi="宋体"/>
          <w:color w:val="auto"/>
          <w:szCs w:val="21"/>
          <w:highlight w:val="none"/>
          <w:lang w:eastAsia="zh-CN"/>
        </w:rPr>
        <w:t>；</w:t>
      </w:r>
    </w:p>
    <w:p w14:paraId="1CBBCCF3">
      <w:pPr>
        <w:numPr>
          <w:ilvl w:val="0"/>
          <w:numId w:val="126"/>
        </w:numPr>
        <w:snapToGrid w:val="0"/>
        <w:spacing w:line="360" w:lineRule="auto"/>
        <w:ind w:left="425" w:leftChars="0" w:hanging="425" w:firstLineChars="0"/>
        <w:contextualSpacing/>
        <w:rPr>
          <w:rFonts w:hint="eastAsia" w:ascii="宋体" w:hAnsi="宋体"/>
          <w:color w:val="auto"/>
          <w:szCs w:val="21"/>
          <w:highlight w:val="none"/>
        </w:rPr>
      </w:pPr>
      <w:r>
        <w:rPr>
          <w:rFonts w:hint="eastAsia" w:ascii="宋体" w:hAnsi="宋体"/>
          <w:color w:val="auto"/>
          <w:szCs w:val="21"/>
          <w:highlight w:val="none"/>
        </w:rPr>
        <w:t>根据</w:t>
      </w:r>
      <w:r>
        <w:rPr>
          <w:rFonts w:hint="eastAsia" w:ascii="宋体" w:hAnsi="宋体"/>
          <w:color w:val="auto"/>
          <w:szCs w:val="21"/>
          <w:highlight w:val="none"/>
          <w:lang w:val="en-US" w:eastAsia="zh-CN"/>
        </w:rPr>
        <w:t>甲方</w:t>
      </w:r>
      <w:r>
        <w:rPr>
          <w:rFonts w:hint="eastAsia" w:ascii="宋体" w:hAnsi="宋体"/>
          <w:color w:val="auto"/>
          <w:szCs w:val="21"/>
          <w:highlight w:val="none"/>
        </w:rPr>
        <w:t>的要求做好交通信号控制机芯片</w:t>
      </w:r>
      <w:r>
        <w:rPr>
          <w:rFonts w:hint="eastAsia" w:ascii="宋体" w:hAnsi="宋体"/>
          <w:color w:val="auto"/>
          <w:szCs w:val="21"/>
          <w:highlight w:val="none"/>
          <w:lang w:eastAsia="zh-CN"/>
        </w:rPr>
        <w:t>（</w:t>
      </w:r>
      <w:r>
        <w:rPr>
          <w:rFonts w:hint="eastAsia" w:ascii="宋体" w:hAnsi="宋体"/>
          <w:color w:val="auto"/>
          <w:szCs w:val="21"/>
          <w:highlight w:val="none"/>
        </w:rPr>
        <w:t>芯片由</w:t>
      </w:r>
      <w:r>
        <w:rPr>
          <w:rFonts w:hint="eastAsia" w:ascii="宋体" w:hAnsi="宋体"/>
          <w:color w:val="auto"/>
          <w:szCs w:val="21"/>
          <w:highlight w:val="none"/>
          <w:lang w:val="en-US" w:eastAsia="zh-CN"/>
        </w:rPr>
        <w:t>乙方</w:t>
      </w:r>
      <w:r>
        <w:rPr>
          <w:rFonts w:hint="eastAsia" w:ascii="宋体" w:hAnsi="宋体"/>
          <w:color w:val="auto"/>
          <w:szCs w:val="21"/>
          <w:highlight w:val="none"/>
        </w:rPr>
        <w:t>提供</w:t>
      </w:r>
      <w:r>
        <w:rPr>
          <w:rFonts w:hint="eastAsia" w:ascii="宋体" w:hAnsi="宋体"/>
          <w:color w:val="auto"/>
          <w:szCs w:val="21"/>
          <w:highlight w:val="none"/>
          <w:lang w:eastAsia="zh-CN"/>
        </w:rPr>
        <w:t>）</w:t>
      </w:r>
      <w:r>
        <w:rPr>
          <w:rFonts w:hint="eastAsia" w:ascii="宋体" w:hAnsi="宋体"/>
          <w:color w:val="auto"/>
          <w:szCs w:val="21"/>
          <w:highlight w:val="none"/>
        </w:rPr>
        <w:t>编程、更换和信号调试工作。</w:t>
      </w:r>
    </w:p>
    <w:p w14:paraId="73424EFA">
      <w:pPr>
        <w:numPr>
          <w:ilvl w:val="0"/>
          <w:numId w:val="123"/>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要求项目终验前对设备情况进行清点汇总并提供设备清单和运行报告。</w:t>
      </w:r>
    </w:p>
    <w:p w14:paraId="60AAA800">
      <w:pPr>
        <w:numPr>
          <w:ilvl w:val="0"/>
          <w:numId w:val="123"/>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color w:val="auto"/>
          <w:szCs w:val="21"/>
          <w:highlight w:val="none"/>
          <w:lang w:val="en-US" w:eastAsia="zh-CN"/>
        </w:rPr>
        <w:t>乙方</w:t>
      </w:r>
      <w:r>
        <w:rPr>
          <w:rFonts w:hint="eastAsia" w:ascii="宋体" w:hAnsi="宋体" w:eastAsia="宋体" w:cs="Times New Roman"/>
          <w:color w:val="auto"/>
          <w:szCs w:val="21"/>
          <w:highlight w:val="none"/>
        </w:rPr>
        <w:t>因维护不到位而发生安全事故的，</w:t>
      </w:r>
      <w:r>
        <w:rPr>
          <w:rFonts w:hint="eastAsia" w:ascii="宋体" w:hAnsi="宋体"/>
          <w:color w:val="auto"/>
          <w:szCs w:val="21"/>
          <w:highlight w:val="none"/>
          <w:lang w:val="en-US" w:eastAsia="zh-CN"/>
        </w:rPr>
        <w:t>由乙方承担一切的法律和经济赔偿责任</w:t>
      </w:r>
      <w:r>
        <w:rPr>
          <w:rFonts w:hint="eastAsia" w:ascii="宋体" w:hAnsi="宋体" w:eastAsia="宋体" w:cs="Times New Roman"/>
          <w:color w:val="auto"/>
          <w:szCs w:val="21"/>
          <w:highlight w:val="none"/>
        </w:rPr>
        <w:t>。</w:t>
      </w:r>
    </w:p>
    <w:p w14:paraId="65E78651">
      <w:pPr>
        <w:numPr>
          <w:ilvl w:val="0"/>
          <w:numId w:val="123"/>
        </w:numPr>
        <w:snapToGrid w:val="0"/>
        <w:spacing w:line="360" w:lineRule="auto"/>
        <w:ind w:left="425" w:leftChars="0" w:hanging="425" w:firstLineChars="0"/>
        <w:contextualSpacing/>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因道路施工、路口改造、设备升级改造、设备迁移等原因造成设备停用的，由</w:t>
      </w:r>
      <w:r>
        <w:rPr>
          <w:rFonts w:hint="eastAsia" w:ascii="宋体" w:hAnsi="宋体" w:cs="Times New Roman"/>
          <w:color w:val="auto"/>
          <w:szCs w:val="21"/>
          <w:highlight w:val="none"/>
          <w:lang w:val="en-US" w:eastAsia="zh-CN"/>
        </w:rPr>
        <w:t>乙方</w:t>
      </w:r>
      <w:r>
        <w:rPr>
          <w:rFonts w:hint="eastAsia" w:ascii="宋体" w:hAnsi="宋体" w:eastAsia="宋体" w:cs="Times New Roman"/>
          <w:color w:val="auto"/>
          <w:szCs w:val="21"/>
          <w:highlight w:val="none"/>
        </w:rPr>
        <w:t>负责保管设备，并对设备进行基本防护，保障设备能随时投入使用。</w:t>
      </w:r>
    </w:p>
    <w:p w14:paraId="3FF5023E">
      <w:pPr>
        <w:numPr>
          <w:ilvl w:val="0"/>
          <w:numId w:val="100"/>
        </w:numPr>
        <w:snapToGrid w:val="0"/>
        <w:spacing w:line="360" w:lineRule="auto"/>
        <w:contextualSpacing/>
        <w:rPr>
          <w:rFonts w:ascii="宋体" w:hAnsi="宋体"/>
          <w:b/>
          <w:bCs/>
          <w:color w:val="auto"/>
          <w:szCs w:val="21"/>
          <w:highlight w:val="none"/>
        </w:rPr>
      </w:pPr>
      <w:r>
        <w:rPr>
          <w:rFonts w:hint="eastAsia" w:ascii="宋体" w:hAnsi="宋体"/>
          <w:b/>
          <w:color w:val="auto"/>
          <w:spacing w:val="20"/>
          <w:szCs w:val="21"/>
          <w:highlight w:val="none"/>
          <w:lang w:val="en-US" w:eastAsia="zh-CN"/>
        </w:rPr>
        <w:t>备品备件清单</w:t>
      </w:r>
    </w:p>
    <w:p w14:paraId="2BC275C3">
      <w:pPr>
        <w:numPr>
          <w:ilvl w:val="0"/>
          <w:numId w:val="127"/>
        </w:numPr>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lang w:val="en-US" w:eastAsia="zh-CN"/>
        </w:rPr>
        <w:t>电子警察运维服务备品备件清单</w:t>
      </w:r>
    </w:p>
    <w:tbl>
      <w:tblPr>
        <w:tblStyle w:val="22"/>
        <w:tblW w:w="5000" w:type="pct"/>
        <w:tblInd w:w="0" w:type="dxa"/>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Layout w:type="autofit"/>
        <w:tblCellMar>
          <w:top w:w="0" w:type="dxa"/>
          <w:left w:w="108" w:type="dxa"/>
          <w:bottom w:w="0" w:type="dxa"/>
          <w:right w:w="108" w:type="dxa"/>
        </w:tblCellMar>
      </w:tblPr>
      <w:tblGrid>
        <w:gridCol w:w="720"/>
        <w:gridCol w:w="1842"/>
        <w:gridCol w:w="5282"/>
        <w:gridCol w:w="708"/>
        <w:gridCol w:w="734"/>
      </w:tblGrid>
      <w:tr w14:paraId="45693017">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81" w:hRule="atLeast"/>
        </w:trPr>
        <w:tc>
          <w:tcPr>
            <w:tcW w:w="388" w:type="pct"/>
            <w:tcBorders>
              <w:tl2br w:val="nil"/>
              <w:tr2bl w:val="nil"/>
            </w:tcBorders>
            <w:shd w:val="clear" w:color="auto" w:fill="auto"/>
            <w:noWrap/>
            <w:vAlign w:val="center"/>
          </w:tcPr>
          <w:p w14:paraId="6059EA61">
            <w:pPr>
              <w:keepNext w:val="0"/>
              <w:keepLines w:val="0"/>
              <w:widowControl/>
              <w:suppressLineNumbers w:val="0"/>
              <w:jc w:val="center"/>
              <w:textAlignment w:val="center"/>
              <w:rPr>
                <w:rFonts w:hint="eastAsia" w:ascii="宋体" w:hAnsi="宋体" w:eastAsia="宋体" w:cs="宋体"/>
                <w:color w:val="auto"/>
                <w:kern w:val="0"/>
                <w:sz w:val="21"/>
                <w:szCs w:val="21"/>
                <w:highlight w:val="none"/>
                <w:lang w:val="en-US" w:eastAsia="zh-CN"/>
              </w:rPr>
            </w:pPr>
            <w:r>
              <w:rPr>
                <w:rFonts w:hint="eastAsia" w:ascii="宋体" w:hAnsi="宋体" w:cs="宋体"/>
                <w:b/>
                <w:bCs/>
                <w:i w:val="0"/>
                <w:iCs w:val="0"/>
                <w:color w:val="auto"/>
                <w:kern w:val="0"/>
                <w:sz w:val="21"/>
                <w:szCs w:val="21"/>
                <w:highlight w:val="none"/>
                <w:u w:val="none"/>
                <w:lang w:val="en-US" w:eastAsia="zh-CN" w:bidi="ar"/>
              </w:rPr>
              <w:t>序号</w:t>
            </w:r>
          </w:p>
        </w:tc>
        <w:tc>
          <w:tcPr>
            <w:tcW w:w="991" w:type="pct"/>
            <w:tcBorders>
              <w:tl2br w:val="nil"/>
              <w:tr2bl w:val="nil"/>
            </w:tcBorders>
            <w:shd w:val="clear" w:color="auto" w:fill="auto"/>
            <w:vAlign w:val="center"/>
          </w:tcPr>
          <w:p w14:paraId="43A5E4F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cs="宋体"/>
                <w:b/>
                <w:bCs/>
                <w:i w:val="0"/>
                <w:iCs w:val="0"/>
                <w:color w:val="auto"/>
                <w:kern w:val="0"/>
                <w:sz w:val="21"/>
                <w:szCs w:val="21"/>
                <w:highlight w:val="none"/>
                <w:u w:val="none"/>
                <w:lang w:val="en-US" w:eastAsia="zh-CN" w:bidi="ar"/>
              </w:rPr>
              <w:t>备品备件名称</w:t>
            </w:r>
          </w:p>
        </w:tc>
        <w:tc>
          <w:tcPr>
            <w:tcW w:w="2842" w:type="pct"/>
            <w:tcBorders>
              <w:tl2br w:val="nil"/>
              <w:tr2bl w:val="nil"/>
            </w:tcBorders>
            <w:shd w:val="clear" w:color="auto" w:fill="auto"/>
            <w:vAlign w:val="center"/>
          </w:tcPr>
          <w:p w14:paraId="7E0034EC">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cs="宋体"/>
                <w:b/>
                <w:bCs/>
                <w:i w:val="0"/>
                <w:iCs w:val="0"/>
                <w:color w:val="auto"/>
                <w:kern w:val="0"/>
                <w:sz w:val="21"/>
                <w:szCs w:val="21"/>
                <w:highlight w:val="none"/>
                <w:u w:val="none"/>
                <w:lang w:val="en-US" w:eastAsia="zh-CN" w:bidi="ar"/>
              </w:rPr>
              <w:t>规格参数</w:t>
            </w:r>
          </w:p>
        </w:tc>
        <w:tc>
          <w:tcPr>
            <w:tcW w:w="381" w:type="pct"/>
            <w:tcBorders>
              <w:tl2br w:val="nil"/>
              <w:tr2bl w:val="nil"/>
            </w:tcBorders>
            <w:shd w:val="clear" w:color="auto" w:fill="auto"/>
            <w:vAlign w:val="center"/>
          </w:tcPr>
          <w:p w14:paraId="55CC2DA9">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数量</w:t>
            </w:r>
          </w:p>
        </w:tc>
        <w:tc>
          <w:tcPr>
            <w:tcW w:w="395" w:type="pct"/>
            <w:tcBorders>
              <w:tl2br w:val="nil"/>
              <w:tr2bl w:val="nil"/>
            </w:tcBorders>
            <w:shd w:val="clear" w:color="auto" w:fill="auto"/>
            <w:vAlign w:val="center"/>
          </w:tcPr>
          <w:p w14:paraId="0E38FFF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单位</w:t>
            </w:r>
          </w:p>
        </w:tc>
      </w:tr>
      <w:tr w14:paraId="169C99DA">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5A0AA62D">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991" w:type="pct"/>
            <w:tcBorders>
              <w:tl2br w:val="nil"/>
              <w:tr2bl w:val="nil"/>
            </w:tcBorders>
            <w:shd w:val="clear" w:color="auto" w:fill="auto"/>
            <w:vAlign w:val="center"/>
          </w:tcPr>
          <w:p w14:paraId="379214CD">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900万智能交通摄像机</w:t>
            </w:r>
          </w:p>
        </w:tc>
        <w:tc>
          <w:tcPr>
            <w:tcW w:w="2842" w:type="pct"/>
            <w:tcBorders>
              <w:tl2br w:val="nil"/>
              <w:tr2bl w:val="nil"/>
            </w:tcBorders>
            <w:shd w:val="clear" w:color="auto" w:fill="auto"/>
            <w:vAlign w:val="center"/>
          </w:tcPr>
          <w:p w14:paraId="2FA9C00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1、1英寸GS-CMOS，4096(H)×2160(V)，覆盖3-4车道；</w:t>
            </w:r>
          </w:p>
          <w:p w14:paraId="4A6C447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2、内含网络防雷模块、接线端子、电源模块、GPS天线等；</w:t>
            </w:r>
          </w:p>
          <w:p w14:paraId="326039F2">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3、采用VPU学习芯片：</w:t>
            </w:r>
          </w:p>
          <w:p w14:paraId="04D5744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（1）集成学习算法，支持更多特征识别、更多行为检测；</w:t>
            </w:r>
          </w:p>
          <w:p w14:paraId="10B2C15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（2）支持H.265/H.264双编码、新能源车牌识别；</w:t>
            </w:r>
          </w:p>
          <w:p w14:paraId="627FE70C">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（3）支持不系安全带、驾驶员打电话、抽烟等违法抓拍；</w:t>
            </w:r>
          </w:p>
          <w:p w14:paraId="57A9D451">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（4）支持年检标识、遮阳板、纸巾盒、挂件等检测；</w:t>
            </w:r>
          </w:p>
          <w:p w14:paraId="5038AA5C">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（5）接口：双网口、音频输入输出、GPS、双USB3.0等；</w:t>
            </w:r>
          </w:p>
          <w:p w14:paraId="627A45A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（6）支持GPS/北斗自动定位、校时；内置电子陀螺仪，支持姿态异常报警；</w:t>
            </w:r>
          </w:p>
          <w:p w14:paraId="301DC928">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（7）采用GS-CMOS传感器，色彩还原度、低照、宽动态等效果佳，有效消除Smear现象。</w:t>
            </w:r>
          </w:p>
        </w:tc>
        <w:tc>
          <w:tcPr>
            <w:tcW w:w="381" w:type="pct"/>
            <w:tcBorders>
              <w:tl2br w:val="nil"/>
              <w:tr2bl w:val="nil"/>
            </w:tcBorders>
            <w:shd w:val="clear" w:color="auto" w:fill="auto"/>
            <w:vAlign w:val="center"/>
          </w:tcPr>
          <w:p w14:paraId="425E37E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67EBFCB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5EAE66A6">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345354FD">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w:t>
            </w:r>
          </w:p>
        </w:tc>
        <w:tc>
          <w:tcPr>
            <w:tcW w:w="991" w:type="pct"/>
            <w:tcBorders>
              <w:tl2br w:val="nil"/>
              <w:tr2bl w:val="nil"/>
            </w:tcBorders>
            <w:shd w:val="clear" w:color="auto" w:fill="auto"/>
            <w:vAlign w:val="center"/>
          </w:tcPr>
          <w:p w14:paraId="7CCBF01C">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高清镜头</w:t>
            </w:r>
          </w:p>
        </w:tc>
        <w:tc>
          <w:tcPr>
            <w:tcW w:w="2842" w:type="pct"/>
            <w:tcBorders>
              <w:tl2br w:val="nil"/>
              <w:tr2bl w:val="nil"/>
            </w:tcBorders>
            <w:shd w:val="clear" w:color="auto" w:fill="auto"/>
            <w:vAlign w:val="center"/>
          </w:tcPr>
          <w:p w14:paraId="407FB132">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电警摄像机1英寸16mm/25mm/50mm镜头，定焦镜头</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782DE0D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25FABCD1">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个</w:t>
            </w:r>
          </w:p>
        </w:tc>
      </w:tr>
      <w:tr w14:paraId="78EC880E">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22CF53D7">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p>
        </w:tc>
        <w:tc>
          <w:tcPr>
            <w:tcW w:w="991" w:type="pct"/>
            <w:tcBorders>
              <w:tl2br w:val="nil"/>
              <w:tr2bl w:val="nil"/>
            </w:tcBorders>
            <w:shd w:val="clear" w:color="auto" w:fill="auto"/>
            <w:vAlign w:val="center"/>
          </w:tcPr>
          <w:p w14:paraId="300C20F9">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LED频闪补光灯</w:t>
            </w:r>
          </w:p>
        </w:tc>
        <w:tc>
          <w:tcPr>
            <w:tcW w:w="2842" w:type="pct"/>
            <w:tcBorders>
              <w:tl2br w:val="nil"/>
              <w:tr2bl w:val="nil"/>
            </w:tcBorders>
            <w:shd w:val="clear" w:color="auto" w:fill="auto"/>
            <w:vAlign w:val="center"/>
          </w:tcPr>
          <w:p w14:paraId="1E368D46">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1.采用16颗暖光高性能LED灯珠，光源高效、节能环保</w:t>
            </w:r>
            <w:r>
              <w:rPr>
                <w:rFonts w:hint="eastAsia" w:ascii="宋体" w:hAnsi="宋体" w:cs="宋体"/>
                <w:color w:val="auto"/>
                <w:kern w:val="0"/>
                <w:sz w:val="21"/>
                <w:szCs w:val="21"/>
                <w:highlight w:val="none"/>
                <w:lang w:eastAsia="zh-CN"/>
              </w:rPr>
              <w:t>；</w:t>
            </w:r>
          </w:p>
          <w:p w14:paraId="2175AE12">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2.稳流技术，保证电流控制准确、稳定</w:t>
            </w:r>
            <w:r>
              <w:rPr>
                <w:rFonts w:hint="eastAsia" w:ascii="宋体" w:hAnsi="宋体" w:cs="宋体"/>
                <w:color w:val="auto"/>
                <w:kern w:val="0"/>
                <w:sz w:val="21"/>
                <w:szCs w:val="21"/>
                <w:highlight w:val="none"/>
                <w:lang w:eastAsia="zh-CN"/>
              </w:rPr>
              <w:t>；</w:t>
            </w:r>
          </w:p>
          <w:p w14:paraId="158B777D">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3.支持频闪级联功能，支持最多5台LED灯串口同时并入相机接口，降低施工难度</w:t>
            </w:r>
            <w:r>
              <w:rPr>
                <w:rFonts w:hint="eastAsia" w:ascii="宋体" w:hAnsi="宋体" w:cs="宋体"/>
                <w:color w:val="auto"/>
                <w:kern w:val="0"/>
                <w:sz w:val="21"/>
                <w:szCs w:val="21"/>
                <w:highlight w:val="none"/>
                <w:lang w:eastAsia="zh-CN"/>
              </w:rPr>
              <w:t>；</w:t>
            </w:r>
          </w:p>
          <w:p w14:paraId="2E958E1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4.支持LED灯远程显示补光灯故障、正常状态，减少维护成本</w:t>
            </w:r>
            <w:r>
              <w:rPr>
                <w:rFonts w:hint="eastAsia" w:ascii="宋体" w:hAnsi="宋体" w:cs="宋体"/>
                <w:color w:val="auto"/>
                <w:kern w:val="0"/>
                <w:sz w:val="21"/>
                <w:szCs w:val="21"/>
                <w:highlight w:val="none"/>
                <w:lang w:eastAsia="zh-CN"/>
              </w:rPr>
              <w:t>；</w:t>
            </w:r>
          </w:p>
          <w:p w14:paraId="243DBDC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5.支持通过相机远程控制亮度，控制补光灯点亮和熄灭</w:t>
            </w:r>
            <w:r>
              <w:rPr>
                <w:rFonts w:hint="eastAsia" w:ascii="宋体" w:hAnsi="宋体" w:cs="宋体"/>
                <w:color w:val="auto"/>
                <w:kern w:val="0"/>
                <w:sz w:val="21"/>
                <w:szCs w:val="21"/>
                <w:highlight w:val="none"/>
                <w:lang w:eastAsia="zh-CN"/>
              </w:rPr>
              <w:t>；</w:t>
            </w:r>
          </w:p>
          <w:p w14:paraId="48BD9A4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6.采用高性能MCU，相机同步信号输出至LED灯板，响应的时间≤45μs</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7CCA69B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189EBAC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035DDC9B">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6E7E70DA">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4</w:t>
            </w:r>
          </w:p>
        </w:tc>
        <w:tc>
          <w:tcPr>
            <w:tcW w:w="991" w:type="pct"/>
            <w:tcBorders>
              <w:tl2br w:val="nil"/>
              <w:tr2bl w:val="nil"/>
            </w:tcBorders>
            <w:shd w:val="clear" w:color="auto" w:fill="auto"/>
            <w:vAlign w:val="center"/>
          </w:tcPr>
          <w:p w14:paraId="7283D6EA">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多合一补光灯</w:t>
            </w:r>
          </w:p>
        </w:tc>
        <w:tc>
          <w:tcPr>
            <w:tcW w:w="2842" w:type="pct"/>
            <w:tcBorders>
              <w:tl2br w:val="nil"/>
              <w:tr2bl w:val="nil"/>
            </w:tcBorders>
            <w:shd w:val="clear" w:color="auto" w:fill="auto"/>
            <w:vAlign w:val="center"/>
          </w:tcPr>
          <w:p w14:paraId="6D89D54C">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1、灯型：LED灯</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氙气灯；</w:t>
            </w:r>
          </w:p>
          <w:p w14:paraId="509C616A">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2、光源：可见光（波长350-780nm）；</w:t>
            </w:r>
          </w:p>
          <w:p w14:paraId="625EDD91">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3、色温：氙气：5800K±200K，LED：4500K；</w:t>
            </w:r>
          </w:p>
          <w:p w14:paraId="64F00CC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4、中心光照度：LED：&lt;40lx（20m光照度）氙气：≤4000</w:t>
            </w:r>
            <w:r>
              <w:rPr>
                <w:rFonts w:hint="eastAsia" w:ascii="宋体" w:hAnsi="宋体" w:cs="宋体"/>
                <w:color w:val="auto"/>
                <w:kern w:val="0"/>
                <w:sz w:val="21"/>
                <w:szCs w:val="21"/>
                <w:highlight w:val="none"/>
                <w:lang w:val="en-US" w:eastAsia="zh-CN"/>
              </w:rPr>
              <w:t>l</w:t>
            </w:r>
            <w:r>
              <w:rPr>
                <w:rFonts w:hint="eastAsia" w:ascii="宋体" w:hAnsi="宋体" w:eastAsia="宋体" w:cs="宋体"/>
                <w:color w:val="auto"/>
                <w:kern w:val="0"/>
                <w:sz w:val="21"/>
                <w:szCs w:val="21"/>
                <w:highlight w:val="none"/>
              </w:rPr>
              <w:t>x；</w:t>
            </w:r>
          </w:p>
          <w:p w14:paraId="5188F52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5、触发方式：开关量；</w:t>
            </w:r>
          </w:p>
          <w:p w14:paraId="576F8721">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6、光斑覆盖范围：1车道；</w:t>
            </w:r>
          </w:p>
          <w:p w14:paraId="71523D77">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7、补光距离：16 m～26m；</w:t>
            </w:r>
          </w:p>
          <w:p w14:paraId="7FABEDB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8、回电时间：＜70 ms；</w:t>
            </w:r>
          </w:p>
          <w:p w14:paraId="02EF134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9、闪光持续时间：180μs～500μs；</w:t>
            </w:r>
          </w:p>
          <w:p w14:paraId="5A9AC38A">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10、爆闪计数：支持统计爆闪次数和触发次数；</w:t>
            </w:r>
          </w:p>
          <w:p w14:paraId="40E5B485">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11、闪光灯寿命：≥1000万次；</w:t>
            </w:r>
          </w:p>
          <w:p w14:paraId="4E0B6D61">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12、频率：跟随相机；</w:t>
            </w:r>
          </w:p>
          <w:p w14:paraId="5BB1ABD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13、灯珠数量：24颗（高亮LED）；</w:t>
            </w:r>
          </w:p>
          <w:p w14:paraId="0C51DDE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14、光通量：1800 lm；</w:t>
            </w:r>
          </w:p>
          <w:p w14:paraId="2D0CE814">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15、频闪时间统计：支持统计频闪持续时间；</w:t>
            </w:r>
          </w:p>
          <w:p w14:paraId="69D27B62">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16、远程故障显示：支持在摄像机WEB上远程显示补光灯故障、正常状态；</w:t>
            </w:r>
          </w:p>
          <w:p w14:paraId="79C00A19">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17、亮度调节：氙气：1～16级亮度可调LED：1～20级亮度可调；</w:t>
            </w:r>
          </w:p>
          <w:p w14:paraId="6EEF0C2F">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18、供电方式：AC220V±20%、50 HZ±2；</w:t>
            </w:r>
          </w:p>
          <w:p w14:paraId="0ECABE88">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19、功耗：48W（LED频闪），64W（爆闪1次/S）。</w:t>
            </w:r>
          </w:p>
        </w:tc>
        <w:tc>
          <w:tcPr>
            <w:tcW w:w="381" w:type="pct"/>
            <w:tcBorders>
              <w:tl2br w:val="nil"/>
              <w:tr2bl w:val="nil"/>
            </w:tcBorders>
            <w:shd w:val="clear" w:color="auto" w:fill="auto"/>
            <w:vAlign w:val="center"/>
          </w:tcPr>
          <w:p w14:paraId="6193BFA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395" w:type="pct"/>
            <w:tcBorders>
              <w:tl2br w:val="nil"/>
              <w:tr2bl w:val="nil"/>
            </w:tcBorders>
            <w:shd w:val="clear" w:color="auto" w:fill="auto"/>
            <w:vAlign w:val="center"/>
          </w:tcPr>
          <w:p w14:paraId="7817E03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5177E9A3">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5E726CF5">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w:t>
            </w:r>
          </w:p>
        </w:tc>
        <w:tc>
          <w:tcPr>
            <w:tcW w:w="991" w:type="pct"/>
            <w:tcBorders>
              <w:tl2br w:val="nil"/>
              <w:tr2bl w:val="nil"/>
            </w:tcBorders>
            <w:shd w:val="clear" w:color="auto" w:fill="auto"/>
            <w:vAlign w:val="center"/>
          </w:tcPr>
          <w:p w14:paraId="61FE6C5A">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企业硬盘</w:t>
            </w:r>
          </w:p>
        </w:tc>
        <w:tc>
          <w:tcPr>
            <w:tcW w:w="2842" w:type="pct"/>
            <w:tcBorders>
              <w:tl2br w:val="nil"/>
              <w:tr2bl w:val="nil"/>
            </w:tcBorders>
            <w:shd w:val="clear" w:color="auto" w:fill="auto"/>
            <w:vAlign w:val="center"/>
          </w:tcPr>
          <w:p w14:paraId="7A062F4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8TB，7200RPM；256M；SATA</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2BD99CCE">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34A93476">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块</w:t>
            </w:r>
          </w:p>
        </w:tc>
      </w:tr>
      <w:tr w14:paraId="780A0321">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7A6CE796">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w:t>
            </w:r>
          </w:p>
        </w:tc>
        <w:tc>
          <w:tcPr>
            <w:tcW w:w="991" w:type="pct"/>
            <w:tcBorders>
              <w:tl2br w:val="nil"/>
              <w:tr2bl w:val="nil"/>
            </w:tcBorders>
            <w:shd w:val="clear" w:color="auto" w:fill="auto"/>
            <w:vAlign w:val="center"/>
          </w:tcPr>
          <w:p w14:paraId="61CDB1A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工业级交换机</w:t>
            </w:r>
          </w:p>
        </w:tc>
        <w:tc>
          <w:tcPr>
            <w:tcW w:w="2842" w:type="pct"/>
            <w:tcBorders>
              <w:tl2br w:val="nil"/>
              <w:tr2bl w:val="nil"/>
            </w:tcBorders>
            <w:shd w:val="clear" w:color="auto" w:fill="auto"/>
            <w:vAlign w:val="center"/>
          </w:tcPr>
          <w:p w14:paraId="06E3A03E">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8口10/100M网络交换机</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7726700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11F4FAE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1C997BCC">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1997F1D5">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w:t>
            </w:r>
          </w:p>
        </w:tc>
        <w:tc>
          <w:tcPr>
            <w:tcW w:w="991" w:type="pct"/>
            <w:tcBorders>
              <w:tl2br w:val="nil"/>
              <w:tr2bl w:val="nil"/>
            </w:tcBorders>
            <w:shd w:val="clear" w:color="auto" w:fill="auto"/>
            <w:vAlign w:val="center"/>
          </w:tcPr>
          <w:p w14:paraId="1C057B5D">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网线</w:t>
            </w:r>
          </w:p>
        </w:tc>
        <w:tc>
          <w:tcPr>
            <w:tcW w:w="2842" w:type="pct"/>
            <w:tcBorders>
              <w:tl2br w:val="nil"/>
              <w:tr2bl w:val="nil"/>
            </w:tcBorders>
            <w:shd w:val="clear" w:color="auto" w:fill="auto"/>
            <w:vAlign w:val="center"/>
          </w:tcPr>
          <w:p w14:paraId="3771D4C7">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六类非屏蔽网线</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5BAF8AE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95" w:type="pct"/>
            <w:tcBorders>
              <w:tl2br w:val="nil"/>
              <w:tr2bl w:val="nil"/>
            </w:tcBorders>
            <w:shd w:val="clear" w:color="auto" w:fill="auto"/>
            <w:vAlign w:val="center"/>
          </w:tcPr>
          <w:p w14:paraId="0DFC3BB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箱</w:t>
            </w:r>
          </w:p>
        </w:tc>
      </w:tr>
      <w:tr w14:paraId="1C86F78D">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4209C741">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8</w:t>
            </w:r>
          </w:p>
        </w:tc>
        <w:tc>
          <w:tcPr>
            <w:tcW w:w="991" w:type="pct"/>
            <w:tcBorders>
              <w:tl2br w:val="nil"/>
              <w:tr2bl w:val="nil"/>
            </w:tcBorders>
            <w:shd w:val="clear" w:color="auto" w:fill="auto"/>
            <w:vAlign w:val="center"/>
          </w:tcPr>
          <w:p w14:paraId="27C9B61D">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电源线</w:t>
            </w:r>
          </w:p>
        </w:tc>
        <w:tc>
          <w:tcPr>
            <w:tcW w:w="2842" w:type="pct"/>
            <w:tcBorders>
              <w:tl2br w:val="nil"/>
              <w:tr2bl w:val="nil"/>
            </w:tcBorders>
            <w:shd w:val="clear" w:color="auto" w:fill="auto"/>
            <w:vAlign w:val="center"/>
          </w:tcPr>
          <w:p w14:paraId="3CBB9A5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1.5电源线</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0AF79479">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95" w:type="pct"/>
            <w:tcBorders>
              <w:tl2br w:val="nil"/>
              <w:tr2bl w:val="nil"/>
            </w:tcBorders>
            <w:shd w:val="clear" w:color="auto" w:fill="auto"/>
            <w:vAlign w:val="center"/>
          </w:tcPr>
          <w:p w14:paraId="2E6C1742">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54D635BE">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052993BC">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9</w:t>
            </w:r>
          </w:p>
        </w:tc>
        <w:tc>
          <w:tcPr>
            <w:tcW w:w="991" w:type="pct"/>
            <w:tcBorders>
              <w:tl2br w:val="nil"/>
              <w:tr2bl w:val="nil"/>
            </w:tcBorders>
            <w:shd w:val="clear" w:color="auto" w:fill="auto"/>
            <w:vAlign w:val="center"/>
          </w:tcPr>
          <w:p w14:paraId="13FE9C0C">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红灯信号检测线</w:t>
            </w:r>
          </w:p>
        </w:tc>
        <w:tc>
          <w:tcPr>
            <w:tcW w:w="2842" w:type="pct"/>
            <w:tcBorders>
              <w:tl2br w:val="nil"/>
              <w:tr2bl w:val="nil"/>
            </w:tcBorders>
            <w:shd w:val="clear" w:color="auto" w:fill="auto"/>
            <w:vAlign w:val="center"/>
          </w:tcPr>
          <w:p w14:paraId="57BE8B2B">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1.0电源线</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72BF7558">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95" w:type="pct"/>
            <w:tcBorders>
              <w:tl2br w:val="nil"/>
              <w:tr2bl w:val="nil"/>
            </w:tcBorders>
            <w:shd w:val="clear" w:color="auto" w:fill="auto"/>
            <w:vAlign w:val="center"/>
          </w:tcPr>
          <w:p w14:paraId="1C7D9FF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56DAF620">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633A0A58">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10</w:t>
            </w:r>
          </w:p>
        </w:tc>
        <w:tc>
          <w:tcPr>
            <w:tcW w:w="991" w:type="pct"/>
            <w:tcBorders>
              <w:tl2br w:val="nil"/>
              <w:tr2bl w:val="nil"/>
            </w:tcBorders>
            <w:shd w:val="clear" w:color="auto" w:fill="auto"/>
            <w:vAlign w:val="center"/>
          </w:tcPr>
          <w:p w14:paraId="5F8AA22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闪光灯控制线</w:t>
            </w:r>
          </w:p>
        </w:tc>
        <w:tc>
          <w:tcPr>
            <w:tcW w:w="2842" w:type="pct"/>
            <w:tcBorders>
              <w:tl2br w:val="nil"/>
              <w:tr2bl w:val="nil"/>
            </w:tcBorders>
            <w:shd w:val="clear" w:color="auto" w:fill="auto"/>
            <w:vAlign w:val="center"/>
          </w:tcPr>
          <w:p w14:paraId="25194798">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1.0电源线</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57CD44BA">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395" w:type="pct"/>
            <w:tcBorders>
              <w:tl2br w:val="nil"/>
              <w:tr2bl w:val="nil"/>
            </w:tcBorders>
            <w:shd w:val="clear" w:color="auto" w:fill="auto"/>
            <w:vAlign w:val="center"/>
          </w:tcPr>
          <w:p w14:paraId="6051EB03">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076EE0E3">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092B1620">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11</w:t>
            </w:r>
          </w:p>
        </w:tc>
        <w:tc>
          <w:tcPr>
            <w:tcW w:w="991" w:type="pct"/>
            <w:tcBorders>
              <w:tl2br w:val="nil"/>
              <w:tr2bl w:val="nil"/>
            </w:tcBorders>
            <w:shd w:val="clear" w:color="auto" w:fill="auto"/>
            <w:vAlign w:val="center"/>
          </w:tcPr>
          <w:p w14:paraId="7EA7866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千兆网络收发器</w:t>
            </w:r>
          </w:p>
        </w:tc>
        <w:tc>
          <w:tcPr>
            <w:tcW w:w="2842" w:type="pct"/>
            <w:tcBorders>
              <w:tl2br w:val="nil"/>
              <w:tr2bl w:val="nil"/>
            </w:tcBorders>
            <w:shd w:val="clear" w:color="auto" w:fill="auto"/>
            <w:vAlign w:val="center"/>
          </w:tcPr>
          <w:p w14:paraId="11CBD4C3">
            <w:pPr>
              <w:widowControl/>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千兆网络收发器</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单模单纤40KM</w:t>
            </w:r>
            <w:r>
              <w:rPr>
                <w:rFonts w:hint="eastAsia" w:ascii="宋体" w:hAnsi="宋体" w:cs="宋体"/>
                <w:color w:val="auto"/>
                <w:kern w:val="0"/>
                <w:sz w:val="21"/>
                <w:szCs w:val="21"/>
                <w:highlight w:val="none"/>
                <w:lang w:eastAsia="zh-CN"/>
              </w:rPr>
              <w:t>）。</w:t>
            </w:r>
          </w:p>
        </w:tc>
        <w:tc>
          <w:tcPr>
            <w:tcW w:w="381" w:type="pct"/>
            <w:tcBorders>
              <w:tl2br w:val="nil"/>
              <w:tr2bl w:val="nil"/>
            </w:tcBorders>
            <w:shd w:val="clear" w:color="auto" w:fill="auto"/>
            <w:vAlign w:val="center"/>
          </w:tcPr>
          <w:p w14:paraId="7256B494">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l2br w:val="nil"/>
              <w:tr2bl w:val="nil"/>
            </w:tcBorders>
            <w:shd w:val="clear" w:color="auto" w:fill="auto"/>
            <w:vAlign w:val="center"/>
          </w:tcPr>
          <w:p w14:paraId="3BC728E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对</w:t>
            </w:r>
          </w:p>
        </w:tc>
      </w:tr>
      <w:tr w14:paraId="674A1B0E">
        <w:tblPrEx>
          <w:tblBorders>
            <w:top w:val="single" w:color="auto" w:sz="8" w:space="0"/>
            <w:left w:val="single" w:color="auto" w:sz="8"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0" w:hRule="atLeast"/>
        </w:trPr>
        <w:tc>
          <w:tcPr>
            <w:tcW w:w="388" w:type="pct"/>
            <w:tcBorders>
              <w:tl2br w:val="nil"/>
              <w:tr2bl w:val="nil"/>
            </w:tcBorders>
            <w:shd w:val="clear" w:color="auto" w:fill="auto"/>
            <w:noWrap/>
            <w:vAlign w:val="center"/>
          </w:tcPr>
          <w:p w14:paraId="6BCA15C8">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12</w:t>
            </w:r>
          </w:p>
        </w:tc>
        <w:tc>
          <w:tcPr>
            <w:tcW w:w="991" w:type="pct"/>
            <w:tcBorders>
              <w:tl2br w:val="nil"/>
              <w:tr2bl w:val="nil"/>
            </w:tcBorders>
            <w:shd w:val="clear" w:color="auto" w:fill="auto"/>
            <w:vAlign w:val="center"/>
          </w:tcPr>
          <w:p w14:paraId="5B0F64C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智能交通终端管理设备</w:t>
            </w:r>
          </w:p>
        </w:tc>
        <w:tc>
          <w:tcPr>
            <w:tcW w:w="2842" w:type="pct"/>
            <w:tcBorders>
              <w:tl2br w:val="nil"/>
              <w:tr2bl w:val="nil"/>
            </w:tcBorders>
            <w:shd w:val="clear" w:color="auto" w:fill="auto"/>
            <w:vAlign w:val="center"/>
          </w:tcPr>
          <w:p w14:paraId="4D48D7ED">
            <w:pPr>
              <w:widowControl/>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嵌入式Linux实时操作系统；12路网络压缩高清视频输入，4路模拟视频输入；支持违章图片合成功能；最大支持4个SATA接口硬盘，兼容3.5”/2.5”大小的硬盘，标配1块3.5〃2T硬盘</w:t>
            </w:r>
          </w:p>
        </w:tc>
        <w:tc>
          <w:tcPr>
            <w:tcW w:w="381" w:type="pct"/>
            <w:tcBorders>
              <w:tl2br w:val="nil"/>
              <w:tr2bl w:val="nil"/>
            </w:tcBorders>
            <w:shd w:val="clear" w:color="auto" w:fill="auto"/>
            <w:vAlign w:val="center"/>
          </w:tcPr>
          <w:p w14:paraId="14B0730F">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395" w:type="pct"/>
            <w:tcBorders>
              <w:tl2br w:val="nil"/>
              <w:tr2bl w:val="nil"/>
            </w:tcBorders>
            <w:shd w:val="clear" w:color="auto" w:fill="auto"/>
            <w:vAlign w:val="center"/>
          </w:tcPr>
          <w:p w14:paraId="6FF3B8B7">
            <w:pPr>
              <w:keepNext w:val="0"/>
              <w:keepLines w:val="0"/>
              <w:widowControl/>
              <w:suppressLineNumbers w:val="0"/>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i w:val="0"/>
                <w:iCs w:val="0"/>
                <w:color w:val="auto"/>
                <w:kern w:val="0"/>
                <w:sz w:val="21"/>
                <w:szCs w:val="21"/>
                <w:highlight w:val="none"/>
                <w:u w:val="none"/>
                <w:lang w:val="en-US" w:eastAsia="zh-CN" w:bidi="ar"/>
              </w:rPr>
              <w:t>台</w:t>
            </w:r>
          </w:p>
        </w:tc>
      </w:tr>
    </w:tbl>
    <w:p w14:paraId="7F3D973C">
      <w:pPr>
        <w:numPr>
          <w:ilvl w:val="0"/>
          <w:numId w:val="127"/>
        </w:numPr>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rPr>
        <w:t>道路交通信号灯运维服务</w:t>
      </w:r>
      <w:r>
        <w:rPr>
          <w:rFonts w:hint="eastAsia" w:ascii="宋体" w:hAnsi="宋体"/>
          <w:color w:val="auto"/>
          <w:szCs w:val="21"/>
          <w:highlight w:val="none"/>
          <w:lang w:val="en-US" w:eastAsia="zh-CN"/>
        </w:rPr>
        <w:t>备品备件清单</w:t>
      </w: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8"/>
        <w:gridCol w:w="1517"/>
        <w:gridCol w:w="5982"/>
        <w:gridCol w:w="595"/>
        <w:gridCol w:w="554"/>
      </w:tblGrid>
      <w:tr w14:paraId="4C2F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6"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7A550D">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序号</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A01CF">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备品备件名称</w:t>
            </w:r>
          </w:p>
        </w:tc>
        <w:tc>
          <w:tcPr>
            <w:tcW w:w="5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47C8E">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规格参数</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7A540">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C9B94">
            <w:pPr>
              <w:keepNext w:val="0"/>
              <w:keepLines w:val="0"/>
              <w:widowControl/>
              <w:suppressLineNumbers w:val="0"/>
              <w:jc w:val="center"/>
              <w:textAlignment w:val="center"/>
              <w:rPr>
                <w:rFonts w:hint="default" w:ascii="宋体" w:hAnsi="宋体" w:eastAsia="宋体" w:cs="宋体"/>
                <w:b/>
                <w:bCs/>
                <w:i w:val="0"/>
                <w:iCs w:val="0"/>
                <w:color w:val="auto"/>
                <w:kern w:val="0"/>
                <w:sz w:val="21"/>
                <w:szCs w:val="21"/>
                <w:highlight w:val="none"/>
                <w:u w:val="none"/>
                <w:lang w:val="en-US" w:eastAsia="zh-CN" w:bidi="ar"/>
              </w:rPr>
            </w:pPr>
            <w:r>
              <w:rPr>
                <w:rFonts w:hint="eastAsia" w:ascii="宋体" w:hAnsi="宋体" w:cs="宋体"/>
                <w:b/>
                <w:bCs/>
                <w:i w:val="0"/>
                <w:iCs w:val="0"/>
                <w:color w:val="auto"/>
                <w:kern w:val="0"/>
                <w:sz w:val="21"/>
                <w:szCs w:val="21"/>
                <w:highlight w:val="none"/>
                <w:u w:val="none"/>
                <w:lang w:val="en-US" w:eastAsia="zh-CN" w:bidi="ar"/>
              </w:rPr>
              <w:t>单位</w:t>
            </w:r>
          </w:p>
        </w:tc>
      </w:tr>
      <w:tr w14:paraId="29F8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241923">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051B0">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车行信号灯</w:t>
            </w:r>
          </w:p>
        </w:tc>
        <w:tc>
          <w:tcPr>
            <w:tcW w:w="5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BF8AA">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面罩规格：Φ400.0mm；</w:t>
            </w:r>
          </w:p>
          <w:p w14:paraId="35EA8879">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工作温度：–40</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～+80℃；</w:t>
            </w:r>
          </w:p>
          <w:p w14:paraId="09B709FA">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中心光强：＞400cd；</w:t>
            </w:r>
          </w:p>
          <w:p w14:paraId="6EAAF77F">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LED数量：信号灯：红156颗、黄156颗、绿156颗；倒计时：红168颗、绿168颗；</w:t>
            </w:r>
          </w:p>
          <w:p w14:paraId="1725C367">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LED寿命：≥70000h；</w:t>
            </w:r>
          </w:p>
          <w:p w14:paraId="269CB82C">
            <w:pPr>
              <w:keepNext w:val="0"/>
              <w:keepLines w:val="0"/>
              <w:widowControl/>
              <w:numPr>
                <w:ilvl w:val="0"/>
                <w:numId w:val="37"/>
              </w:numPr>
              <w:suppressLineNumbers w:val="0"/>
              <w:ind w:left="425" w:leftChars="0" w:hanging="425" w:firstLine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LED波长：红：625±2nm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黄：590±2nm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绿：505±2nm</w:t>
            </w:r>
            <w:r>
              <w:rPr>
                <w:rFonts w:hint="eastAsia" w:ascii="宋体" w:hAnsi="宋体" w:cs="宋体"/>
                <w:i w:val="0"/>
                <w:iCs w:val="0"/>
                <w:color w:val="auto"/>
                <w:kern w:val="0"/>
                <w:sz w:val="21"/>
                <w:szCs w:val="21"/>
                <w:highlight w:val="none"/>
                <w:u w:val="none"/>
                <w:lang w:val="en-US" w:eastAsia="zh-CN" w:bidi="ar"/>
              </w:rPr>
              <w:t>。</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8DBC8">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EF94C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r>
      <w:tr w14:paraId="6D993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3CF234">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174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双8动态人行信号灯</w:t>
            </w:r>
          </w:p>
        </w:tc>
        <w:tc>
          <w:tcPr>
            <w:tcW w:w="5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F9BD1">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电源输入：1个；</w:t>
            </w:r>
          </w:p>
          <w:p w14:paraId="264B9F2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产品组成：红、绿LED；线路板；开关电源；面罩；后罩；外壳；</w:t>
            </w:r>
          </w:p>
          <w:p w14:paraId="4568478D">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供电方式：AC220V±20%，50Hz±1%；</w:t>
            </w:r>
          </w:p>
          <w:p w14:paraId="4C390477">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绝缘要求：绝缘电阻≥500MΩ；</w:t>
            </w:r>
          </w:p>
          <w:p w14:paraId="27E661A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耐压要求：≥1440V；</w:t>
            </w:r>
          </w:p>
          <w:p w14:paraId="6532C96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功耗：</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20W；</w:t>
            </w:r>
          </w:p>
          <w:p w14:paraId="304978A1">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工作温度：–40℃～+80℃；</w:t>
            </w:r>
          </w:p>
          <w:p w14:paraId="0C78E7C0">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储存温度：0℃～+50℃；</w:t>
            </w:r>
          </w:p>
          <w:p w14:paraId="24A45E4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工作湿度：10%～95%RH（无凝结）</w:t>
            </w:r>
            <w:r>
              <w:rPr>
                <w:rFonts w:hint="eastAsia" w:ascii="宋体" w:hAnsi="宋体" w:cs="宋体"/>
                <w:i w:val="0"/>
                <w:iCs w:val="0"/>
                <w:color w:val="auto"/>
                <w:kern w:val="0"/>
                <w:sz w:val="21"/>
                <w:szCs w:val="21"/>
                <w:highlight w:val="none"/>
                <w:u w:val="none"/>
                <w:lang w:val="en-US" w:eastAsia="zh-CN" w:bidi="ar"/>
              </w:rPr>
              <w:t>；</w:t>
            </w:r>
          </w:p>
          <w:p w14:paraId="3770266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储存湿度：40%～60%RH（无凝露）；</w:t>
            </w:r>
          </w:p>
          <w:p w14:paraId="3F6A1165">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防护等级：IP53；</w:t>
            </w:r>
          </w:p>
          <w:p w14:paraId="3E0F7ED9">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中心亮度：＞5000cd/</w:t>
            </w:r>
            <w:r>
              <w:rPr>
                <w:rFonts w:hint="eastAsia" w:ascii="宋体" w:hAnsi="宋体" w:cs="宋体"/>
                <w:i w:val="0"/>
                <w:iCs w:val="0"/>
                <w:color w:val="auto"/>
                <w:kern w:val="0"/>
                <w:sz w:val="21"/>
                <w:szCs w:val="21"/>
                <w:highlight w:val="none"/>
                <w:u w:val="none"/>
                <w:lang w:val="en-US" w:eastAsia="zh-CN" w:bidi="ar"/>
              </w:rPr>
              <w:t>m</w:t>
            </w:r>
            <w:r>
              <w:rPr>
                <w:rFonts w:hint="eastAsia" w:ascii="宋体" w:hAnsi="宋体" w:cs="宋体"/>
                <w:i w:val="0"/>
                <w:iCs w:val="0"/>
                <w:color w:val="auto"/>
                <w:kern w:val="0"/>
                <w:sz w:val="21"/>
                <w:szCs w:val="21"/>
                <w:highlight w:val="none"/>
                <w:u w:val="none"/>
                <w:vertAlign w:val="superscript"/>
                <w:lang w:val="en-US" w:eastAsia="zh-CN" w:bidi="ar"/>
              </w:rPr>
              <w:t>2</w:t>
            </w:r>
            <w:r>
              <w:rPr>
                <w:rFonts w:hint="eastAsia" w:ascii="宋体" w:hAnsi="宋体" w:eastAsia="宋体" w:cs="宋体"/>
                <w:i w:val="0"/>
                <w:iCs w:val="0"/>
                <w:color w:val="auto"/>
                <w:kern w:val="0"/>
                <w:sz w:val="21"/>
                <w:szCs w:val="21"/>
                <w:highlight w:val="none"/>
                <w:u w:val="none"/>
                <w:lang w:val="en-US" w:eastAsia="zh-CN" w:bidi="ar"/>
              </w:rPr>
              <w:t>；</w:t>
            </w:r>
          </w:p>
          <w:p w14:paraId="506079B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LED数量：信号灯：红80颗、绿64颗；倒计时：红168颗、绿168颗；</w:t>
            </w:r>
          </w:p>
          <w:p w14:paraId="532ADCD5">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LED直径：Φ5mm；</w:t>
            </w:r>
          </w:p>
          <w:p w14:paraId="4978E3B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LED单管电流：</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18mA；</w:t>
            </w:r>
          </w:p>
          <w:p w14:paraId="662C6D6A">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LED寿命：≥70000h；</w:t>
            </w:r>
          </w:p>
          <w:p w14:paraId="7000EBEC">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LED波长：红：625±2nm</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绿：505±2nm；</w:t>
            </w:r>
          </w:p>
          <w:p w14:paraId="3617E1F2">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可视角度：＞30°；</w:t>
            </w:r>
          </w:p>
          <w:p w14:paraId="32B4622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外壳材料：PC，黑色喷塑；</w:t>
            </w:r>
          </w:p>
          <w:p w14:paraId="209111FC">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面罩材料：PC；</w:t>
            </w:r>
          </w:p>
          <w:p w14:paraId="0009FF73">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面罩规格：Φ300mm；</w:t>
            </w:r>
          </w:p>
          <w:p w14:paraId="733668EB">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产品尺寸：1190mm×404mm×130mm（长×宽×高）；</w:t>
            </w:r>
          </w:p>
          <w:p w14:paraId="1825AB1F">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包装盒尺寸：1245mm×475mm×200mm（长×宽×高）；</w:t>
            </w:r>
          </w:p>
          <w:p w14:paraId="161A5967">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净重：8kg±2kg；</w:t>
            </w:r>
          </w:p>
          <w:p w14:paraId="0B7C983E">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毛重：12kg±4kg；</w:t>
            </w:r>
          </w:p>
          <w:p w14:paraId="5F0412A3">
            <w:pPr>
              <w:keepNext w:val="0"/>
              <w:keepLines w:val="0"/>
              <w:widowControl/>
              <w:numPr>
                <w:ilvl w:val="0"/>
                <w:numId w:val="38"/>
              </w:numPr>
              <w:suppressLineNumbers w:val="0"/>
              <w:ind w:left="425" w:leftChars="0" w:hanging="425" w:firstLineChars="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安装方式：L脚安装</w:t>
            </w:r>
            <w:r>
              <w:rPr>
                <w:rFonts w:hint="eastAsia" w:ascii="宋体" w:hAnsi="宋体" w:cs="宋体"/>
                <w:i w:val="0"/>
                <w:iCs w:val="0"/>
                <w:color w:val="auto"/>
                <w:kern w:val="0"/>
                <w:sz w:val="21"/>
                <w:szCs w:val="21"/>
                <w:highlight w:val="none"/>
                <w:u w:val="none"/>
                <w:lang w:val="en-US" w:eastAsia="zh-CN" w:bidi="ar"/>
              </w:rPr>
              <w:t>。</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E81DC">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F3E2AE">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r>
      <w:tr w14:paraId="11577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39FE19">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11AC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w:t>
            </w:r>
          </w:p>
        </w:tc>
        <w:tc>
          <w:tcPr>
            <w:tcW w:w="5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E4E2">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RVV3</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1.5电源线</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2195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412B02">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r>
      <w:tr w14:paraId="38B45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345692">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15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D941">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电源线</w:t>
            </w:r>
          </w:p>
        </w:tc>
        <w:tc>
          <w:tcPr>
            <w:tcW w:w="59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9F4F5">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RVV4</w:t>
            </w:r>
            <w:r>
              <w:rPr>
                <w:rFonts w:hint="eastAsia" w:ascii="宋体" w:hAnsi="宋体" w:cs="宋体"/>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1.5电源线</w:t>
            </w:r>
          </w:p>
        </w:tc>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8ED53">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92D2C9">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米</w:t>
            </w:r>
          </w:p>
        </w:tc>
      </w:tr>
    </w:tbl>
    <w:p w14:paraId="29D47BA1">
      <w:pPr>
        <w:numPr>
          <w:ilvl w:val="0"/>
          <w:numId w:val="127"/>
        </w:numPr>
        <w:snapToGrid w:val="0"/>
        <w:spacing w:line="360" w:lineRule="auto"/>
        <w:ind w:left="425" w:leftChars="0" w:hanging="425" w:firstLineChars="0"/>
        <w:contextualSpacing/>
        <w:rPr>
          <w:rFonts w:ascii="宋体" w:hAnsi="宋体"/>
          <w:color w:val="auto"/>
          <w:szCs w:val="21"/>
          <w:highlight w:val="none"/>
        </w:rPr>
      </w:pPr>
      <w:r>
        <w:rPr>
          <w:rFonts w:hint="eastAsia" w:ascii="宋体" w:hAnsi="宋体"/>
          <w:color w:val="auto"/>
          <w:szCs w:val="21"/>
          <w:highlight w:val="none"/>
          <w:lang w:val="en-US" w:eastAsia="zh-CN"/>
        </w:rPr>
        <w:t>备品备件使用要求</w:t>
      </w:r>
    </w:p>
    <w:p w14:paraId="4C313FBB">
      <w:pPr>
        <w:numPr>
          <w:ilvl w:val="0"/>
          <w:numId w:val="128"/>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须按“备品备件</w:t>
      </w:r>
      <w:r>
        <w:rPr>
          <w:rFonts w:hint="eastAsia" w:asciiTheme="minorEastAsia" w:hAnsiTheme="minorEastAsia" w:eastAsiaTheme="minorEastAsia"/>
          <w:color w:val="auto"/>
          <w:spacing w:val="0"/>
          <w:sz w:val="21"/>
          <w:szCs w:val="21"/>
          <w:highlight w:val="none"/>
          <w:lang w:val="en-US" w:eastAsia="zh-CN"/>
        </w:rPr>
        <w:t>清单</w:t>
      </w:r>
      <w:r>
        <w:rPr>
          <w:rFonts w:hint="eastAsia" w:asciiTheme="minorEastAsia" w:hAnsiTheme="minorEastAsia" w:eastAsiaTheme="minorEastAsia"/>
          <w:color w:val="auto"/>
          <w:spacing w:val="0"/>
          <w:sz w:val="21"/>
          <w:szCs w:val="21"/>
          <w:highlight w:val="none"/>
        </w:rPr>
        <w:t>”约定的参数及数量为本项目提供相应的备品备件，备品备件的采购、仓储、运输均由</w:t>
      </w: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负责，凡备品备件在采购、仓储、运输过程中造成的损坏、损失和由此产生的费用均由</w:t>
      </w: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承担</w:t>
      </w:r>
      <w:r>
        <w:rPr>
          <w:rFonts w:hint="eastAsia" w:asciiTheme="minorEastAsia" w:hAnsiTheme="minorEastAsia" w:eastAsiaTheme="minorEastAsia"/>
          <w:color w:val="auto"/>
          <w:spacing w:val="0"/>
          <w:sz w:val="21"/>
          <w:szCs w:val="21"/>
          <w:highlight w:val="none"/>
          <w:lang w:eastAsia="zh-CN"/>
        </w:rPr>
        <w:t>。</w:t>
      </w:r>
    </w:p>
    <w:p w14:paraId="242DABFE">
      <w:pPr>
        <w:numPr>
          <w:ilvl w:val="0"/>
          <w:numId w:val="128"/>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rPr>
        <w:t>项目履约过程中</w:t>
      </w: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须对备品备件的使用做好详尽的记录，每月10日前将上月使用清单明细交</w:t>
      </w:r>
      <w:r>
        <w:rPr>
          <w:rFonts w:hint="eastAsia" w:asciiTheme="minorEastAsia" w:hAnsiTheme="minorEastAsia" w:eastAsiaTheme="minorEastAsia"/>
          <w:color w:val="auto"/>
          <w:spacing w:val="0"/>
          <w:sz w:val="21"/>
          <w:szCs w:val="21"/>
          <w:highlight w:val="none"/>
          <w:lang w:eastAsia="zh-CN"/>
        </w:rPr>
        <w:t>甲方</w:t>
      </w:r>
      <w:r>
        <w:rPr>
          <w:rFonts w:hint="eastAsia" w:asciiTheme="minorEastAsia" w:hAnsiTheme="minorEastAsia" w:eastAsiaTheme="minorEastAsia"/>
          <w:color w:val="auto"/>
          <w:spacing w:val="0"/>
          <w:sz w:val="21"/>
          <w:szCs w:val="21"/>
          <w:highlight w:val="none"/>
        </w:rPr>
        <w:t>确认；运维服务中涉及“备品备件清单”之外的设备、配件及材料或服务期内出现所需备品备件余量不足的情形的，</w:t>
      </w: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须向</w:t>
      </w:r>
      <w:r>
        <w:rPr>
          <w:rFonts w:hint="eastAsia" w:asciiTheme="minorEastAsia" w:hAnsiTheme="minorEastAsia" w:eastAsiaTheme="minorEastAsia"/>
          <w:color w:val="auto"/>
          <w:spacing w:val="0"/>
          <w:sz w:val="21"/>
          <w:szCs w:val="21"/>
          <w:highlight w:val="none"/>
          <w:lang w:eastAsia="zh-CN"/>
        </w:rPr>
        <w:t>甲方</w:t>
      </w:r>
      <w:r>
        <w:rPr>
          <w:rFonts w:hint="eastAsia" w:asciiTheme="minorEastAsia" w:hAnsiTheme="minorEastAsia" w:eastAsiaTheme="minorEastAsia"/>
          <w:color w:val="auto"/>
          <w:spacing w:val="0"/>
          <w:sz w:val="21"/>
          <w:szCs w:val="21"/>
          <w:highlight w:val="none"/>
        </w:rPr>
        <w:t>提交明确的</w:t>
      </w:r>
      <w:r>
        <w:rPr>
          <w:rFonts w:hint="eastAsia" w:asciiTheme="minorEastAsia" w:hAnsiTheme="minorEastAsia" w:eastAsiaTheme="minorEastAsia"/>
          <w:color w:val="auto"/>
          <w:spacing w:val="0"/>
          <w:sz w:val="21"/>
          <w:szCs w:val="21"/>
          <w:highlight w:val="none"/>
          <w:lang w:val="en-US" w:eastAsia="zh-CN"/>
        </w:rPr>
        <w:t>需求</w:t>
      </w:r>
      <w:r>
        <w:rPr>
          <w:rFonts w:hint="eastAsia" w:asciiTheme="minorEastAsia" w:hAnsiTheme="minorEastAsia" w:eastAsiaTheme="minorEastAsia"/>
          <w:color w:val="auto"/>
          <w:spacing w:val="0"/>
          <w:sz w:val="21"/>
          <w:szCs w:val="21"/>
          <w:highlight w:val="none"/>
        </w:rPr>
        <w:t>清单，经</w:t>
      </w:r>
      <w:r>
        <w:rPr>
          <w:rFonts w:hint="eastAsia" w:asciiTheme="minorEastAsia" w:hAnsiTheme="minorEastAsia" w:eastAsiaTheme="minorEastAsia"/>
          <w:color w:val="auto"/>
          <w:spacing w:val="0"/>
          <w:sz w:val="21"/>
          <w:szCs w:val="21"/>
          <w:highlight w:val="none"/>
          <w:lang w:val="en-US" w:eastAsia="zh-CN"/>
        </w:rPr>
        <w:t>甲方确认后提供相应</w:t>
      </w:r>
      <w:r>
        <w:rPr>
          <w:rFonts w:hint="eastAsia" w:asciiTheme="minorEastAsia" w:hAnsiTheme="minorEastAsia" w:eastAsiaTheme="minorEastAsia"/>
          <w:color w:val="auto"/>
          <w:spacing w:val="0"/>
          <w:sz w:val="21"/>
          <w:szCs w:val="21"/>
          <w:highlight w:val="none"/>
        </w:rPr>
        <w:t>运维</w:t>
      </w:r>
      <w:r>
        <w:rPr>
          <w:rFonts w:hint="eastAsia" w:asciiTheme="minorEastAsia" w:hAnsiTheme="minorEastAsia" w:eastAsiaTheme="minorEastAsia"/>
          <w:color w:val="auto"/>
          <w:spacing w:val="0"/>
          <w:sz w:val="21"/>
          <w:szCs w:val="21"/>
          <w:highlight w:val="none"/>
          <w:lang w:val="en-US" w:eastAsia="zh-CN"/>
        </w:rPr>
        <w:t>服务，运维服务使用的货品参数须不低于</w:t>
      </w:r>
      <w:r>
        <w:rPr>
          <w:rFonts w:hint="eastAsia" w:asciiTheme="minorEastAsia" w:hAnsiTheme="minorEastAsia" w:eastAsiaTheme="minorEastAsia"/>
          <w:color w:val="auto"/>
          <w:spacing w:val="0"/>
          <w:sz w:val="21"/>
          <w:szCs w:val="21"/>
          <w:highlight w:val="none"/>
        </w:rPr>
        <w:t>“备品备件</w:t>
      </w:r>
      <w:r>
        <w:rPr>
          <w:rFonts w:hint="eastAsia" w:asciiTheme="minorEastAsia" w:hAnsiTheme="minorEastAsia" w:eastAsiaTheme="minorEastAsia"/>
          <w:color w:val="auto"/>
          <w:spacing w:val="0"/>
          <w:sz w:val="21"/>
          <w:szCs w:val="21"/>
          <w:highlight w:val="none"/>
          <w:lang w:val="en-US" w:eastAsia="zh-CN"/>
        </w:rPr>
        <w:t>清单</w:t>
      </w:r>
      <w:r>
        <w:rPr>
          <w:rFonts w:hint="eastAsia" w:asciiTheme="minorEastAsia" w:hAnsiTheme="minorEastAsia" w:eastAsiaTheme="minorEastAsia"/>
          <w:color w:val="auto"/>
          <w:spacing w:val="0"/>
          <w:sz w:val="21"/>
          <w:szCs w:val="21"/>
          <w:highlight w:val="none"/>
        </w:rPr>
        <w:t>”</w:t>
      </w:r>
      <w:r>
        <w:rPr>
          <w:rFonts w:hint="eastAsia" w:asciiTheme="minorEastAsia" w:hAnsiTheme="minorEastAsia" w:eastAsiaTheme="minorEastAsia"/>
          <w:color w:val="auto"/>
          <w:spacing w:val="0"/>
          <w:sz w:val="21"/>
          <w:szCs w:val="21"/>
          <w:highlight w:val="none"/>
          <w:lang w:val="en-US" w:eastAsia="zh-CN"/>
        </w:rPr>
        <w:t>要求，所需费用已包含在本项目合同价款中，甲方不再另行支付</w:t>
      </w:r>
      <w:r>
        <w:rPr>
          <w:rFonts w:hint="eastAsia" w:asciiTheme="minorEastAsia" w:hAnsiTheme="minorEastAsia" w:eastAsiaTheme="minorEastAsia"/>
          <w:color w:val="auto"/>
          <w:spacing w:val="0"/>
          <w:sz w:val="21"/>
          <w:szCs w:val="21"/>
          <w:highlight w:val="none"/>
          <w:lang w:eastAsia="zh-CN"/>
        </w:rPr>
        <w:t>。</w:t>
      </w:r>
    </w:p>
    <w:p w14:paraId="5C6FAA1A">
      <w:pPr>
        <w:numPr>
          <w:ilvl w:val="0"/>
          <w:numId w:val="128"/>
        </w:numPr>
        <w:ind w:left="425" w:leftChars="0" w:hanging="425" w:firstLineChars="0"/>
        <w:rPr>
          <w:rFonts w:hint="eastAsia" w:asciiTheme="minorEastAsia" w:hAnsiTheme="minorEastAsia" w:eastAsiaTheme="minorEastAsia"/>
          <w:color w:val="auto"/>
          <w:spacing w:val="0"/>
          <w:sz w:val="21"/>
          <w:szCs w:val="21"/>
          <w:highlight w:val="none"/>
        </w:rPr>
      </w:pPr>
      <w:r>
        <w:rPr>
          <w:rFonts w:hint="eastAsia" w:asciiTheme="minorEastAsia" w:hAnsiTheme="minorEastAsia" w:eastAsiaTheme="minorEastAsia"/>
          <w:color w:val="auto"/>
          <w:spacing w:val="0"/>
          <w:sz w:val="21"/>
          <w:szCs w:val="21"/>
          <w:highlight w:val="none"/>
        </w:rPr>
        <w:t>服务期满后10日内，</w:t>
      </w:r>
      <w:r>
        <w:rPr>
          <w:rFonts w:hint="eastAsia" w:asciiTheme="minorEastAsia" w:hAnsiTheme="minorEastAsia" w:eastAsiaTheme="minorEastAsia"/>
          <w:color w:val="auto"/>
          <w:spacing w:val="0"/>
          <w:sz w:val="21"/>
          <w:szCs w:val="21"/>
          <w:highlight w:val="none"/>
          <w:lang w:eastAsia="zh-CN"/>
        </w:rPr>
        <w:t>乙方</w:t>
      </w:r>
      <w:r>
        <w:rPr>
          <w:rFonts w:hint="eastAsia" w:asciiTheme="minorEastAsia" w:hAnsiTheme="minorEastAsia" w:eastAsiaTheme="minorEastAsia"/>
          <w:color w:val="auto"/>
          <w:spacing w:val="0"/>
          <w:sz w:val="21"/>
          <w:szCs w:val="21"/>
          <w:highlight w:val="none"/>
        </w:rPr>
        <w:t>须将剩余的备品备件交还</w:t>
      </w:r>
      <w:r>
        <w:rPr>
          <w:rFonts w:hint="eastAsia" w:asciiTheme="minorEastAsia" w:hAnsiTheme="minorEastAsia" w:eastAsiaTheme="minorEastAsia"/>
          <w:color w:val="auto"/>
          <w:spacing w:val="0"/>
          <w:sz w:val="21"/>
          <w:szCs w:val="21"/>
          <w:highlight w:val="none"/>
          <w:lang w:eastAsia="zh-CN"/>
        </w:rPr>
        <w:t>甲方</w:t>
      </w:r>
      <w:r>
        <w:rPr>
          <w:rFonts w:hint="eastAsia" w:asciiTheme="minorEastAsia" w:hAnsiTheme="minorEastAsia" w:eastAsiaTheme="minorEastAsia"/>
          <w:color w:val="auto"/>
          <w:spacing w:val="0"/>
          <w:sz w:val="21"/>
          <w:szCs w:val="21"/>
          <w:highlight w:val="none"/>
        </w:rPr>
        <w:t>，并递交详尽、准确的货物清单，清单内容须经</w:t>
      </w:r>
      <w:r>
        <w:rPr>
          <w:rFonts w:hint="eastAsia" w:asciiTheme="minorEastAsia" w:hAnsiTheme="minorEastAsia" w:eastAsiaTheme="minorEastAsia"/>
          <w:color w:val="auto"/>
          <w:spacing w:val="0"/>
          <w:sz w:val="21"/>
          <w:szCs w:val="21"/>
          <w:highlight w:val="none"/>
          <w:lang w:eastAsia="zh-CN"/>
        </w:rPr>
        <w:t>甲方</w:t>
      </w:r>
      <w:r>
        <w:rPr>
          <w:rFonts w:hint="eastAsia" w:asciiTheme="minorEastAsia" w:hAnsiTheme="minorEastAsia" w:eastAsiaTheme="minorEastAsia"/>
          <w:color w:val="auto"/>
          <w:spacing w:val="0"/>
          <w:sz w:val="21"/>
          <w:szCs w:val="21"/>
          <w:highlight w:val="none"/>
        </w:rPr>
        <w:t>确认。</w:t>
      </w:r>
    </w:p>
    <w:p w14:paraId="31D260AA">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验收方法</w:t>
      </w:r>
    </w:p>
    <w:p w14:paraId="0AFD5C3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b w:val="0"/>
          <w:bCs/>
          <w:color w:val="auto"/>
          <w:spacing w:val="0"/>
          <w:sz w:val="21"/>
          <w:szCs w:val="21"/>
          <w:highlight w:val="none"/>
        </w:rPr>
      </w:pPr>
      <w:r>
        <w:rPr>
          <w:rFonts w:hint="eastAsia" w:ascii="宋体" w:hAnsi="宋体"/>
          <w:b w:val="0"/>
          <w:bCs/>
          <w:color w:val="auto"/>
          <w:spacing w:val="0"/>
          <w:sz w:val="21"/>
          <w:szCs w:val="21"/>
          <w:highlight w:val="none"/>
        </w:rPr>
        <w:t>服务期内，</w:t>
      </w:r>
      <w:r>
        <w:rPr>
          <w:rFonts w:hint="eastAsia" w:ascii="宋体" w:hAnsi="宋体"/>
          <w:b w:val="0"/>
          <w:bCs/>
          <w:color w:val="auto"/>
          <w:spacing w:val="0"/>
          <w:sz w:val="21"/>
          <w:szCs w:val="21"/>
          <w:highlight w:val="none"/>
          <w:lang w:val="en-US" w:eastAsia="zh-CN"/>
        </w:rPr>
        <w:t>乙方</w:t>
      </w:r>
      <w:r>
        <w:rPr>
          <w:rFonts w:hint="eastAsia" w:ascii="宋体" w:hAnsi="宋体"/>
          <w:b w:val="0"/>
          <w:bCs/>
          <w:color w:val="auto"/>
          <w:spacing w:val="0"/>
          <w:sz w:val="21"/>
          <w:szCs w:val="21"/>
          <w:highlight w:val="none"/>
        </w:rPr>
        <w:t>服务每满1个月后的10日内，由</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对</w:t>
      </w:r>
      <w:r>
        <w:rPr>
          <w:rFonts w:hint="eastAsia" w:ascii="宋体" w:hAnsi="宋体"/>
          <w:b w:val="0"/>
          <w:bCs/>
          <w:color w:val="auto"/>
          <w:spacing w:val="0"/>
          <w:sz w:val="21"/>
          <w:szCs w:val="21"/>
          <w:highlight w:val="none"/>
          <w:lang w:val="en-US" w:eastAsia="zh-CN"/>
        </w:rPr>
        <w:t>乙方</w:t>
      </w:r>
      <w:r>
        <w:rPr>
          <w:rFonts w:hint="eastAsia" w:ascii="宋体" w:hAnsi="宋体"/>
          <w:b w:val="0"/>
          <w:bCs/>
          <w:color w:val="auto"/>
          <w:spacing w:val="0"/>
          <w:sz w:val="21"/>
          <w:szCs w:val="21"/>
          <w:highlight w:val="none"/>
        </w:rPr>
        <w:t>上月运维工作进行月度考核，由</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指定责任民警组成月度考核团队，对每月的运维工作进行阶段性考评，考核内容详见本</w:t>
      </w:r>
      <w:r>
        <w:rPr>
          <w:rFonts w:hint="eastAsia" w:ascii="宋体" w:hAnsi="宋体"/>
          <w:b w:val="0"/>
          <w:bCs/>
          <w:color w:val="auto"/>
          <w:spacing w:val="0"/>
          <w:sz w:val="21"/>
          <w:szCs w:val="21"/>
          <w:highlight w:val="none"/>
          <w:lang w:val="en-US" w:eastAsia="zh-CN"/>
        </w:rPr>
        <w:t>合同</w:t>
      </w:r>
      <w:r>
        <w:rPr>
          <w:rFonts w:hint="eastAsia" w:ascii="宋体" w:hAnsi="宋体"/>
          <w:b w:val="0"/>
          <w:bCs/>
          <w:color w:val="auto"/>
          <w:spacing w:val="0"/>
          <w:sz w:val="21"/>
          <w:szCs w:val="21"/>
          <w:highlight w:val="none"/>
        </w:rPr>
        <w:t>“考核要求”。</w:t>
      </w:r>
    </w:p>
    <w:p w14:paraId="05BBC169">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0EF79743">
      <w:pPr>
        <w:numPr>
          <w:ilvl w:val="0"/>
          <w:numId w:val="12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服务期：</w:t>
      </w:r>
      <w:r>
        <w:rPr>
          <w:rFonts w:hint="eastAsia" w:ascii="宋体" w:hAnsi="宋体"/>
          <w:color w:val="auto"/>
          <w:szCs w:val="21"/>
          <w:highlight w:val="none"/>
          <w:u w:val="single"/>
          <w:lang w:val="en-US" w:eastAsia="zh-CN"/>
        </w:rPr>
        <w:t>2025</w:t>
      </w:r>
      <w:r>
        <w:rPr>
          <w:rFonts w:hint="eastAsia" w:ascii="宋体" w:hAnsi="宋体"/>
          <w:color w:val="auto"/>
          <w:szCs w:val="21"/>
          <w:highlight w:val="none"/>
          <w:u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日至</w:t>
      </w:r>
      <w:r>
        <w:rPr>
          <w:rFonts w:hint="eastAsia" w:ascii="宋体" w:hAnsi="宋体"/>
          <w:color w:val="auto"/>
          <w:szCs w:val="21"/>
          <w:highlight w:val="none"/>
          <w:u w:val="single"/>
          <w:lang w:val="en-US" w:eastAsia="zh-CN"/>
        </w:rPr>
        <w:t>2026</w:t>
      </w:r>
      <w:r>
        <w:rPr>
          <w:rFonts w:hint="eastAsia" w:ascii="宋体" w:hAnsi="宋体"/>
          <w:color w:val="auto"/>
          <w:szCs w:val="21"/>
          <w:highlight w:val="none"/>
          <w:u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u w:val="none"/>
        </w:rPr>
        <w:t>日</w:t>
      </w:r>
      <w:r>
        <w:rPr>
          <w:rFonts w:hint="eastAsia" w:ascii="宋体" w:hAnsi="宋体"/>
          <w:color w:val="auto"/>
          <w:szCs w:val="21"/>
          <w:highlight w:val="none"/>
        </w:rPr>
        <w:t>(共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1</w:t>
      </w:r>
      <w:r>
        <w:rPr>
          <w:rFonts w:hint="eastAsia" w:ascii="宋体" w:hAnsi="宋体"/>
          <w:color w:val="auto"/>
          <w:szCs w:val="21"/>
          <w:highlight w:val="none"/>
          <w:u w:val="single"/>
        </w:rPr>
        <w:t xml:space="preserve"> </w:t>
      </w:r>
      <w:r>
        <w:rPr>
          <w:rFonts w:hint="eastAsia" w:ascii="宋体" w:hAnsi="宋体"/>
          <w:color w:val="auto"/>
          <w:szCs w:val="21"/>
          <w:highlight w:val="none"/>
        </w:rPr>
        <w:t>年)</w:t>
      </w:r>
    </w:p>
    <w:p w14:paraId="4D4275B3">
      <w:pPr>
        <w:numPr>
          <w:ilvl w:val="0"/>
          <w:numId w:val="129"/>
        </w:numPr>
        <w:snapToGrid w:val="0"/>
        <w:spacing w:line="360" w:lineRule="auto"/>
        <w:contextualSpacing/>
        <w:rPr>
          <w:rFonts w:hint="eastAsia" w:ascii="宋体" w:hAnsi="宋体" w:cs="宋体"/>
          <w:color w:val="auto"/>
          <w:szCs w:val="21"/>
          <w:highlight w:val="none"/>
        </w:rPr>
      </w:pPr>
      <w:r>
        <w:rPr>
          <w:rFonts w:hint="eastAsia" w:ascii="宋体" w:hAnsi="宋体" w:cs="宋体"/>
          <w:color w:val="auto"/>
          <w:szCs w:val="21"/>
          <w:highlight w:val="none"/>
        </w:rPr>
        <w:t>服务费用按月度进行核算，</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服务每满3个月为一个服务周期，每一服务周期满后10日内，</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根据对</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该周期内运维服务情况的考核（详见采购需求“考核要求”），考核结果无扣减费用情形，全额支付该周期服务费给</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；考核出现扣减费用情形，按照经双方确认</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通报的月考核评分结果，依据“考核要求”的规定支付实际应付款项</w:t>
      </w:r>
      <w:r>
        <w:rPr>
          <w:rFonts w:hint="eastAsia" w:ascii="宋体" w:hAnsi="宋体" w:cs="宋体"/>
          <w:color w:val="auto"/>
          <w:szCs w:val="21"/>
          <w:highlight w:val="none"/>
          <w:lang w:eastAsia="zh-CN"/>
        </w:rPr>
        <w:t>。</w:t>
      </w:r>
    </w:p>
    <w:p w14:paraId="4B72AF12">
      <w:pPr>
        <w:numPr>
          <w:ilvl w:val="0"/>
          <w:numId w:val="129"/>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根据实际应付款数额向</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提交请款申请及等额合法发票，</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应在收到</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合格请款资料的10个工作日内支付完毕，若因</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迟延提供请款材料</w:t>
      </w:r>
      <w:r>
        <w:rPr>
          <w:rFonts w:hint="eastAsia" w:ascii="宋体" w:hAnsi="宋体" w:cs="宋体"/>
          <w:color w:val="auto"/>
          <w:szCs w:val="21"/>
          <w:highlight w:val="none"/>
          <w:lang w:val="en-US" w:eastAsia="zh-CN"/>
        </w:rPr>
        <w:t>或请款材料不合格</w:t>
      </w:r>
      <w:r>
        <w:rPr>
          <w:rFonts w:hint="eastAsia" w:ascii="宋体" w:hAnsi="宋体" w:cs="宋体"/>
          <w:color w:val="auto"/>
          <w:szCs w:val="21"/>
          <w:highlight w:val="none"/>
        </w:rPr>
        <w:t>导致</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未在如上时间内付款的，</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不构成违约，并不承担任何相关责任。</w:t>
      </w:r>
    </w:p>
    <w:p w14:paraId="3640AF80">
      <w:pPr>
        <w:numPr>
          <w:ilvl w:val="0"/>
          <w:numId w:val="12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6A998BE7">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分包与转包</w:t>
      </w:r>
    </w:p>
    <w:p w14:paraId="1F9904EC">
      <w:pPr>
        <w:numPr>
          <w:ilvl w:val="0"/>
          <w:numId w:val="13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严禁转包，未经甲方书面同意不得分包</w:t>
      </w:r>
    </w:p>
    <w:p w14:paraId="4C5E89B5">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13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乙方违反合同及磋商文件约定的有关义务，对甲方造成经济损失的，应给予甲方经济赔偿；如造成重大损失的，甲方有权终止合同。</w:t>
      </w:r>
    </w:p>
    <w:p w14:paraId="5E2ED3B6">
      <w:pPr>
        <w:numPr>
          <w:ilvl w:val="0"/>
          <w:numId w:val="13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hint="eastAsia" w:ascii="宋体" w:hAnsi="宋体" w:cs="黑体"/>
          <w:color w:val="auto"/>
          <w:szCs w:val="21"/>
          <w:highlight w:val="none"/>
        </w:rPr>
        <w:t>的数额向甲方支付违约金；逾期15天或以上的，甲方有权终止合同，要求乙方一次性支付合同总金额</w:t>
      </w:r>
      <w:r>
        <w:rPr>
          <w:rFonts w:hint="eastAsia" w:ascii="宋体" w:hAnsi="宋体" w:cs="黑体"/>
          <w:color w:val="auto"/>
          <w:szCs w:val="21"/>
          <w:highlight w:val="none"/>
          <w:u w:val="single"/>
        </w:rPr>
        <w:t xml:space="preserve"> 20 %</w:t>
      </w:r>
      <w:r>
        <w:rPr>
          <w:rFonts w:hint="eastAsia" w:ascii="宋体" w:hAnsi="宋体" w:cs="黑体"/>
          <w:color w:val="auto"/>
          <w:szCs w:val="21"/>
          <w:highlight w:val="none"/>
        </w:rPr>
        <w:t>违约金，并且给甲方造成的经济损失由乙方承担赔偿责任。</w:t>
      </w:r>
    </w:p>
    <w:p w14:paraId="457CD1D2">
      <w:pPr>
        <w:numPr>
          <w:ilvl w:val="0"/>
          <w:numId w:val="131"/>
        </w:numPr>
        <w:tabs>
          <w:tab w:val="left" w:pos="84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w:t>
      </w:r>
      <w:r>
        <w:rPr>
          <w:rFonts w:hint="eastAsia" w:ascii="宋体" w:hAnsi="宋体"/>
          <w:color w:val="auto"/>
          <w:szCs w:val="21"/>
          <w:highlight w:val="none"/>
          <w:u w:val="single"/>
        </w:rPr>
        <w:t xml:space="preserve"> 20 %</w:t>
      </w:r>
      <w:r>
        <w:rPr>
          <w:rFonts w:hint="eastAsia" w:ascii="宋体" w:hAnsi="宋体"/>
          <w:color w:val="auto"/>
          <w:szCs w:val="21"/>
          <w:highlight w:val="none"/>
        </w:rPr>
        <w:t>的违约金，并且给甲方造成的经济损失由乙方承担赔偿责任。</w:t>
      </w:r>
    </w:p>
    <w:p w14:paraId="608A43EC">
      <w:pPr>
        <w:numPr>
          <w:ilvl w:val="0"/>
          <w:numId w:val="13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甲方有权从未支付的款项中直接扣除乙方的违约金，不足的部分由乙方另行补足。</w:t>
      </w:r>
    </w:p>
    <w:p w14:paraId="335C9E62">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13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凡与本合同有关而引起的一切争议，甲乙双方应首先通过友好协商解决，如经协商后仍不能达成协议时，任何一方可以向有管辖权的</w:t>
      </w:r>
      <w:r>
        <w:rPr>
          <w:rFonts w:hint="eastAsia" w:ascii="宋体" w:hAnsi="宋体"/>
          <w:color w:val="auto"/>
          <w:szCs w:val="21"/>
          <w:highlight w:val="none"/>
          <w:lang w:val="en-US" w:eastAsia="zh-CN"/>
        </w:rPr>
        <w:t>人民</w:t>
      </w:r>
      <w:r>
        <w:rPr>
          <w:rFonts w:hint="eastAsia" w:ascii="宋体" w:hAnsi="宋体"/>
          <w:color w:val="auto"/>
          <w:szCs w:val="21"/>
          <w:highlight w:val="none"/>
        </w:rPr>
        <w:t>法院提出诉讼。</w:t>
      </w:r>
    </w:p>
    <w:p w14:paraId="456DF742">
      <w:pPr>
        <w:numPr>
          <w:ilvl w:val="0"/>
          <w:numId w:val="13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13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100"/>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13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13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100"/>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13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本合同由双方法定代表人或委托代理人签字盖章后立即生效，具有同等法律效力，合同有效期随服务期结束而自然终止；</w:t>
      </w:r>
    </w:p>
    <w:p w14:paraId="6E6C19D7">
      <w:pPr>
        <w:numPr>
          <w:ilvl w:val="0"/>
          <w:numId w:val="13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w:t>
      </w:r>
    </w:p>
    <w:p w14:paraId="44284CEF">
      <w:pPr>
        <w:numPr>
          <w:ilvl w:val="0"/>
          <w:numId w:val="100"/>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13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13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13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1B2AA0C2">
      <w:pPr>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附件1：《保密协议》</w:t>
      </w: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A63E7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0B36C83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29FC68F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D138A9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6397E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28565CE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415382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B37DE8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r>
      <w:bookmarkEnd w:id="40"/>
      <w:bookmarkEnd w:id="41"/>
      <w:bookmarkEnd w:id="42"/>
    </w:tbl>
    <w:p w14:paraId="1EB57398">
      <w:pPr>
        <w:rPr>
          <w:rFonts w:asciiTheme="minorEastAsia" w:hAnsiTheme="minorEastAsia" w:eastAsiaTheme="minorEastAsia"/>
          <w:color w:val="auto"/>
          <w:spacing w:val="20"/>
          <w:sz w:val="32"/>
          <w:szCs w:val="32"/>
          <w:highlight w:val="none"/>
        </w:rPr>
      </w:pPr>
      <w:bookmarkStart w:id="44" w:name="_Toc169807545"/>
      <w:bookmarkStart w:id="45" w:name="_Toc169799784"/>
      <w:bookmarkStart w:id="46" w:name="_Toc170228133"/>
      <w:r>
        <w:rPr>
          <w:rFonts w:asciiTheme="minorEastAsia" w:hAnsiTheme="minorEastAsia" w:eastAsiaTheme="minorEastAsia"/>
          <w:color w:val="auto"/>
          <w:spacing w:val="20"/>
          <w:sz w:val="32"/>
          <w:szCs w:val="32"/>
          <w:highlight w:val="none"/>
        </w:rPr>
        <w:br w:type="page"/>
      </w:r>
    </w:p>
    <w:p w14:paraId="25B42B70">
      <w:pPr>
        <w:pStyle w:val="74"/>
        <w:spacing w:line="500" w:lineRule="atLeast"/>
        <w:outlineLvl w:val="0"/>
        <w:rPr>
          <w:rFonts w:hint="default" w:ascii="宋体" w:hAnsi="宋体" w:eastAsia="宋体" w:cs="宋体"/>
          <w:color w:val="auto"/>
          <w:sz w:val="21"/>
          <w:szCs w:val="21"/>
          <w:highlight w:val="none"/>
        </w:rPr>
      </w:pPr>
      <w:r>
        <w:rPr>
          <w:rFonts w:ascii="宋体" w:hAnsi="宋体" w:eastAsia="宋体" w:cs="宋体"/>
          <w:b/>
          <w:color w:val="auto"/>
          <w:sz w:val="21"/>
          <w:szCs w:val="21"/>
          <w:highlight w:val="none"/>
        </w:rPr>
        <w:t>附件</w:t>
      </w:r>
      <w:r>
        <w:rPr>
          <w:rFonts w:hint="eastAsia" w:ascii="宋体" w:hAnsi="宋体" w:eastAsia="宋体" w:cs="宋体"/>
          <w:b/>
          <w:color w:val="auto"/>
          <w:sz w:val="21"/>
          <w:szCs w:val="21"/>
          <w:highlight w:val="none"/>
          <w:lang w:val="en-US" w:eastAsia="zh-CN"/>
        </w:rPr>
        <w:t>1</w:t>
      </w:r>
      <w:r>
        <w:rPr>
          <w:rFonts w:ascii="宋体" w:hAnsi="宋体" w:eastAsia="宋体" w:cs="宋体"/>
          <w:b/>
          <w:color w:val="auto"/>
          <w:sz w:val="21"/>
          <w:szCs w:val="21"/>
          <w:highlight w:val="none"/>
        </w:rPr>
        <w:t>：</w:t>
      </w:r>
    </w:p>
    <w:p w14:paraId="663CA7BA">
      <w:pPr>
        <w:pStyle w:val="74"/>
        <w:spacing w:line="500" w:lineRule="atLeast"/>
        <w:jc w:val="center"/>
        <w:rPr>
          <w:rFonts w:hint="default" w:ascii="宋体" w:hAnsi="宋体" w:eastAsia="宋体" w:cs="宋体"/>
          <w:color w:val="auto"/>
          <w:sz w:val="32"/>
          <w:szCs w:val="32"/>
          <w:highlight w:val="none"/>
        </w:rPr>
      </w:pPr>
      <w:r>
        <w:rPr>
          <w:rFonts w:ascii="宋体" w:hAnsi="宋体" w:eastAsia="宋体" w:cs="宋体"/>
          <w:b/>
          <w:color w:val="auto"/>
          <w:sz w:val="32"/>
          <w:szCs w:val="32"/>
          <w:highlight w:val="none"/>
        </w:rPr>
        <w:t>保密协议</w:t>
      </w:r>
    </w:p>
    <w:p w14:paraId="3D36E95A">
      <w:pPr>
        <w:pStyle w:val="74"/>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宋体" w:hAnsi="宋体" w:eastAsia="宋体" w:cs="宋体"/>
          <w:color w:val="auto"/>
          <w:sz w:val="21"/>
          <w:szCs w:val="21"/>
          <w:highlight w:val="none"/>
          <w:u w:val="single"/>
          <w:lang w:val="en-US" w:eastAsia="zh-CN"/>
        </w:rPr>
      </w:pPr>
      <w:r>
        <w:rPr>
          <w:rFonts w:ascii="宋体" w:hAnsi="宋体" w:eastAsia="宋体" w:cs="宋体"/>
          <w:b/>
          <w:color w:val="auto"/>
          <w:sz w:val="21"/>
          <w:szCs w:val="21"/>
          <w:highlight w:val="none"/>
        </w:rPr>
        <w:t>甲方：</w:t>
      </w:r>
      <w:r>
        <w:rPr>
          <w:rFonts w:hint="eastAsia" w:ascii="宋体" w:hAnsi="宋体" w:eastAsia="宋体" w:cs="宋体"/>
          <w:b/>
          <w:color w:val="auto"/>
          <w:sz w:val="21"/>
          <w:szCs w:val="21"/>
          <w:highlight w:val="none"/>
          <w:u w:val="single"/>
          <w:lang w:val="en-US" w:eastAsia="zh-CN"/>
        </w:rPr>
        <w:t xml:space="preserve"> 东莞市公安局道滘分局 </w:t>
      </w:r>
    </w:p>
    <w:p w14:paraId="7979C77A">
      <w:pPr>
        <w:pStyle w:val="74"/>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宋体" w:hAnsi="宋体" w:eastAsia="宋体" w:cs="宋体"/>
          <w:color w:val="auto"/>
          <w:sz w:val="21"/>
          <w:szCs w:val="21"/>
          <w:highlight w:val="none"/>
          <w:lang w:eastAsia="zh-CN"/>
        </w:rPr>
      </w:pPr>
      <w:r>
        <w:rPr>
          <w:rFonts w:ascii="宋体" w:hAnsi="宋体" w:eastAsia="宋体" w:cs="宋体"/>
          <w:b/>
          <w:color w:val="auto"/>
          <w:sz w:val="21"/>
          <w:szCs w:val="21"/>
          <w:highlight w:val="none"/>
        </w:rPr>
        <w:t>乙方：</w:t>
      </w:r>
      <w:r>
        <w:rPr>
          <w:rFonts w:hint="eastAsia" w:ascii="宋体" w:hAnsi="宋体" w:eastAsia="宋体" w:cs="宋体"/>
          <w:b/>
          <w:color w:val="auto"/>
          <w:sz w:val="21"/>
          <w:szCs w:val="21"/>
          <w:highlight w:val="none"/>
          <w:u w:val="single"/>
          <w:lang w:val="en-US" w:eastAsia="zh-CN"/>
        </w:rPr>
        <w:t xml:space="preserve">                      </w:t>
      </w:r>
    </w:p>
    <w:p w14:paraId="6820FE32">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甲方委托乙方实施</w:t>
      </w:r>
      <w:r>
        <w:rPr>
          <w:rFonts w:hint="eastAsia" w:ascii="宋体" w:hAnsi="宋体" w:eastAsia="宋体" w:cs="宋体"/>
          <w:color w:val="auto"/>
          <w:sz w:val="21"/>
          <w:szCs w:val="21"/>
          <w:highlight w:val="none"/>
          <w:u w:val="single"/>
          <w:lang w:val="en-US" w:eastAsia="zh-CN"/>
        </w:rPr>
        <w:t>东莞市公安局道滘分局2025-2026年度电子警察及道路交通信号灯运维项目（项目编号：ZHDGZC2025014）</w:t>
      </w:r>
      <w:r>
        <w:rPr>
          <w:rFonts w:ascii="宋体" w:hAnsi="宋体" w:eastAsia="宋体" w:cs="宋体"/>
          <w:color w:val="auto"/>
          <w:sz w:val="21"/>
          <w:szCs w:val="21"/>
          <w:highlight w:val="none"/>
        </w:rPr>
        <w:t>，甲方有责任和权利要求乙方</w:t>
      </w:r>
      <w:r>
        <w:rPr>
          <w:rFonts w:hint="eastAsia" w:ascii="宋体" w:hAnsi="宋体" w:eastAsia="宋体" w:cs="宋体"/>
          <w:color w:val="auto"/>
          <w:sz w:val="21"/>
          <w:szCs w:val="21"/>
          <w:highlight w:val="none"/>
          <w:lang w:val="en-US" w:eastAsia="zh-CN"/>
        </w:rPr>
        <w:t>及其服务人员</w:t>
      </w:r>
      <w:r>
        <w:rPr>
          <w:rFonts w:ascii="宋体" w:hAnsi="宋体" w:eastAsia="宋体" w:cs="宋体"/>
          <w:color w:val="auto"/>
          <w:sz w:val="21"/>
          <w:szCs w:val="21"/>
          <w:highlight w:val="none"/>
        </w:rPr>
        <w:t>严格遵守国家保密法律、法规和相关规定，保守国家秘密和警务工作秘密。乙方</w:t>
      </w:r>
      <w:r>
        <w:rPr>
          <w:rFonts w:hint="eastAsia" w:ascii="宋体" w:hAnsi="宋体" w:eastAsia="宋体" w:cs="宋体"/>
          <w:color w:val="auto"/>
          <w:sz w:val="21"/>
          <w:szCs w:val="21"/>
          <w:highlight w:val="none"/>
          <w:lang w:val="en-US" w:eastAsia="zh-CN"/>
        </w:rPr>
        <w:t>及其服务人员</w:t>
      </w:r>
      <w:r>
        <w:rPr>
          <w:rFonts w:ascii="宋体" w:hAnsi="宋体" w:eastAsia="宋体" w:cs="宋体"/>
          <w:color w:val="auto"/>
          <w:sz w:val="21"/>
          <w:szCs w:val="21"/>
          <w:highlight w:val="none"/>
        </w:rPr>
        <w:t>应加强保密意识并严格遵守以下协议：</w:t>
      </w:r>
    </w:p>
    <w:p w14:paraId="7691749A">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一、严格遵守</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机关保密管理工作相关法律法规，保守在工作中所涉及的秘密，保密有效时间与国家对各具体秘密事项的保密期限要求相一致。不该说的秘密不说，不该知悉的秘密不问，不该看的秘密不看。</w:t>
      </w:r>
      <w:r>
        <w:rPr>
          <w:rFonts w:hint="eastAsia" w:ascii="宋体" w:hAnsi="宋体" w:eastAsia="宋体" w:cs="宋体"/>
          <w:color w:val="auto"/>
          <w:sz w:val="21"/>
          <w:szCs w:val="21"/>
          <w:highlight w:val="none"/>
          <w:lang w:val="en-US" w:eastAsia="zh-CN"/>
        </w:rPr>
        <w:t>乙方及其服务人员</w:t>
      </w:r>
      <w:r>
        <w:rPr>
          <w:rFonts w:hint="eastAsia" w:ascii="宋体" w:hAnsi="宋体" w:eastAsia="宋体" w:cs="宋体"/>
          <w:color w:val="auto"/>
          <w:sz w:val="21"/>
          <w:szCs w:val="21"/>
          <w:highlight w:val="none"/>
        </w:rPr>
        <w:t>对履行本合同期间知悉的</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信息负有保密责任，且保密责任不因本项目合同的终止而终止。</w:t>
      </w:r>
    </w:p>
    <w:p w14:paraId="30E11335">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二、</w:t>
      </w:r>
      <w:r>
        <w:rPr>
          <w:rFonts w:hint="eastAsia" w:ascii="宋体" w:hAnsi="宋体" w:eastAsia="宋体" w:cs="宋体"/>
          <w:color w:val="auto"/>
          <w:sz w:val="21"/>
          <w:szCs w:val="21"/>
          <w:highlight w:val="none"/>
        </w:rPr>
        <w:t>未经</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同意，</w:t>
      </w:r>
      <w:r>
        <w:rPr>
          <w:rFonts w:ascii="宋体" w:hAnsi="宋体" w:eastAsia="宋体" w:cs="宋体"/>
          <w:color w:val="auto"/>
          <w:sz w:val="21"/>
          <w:szCs w:val="21"/>
          <w:highlight w:val="none"/>
        </w:rPr>
        <w:t>不得擅自记录、复制、拍摄、摘抄、收藏</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单位的任何文件资料和信息</w:t>
      </w:r>
      <w:r>
        <w:rPr>
          <w:rFonts w:ascii="宋体" w:hAnsi="宋体" w:eastAsia="宋体" w:cs="宋体"/>
          <w:color w:val="auto"/>
          <w:sz w:val="21"/>
          <w:szCs w:val="21"/>
          <w:highlight w:val="none"/>
        </w:rPr>
        <w:t>；严禁将</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机关内部会议、谈话内容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甲方工作人员信息</w:t>
      </w:r>
      <w:r>
        <w:rPr>
          <w:rFonts w:ascii="宋体" w:hAnsi="宋体" w:eastAsia="宋体" w:cs="宋体"/>
          <w:color w:val="auto"/>
          <w:sz w:val="21"/>
          <w:szCs w:val="21"/>
          <w:highlight w:val="none"/>
        </w:rPr>
        <w:t>泄露给无关人员；严禁将工作中涉及的相关项目技术方案及实施规划透露给无关人员。</w:t>
      </w:r>
    </w:p>
    <w:p w14:paraId="1BAFAF55">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三、服从甲方的安排，依照有关法律、法规和合同规定工作，不得将工作过程中接触到的机关文件（包括内部发文、各类通知及会议记录等）的内容泄露给无关人员；不得翻阅与工作无关的文件和资料，不得从事其它与合同无关的工作。</w:t>
      </w:r>
    </w:p>
    <w:p w14:paraId="0D037E17">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四、如需接触</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信息网，应认真学习和遵守</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信息网使用相关规定，严禁“一机两用”。不得将从</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信息网上获得的警务工作相关信息透露给无关人员；严禁私自下载、拷贝计算机内的秘密和敏感信息；不得擅自携带记载工作内容的硬盘、软盘和打印资料外出；严禁将</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信息系统的程序、口令、密钥等泄露给无关人员。不得擅自携带记载工作内容的硬盘、软盘和打印资料外出。</w:t>
      </w:r>
    </w:p>
    <w:p w14:paraId="44868451">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五、不得通过互联网、政务网、微信等公众网络传输国家秘密或警务工作秘密，不得在</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网上传输国家秘密。</w:t>
      </w:r>
    </w:p>
    <w:p w14:paraId="1916C67E">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六、甲方所提供的文件、资料和设备等必须登记并履行签收手续，在</w:t>
      </w:r>
      <w:r>
        <w:rPr>
          <w:rFonts w:hint="eastAsia" w:ascii="宋体" w:hAnsi="宋体" w:eastAsia="宋体" w:cs="宋体"/>
          <w:color w:val="auto"/>
          <w:sz w:val="21"/>
          <w:szCs w:val="21"/>
          <w:highlight w:val="none"/>
          <w:lang w:val="en-US" w:eastAsia="zh-CN"/>
        </w:rPr>
        <w:t>项目</w:t>
      </w:r>
      <w:r>
        <w:rPr>
          <w:rFonts w:ascii="宋体" w:hAnsi="宋体" w:eastAsia="宋体" w:cs="宋体"/>
          <w:color w:val="auto"/>
          <w:sz w:val="21"/>
          <w:szCs w:val="21"/>
          <w:highlight w:val="none"/>
        </w:rPr>
        <w:t>验收前全部移交回甲方，乙方不得私自复印保留。</w:t>
      </w:r>
    </w:p>
    <w:p w14:paraId="69E7C494">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ascii="宋体" w:hAnsi="宋体" w:eastAsia="宋体" w:cs="宋体"/>
          <w:color w:val="auto"/>
          <w:sz w:val="21"/>
          <w:szCs w:val="21"/>
          <w:highlight w:val="none"/>
        </w:rPr>
      </w:pPr>
      <w:r>
        <w:rPr>
          <w:rFonts w:ascii="宋体" w:hAnsi="宋体" w:eastAsia="宋体" w:cs="宋体"/>
          <w:color w:val="auto"/>
          <w:sz w:val="21"/>
          <w:szCs w:val="21"/>
          <w:highlight w:val="none"/>
        </w:rPr>
        <w:t>七、不得带领无关人员进入办公场所。</w:t>
      </w:r>
    </w:p>
    <w:p w14:paraId="54491CD7">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八、乙方必须向甲方提供从事该项目的所有人员档案，甲方审核后，有权向乙方提出人员变更要求，乙方应据此调整人员安排。</w:t>
      </w:r>
    </w:p>
    <w:p w14:paraId="10371CF8">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九、乙方必须与从事该项目的人员签订保密承诺书，并开展保密教育，保密协议内容应听取甲方意见。乙方所签订保密承诺书和开展保密教育的记录均一式两份，分别由甲、乙方分别保存，作为日后保密审查的台账。</w:t>
      </w:r>
    </w:p>
    <w:p w14:paraId="3C92679A">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十、严禁泄露在工作中接触到的</w:t>
      </w:r>
      <w:r>
        <w:rPr>
          <w:rFonts w:hint="eastAsia" w:ascii="宋体" w:hAnsi="宋体" w:eastAsia="宋体" w:cs="宋体"/>
          <w:color w:val="auto"/>
          <w:sz w:val="21"/>
          <w:szCs w:val="21"/>
          <w:highlight w:val="none"/>
          <w:lang w:eastAsia="zh-CN"/>
        </w:rPr>
        <w:t>公安</w:t>
      </w:r>
      <w:r>
        <w:rPr>
          <w:rFonts w:ascii="宋体" w:hAnsi="宋体" w:eastAsia="宋体" w:cs="宋体"/>
          <w:color w:val="auto"/>
          <w:sz w:val="21"/>
          <w:szCs w:val="21"/>
          <w:highlight w:val="none"/>
        </w:rPr>
        <w:t>机关科技研究、发明、装备器材及其技术资料等国家科学技术秘密和警务工作秘密；不得发表涉及相关建设工作中国家秘密组织和警务工作秘密的技术文档和论文，未经甲方书面同意，乙方不得使用工程项目案例进行演示或宣传。</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不得利用项目实施期间获取的信息谋取不正当利益。</w:t>
      </w:r>
    </w:p>
    <w:p w14:paraId="041C1267">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十一、无论乙方</w:t>
      </w:r>
      <w:r>
        <w:rPr>
          <w:rFonts w:hint="eastAsia" w:ascii="宋体" w:hAnsi="宋体" w:eastAsia="宋体" w:cs="宋体"/>
          <w:color w:val="auto"/>
          <w:sz w:val="21"/>
          <w:szCs w:val="21"/>
          <w:highlight w:val="none"/>
          <w:lang w:val="en-US" w:eastAsia="zh-CN"/>
        </w:rPr>
        <w:t>及其工作人员</w:t>
      </w:r>
      <w:r>
        <w:rPr>
          <w:rFonts w:ascii="宋体" w:hAnsi="宋体" w:eastAsia="宋体" w:cs="宋体"/>
          <w:color w:val="auto"/>
          <w:sz w:val="21"/>
          <w:szCs w:val="21"/>
          <w:highlight w:val="none"/>
        </w:rPr>
        <w:t>今后完成项目建设工作或因故中途退出，均不得泄露所知悉的国家秘密和警务工作秘密。</w:t>
      </w:r>
      <w:r>
        <w:rPr>
          <w:rFonts w:hint="eastAsia" w:ascii="宋体" w:hAnsi="宋体" w:eastAsia="宋体" w:cs="宋体"/>
          <w:color w:val="auto"/>
          <w:sz w:val="21"/>
          <w:szCs w:val="21"/>
          <w:highlight w:val="none"/>
        </w:rPr>
        <w:t>本项目过程中至项目完成后任何时间段，</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必须采取有效措施对获悉和取得的数据、资料保密；如有故障，</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需要临时聘请专家进行现场解决的，须书面通知并征得</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同意，同时须签订保密协议，不得泄密系统数据、密码、用户手册资料等内容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未经</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书面授权同意，</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禁止将上述数据、资料为第三人知晓，否则，</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有权追究成交供应商法律和经济赔偿责任。</w:t>
      </w:r>
    </w:p>
    <w:p w14:paraId="27470C52">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十二、在实施项目过程中发现有泄密安全隐患或存在泄密风险，应立即停止施工、进行整改，并做好记录，直至隐患消除，经甲方审核同意方可继续施工。如发生国家秘密和警务工作秘密泄露，乙方应立即向甲方报告，并积极协助甲方及有关保密部门进行查处。</w:t>
      </w:r>
    </w:p>
    <w:p w14:paraId="35E21317">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十三、本协议视同合同的组成部分，对协议的任何修改，必须采取书面形式，并有双方法定代表人（或委托授权人）签字。</w:t>
      </w:r>
    </w:p>
    <w:p w14:paraId="55275550">
      <w:pPr>
        <w:pStyle w:val="74"/>
        <w:keepNext w:val="0"/>
        <w:keepLines w:val="0"/>
        <w:pageBreakBefore w:val="0"/>
        <w:widowControl/>
        <w:kinsoku/>
        <w:wordWrap/>
        <w:overflowPunct/>
        <w:topLinePunct w:val="0"/>
        <w:autoSpaceDE/>
        <w:autoSpaceDN/>
        <w:bidi w:val="0"/>
        <w:adjustRightInd/>
        <w:snapToGrid w:val="0"/>
        <w:spacing w:line="360" w:lineRule="auto"/>
        <w:ind w:firstLine="440"/>
        <w:textAlignment w:val="auto"/>
        <w:rPr>
          <w:rFonts w:hint="default" w:ascii="宋体" w:hAnsi="宋体" w:eastAsia="宋体" w:cs="宋体"/>
          <w:color w:val="auto"/>
          <w:sz w:val="21"/>
          <w:szCs w:val="21"/>
          <w:highlight w:val="none"/>
        </w:rPr>
      </w:pPr>
      <w:r>
        <w:rPr>
          <w:rFonts w:ascii="宋体" w:hAnsi="宋体" w:eastAsia="宋体" w:cs="宋体"/>
          <w:color w:val="auto"/>
          <w:sz w:val="21"/>
          <w:szCs w:val="21"/>
          <w:highlight w:val="none"/>
        </w:rPr>
        <w:t>十四、乙方如未能遵守上述协议，有违反保密规定行为而造成泄密的，甲方可依据有关规定追究乙方的责任并有权终止合同，同时乙方须向甲方支付与合同价款等额的赔偿金；构成犯罪的，将依法追究刑事责任。</w:t>
      </w:r>
    </w:p>
    <w:p w14:paraId="03210FC2">
      <w:pPr>
        <w:pStyle w:val="74"/>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宋体" w:hAnsi="宋体" w:eastAsia="宋体" w:cs="宋体"/>
          <w:color w:val="auto"/>
          <w:sz w:val="21"/>
          <w:szCs w:val="21"/>
          <w:highlight w:val="none"/>
        </w:rPr>
      </w:pPr>
    </w:p>
    <w:p w14:paraId="6DD97761">
      <w:pPr>
        <w:pStyle w:val="74"/>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宋体" w:hAnsi="宋体" w:eastAsia="宋体" w:cs="宋体"/>
          <w:color w:val="auto"/>
          <w:sz w:val="21"/>
          <w:szCs w:val="21"/>
          <w:highlight w:val="none"/>
        </w:rPr>
      </w:pP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05"/>
        <w:gridCol w:w="5081"/>
      </w:tblGrid>
      <w:tr w14:paraId="25F85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4" w:type="pct"/>
          </w:tcPr>
          <w:p w14:paraId="18A20C01">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735" w:type="pct"/>
          </w:tcPr>
          <w:p w14:paraId="4005455B">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76FBC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4" w:type="pct"/>
          </w:tcPr>
          <w:p w14:paraId="7D7696E9">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735" w:type="pct"/>
          </w:tcPr>
          <w:p w14:paraId="0492764C">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2F6C7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4" w:type="pct"/>
          </w:tcPr>
          <w:p w14:paraId="388567FE">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735" w:type="pct"/>
          </w:tcPr>
          <w:p w14:paraId="1D303AFA">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3F235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64" w:type="pct"/>
          </w:tcPr>
          <w:p w14:paraId="78A851B6">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735" w:type="pct"/>
          </w:tcPr>
          <w:p w14:paraId="6A5CCD3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r>
    </w:tbl>
    <w:p w14:paraId="32F36568">
      <w:pPr>
        <w:rPr>
          <w:rFonts w:asciiTheme="minorEastAsia" w:hAnsiTheme="minorEastAsia" w:eastAsiaTheme="minorEastAsia"/>
          <w:color w:val="auto"/>
          <w:spacing w:val="20"/>
          <w:sz w:val="32"/>
          <w:szCs w:val="32"/>
          <w:highlight w:val="none"/>
        </w:rPr>
      </w:pPr>
      <w:r>
        <w:rPr>
          <w:rFonts w:asciiTheme="minorEastAsia" w:hAnsiTheme="minorEastAsia" w:eastAsiaTheme="minorEastAsia"/>
          <w:color w:val="auto"/>
          <w:spacing w:val="20"/>
          <w:sz w:val="32"/>
          <w:szCs w:val="32"/>
          <w:highlight w:val="none"/>
        </w:rPr>
        <w:br w:type="page"/>
      </w:r>
    </w:p>
    <w:p w14:paraId="68A3D5F7">
      <w:pPr>
        <w:pStyle w:val="2"/>
        <w:keepNext w:val="0"/>
        <w:keepLines w:val="0"/>
        <w:pageBreakBefore/>
        <w:spacing w:after="240" w:line="360" w:lineRule="auto"/>
        <w:jc w:val="center"/>
        <w:rPr>
          <w:color w:val="auto"/>
          <w:kern w:val="0"/>
          <w:sz w:val="20"/>
          <w:szCs w:val="20"/>
          <w:highlight w:val="none"/>
          <w:lang w:eastAsia="zh-Hans"/>
        </w:rPr>
      </w:pPr>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4"/>
      <w:bookmarkEnd w:id="45"/>
      <w:bookmarkEnd w:id="46"/>
    </w:p>
    <w:p w14:paraId="70545053">
      <w:pPr>
        <w:widowControl/>
        <w:jc w:val="left"/>
        <w:rPr>
          <w:color w:val="auto"/>
          <w:kern w:val="0"/>
          <w:sz w:val="20"/>
          <w:szCs w:val="20"/>
          <w:highlight w:val="none"/>
          <w:lang w:eastAsia="zh-Hans"/>
        </w:rPr>
      </w:pPr>
    </w:p>
    <w:p w14:paraId="6D9A7A0F">
      <w:pPr>
        <w:spacing w:before="468" w:beforeLines="150"/>
        <w:jc w:val="center"/>
        <w:rPr>
          <w:rFonts w:hint="eastAsia" w:ascii="宋体" w:hAnsi="宋体" w:eastAsia="宋体"/>
          <w:b/>
          <w:bCs/>
          <w:color w:val="auto"/>
          <w:sz w:val="80"/>
          <w:szCs w:val="80"/>
          <w:highlight w:val="none"/>
          <w:lang w:eastAsia="zh-CN"/>
        </w:rPr>
      </w:pPr>
      <w:bookmarkStart w:id="47" w:name="_Toc169799785"/>
      <w:bookmarkStart w:id="48" w:name="_Hlk170195764"/>
      <w:r>
        <w:rPr>
          <w:rFonts w:hint="eastAsia" w:ascii="宋体" w:hAnsi="宋体"/>
          <w:b/>
          <w:bCs/>
          <w:color w:val="auto"/>
          <w:sz w:val="80"/>
          <w:szCs w:val="80"/>
          <w:highlight w:val="none"/>
          <w:lang w:eastAsia="zh-CN"/>
        </w:rPr>
        <w:t>东莞市公安局道滘分局2025-2026年度电子警察及道路交通信号灯运维项目</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7"/>
    </w:p>
    <w:p w14:paraId="50B3A474">
      <w:pPr>
        <w:spacing w:after="1560" w:afterLines="500"/>
        <w:jc w:val="center"/>
        <w:rPr>
          <w:rFonts w:hint="eastAsia" w:ascii="宋体" w:hAnsi="宋体" w:eastAsia="宋体"/>
          <w:b/>
          <w:bCs/>
          <w:color w:val="auto"/>
          <w:sz w:val="44"/>
          <w:szCs w:val="48"/>
          <w:highlight w:val="none"/>
          <w:lang w:eastAsia="zh-CN"/>
        </w:rPr>
      </w:pPr>
      <w:bookmarkStart w:id="49" w:name="_Toc169799786"/>
      <w:r>
        <w:rPr>
          <w:rFonts w:ascii="宋体" w:hAnsi="宋体"/>
          <w:b/>
          <w:bCs/>
          <w:color w:val="auto"/>
          <w:sz w:val="44"/>
          <w:szCs w:val="48"/>
          <w:highlight w:val="none"/>
        </w:rPr>
        <w:t>（正本/副本）</w:t>
      </w:r>
      <w:bookmarkEnd w:id="49"/>
    </w:p>
    <w:p w14:paraId="16B8CE1C">
      <w:pPr>
        <w:keepNext w:val="0"/>
        <w:keepLines w:val="0"/>
        <w:pageBreakBefore w:val="0"/>
        <w:widowControl/>
        <w:kinsoku/>
        <w:wordWrap/>
        <w:overflowPunct/>
        <w:topLinePunct w:val="0"/>
        <w:autoSpaceDE/>
        <w:autoSpaceDN/>
        <w:bidi w:val="0"/>
        <w:adjustRightInd/>
        <w:snapToGrid/>
        <w:spacing w:before="2497" w:beforeLines="800" w:line="360" w:lineRule="auto"/>
        <w:ind w:firstLine="1558" w:firstLineChars="485"/>
        <w:jc w:val="left"/>
        <w:textAlignment w:val="auto"/>
        <w:outlineLvl w:val="9"/>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r>
        <w:rPr>
          <w:rFonts w:hint="eastAsia" w:ascii="宋体" w:hAnsi="宋体"/>
          <w:b/>
          <w:color w:val="auto"/>
          <w:kern w:val="0"/>
          <w:sz w:val="32"/>
          <w:szCs w:val="32"/>
          <w:highlight w:val="none"/>
        </w:rPr>
        <w:t>ZHDGZC2025014</w:t>
      </w:r>
    </w:p>
    <w:p w14:paraId="4AC7C517">
      <w:pPr>
        <w:widowControl/>
        <w:spacing w:line="360" w:lineRule="auto"/>
        <w:ind w:firstLine="1558" w:firstLineChars="485"/>
        <w:jc w:val="left"/>
        <w:outlineLvl w:val="9"/>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9"/>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48"/>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响应承诺</w:t>
      </w:r>
      <w:r>
        <w:rPr>
          <w:color w:val="auto"/>
          <w:kern w:val="0"/>
          <w:sz w:val="21"/>
          <w:szCs w:val="21"/>
          <w:highlight w:val="none"/>
          <w:lang w:eastAsia="zh-Hans"/>
        </w:rPr>
        <w:t>函</w:t>
      </w:r>
    </w:p>
    <w:p w14:paraId="0781EDCA">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首次报价表</w:t>
      </w:r>
    </w:p>
    <w:p w14:paraId="0092BFB5">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中小企业声明函</w:t>
      </w:r>
    </w:p>
    <w:p w14:paraId="18D13542">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监狱企业</w:t>
      </w:r>
    </w:p>
    <w:p w14:paraId="2CF4E8CA">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残疾人福利性单位声明函</w:t>
      </w:r>
    </w:p>
    <w:p w14:paraId="4A935B1F">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color w:val="auto"/>
          <w:kern w:val="0"/>
          <w:sz w:val="21"/>
          <w:szCs w:val="21"/>
          <w:highlight w:val="none"/>
          <w:lang w:eastAsia="zh-Hans"/>
        </w:rPr>
        <w:t>政策适用性说明</w:t>
      </w:r>
    </w:p>
    <w:p w14:paraId="45E0E053">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法定代表人证明书</w:t>
      </w:r>
    </w:p>
    <w:p w14:paraId="5F0A9EE7">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法定代表人授权</w:t>
      </w:r>
      <w:r>
        <w:rPr>
          <w:rFonts w:hint="eastAsia"/>
          <w:color w:val="auto"/>
          <w:kern w:val="0"/>
          <w:sz w:val="21"/>
          <w:szCs w:val="21"/>
          <w:highlight w:val="none"/>
          <w:lang w:eastAsia="zh-Hans"/>
        </w:rPr>
        <w:t>委托</w:t>
      </w:r>
      <w:r>
        <w:rPr>
          <w:color w:val="auto"/>
          <w:kern w:val="0"/>
          <w:sz w:val="21"/>
          <w:szCs w:val="21"/>
          <w:highlight w:val="none"/>
          <w:lang w:eastAsia="zh-Hans"/>
        </w:rPr>
        <w:t>书</w:t>
      </w:r>
    </w:p>
    <w:p w14:paraId="5E81537C">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rPr>
        <w:t>资格条件承诺函</w:t>
      </w:r>
    </w:p>
    <w:p w14:paraId="226C9F8E">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color w:val="auto"/>
          <w:kern w:val="0"/>
          <w:sz w:val="21"/>
          <w:szCs w:val="21"/>
          <w:highlight w:val="none"/>
          <w:lang w:eastAsia="zh-Hans"/>
        </w:rPr>
        <w:t>提供具有独立承担民事责任的能力的证明材料</w:t>
      </w:r>
    </w:p>
    <w:p w14:paraId="3C31C674">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拟投入本项目设备情况表</w:t>
      </w:r>
    </w:p>
    <w:p w14:paraId="5C972F00">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项目技术服务人员情况表</w:t>
      </w:r>
    </w:p>
    <w:p w14:paraId="2EF2EB31">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项目负责人简历表</w:t>
      </w:r>
    </w:p>
    <w:p w14:paraId="383588A0">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供应商业绩情况表</w:t>
      </w:r>
    </w:p>
    <w:p w14:paraId="78C72316">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技术和服务要求响应表</w:t>
      </w:r>
    </w:p>
    <w:p w14:paraId="0A99EF58">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商务条件响应表</w:t>
      </w:r>
    </w:p>
    <w:p w14:paraId="082762C3">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 w:val="21"/>
          <w:szCs w:val="21"/>
          <w:highlight w:val="none"/>
          <w:lang w:eastAsia="zh-Hans"/>
        </w:rPr>
      </w:pPr>
      <w:r>
        <w:rPr>
          <w:rFonts w:hint="eastAsia"/>
          <w:color w:val="auto"/>
          <w:kern w:val="0"/>
          <w:sz w:val="21"/>
          <w:szCs w:val="21"/>
          <w:highlight w:val="none"/>
          <w:lang w:eastAsia="zh-Hans"/>
        </w:rPr>
        <w:t>★号条款响应表</w:t>
      </w:r>
    </w:p>
    <w:p w14:paraId="4E7FA942">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各类证明材料</w:t>
      </w:r>
    </w:p>
    <w:p w14:paraId="128D1BDA">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rPr>
      </w:pPr>
      <w:r>
        <w:rPr>
          <w:rFonts w:hint="eastAsia"/>
          <w:color w:val="auto"/>
          <w:kern w:val="0"/>
          <w:sz w:val="21"/>
          <w:szCs w:val="21"/>
          <w:highlight w:val="none"/>
          <w:lang w:eastAsia="zh-Hans"/>
        </w:rPr>
        <w:t>采购代理服务费支付承诺书</w:t>
      </w:r>
    </w:p>
    <w:p w14:paraId="4A7229A0">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询问函、质疑函、投诉书格式</w:t>
      </w:r>
    </w:p>
    <w:p w14:paraId="41AC0ED3">
      <w:pPr>
        <w:keepNext w:val="0"/>
        <w:keepLines w:val="0"/>
        <w:pageBreakBefore w:val="0"/>
        <w:widowControl/>
        <w:numPr>
          <w:ilvl w:val="0"/>
          <w:numId w:val="136"/>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highlight w:val="none"/>
          <w:lang w:eastAsia="zh-Hans"/>
        </w:rPr>
      </w:pPr>
      <w:r>
        <w:rPr>
          <w:rFonts w:hint="eastAsia"/>
          <w:color w:val="auto"/>
          <w:kern w:val="0"/>
          <w:sz w:val="21"/>
          <w:szCs w:val="21"/>
          <w:highlight w:val="none"/>
          <w:lang w:eastAsia="zh-Hans"/>
        </w:rPr>
        <w:t>总体服务方案、服务质量保障方案、服务人员配置方案、故障排除及应急方案、重保时期保障方案</w:t>
      </w:r>
      <w:r>
        <w:rPr>
          <w:color w:val="auto"/>
          <w:kern w:val="0"/>
          <w:sz w:val="21"/>
          <w:szCs w:val="21"/>
          <w:highlight w:val="none"/>
          <w:lang w:eastAsia="zh-Hans"/>
        </w:rPr>
        <w:t>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0"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0"/>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1" w:name="_Toc169799787"/>
      <w:r>
        <w:rPr>
          <w:rFonts w:ascii="宋体" w:hAnsi="宋体"/>
          <w:b/>
          <w:bCs/>
          <w:color w:val="auto"/>
          <w:sz w:val="24"/>
          <w:szCs w:val="28"/>
          <w:highlight w:val="none"/>
        </w:rPr>
        <w:t>格式一：</w:t>
      </w:r>
      <w:bookmarkEnd w:id="51"/>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rFonts w:hint="default" w:eastAsia="宋体"/>
          <w:b/>
          <w:bCs/>
          <w:color w:val="auto"/>
          <w:kern w:val="0"/>
          <w:sz w:val="20"/>
          <w:szCs w:val="20"/>
          <w:highlight w:val="none"/>
          <w:lang w:val="en-US" w:eastAsia="zh-CN"/>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r>
        <w:rPr>
          <w:rFonts w:hint="eastAsia"/>
          <w:b/>
          <w:bCs/>
          <w:color w:val="auto"/>
          <w:kern w:val="0"/>
          <w:sz w:val="20"/>
          <w:szCs w:val="20"/>
          <w:highlight w:val="none"/>
          <w:lang w:val="en-US" w:eastAsia="zh-CN"/>
        </w:rPr>
        <w:t>东莞分公司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val="en-US" w:eastAsia="zh-CN"/>
        </w:rPr>
        <w:t>采购</w:t>
      </w:r>
      <w:r>
        <w:rPr>
          <w:rFonts w:hint="eastAsia" w:ascii="宋体" w:hAnsi="宋体"/>
          <w:color w:val="auto"/>
          <w:kern w:val="0"/>
          <w:szCs w:val="21"/>
          <w:highlight w:val="none"/>
          <w:lang w:eastAsia="zh-Hans"/>
        </w:rPr>
        <w:t>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2" w:name="_Toc169799788"/>
      <w:r>
        <w:rPr>
          <w:rFonts w:ascii="宋体" w:hAnsi="宋体"/>
          <w:b/>
          <w:bCs/>
          <w:color w:val="auto"/>
          <w:sz w:val="24"/>
          <w:szCs w:val="28"/>
          <w:highlight w:val="none"/>
        </w:rPr>
        <w:t>格式二：</w:t>
      </w:r>
      <w:bookmarkEnd w:id="52"/>
    </w:p>
    <w:p w14:paraId="299FD221">
      <w:pPr>
        <w:widowControl/>
        <w:jc w:val="center"/>
        <w:outlineLvl w:val="3"/>
        <w:rPr>
          <w:rFonts w:hint="eastAsia" w:eastAsia="宋体"/>
          <w:b/>
          <w:color w:val="auto"/>
          <w:kern w:val="0"/>
          <w:sz w:val="32"/>
          <w:highlight w:val="none"/>
          <w:lang w:eastAsia="zh-CN"/>
        </w:rPr>
      </w:pPr>
      <w:r>
        <w:rPr>
          <w:rFonts w:hint="eastAsia"/>
          <w:b/>
          <w:color w:val="auto"/>
          <w:kern w:val="0"/>
          <w:sz w:val="32"/>
          <w:highlight w:val="none"/>
          <w:lang w:eastAsia="zh-Hans"/>
        </w:rPr>
        <w:t>首次报价表</w:t>
      </w:r>
    </w:p>
    <w:p w14:paraId="6395CB0B">
      <w:pPr>
        <w:widowControl/>
        <w:jc w:val="center"/>
        <w:outlineLvl w:val="3"/>
        <w:rPr>
          <w:rFonts w:hint="eastAsia" w:eastAsia="宋体"/>
          <w:b/>
          <w:color w:val="auto"/>
          <w:kern w:val="0"/>
          <w:sz w:val="32"/>
          <w:highlight w:val="none"/>
          <w:lang w:eastAsia="zh-CN"/>
        </w:rPr>
      </w:pP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28"/>
        <w:gridCol w:w="2321"/>
        <w:gridCol w:w="1899"/>
        <w:gridCol w:w="3240"/>
        <w:gridCol w:w="991"/>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44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序号</w:t>
            </w:r>
          </w:p>
        </w:tc>
        <w:tc>
          <w:tcPr>
            <w:tcW w:w="1250"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项目名称及项目编号</w:t>
            </w:r>
          </w:p>
        </w:tc>
        <w:tc>
          <w:tcPr>
            <w:tcW w:w="1023" w:type="pct"/>
            <w:tcBorders>
              <w:top w:val="single" w:color="auto" w:sz="4" w:space="0"/>
              <w:left w:val="single" w:color="auto" w:sz="4" w:space="0"/>
              <w:bottom w:val="single" w:color="auto" w:sz="4" w:space="0"/>
              <w:right w:val="single" w:color="auto" w:sz="4" w:space="0"/>
            </w:tcBorders>
            <w:vAlign w:val="center"/>
          </w:tcPr>
          <w:p w14:paraId="5AFD8696">
            <w:pPr>
              <w:overflowPunct w:val="0"/>
              <w:adjustRightInd w:val="0"/>
              <w:spacing w:line="460" w:lineRule="exact"/>
              <w:jc w:val="center"/>
              <w:rPr>
                <w:rFonts w:hint="eastAsia" w:ascii="宋体" w:hAnsi="宋体" w:eastAsia="宋体"/>
                <w:b/>
                <w:color w:val="auto"/>
                <w:szCs w:val="21"/>
                <w:highlight w:val="none"/>
                <w:lang w:val="en-US" w:eastAsia="zh-CN"/>
              </w:rPr>
            </w:pPr>
            <w:r>
              <w:rPr>
                <w:rFonts w:hint="eastAsia" w:ascii="宋体" w:hAnsi="宋体"/>
                <w:b/>
                <w:color w:val="auto"/>
                <w:szCs w:val="21"/>
                <w:highlight w:val="none"/>
                <w:lang w:val="en-US" w:eastAsia="zh-CN"/>
              </w:rPr>
              <w:t>响应</w:t>
            </w:r>
            <w:r>
              <w:rPr>
                <w:rFonts w:hint="eastAsia" w:ascii="宋体" w:hAnsi="宋体" w:eastAsia="宋体"/>
                <w:b/>
                <w:color w:val="auto"/>
                <w:szCs w:val="21"/>
                <w:highlight w:val="none"/>
                <w:lang w:val="en-US" w:eastAsia="zh-CN"/>
              </w:rPr>
              <w:t>单价</w:t>
            </w:r>
          </w:p>
          <w:p w14:paraId="3656E61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（单位：元</w:t>
            </w:r>
            <w:r>
              <w:rPr>
                <w:rFonts w:hint="eastAsia" w:ascii="宋体" w:hAnsi="宋体" w:eastAsia="宋体"/>
                <w:b/>
                <w:color w:val="auto"/>
                <w:szCs w:val="21"/>
                <w:highlight w:val="none"/>
                <w:lang w:val="en-US" w:eastAsia="zh-CN"/>
              </w:rPr>
              <w:t>/月</w:t>
            </w:r>
            <w:r>
              <w:rPr>
                <w:rFonts w:hint="eastAsia" w:ascii="宋体" w:hAnsi="宋体" w:eastAsia="宋体"/>
                <w:b/>
                <w:color w:val="auto"/>
                <w:szCs w:val="21"/>
                <w:highlight w:val="none"/>
              </w:rPr>
              <w:t>）</w:t>
            </w:r>
          </w:p>
        </w:tc>
        <w:tc>
          <w:tcPr>
            <w:tcW w:w="1745" w:type="pct"/>
            <w:tcBorders>
              <w:top w:val="single" w:color="auto" w:sz="4" w:space="0"/>
              <w:left w:val="single" w:color="auto" w:sz="4" w:space="0"/>
              <w:right w:val="single" w:color="auto" w:sz="4" w:space="0"/>
            </w:tcBorders>
            <w:vAlign w:val="center"/>
          </w:tcPr>
          <w:p w14:paraId="14C006B5">
            <w:pPr>
              <w:overflowPunct w:val="0"/>
              <w:adjustRightInd w:val="0"/>
              <w:spacing w:line="460" w:lineRule="exact"/>
              <w:jc w:val="center"/>
              <w:rPr>
                <w:rFonts w:hint="eastAsia" w:ascii="宋体" w:hAnsi="宋体" w:eastAsia="宋体"/>
                <w:b/>
                <w:color w:val="auto"/>
                <w:szCs w:val="21"/>
                <w:highlight w:val="none"/>
                <w:lang w:val="en-US" w:eastAsia="zh-CN"/>
              </w:rPr>
            </w:pPr>
            <w:r>
              <w:rPr>
                <w:rFonts w:hint="eastAsia" w:ascii="宋体" w:hAnsi="宋体" w:eastAsia="宋体"/>
                <w:b/>
                <w:color w:val="auto"/>
                <w:szCs w:val="21"/>
                <w:highlight w:val="none"/>
                <w:lang w:val="en-US" w:eastAsia="zh-CN"/>
              </w:rPr>
              <w:t>总报价</w:t>
            </w:r>
          </w:p>
          <w:p w14:paraId="245B0479">
            <w:pPr>
              <w:overflowPunct w:val="0"/>
              <w:adjustRightInd w:val="0"/>
              <w:spacing w:line="460" w:lineRule="exact"/>
              <w:jc w:val="center"/>
              <w:rPr>
                <w:rFonts w:hint="default" w:ascii="宋体" w:hAnsi="宋体" w:eastAsia="宋体"/>
                <w:b/>
                <w:color w:val="auto"/>
                <w:szCs w:val="21"/>
                <w:highlight w:val="none"/>
                <w:lang w:val="en-US" w:eastAsia="zh-CN"/>
              </w:rPr>
            </w:pPr>
            <w:r>
              <w:rPr>
                <w:rFonts w:hint="eastAsia" w:ascii="宋体" w:hAnsi="宋体" w:eastAsia="宋体"/>
                <w:b/>
                <w:color w:val="auto"/>
                <w:szCs w:val="21"/>
                <w:highlight w:val="none"/>
                <w:lang w:val="en-US" w:eastAsia="zh-CN"/>
              </w:rPr>
              <w:t>（单位：元）</w:t>
            </w:r>
          </w:p>
        </w:tc>
        <w:tc>
          <w:tcPr>
            <w:tcW w:w="534"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auto"/>
                <w:szCs w:val="21"/>
                <w:highlight w:val="none"/>
              </w:rPr>
            </w:pPr>
            <w:r>
              <w:rPr>
                <w:rFonts w:hint="eastAsia" w:ascii="宋体" w:hAnsi="宋体" w:eastAsia="宋体"/>
                <w:b/>
                <w:color w:val="auto"/>
                <w:szCs w:val="21"/>
                <w:highlight w:val="none"/>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44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auto"/>
                <w:szCs w:val="21"/>
                <w:highlight w:val="none"/>
              </w:rPr>
            </w:pPr>
            <w:r>
              <w:rPr>
                <w:rFonts w:ascii="宋体" w:hAnsi="宋体" w:eastAsia="宋体"/>
                <w:color w:val="auto"/>
                <w:szCs w:val="21"/>
                <w:highlight w:val="none"/>
              </w:rPr>
              <w:t>1</w:t>
            </w:r>
          </w:p>
        </w:tc>
        <w:tc>
          <w:tcPr>
            <w:tcW w:w="1250"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auto"/>
                <w:szCs w:val="21"/>
                <w:highlight w:val="none"/>
              </w:rPr>
            </w:pPr>
          </w:p>
        </w:tc>
        <w:tc>
          <w:tcPr>
            <w:tcW w:w="1023" w:type="pct"/>
            <w:tcBorders>
              <w:top w:val="single" w:color="auto" w:sz="4" w:space="0"/>
              <w:left w:val="single" w:color="auto" w:sz="4" w:space="0"/>
              <w:bottom w:val="single" w:color="auto" w:sz="4" w:space="0"/>
              <w:right w:val="single" w:color="auto" w:sz="4" w:space="0"/>
            </w:tcBorders>
            <w:vAlign w:val="center"/>
          </w:tcPr>
          <w:p w14:paraId="53F84E75">
            <w:pPr>
              <w:overflowPunct w:val="0"/>
              <w:adjustRightInd w:val="0"/>
              <w:spacing w:line="460" w:lineRule="exact"/>
              <w:jc w:val="left"/>
              <w:rPr>
                <w:rFonts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5A4476BF">
            <w:pPr>
              <w:overflowPunct w:val="0"/>
              <w:adjustRightInd w:val="0"/>
              <w:spacing w:line="460" w:lineRule="exact"/>
              <w:jc w:val="left"/>
              <w:rPr>
                <w:rFonts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755E48AB">
            <w:pPr>
              <w:overflowPunct w:val="0"/>
              <w:adjustRightInd w:val="0"/>
              <w:spacing w:line="460" w:lineRule="exact"/>
              <w:jc w:val="left"/>
              <w:rPr>
                <w:rFonts w:hint="eastAsia" w:ascii="宋体" w:hAnsi="宋体" w:eastAsia="宋体"/>
                <w:color w:val="auto"/>
                <w:szCs w:val="21"/>
                <w:highlight w:val="none"/>
                <w:u w:val="single"/>
                <w:lang w:val="en-US" w:eastAsia="zh-CN"/>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534" w:type="pct"/>
            <w:tcBorders>
              <w:top w:val="single" w:color="auto" w:sz="4" w:space="0"/>
              <w:left w:val="single" w:color="auto" w:sz="4" w:space="0"/>
              <w:bottom w:val="single" w:color="auto" w:sz="4" w:space="0"/>
              <w:right w:val="single" w:color="auto" w:sz="4" w:space="0"/>
            </w:tcBorders>
            <w:vAlign w:val="center"/>
          </w:tcPr>
          <w:p w14:paraId="6BE61FF3">
            <w:pPr>
              <w:overflowPunct w:val="0"/>
              <w:adjustRightInd w:val="0"/>
              <w:spacing w:line="460" w:lineRule="exact"/>
              <w:jc w:val="center"/>
              <w:rPr>
                <w:rFonts w:hint="eastAsia" w:ascii="宋体" w:hAnsi="宋体" w:eastAsia="宋体"/>
                <w:color w:val="auto"/>
                <w:szCs w:val="21"/>
                <w:highlight w:val="none"/>
                <w:lang w:val="en-US" w:eastAsia="zh-CN"/>
              </w:rPr>
            </w:pPr>
          </w:p>
        </w:tc>
      </w:tr>
    </w:tbl>
    <w:p w14:paraId="21D859BC">
      <w:pPr>
        <w:widowControl/>
        <w:snapToGrid w:val="0"/>
        <w:spacing w:line="360" w:lineRule="auto"/>
        <w:contextualSpacing/>
        <w:jc w:val="left"/>
        <w:rPr>
          <w:color w:val="auto"/>
          <w:kern w:val="0"/>
          <w:szCs w:val="21"/>
          <w:highlight w:val="none"/>
        </w:rPr>
      </w:pPr>
    </w:p>
    <w:p w14:paraId="27C574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70"/>
        <w:keepNext w:val="0"/>
        <w:keepLines w:val="0"/>
        <w:pageBreakBefore w:val="0"/>
        <w:widowControl w:val="0"/>
        <w:numPr>
          <w:ilvl w:val="0"/>
          <w:numId w:val="137"/>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70"/>
        <w:keepNext w:val="0"/>
        <w:keepLines w:val="0"/>
        <w:pageBreakBefore w:val="0"/>
        <w:widowControl w:val="0"/>
        <w:numPr>
          <w:ilvl w:val="0"/>
          <w:numId w:val="137"/>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首次报价表内容与</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文件中相应内容不一致的，以首次报价表为准</w:t>
      </w:r>
      <w:r>
        <w:rPr>
          <w:rFonts w:hint="eastAsia" w:ascii="宋体" w:hAnsi="宋体" w:eastAsia="宋体" w:cs="宋体"/>
          <w:color w:val="auto"/>
          <w:sz w:val="21"/>
          <w:szCs w:val="21"/>
          <w:highlight w:val="none"/>
          <w:lang w:eastAsia="zh-CN"/>
        </w:rPr>
        <w:t>；</w:t>
      </w:r>
    </w:p>
    <w:p w14:paraId="016E00C1">
      <w:pPr>
        <w:pStyle w:val="70"/>
        <w:keepNext w:val="0"/>
        <w:keepLines w:val="0"/>
        <w:pageBreakBefore w:val="0"/>
        <w:widowControl w:val="0"/>
        <w:numPr>
          <w:ilvl w:val="0"/>
          <w:numId w:val="137"/>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大写金额和小写金额不一致的，以大写金额为准</w:t>
      </w:r>
      <w:r>
        <w:rPr>
          <w:rFonts w:hint="eastAsia" w:ascii="宋体" w:hAnsi="宋体" w:eastAsia="宋体" w:cs="宋体"/>
          <w:color w:val="auto"/>
          <w:sz w:val="21"/>
          <w:szCs w:val="21"/>
          <w:highlight w:val="none"/>
          <w:lang w:eastAsia="zh-CN"/>
        </w:rPr>
        <w:t>；</w:t>
      </w:r>
    </w:p>
    <w:p w14:paraId="72E9C903">
      <w:pPr>
        <w:pStyle w:val="70"/>
        <w:keepNext w:val="0"/>
        <w:keepLines w:val="0"/>
        <w:pageBreakBefore w:val="0"/>
        <w:widowControl w:val="0"/>
        <w:numPr>
          <w:ilvl w:val="0"/>
          <w:numId w:val="137"/>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本项目服务期共计12个月，</w:t>
      </w:r>
      <w:r>
        <w:rPr>
          <w:rFonts w:hint="eastAsia" w:ascii="宋体" w:hAnsi="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lang w:val="en-US" w:eastAsia="zh-CN"/>
        </w:rPr>
        <w:t>须按服务期及</w:t>
      </w:r>
      <w:r>
        <w:rPr>
          <w:rFonts w:hint="eastAsia" w:ascii="宋体" w:hAnsi="宋体" w:cs="宋体"/>
          <w:b/>
          <w:bCs/>
          <w:color w:val="auto"/>
          <w:sz w:val="21"/>
          <w:szCs w:val="21"/>
          <w:highlight w:val="none"/>
          <w:lang w:val="en-US" w:eastAsia="zh-CN"/>
        </w:rPr>
        <w:t>响应</w:t>
      </w:r>
      <w:r>
        <w:rPr>
          <w:rFonts w:hint="eastAsia" w:ascii="宋体" w:hAnsi="宋体" w:eastAsia="宋体" w:cs="宋体"/>
          <w:b/>
          <w:bCs/>
          <w:color w:val="auto"/>
          <w:sz w:val="21"/>
          <w:szCs w:val="21"/>
          <w:highlight w:val="none"/>
          <w:lang w:val="en-US" w:eastAsia="zh-CN"/>
        </w:rPr>
        <w:t>单价填写总报价。</w:t>
      </w:r>
    </w:p>
    <w:p w14:paraId="343F7493">
      <w:pPr>
        <w:widowControl/>
        <w:jc w:val="left"/>
        <w:rPr>
          <w:rFonts w:ascii="Calibri" w:hAnsi="Calibri" w:eastAsia="宋体" w:cs="Times New Roman"/>
          <w:color w:val="auto"/>
          <w:kern w:val="0"/>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63DBFF12">
            <w:pPr>
              <w:keepNext w:val="0"/>
              <w:keepLines w:val="0"/>
              <w:pageBreakBefore w:val="0"/>
              <w:widowControl w:val="0"/>
              <w:kinsoku/>
              <w:wordWrap/>
              <w:overflowPunct w:val="0"/>
              <w:topLinePunct w:val="0"/>
              <w:autoSpaceDE/>
              <w:autoSpaceDN/>
              <w:bidi w:val="0"/>
              <w:adjustRightInd w:val="0"/>
              <w:snapToGrid/>
              <w:spacing w:line="360" w:lineRule="auto"/>
              <w:textAlignment w:val="auto"/>
              <w:rPr>
                <w:rFonts w:ascii="宋体" w:hAnsi="宋体" w:eastAsia="宋体"/>
                <w:color w:val="auto"/>
                <w:szCs w:val="21"/>
                <w:highlight w:val="none"/>
              </w:rPr>
            </w:pP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rPr>
              <w:t>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keepNext w:val="0"/>
              <w:keepLines w:val="0"/>
              <w:pageBreakBefore w:val="0"/>
              <w:widowControl w:val="0"/>
              <w:kinsoku/>
              <w:wordWrap/>
              <w:topLinePunct w:val="0"/>
              <w:autoSpaceDE/>
              <w:autoSpaceDN/>
              <w:bidi w:val="0"/>
              <w:snapToGrid/>
              <w:spacing w:line="360" w:lineRule="auto"/>
              <w:textAlignment w:val="auto"/>
              <w:rPr>
                <w:rFonts w:ascii="宋体" w:hAnsi="宋体" w:eastAsia="宋体"/>
                <w:color w:val="auto"/>
                <w:szCs w:val="21"/>
                <w:highlight w:val="none"/>
              </w:rPr>
            </w:pPr>
            <w:r>
              <w:rPr>
                <w:rFonts w:hint="eastAsia" w:ascii="宋体" w:hAnsi="宋体"/>
                <w:color w:val="auto"/>
                <w:szCs w:val="21"/>
                <w:highlight w:val="none"/>
                <w:lang w:val="en-US" w:eastAsia="zh-CN"/>
              </w:rPr>
              <w:t>供应商</w:t>
            </w:r>
            <w:r>
              <w:rPr>
                <w:rFonts w:hint="eastAsia" w:ascii="宋体" w:hAnsi="宋体" w:eastAsia="宋体"/>
                <w:color w:val="auto"/>
                <w:szCs w:val="21"/>
                <w:highlight w:val="none"/>
              </w:rPr>
              <w:t>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keepNext w:val="0"/>
              <w:keepLines w:val="0"/>
              <w:pageBreakBefore w:val="0"/>
              <w:widowControl w:val="0"/>
              <w:kinsoku/>
              <w:wordWrap/>
              <w:topLinePunct w:val="0"/>
              <w:autoSpaceDE/>
              <w:autoSpaceDN/>
              <w:bidi w:val="0"/>
              <w:snapToGrid/>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65F8ED15">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13835997">
      <w:pPr>
        <w:pageBreakBefore/>
        <w:rPr>
          <w:rFonts w:ascii="宋体" w:hAnsi="宋体"/>
          <w:color w:val="auto"/>
          <w:kern w:val="0"/>
          <w:szCs w:val="21"/>
          <w:highlight w:val="none"/>
          <w:lang w:eastAsia="zh-Hans"/>
        </w:rPr>
      </w:pPr>
      <w:bookmarkStart w:id="53" w:name="_Toc169799790"/>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三</w:t>
      </w:r>
      <w:r>
        <w:rPr>
          <w:rFonts w:ascii="宋体" w:hAnsi="宋体"/>
          <w:b/>
          <w:bCs/>
          <w:color w:val="auto"/>
          <w:sz w:val="24"/>
          <w:szCs w:val="28"/>
          <w:highlight w:val="none"/>
        </w:rPr>
        <w:t>：</w:t>
      </w:r>
      <w:bookmarkEnd w:id="53"/>
    </w:p>
    <w:p w14:paraId="3110C1C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color w:val="auto"/>
          <w:kern w:val="0"/>
          <w:szCs w:val="21"/>
          <w:highlight w:val="none"/>
          <w:lang w:eastAsia="zh-Hans"/>
        </w:rPr>
      </w:pPr>
      <w:r>
        <w:rPr>
          <w:rFonts w:ascii="宋体" w:hAnsi="宋体"/>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中小企业声明函（工程、服务）</w:t>
      </w:r>
    </w:p>
    <w:p w14:paraId="0581CB72">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本公司（联合体）郑重声明，根据《政府采购促进中小企业发展管理办法》（财库﹝2020﹞46号）的规定，本公司（联合体）参加</w:t>
      </w:r>
      <w:r>
        <w:rPr>
          <w:rFonts w:ascii="宋体" w:hAnsi="宋体"/>
          <w:color w:val="auto"/>
          <w:kern w:val="0"/>
          <w:szCs w:val="21"/>
          <w:highlight w:val="none"/>
          <w:u w:val="single"/>
          <w:lang w:eastAsia="zh-Hans"/>
        </w:rPr>
        <w:t>（单位名称）</w:t>
      </w:r>
      <w:r>
        <w:rPr>
          <w:rFonts w:ascii="宋体" w:hAnsi="宋体"/>
          <w:color w:val="auto"/>
          <w:kern w:val="0"/>
          <w:szCs w:val="21"/>
          <w:highlight w:val="none"/>
          <w:lang w:eastAsia="zh-Hans"/>
        </w:rPr>
        <w:t>的</w:t>
      </w:r>
      <w:r>
        <w:rPr>
          <w:rFonts w:ascii="宋体" w:hAnsi="宋体"/>
          <w:color w:val="auto"/>
          <w:kern w:val="0"/>
          <w:szCs w:val="21"/>
          <w:highlight w:val="none"/>
          <w:u w:val="single"/>
          <w:lang w:eastAsia="zh-Hans"/>
        </w:rPr>
        <w:t>（项目名称）</w:t>
      </w:r>
      <w:r>
        <w:rPr>
          <w:rFonts w:ascii="宋体" w:hAnsi="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，从业人员___________人，营业收入为______________万元，资产总额为_____________万元1，属于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7D273419">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w:t>
      </w:r>
      <w:r>
        <w:rPr>
          <w:rFonts w:ascii="宋体" w:hAnsi="宋体"/>
          <w:color w:val="auto"/>
          <w:kern w:val="0"/>
          <w:szCs w:val="21"/>
          <w:highlight w:val="none"/>
          <w:u w:val="single"/>
          <w:lang w:eastAsia="zh-Hans"/>
        </w:rPr>
        <w:t>（标的名称）</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（采购文件中明确的所属行业）</w:t>
      </w:r>
      <w:r>
        <w:rPr>
          <w:rFonts w:ascii="宋体" w:hAnsi="宋体"/>
          <w:color w:val="auto"/>
          <w:kern w:val="0"/>
          <w:szCs w:val="21"/>
          <w:highlight w:val="none"/>
          <w:lang w:eastAsia="zh-Hans"/>
        </w:rPr>
        <w:t>行业；承建（承接）企业为</w:t>
      </w:r>
      <w:r>
        <w:rPr>
          <w:rFonts w:ascii="宋体" w:hAnsi="宋体"/>
          <w:color w:val="auto"/>
          <w:kern w:val="0"/>
          <w:szCs w:val="21"/>
          <w:highlight w:val="none"/>
          <w:u w:val="single"/>
          <w:lang w:eastAsia="zh-Hans"/>
        </w:rPr>
        <w:t>（企业名称）</w:t>
      </w:r>
      <w:r>
        <w:rPr>
          <w:rFonts w:ascii="宋体" w:hAnsi="宋体"/>
          <w:color w:val="auto"/>
          <w:kern w:val="0"/>
          <w:szCs w:val="21"/>
          <w:highlight w:val="none"/>
          <w:lang w:eastAsia="zh-Hans"/>
        </w:rPr>
        <w:t>，从业人员__________________人，营业收入为__________________万元，资产总额为__________________万元</w:t>
      </w:r>
      <w:r>
        <w:rPr>
          <w:rFonts w:ascii="宋体" w:hAnsi="宋体"/>
          <w:color w:val="auto"/>
          <w:kern w:val="0"/>
          <w:szCs w:val="21"/>
          <w:highlight w:val="none"/>
          <w:vertAlign w:val="superscript"/>
          <w:lang w:eastAsia="zh-Hans"/>
        </w:rPr>
        <w:t>1</w:t>
      </w:r>
      <w:r>
        <w:rPr>
          <w:rFonts w:ascii="宋体" w:hAnsi="宋体"/>
          <w:color w:val="auto"/>
          <w:kern w:val="0"/>
          <w:szCs w:val="21"/>
          <w:highlight w:val="none"/>
          <w:lang w:eastAsia="zh-Hans"/>
        </w:rPr>
        <w:t>，属于</w:t>
      </w:r>
      <w:r>
        <w:rPr>
          <w:rFonts w:ascii="宋体" w:hAnsi="宋体"/>
          <w:color w:val="auto"/>
          <w:kern w:val="0"/>
          <w:szCs w:val="21"/>
          <w:highlight w:val="none"/>
          <w:u w:val="single"/>
          <w:lang w:eastAsia="zh-Hans"/>
        </w:rPr>
        <w:t>（中型企业、小型企业、微型企业）</w:t>
      </w:r>
      <w:r>
        <w:rPr>
          <w:rFonts w:ascii="宋体" w:hAnsi="宋体"/>
          <w:color w:val="auto"/>
          <w:kern w:val="0"/>
          <w:szCs w:val="21"/>
          <w:highlight w:val="none"/>
          <w:lang w:eastAsia="zh-Hans"/>
        </w:rPr>
        <w:t>；</w:t>
      </w:r>
    </w:p>
    <w:p w14:paraId="64069E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6CFB01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企业名称（盖章）：__________________</w:t>
      </w:r>
    </w:p>
    <w:p w14:paraId="362E34B3">
      <w:pPr>
        <w:widowControl/>
        <w:ind w:right="840" w:firstLine="4676" w:firstLineChars="2227"/>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5A88C99">
      <w:pPr>
        <w:widowControl/>
        <w:spacing w:before="2184" w:beforeLines="700"/>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1：从业人员、营业收入、资产总额填报上一年度数据，无上一年度数据的新成立企业可不填报。</w:t>
      </w:r>
    </w:p>
    <w:p w14:paraId="4E268DB1">
      <w:pPr>
        <w:widowControl/>
        <w:jc w:val="left"/>
        <w:rPr>
          <w:rFonts w:ascii="宋体" w:hAnsi="宋体"/>
          <w:color w:val="auto"/>
          <w:kern w:val="0"/>
          <w:szCs w:val="21"/>
          <w:highlight w:val="none"/>
          <w:lang w:eastAsia="zh-Hans"/>
        </w:rPr>
      </w:pPr>
    </w:p>
    <w:p w14:paraId="38169D69">
      <w:pPr>
        <w:pageBreakBefore/>
        <w:rPr>
          <w:rFonts w:ascii="宋体" w:hAnsi="宋体"/>
          <w:color w:val="auto"/>
          <w:kern w:val="0"/>
          <w:szCs w:val="21"/>
          <w:highlight w:val="none"/>
          <w:lang w:eastAsia="zh-Hans"/>
        </w:rPr>
      </w:pPr>
      <w:bookmarkStart w:id="54" w:name="_Toc169799791"/>
      <w:r>
        <w:rPr>
          <w:rFonts w:ascii="宋体" w:hAnsi="宋体"/>
          <w:b/>
          <w:bCs/>
          <w:color w:val="auto"/>
          <w:sz w:val="24"/>
          <w:szCs w:val="28"/>
          <w:highlight w:val="none"/>
        </w:rPr>
        <w:t>格式</w:t>
      </w:r>
      <w:r>
        <w:rPr>
          <w:rFonts w:hint="eastAsia" w:ascii="宋体" w:hAnsi="宋体"/>
          <w:b/>
          <w:bCs/>
          <w:color w:val="auto"/>
          <w:sz w:val="24"/>
          <w:szCs w:val="28"/>
          <w:highlight w:val="none"/>
          <w:lang w:eastAsia="zh-CN"/>
        </w:rPr>
        <w:t>四</w:t>
      </w:r>
      <w:r>
        <w:rPr>
          <w:rFonts w:ascii="宋体" w:hAnsi="宋体"/>
          <w:b/>
          <w:bCs/>
          <w:color w:val="auto"/>
          <w:sz w:val="24"/>
          <w:szCs w:val="28"/>
          <w:highlight w:val="none"/>
        </w:rPr>
        <w:t>：</w:t>
      </w:r>
      <w:bookmarkEnd w:id="54"/>
    </w:p>
    <w:p w14:paraId="56A1A46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122BF1E9">
      <w:pPr>
        <w:widowControl/>
        <w:spacing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监狱企业</w:t>
      </w:r>
    </w:p>
    <w:p w14:paraId="3AEC34DD">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提供由监狱管理局、戒毒管理局（含新疆生产建设兵团）出具的属于监狱企业的证明文件。</w:t>
      </w:r>
    </w:p>
    <w:p w14:paraId="12B4C520">
      <w:pPr>
        <w:widowControl/>
        <w:spacing w:line="360" w:lineRule="auto"/>
        <w:jc w:val="left"/>
        <w:rPr>
          <w:rFonts w:ascii="宋体" w:hAnsi="宋体"/>
          <w:color w:val="auto"/>
          <w:kern w:val="0"/>
          <w:szCs w:val="21"/>
          <w:highlight w:val="none"/>
          <w:lang w:eastAsia="zh-Hans"/>
        </w:rPr>
      </w:pPr>
    </w:p>
    <w:p w14:paraId="3CEF2DB3">
      <w:pPr>
        <w:rPr>
          <w:rFonts w:ascii="宋体" w:hAnsi="宋体"/>
          <w:b/>
          <w:bCs/>
          <w:color w:val="auto"/>
          <w:sz w:val="24"/>
          <w:szCs w:val="28"/>
          <w:highlight w:val="none"/>
        </w:rPr>
      </w:pPr>
      <w:bookmarkStart w:id="55" w:name="_Toc169799792"/>
      <w:r>
        <w:rPr>
          <w:rFonts w:ascii="宋体" w:hAnsi="宋体"/>
          <w:b/>
          <w:bCs/>
          <w:color w:val="auto"/>
          <w:sz w:val="24"/>
          <w:szCs w:val="28"/>
          <w:highlight w:val="none"/>
        </w:rPr>
        <w:br w:type="page"/>
      </w:r>
    </w:p>
    <w:p w14:paraId="3BFB1100">
      <w:pPr>
        <w:keepLines/>
        <w:spacing w:before="468" w:beforeLines="150" w:line="360" w:lineRule="auto"/>
        <w:rPr>
          <w:rFonts w:ascii="宋体" w:hAnsi="宋体"/>
          <w:color w:val="auto"/>
          <w:kern w:val="0"/>
          <w:szCs w:val="21"/>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rPr>
        <w:t>五</w:t>
      </w:r>
      <w:r>
        <w:rPr>
          <w:rFonts w:ascii="宋体" w:hAnsi="宋体"/>
          <w:b/>
          <w:bCs/>
          <w:color w:val="auto"/>
          <w:sz w:val="24"/>
          <w:szCs w:val="28"/>
          <w:highlight w:val="none"/>
        </w:rPr>
        <w:t>：</w:t>
      </w:r>
      <w:bookmarkEnd w:id="55"/>
    </w:p>
    <w:p w14:paraId="29C80591">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（以下格式文件由供应商根据需要选用）</w:t>
      </w:r>
    </w:p>
    <w:p w14:paraId="798A59F9">
      <w:pPr>
        <w:widowControl/>
        <w:spacing w:before="156" w:beforeLines="50" w:line="360" w:lineRule="auto"/>
        <w:jc w:val="center"/>
        <w:outlineLvl w:val="3"/>
        <w:rPr>
          <w:rFonts w:ascii="宋体" w:hAnsi="宋体"/>
          <w:color w:val="auto"/>
          <w:kern w:val="0"/>
          <w:szCs w:val="21"/>
          <w:highlight w:val="none"/>
          <w:lang w:eastAsia="zh-Hans"/>
        </w:rPr>
      </w:pPr>
      <w:r>
        <w:rPr>
          <w:rFonts w:ascii="宋体" w:hAnsi="宋体"/>
          <w:b/>
          <w:color w:val="auto"/>
          <w:kern w:val="0"/>
          <w:sz w:val="32"/>
          <w:szCs w:val="32"/>
          <w:highlight w:val="none"/>
          <w:lang w:eastAsia="zh-Hans"/>
        </w:rPr>
        <w:t>残疾人福利性单位声明函</w:t>
      </w:r>
    </w:p>
    <w:p w14:paraId="4BAA9E8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color w:val="auto"/>
          <w:kern w:val="0"/>
          <w:szCs w:val="21"/>
          <w:highlight w:val="none"/>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 年 月 日</w:t>
      </w:r>
    </w:p>
    <w:p w14:paraId="7B42605B">
      <w:pPr>
        <w:pageBreakBefore/>
        <w:rPr>
          <w:color w:val="auto"/>
          <w:kern w:val="0"/>
          <w:szCs w:val="21"/>
          <w:highlight w:val="none"/>
          <w:lang w:eastAsia="zh-Hans"/>
        </w:rPr>
      </w:pPr>
      <w:bookmarkStart w:id="56" w:name="_Toc169799793"/>
      <w:r>
        <w:rPr>
          <w:rFonts w:ascii="宋体" w:hAnsi="宋体"/>
          <w:b/>
          <w:bCs/>
          <w:color w:val="auto"/>
          <w:sz w:val="24"/>
          <w:szCs w:val="28"/>
          <w:highlight w:val="none"/>
        </w:rPr>
        <w:t>格式</w:t>
      </w:r>
      <w:r>
        <w:rPr>
          <w:rFonts w:hint="eastAsia" w:ascii="宋体" w:hAnsi="宋体"/>
          <w:b/>
          <w:bCs/>
          <w:color w:val="auto"/>
          <w:sz w:val="24"/>
          <w:szCs w:val="28"/>
          <w:highlight w:val="none"/>
        </w:rPr>
        <w:t>六</w:t>
      </w:r>
      <w:r>
        <w:rPr>
          <w:rFonts w:ascii="宋体" w:hAnsi="宋体"/>
          <w:b/>
          <w:bCs/>
          <w:color w:val="auto"/>
          <w:sz w:val="24"/>
          <w:szCs w:val="28"/>
          <w:highlight w:val="none"/>
        </w:rPr>
        <w:t>：</w:t>
      </w:r>
      <w:bookmarkEnd w:id="56"/>
    </w:p>
    <w:p w14:paraId="3C776E22">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政策适用性说明</w:t>
      </w:r>
    </w:p>
    <w:p w14:paraId="4CC8D78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54" w:type="pct"/>
            <w:vAlign w:val="center"/>
          </w:tcPr>
          <w:p w14:paraId="037E34A0">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节能产品</w:t>
            </w:r>
          </w:p>
        </w:tc>
        <w:tc>
          <w:tcPr>
            <w:tcW w:w="614" w:type="pct"/>
            <w:vAlign w:val="center"/>
          </w:tcPr>
          <w:p w14:paraId="598FE2BD">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954" w:type="pct"/>
            <w:vAlign w:val="center"/>
          </w:tcPr>
          <w:p w14:paraId="46589C26">
            <w:pPr>
              <w:snapToGrid w:val="0"/>
              <w:spacing w:line="360" w:lineRule="auto"/>
              <w:contextualSpacing/>
              <w:jc w:val="center"/>
              <w:rPr>
                <w:rFonts w:ascii="宋体" w:hAnsi="宋体"/>
                <w:color w:val="auto"/>
                <w:szCs w:val="21"/>
                <w:highlight w:val="none"/>
              </w:rPr>
            </w:pPr>
          </w:p>
        </w:tc>
        <w:tc>
          <w:tcPr>
            <w:tcW w:w="614" w:type="pct"/>
            <w:vAlign w:val="center"/>
          </w:tcPr>
          <w:p w14:paraId="506B41AF">
            <w:pPr>
              <w:snapToGrid w:val="0"/>
              <w:spacing w:line="360" w:lineRule="auto"/>
              <w:contextualSpacing/>
              <w:jc w:val="center"/>
              <w:rPr>
                <w:rFonts w:ascii="宋体" w:hAnsi="宋体"/>
                <w:color w:val="auto"/>
                <w:szCs w:val="21"/>
                <w:highlight w:val="none"/>
              </w:rPr>
            </w:pPr>
          </w:p>
        </w:tc>
        <w:tc>
          <w:tcPr>
            <w:tcW w:w="614" w:type="pct"/>
            <w:vAlign w:val="center"/>
          </w:tcPr>
          <w:p w14:paraId="3DC3B549">
            <w:pPr>
              <w:snapToGrid w:val="0"/>
              <w:spacing w:line="360" w:lineRule="auto"/>
              <w:contextualSpacing/>
              <w:jc w:val="center"/>
              <w:rPr>
                <w:rFonts w:ascii="宋体" w:hAnsi="宋体"/>
                <w:color w:val="auto"/>
                <w:szCs w:val="21"/>
                <w:highlight w:val="none"/>
              </w:rPr>
            </w:pPr>
          </w:p>
        </w:tc>
        <w:tc>
          <w:tcPr>
            <w:tcW w:w="613" w:type="pct"/>
            <w:vAlign w:val="center"/>
          </w:tcPr>
          <w:p w14:paraId="180E7BC7">
            <w:pPr>
              <w:snapToGrid w:val="0"/>
              <w:spacing w:line="360" w:lineRule="auto"/>
              <w:contextualSpacing/>
              <w:jc w:val="center"/>
              <w:rPr>
                <w:rFonts w:ascii="宋体" w:hAnsi="宋体"/>
                <w:color w:val="auto"/>
                <w:szCs w:val="21"/>
                <w:highlight w:val="none"/>
              </w:rPr>
            </w:pPr>
          </w:p>
        </w:tc>
        <w:tc>
          <w:tcPr>
            <w:tcW w:w="614" w:type="pct"/>
            <w:vAlign w:val="center"/>
          </w:tcPr>
          <w:p w14:paraId="7EAF34FD">
            <w:pPr>
              <w:snapToGrid w:val="0"/>
              <w:spacing w:line="360" w:lineRule="auto"/>
              <w:contextualSpacing/>
              <w:jc w:val="center"/>
              <w:rPr>
                <w:rFonts w:ascii="宋体" w:hAnsi="宋体"/>
                <w:color w:val="auto"/>
                <w:szCs w:val="21"/>
                <w:highlight w:val="none"/>
              </w:rPr>
            </w:pPr>
          </w:p>
        </w:tc>
        <w:tc>
          <w:tcPr>
            <w:tcW w:w="540" w:type="pct"/>
            <w:vAlign w:val="center"/>
          </w:tcPr>
          <w:p w14:paraId="2290DADA">
            <w:pPr>
              <w:snapToGrid w:val="0"/>
              <w:spacing w:line="360" w:lineRule="auto"/>
              <w:contextualSpacing/>
              <w:jc w:val="center"/>
              <w:rPr>
                <w:rFonts w:ascii="宋体" w:hAnsi="宋体"/>
                <w:color w:val="auto"/>
                <w:szCs w:val="21"/>
                <w:highlight w:val="none"/>
              </w:rPr>
            </w:pPr>
          </w:p>
        </w:tc>
        <w:tc>
          <w:tcPr>
            <w:tcW w:w="624" w:type="pct"/>
            <w:vAlign w:val="center"/>
          </w:tcPr>
          <w:p w14:paraId="2A28AA4C">
            <w:pPr>
              <w:snapToGrid w:val="0"/>
              <w:spacing w:line="360" w:lineRule="auto"/>
              <w:contextualSpacing/>
              <w:jc w:val="center"/>
              <w:rPr>
                <w:rFonts w:ascii="宋体" w:hAnsi="宋体"/>
                <w:color w:val="auto"/>
                <w:szCs w:val="21"/>
                <w:highlight w:val="none"/>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954" w:type="pct"/>
            <w:vAlign w:val="center"/>
          </w:tcPr>
          <w:p w14:paraId="0FB59462">
            <w:pPr>
              <w:snapToGrid w:val="0"/>
              <w:spacing w:line="360" w:lineRule="auto"/>
              <w:contextualSpacing/>
              <w:jc w:val="center"/>
              <w:rPr>
                <w:rFonts w:ascii="宋体" w:hAnsi="宋体"/>
                <w:color w:val="auto"/>
                <w:szCs w:val="21"/>
                <w:highlight w:val="none"/>
              </w:rPr>
            </w:pPr>
          </w:p>
        </w:tc>
        <w:tc>
          <w:tcPr>
            <w:tcW w:w="614" w:type="pct"/>
            <w:vAlign w:val="center"/>
          </w:tcPr>
          <w:p w14:paraId="440A3730">
            <w:pPr>
              <w:snapToGrid w:val="0"/>
              <w:spacing w:line="360" w:lineRule="auto"/>
              <w:contextualSpacing/>
              <w:jc w:val="center"/>
              <w:rPr>
                <w:rFonts w:ascii="宋体" w:hAnsi="宋体"/>
                <w:color w:val="auto"/>
                <w:szCs w:val="21"/>
                <w:highlight w:val="none"/>
              </w:rPr>
            </w:pPr>
          </w:p>
        </w:tc>
        <w:tc>
          <w:tcPr>
            <w:tcW w:w="614" w:type="pct"/>
            <w:vAlign w:val="center"/>
          </w:tcPr>
          <w:p w14:paraId="56F40BA2">
            <w:pPr>
              <w:snapToGrid w:val="0"/>
              <w:spacing w:line="360" w:lineRule="auto"/>
              <w:contextualSpacing/>
              <w:jc w:val="center"/>
              <w:rPr>
                <w:rFonts w:ascii="宋体" w:hAnsi="宋体"/>
                <w:color w:val="auto"/>
                <w:szCs w:val="21"/>
                <w:highlight w:val="none"/>
              </w:rPr>
            </w:pPr>
          </w:p>
        </w:tc>
        <w:tc>
          <w:tcPr>
            <w:tcW w:w="613" w:type="pct"/>
            <w:vAlign w:val="center"/>
          </w:tcPr>
          <w:p w14:paraId="6B6F2A41">
            <w:pPr>
              <w:snapToGrid w:val="0"/>
              <w:spacing w:line="360" w:lineRule="auto"/>
              <w:contextualSpacing/>
              <w:jc w:val="center"/>
              <w:rPr>
                <w:rFonts w:ascii="宋体" w:hAnsi="宋体"/>
                <w:color w:val="auto"/>
                <w:szCs w:val="21"/>
                <w:highlight w:val="none"/>
              </w:rPr>
            </w:pPr>
          </w:p>
        </w:tc>
        <w:tc>
          <w:tcPr>
            <w:tcW w:w="614" w:type="pct"/>
            <w:vAlign w:val="center"/>
          </w:tcPr>
          <w:p w14:paraId="22B4E8BD">
            <w:pPr>
              <w:snapToGrid w:val="0"/>
              <w:spacing w:line="360" w:lineRule="auto"/>
              <w:contextualSpacing/>
              <w:jc w:val="center"/>
              <w:rPr>
                <w:rFonts w:ascii="宋体" w:hAnsi="宋体"/>
                <w:color w:val="auto"/>
                <w:szCs w:val="21"/>
                <w:highlight w:val="none"/>
              </w:rPr>
            </w:pPr>
          </w:p>
        </w:tc>
        <w:tc>
          <w:tcPr>
            <w:tcW w:w="540" w:type="pct"/>
            <w:vAlign w:val="center"/>
          </w:tcPr>
          <w:p w14:paraId="11516E82">
            <w:pPr>
              <w:snapToGrid w:val="0"/>
              <w:spacing w:line="360" w:lineRule="auto"/>
              <w:contextualSpacing/>
              <w:jc w:val="center"/>
              <w:rPr>
                <w:rFonts w:ascii="宋体" w:hAnsi="宋体"/>
                <w:color w:val="auto"/>
                <w:szCs w:val="21"/>
                <w:highlight w:val="none"/>
              </w:rPr>
            </w:pPr>
          </w:p>
        </w:tc>
        <w:tc>
          <w:tcPr>
            <w:tcW w:w="624" w:type="pct"/>
            <w:vAlign w:val="center"/>
          </w:tcPr>
          <w:p w14:paraId="7C092E84">
            <w:pPr>
              <w:snapToGrid w:val="0"/>
              <w:spacing w:line="360" w:lineRule="auto"/>
              <w:contextualSpacing/>
              <w:jc w:val="center"/>
              <w:rPr>
                <w:rFonts w:ascii="宋体" w:hAnsi="宋体"/>
                <w:color w:val="auto"/>
                <w:szCs w:val="21"/>
                <w:highlight w:val="none"/>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954" w:type="pct"/>
            <w:vAlign w:val="center"/>
          </w:tcPr>
          <w:p w14:paraId="47737D8C">
            <w:pPr>
              <w:snapToGrid w:val="0"/>
              <w:spacing w:line="360" w:lineRule="auto"/>
              <w:contextualSpacing/>
              <w:jc w:val="center"/>
              <w:rPr>
                <w:rFonts w:ascii="宋体" w:hAnsi="宋体"/>
                <w:color w:val="auto"/>
                <w:szCs w:val="21"/>
                <w:highlight w:val="none"/>
              </w:rPr>
            </w:pPr>
          </w:p>
        </w:tc>
        <w:tc>
          <w:tcPr>
            <w:tcW w:w="614" w:type="pct"/>
            <w:vAlign w:val="center"/>
          </w:tcPr>
          <w:p w14:paraId="34A450E2">
            <w:pPr>
              <w:snapToGrid w:val="0"/>
              <w:spacing w:line="360" w:lineRule="auto"/>
              <w:contextualSpacing/>
              <w:jc w:val="center"/>
              <w:rPr>
                <w:rFonts w:ascii="宋体" w:hAnsi="宋体"/>
                <w:color w:val="auto"/>
                <w:szCs w:val="21"/>
                <w:highlight w:val="none"/>
              </w:rPr>
            </w:pPr>
          </w:p>
        </w:tc>
        <w:tc>
          <w:tcPr>
            <w:tcW w:w="614" w:type="pct"/>
            <w:vAlign w:val="center"/>
          </w:tcPr>
          <w:p w14:paraId="1EBFAC98">
            <w:pPr>
              <w:snapToGrid w:val="0"/>
              <w:spacing w:line="360" w:lineRule="auto"/>
              <w:contextualSpacing/>
              <w:jc w:val="center"/>
              <w:rPr>
                <w:rFonts w:ascii="宋体" w:hAnsi="宋体"/>
                <w:color w:val="auto"/>
                <w:szCs w:val="21"/>
                <w:highlight w:val="none"/>
              </w:rPr>
            </w:pPr>
          </w:p>
        </w:tc>
        <w:tc>
          <w:tcPr>
            <w:tcW w:w="613" w:type="pct"/>
            <w:vAlign w:val="center"/>
          </w:tcPr>
          <w:p w14:paraId="3A4D096D">
            <w:pPr>
              <w:snapToGrid w:val="0"/>
              <w:spacing w:line="360" w:lineRule="auto"/>
              <w:contextualSpacing/>
              <w:jc w:val="center"/>
              <w:rPr>
                <w:rFonts w:ascii="宋体" w:hAnsi="宋体"/>
                <w:color w:val="auto"/>
                <w:szCs w:val="21"/>
                <w:highlight w:val="none"/>
              </w:rPr>
            </w:pPr>
          </w:p>
        </w:tc>
        <w:tc>
          <w:tcPr>
            <w:tcW w:w="614" w:type="pct"/>
            <w:vAlign w:val="center"/>
          </w:tcPr>
          <w:p w14:paraId="386F7C01">
            <w:pPr>
              <w:snapToGrid w:val="0"/>
              <w:spacing w:line="360" w:lineRule="auto"/>
              <w:contextualSpacing/>
              <w:jc w:val="center"/>
              <w:rPr>
                <w:rFonts w:ascii="宋体" w:hAnsi="宋体"/>
                <w:color w:val="auto"/>
                <w:szCs w:val="21"/>
                <w:highlight w:val="none"/>
              </w:rPr>
            </w:pPr>
          </w:p>
        </w:tc>
        <w:tc>
          <w:tcPr>
            <w:tcW w:w="540" w:type="pct"/>
            <w:vAlign w:val="center"/>
          </w:tcPr>
          <w:p w14:paraId="27F5114D">
            <w:pPr>
              <w:snapToGrid w:val="0"/>
              <w:spacing w:line="360" w:lineRule="auto"/>
              <w:contextualSpacing/>
              <w:jc w:val="center"/>
              <w:rPr>
                <w:rFonts w:ascii="宋体" w:hAnsi="宋体"/>
                <w:color w:val="auto"/>
                <w:szCs w:val="21"/>
                <w:highlight w:val="none"/>
              </w:rPr>
            </w:pPr>
          </w:p>
        </w:tc>
        <w:tc>
          <w:tcPr>
            <w:tcW w:w="624" w:type="pct"/>
            <w:vAlign w:val="center"/>
          </w:tcPr>
          <w:p w14:paraId="7FA56FC4">
            <w:pPr>
              <w:snapToGrid w:val="0"/>
              <w:spacing w:line="360" w:lineRule="auto"/>
              <w:contextualSpacing/>
              <w:jc w:val="center"/>
              <w:rPr>
                <w:rFonts w:ascii="宋体" w:hAnsi="宋体"/>
                <w:color w:val="auto"/>
                <w:szCs w:val="21"/>
                <w:highlight w:val="none"/>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954" w:type="pct"/>
            <w:vAlign w:val="center"/>
          </w:tcPr>
          <w:p w14:paraId="1A88461E">
            <w:pPr>
              <w:snapToGrid w:val="0"/>
              <w:spacing w:line="360" w:lineRule="auto"/>
              <w:contextualSpacing/>
              <w:jc w:val="center"/>
              <w:rPr>
                <w:rFonts w:ascii="宋体" w:hAnsi="宋体"/>
                <w:color w:val="auto"/>
                <w:szCs w:val="21"/>
                <w:highlight w:val="none"/>
              </w:rPr>
            </w:pPr>
          </w:p>
        </w:tc>
        <w:tc>
          <w:tcPr>
            <w:tcW w:w="614" w:type="pct"/>
            <w:vAlign w:val="center"/>
          </w:tcPr>
          <w:p w14:paraId="78F6A0AC">
            <w:pPr>
              <w:snapToGrid w:val="0"/>
              <w:spacing w:line="360" w:lineRule="auto"/>
              <w:contextualSpacing/>
              <w:jc w:val="center"/>
              <w:rPr>
                <w:rFonts w:ascii="宋体" w:hAnsi="宋体"/>
                <w:color w:val="auto"/>
                <w:szCs w:val="21"/>
                <w:highlight w:val="none"/>
              </w:rPr>
            </w:pPr>
          </w:p>
        </w:tc>
        <w:tc>
          <w:tcPr>
            <w:tcW w:w="614" w:type="pct"/>
            <w:vAlign w:val="center"/>
          </w:tcPr>
          <w:p w14:paraId="287ED408">
            <w:pPr>
              <w:snapToGrid w:val="0"/>
              <w:spacing w:line="360" w:lineRule="auto"/>
              <w:contextualSpacing/>
              <w:jc w:val="center"/>
              <w:rPr>
                <w:rFonts w:ascii="宋体" w:hAnsi="宋体"/>
                <w:color w:val="auto"/>
                <w:szCs w:val="21"/>
                <w:highlight w:val="none"/>
              </w:rPr>
            </w:pPr>
          </w:p>
        </w:tc>
        <w:tc>
          <w:tcPr>
            <w:tcW w:w="613" w:type="pct"/>
            <w:vAlign w:val="center"/>
          </w:tcPr>
          <w:p w14:paraId="2498FFF7">
            <w:pPr>
              <w:snapToGrid w:val="0"/>
              <w:spacing w:line="360" w:lineRule="auto"/>
              <w:contextualSpacing/>
              <w:jc w:val="center"/>
              <w:rPr>
                <w:rFonts w:ascii="宋体" w:hAnsi="宋体"/>
                <w:color w:val="auto"/>
                <w:szCs w:val="21"/>
                <w:highlight w:val="none"/>
              </w:rPr>
            </w:pPr>
          </w:p>
        </w:tc>
        <w:tc>
          <w:tcPr>
            <w:tcW w:w="614" w:type="pct"/>
            <w:vAlign w:val="center"/>
          </w:tcPr>
          <w:p w14:paraId="1CA05E08">
            <w:pPr>
              <w:snapToGrid w:val="0"/>
              <w:spacing w:line="360" w:lineRule="auto"/>
              <w:contextualSpacing/>
              <w:jc w:val="center"/>
              <w:rPr>
                <w:rFonts w:ascii="宋体" w:hAnsi="宋体"/>
                <w:color w:val="auto"/>
                <w:szCs w:val="21"/>
                <w:highlight w:val="none"/>
              </w:rPr>
            </w:pPr>
          </w:p>
        </w:tc>
        <w:tc>
          <w:tcPr>
            <w:tcW w:w="540" w:type="pct"/>
            <w:vAlign w:val="center"/>
          </w:tcPr>
          <w:p w14:paraId="4F440E54">
            <w:pPr>
              <w:snapToGrid w:val="0"/>
              <w:spacing w:line="360" w:lineRule="auto"/>
              <w:contextualSpacing/>
              <w:jc w:val="center"/>
              <w:rPr>
                <w:rFonts w:ascii="宋体" w:hAnsi="宋体"/>
                <w:color w:val="auto"/>
                <w:szCs w:val="21"/>
                <w:highlight w:val="none"/>
              </w:rPr>
            </w:pPr>
          </w:p>
        </w:tc>
        <w:tc>
          <w:tcPr>
            <w:tcW w:w="624" w:type="pct"/>
            <w:vAlign w:val="center"/>
          </w:tcPr>
          <w:p w14:paraId="00E699EA">
            <w:pPr>
              <w:snapToGrid w:val="0"/>
              <w:spacing w:line="360" w:lineRule="auto"/>
              <w:contextualSpacing/>
              <w:jc w:val="center"/>
              <w:rPr>
                <w:rFonts w:ascii="宋体" w:hAnsi="宋体"/>
                <w:color w:val="auto"/>
                <w:szCs w:val="21"/>
                <w:highlight w:val="none"/>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954" w:type="pct"/>
            <w:vAlign w:val="center"/>
          </w:tcPr>
          <w:p w14:paraId="5173C3CD">
            <w:pPr>
              <w:snapToGrid w:val="0"/>
              <w:spacing w:line="360" w:lineRule="auto"/>
              <w:contextualSpacing/>
              <w:jc w:val="center"/>
              <w:rPr>
                <w:rFonts w:ascii="宋体" w:hAnsi="宋体"/>
                <w:color w:val="auto"/>
                <w:szCs w:val="21"/>
                <w:highlight w:val="none"/>
              </w:rPr>
            </w:pPr>
          </w:p>
        </w:tc>
        <w:tc>
          <w:tcPr>
            <w:tcW w:w="614" w:type="pct"/>
            <w:vAlign w:val="center"/>
          </w:tcPr>
          <w:p w14:paraId="612B6B72">
            <w:pPr>
              <w:snapToGrid w:val="0"/>
              <w:spacing w:line="360" w:lineRule="auto"/>
              <w:contextualSpacing/>
              <w:jc w:val="center"/>
              <w:rPr>
                <w:rFonts w:ascii="宋体" w:hAnsi="宋体"/>
                <w:color w:val="auto"/>
                <w:szCs w:val="21"/>
                <w:highlight w:val="none"/>
              </w:rPr>
            </w:pPr>
          </w:p>
        </w:tc>
        <w:tc>
          <w:tcPr>
            <w:tcW w:w="614" w:type="pct"/>
            <w:vAlign w:val="center"/>
          </w:tcPr>
          <w:p w14:paraId="59C5E003">
            <w:pPr>
              <w:snapToGrid w:val="0"/>
              <w:spacing w:line="360" w:lineRule="auto"/>
              <w:contextualSpacing/>
              <w:jc w:val="center"/>
              <w:rPr>
                <w:rFonts w:ascii="宋体" w:hAnsi="宋体"/>
                <w:color w:val="auto"/>
                <w:szCs w:val="21"/>
                <w:highlight w:val="none"/>
              </w:rPr>
            </w:pPr>
          </w:p>
        </w:tc>
        <w:tc>
          <w:tcPr>
            <w:tcW w:w="613" w:type="pct"/>
            <w:vAlign w:val="center"/>
          </w:tcPr>
          <w:p w14:paraId="172FA6A3">
            <w:pPr>
              <w:snapToGrid w:val="0"/>
              <w:spacing w:line="360" w:lineRule="auto"/>
              <w:contextualSpacing/>
              <w:jc w:val="center"/>
              <w:rPr>
                <w:rFonts w:ascii="宋体" w:hAnsi="宋体"/>
                <w:color w:val="auto"/>
                <w:szCs w:val="21"/>
                <w:highlight w:val="none"/>
              </w:rPr>
            </w:pPr>
          </w:p>
        </w:tc>
        <w:tc>
          <w:tcPr>
            <w:tcW w:w="614" w:type="pct"/>
            <w:vAlign w:val="center"/>
          </w:tcPr>
          <w:p w14:paraId="1A188300">
            <w:pPr>
              <w:snapToGrid w:val="0"/>
              <w:spacing w:line="360" w:lineRule="auto"/>
              <w:contextualSpacing/>
              <w:jc w:val="center"/>
              <w:rPr>
                <w:rFonts w:ascii="宋体" w:hAnsi="宋体"/>
                <w:color w:val="auto"/>
                <w:szCs w:val="21"/>
                <w:highlight w:val="none"/>
              </w:rPr>
            </w:pPr>
          </w:p>
        </w:tc>
        <w:tc>
          <w:tcPr>
            <w:tcW w:w="540" w:type="pct"/>
            <w:vAlign w:val="center"/>
          </w:tcPr>
          <w:p w14:paraId="39664AED">
            <w:pPr>
              <w:snapToGrid w:val="0"/>
              <w:spacing w:line="360" w:lineRule="auto"/>
              <w:contextualSpacing/>
              <w:jc w:val="center"/>
              <w:rPr>
                <w:rFonts w:ascii="宋体" w:hAnsi="宋体"/>
                <w:color w:val="auto"/>
                <w:szCs w:val="21"/>
                <w:highlight w:val="none"/>
              </w:rPr>
            </w:pPr>
          </w:p>
        </w:tc>
        <w:tc>
          <w:tcPr>
            <w:tcW w:w="624" w:type="pct"/>
            <w:vAlign w:val="center"/>
          </w:tcPr>
          <w:p w14:paraId="24553B38">
            <w:pPr>
              <w:snapToGrid w:val="0"/>
              <w:spacing w:line="360" w:lineRule="auto"/>
              <w:contextualSpacing/>
              <w:jc w:val="center"/>
              <w:rPr>
                <w:rFonts w:ascii="宋体" w:hAnsi="宋体"/>
                <w:color w:val="auto"/>
                <w:szCs w:val="21"/>
                <w:highlight w:val="none"/>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954" w:type="pct"/>
            <w:vAlign w:val="center"/>
          </w:tcPr>
          <w:p w14:paraId="48D33EAA">
            <w:pPr>
              <w:snapToGrid w:val="0"/>
              <w:spacing w:line="360" w:lineRule="auto"/>
              <w:contextualSpacing/>
              <w:jc w:val="center"/>
              <w:rPr>
                <w:rFonts w:ascii="宋体" w:hAnsi="宋体"/>
                <w:color w:val="auto"/>
                <w:szCs w:val="21"/>
                <w:highlight w:val="none"/>
              </w:rPr>
            </w:pPr>
          </w:p>
        </w:tc>
        <w:tc>
          <w:tcPr>
            <w:tcW w:w="614" w:type="pct"/>
            <w:vAlign w:val="center"/>
          </w:tcPr>
          <w:p w14:paraId="6B17D121">
            <w:pPr>
              <w:snapToGrid w:val="0"/>
              <w:spacing w:line="360" w:lineRule="auto"/>
              <w:contextualSpacing/>
              <w:jc w:val="center"/>
              <w:rPr>
                <w:rFonts w:ascii="宋体" w:hAnsi="宋体"/>
                <w:color w:val="auto"/>
                <w:szCs w:val="21"/>
                <w:highlight w:val="none"/>
              </w:rPr>
            </w:pPr>
          </w:p>
        </w:tc>
        <w:tc>
          <w:tcPr>
            <w:tcW w:w="614" w:type="pct"/>
            <w:vAlign w:val="center"/>
          </w:tcPr>
          <w:p w14:paraId="0BBEC2DF">
            <w:pPr>
              <w:snapToGrid w:val="0"/>
              <w:spacing w:line="360" w:lineRule="auto"/>
              <w:contextualSpacing/>
              <w:jc w:val="center"/>
              <w:rPr>
                <w:rFonts w:ascii="宋体" w:hAnsi="宋体"/>
                <w:color w:val="auto"/>
                <w:szCs w:val="21"/>
                <w:highlight w:val="none"/>
              </w:rPr>
            </w:pPr>
          </w:p>
        </w:tc>
        <w:tc>
          <w:tcPr>
            <w:tcW w:w="613" w:type="pct"/>
            <w:vAlign w:val="center"/>
          </w:tcPr>
          <w:p w14:paraId="30469D6F">
            <w:pPr>
              <w:snapToGrid w:val="0"/>
              <w:spacing w:line="360" w:lineRule="auto"/>
              <w:contextualSpacing/>
              <w:jc w:val="center"/>
              <w:rPr>
                <w:rFonts w:ascii="宋体" w:hAnsi="宋体"/>
                <w:color w:val="auto"/>
                <w:szCs w:val="21"/>
                <w:highlight w:val="none"/>
              </w:rPr>
            </w:pPr>
          </w:p>
        </w:tc>
        <w:tc>
          <w:tcPr>
            <w:tcW w:w="614" w:type="pct"/>
            <w:vAlign w:val="center"/>
          </w:tcPr>
          <w:p w14:paraId="20127C8C">
            <w:pPr>
              <w:snapToGrid w:val="0"/>
              <w:spacing w:line="360" w:lineRule="auto"/>
              <w:contextualSpacing/>
              <w:jc w:val="center"/>
              <w:rPr>
                <w:rFonts w:ascii="宋体" w:hAnsi="宋体"/>
                <w:color w:val="auto"/>
                <w:szCs w:val="21"/>
                <w:highlight w:val="none"/>
              </w:rPr>
            </w:pPr>
          </w:p>
        </w:tc>
        <w:tc>
          <w:tcPr>
            <w:tcW w:w="540" w:type="pct"/>
            <w:vAlign w:val="center"/>
          </w:tcPr>
          <w:p w14:paraId="0040DCCE">
            <w:pPr>
              <w:snapToGrid w:val="0"/>
              <w:spacing w:line="360" w:lineRule="auto"/>
              <w:contextualSpacing/>
              <w:jc w:val="center"/>
              <w:rPr>
                <w:rFonts w:ascii="宋体" w:hAnsi="宋体"/>
                <w:color w:val="auto"/>
                <w:szCs w:val="21"/>
                <w:highlight w:val="none"/>
              </w:rPr>
            </w:pPr>
          </w:p>
        </w:tc>
        <w:tc>
          <w:tcPr>
            <w:tcW w:w="624" w:type="pct"/>
            <w:vAlign w:val="center"/>
          </w:tcPr>
          <w:p w14:paraId="53638B6C">
            <w:pPr>
              <w:snapToGrid w:val="0"/>
              <w:spacing w:line="360" w:lineRule="auto"/>
              <w:contextualSpacing/>
              <w:jc w:val="center"/>
              <w:rPr>
                <w:rFonts w:ascii="宋体" w:hAnsi="宋体"/>
                <w:color w:val="auto"/>
                <w:szCs w:val="21"/>
                <w:highlight w:val="none"/>
              </w:rPr>
            </w:pPr>
          </w:p>
        </w:tc>
      </w:tr>
    </w:tbl>
    <w:p w14:paraId="73063AF0">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注：</w:t>
      </w:r>
    </w:p>
    <w:p w14:paraId="510FEDD1">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1.</w:t>
      </w:r>
      <w:r>
        <w:rPr>
          <w:rFonts w:ascii="宋体" w:hAnsi="宋体"/>
          <w:color w:val="auto"/>
          <w:kern w:val="0"/>
          <w:szCs w:val="21"/>
          <w:highlight w:val="none"/>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2.</w:t>
      </w:r>
      <w:r>
        <w:rPr>
          <w:rFonts w:ascii="宋体" w:hAnsi="宋体"/>
          <w:color w:val="auto"/>
          <w:kern w:val="0"/>
          <w:szCs w:val="21"/>
          <w:highlight w:val="none"/>
        </w:rPr>
        <w:t>节能产品须填写认证证书编号，并提供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产品的节能产品认证证书复印件加盖供应商公章；</w:t>
      </w:r>
    </w:p>
    <w:p w14:paraId="42C1687F">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rPr>
        <w:t>环保标志产品须填写认证证书编号，并提供</w:t>
      </w:r>
      <w:r>
        <w:rPr>
          <w:rFonts w:hint="eastAsia" w:ascii="宋体" w:hAnsi="宋体"/>
          <w:color w:val="auto"/>
          <w:kern w:val="0"/>
          <w:szCs w:val="21"/>
          <w:highlight w:val="none"/>
        </w:rPr>
        <w:t>响应</w:t>
      </w:r>
      <w:r>
        <w:rPr>
          <w:rFonts w:ascii="宋体" w:hAnsi="宋体"/>
          <w:color w:val="auto"/>
          <w:kern w:val="0"/>
          <w:szCs w:val="21"/>
          <w:highlight w:val="none"/>
        </w:rPr>
        <w:t>产品的环保标志产品认证证书复印件加盖供应商公章。</w:t>
      </w:r>
    </w:p>
    <w:p w14:paraId="10D2A9FB">
      <w:pPr>
        <w:widowControl/>
        <w:snapToGrid w:val="0"/>
        <w:spacing w:after="1092" w:afterLines="350"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rPr>
        <w:t>4.</w:t>
      </w:r>
      <w:r>
        <w:rPr>
          <w:rFonts w:ascii="宋体" w:hAnsi="宋体"/>
          <w:color w:val="auto"/>
          <w:kern w:val="0"/>
          <w:szCs w:val="21"/>
          <w:highlight w:val="none"/>
        </w:rPr>
        <w:t>以上证明资料未按要求提供或未提供完整的，视为未提供处理。</w:t>
      </w:r>
    </w:p>
    <w:p w14:paraId="72AD92D5">
      <w:pPr>
        <w:widowControl/>
        <w:snapToGrid w:val="0"/>
        <w:spacing w:line="360" w:lineRule="auto"/>
        <w:contextualSpacing/>
        <w:jc w:val="left"/>
        <w:rPr>
          <w:rFonts w:ascii="宋体" w:hAnsi="宋体"/>
          <w:color w:val="auto"/>
          <w:kern w:val="0"/>
          <w:szCs w:val="21"/>
          <w:highlight w:val="none"/>
        </w:rPr>
      </w:pPr>
    </w:p>
    <w:p w14:paraId="40E9D827">
      <w:pPr>
        <w:widowControl/>
        <w:snapToGrid w:val="0"/>
        <w:spacing w:line="360" w:lineRule="auto"/>
        <w:contextualSpacing/>
        <w:jc w:val="left"/>
        <w:rPr>
          <w:rFonts w:ascii="宋体" w:hAnsi="宋体"/>
          <w:color w:val="auto"/>
          <w:kern w:val="0"/>
          <w:szCs w:val="21"/>
          <w:highlight w:val="none"/>
        </w:rPr>
      </w:pPr>
    </w:p>
    <w:p w14:paraId="7CCFAD7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63F942A">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7C1C0C6">
      <w:pPr>
        <w:pageBreakBefore/>
        <w:rPr>
          <w:color w:val="auto"/>
          <w:kern w:val="0"/>
          <w:sz w:val="20"/>
          <w:szCs w:val="20"/>
          <w:highlight w:val="none"/>
          <w:lang w:eastAsia="zh-Hans"/>
        </w:rPr>
      </w:pPr>
      <w:bookmarkStart w:id="57" w:name="_Toc169799795"/>
      <w:r>
        <w:rPr>
          <w:rFonts w:ascii="宋体" w:hAnsi="宋体"/>
          <w:b/>
          <w:bCs/>
          <w:color w:val="auto"/>
          <w:sz w:val="24"/>
          <w:szCs w:val="28"/>
          <w:highlight w:val="none"/>
        </w:rPr>
        <w:t>格式</w:t>
      </w:r>
      <w:r>
        <w:rPr>
          <w:rFonts w:hint="eastAsia" w:ascii="宋体" w:hAnsi="宋体"/>
          <w:b/>
          <w:bCs/>
          <w:color w:val="auto"/>
          <w:sz w:val="24"/>
          <w:szCs w:val="28"/>
          <w:highlight w:val="none"/>
        </w:rPr>
        <w:t>七</w:t>
      </w:r>
      <w:r>
        <w:rPr>
          <w:rFonts w:ascii="宋体" w:hAnsi="宋体"/>
          <w:b/>
          <w:bCs/>
          <w:color w:val="auto"/>
          <w:sz w:val="24"/>
          <w:szCs w:val="28"/>
          <w:highlight w:val="none"/>
        </w:rPr>
        <w:t>：</w:t>
      </w:r>
      <w:bookmarkEnd w:id="57"/>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8"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58"/>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r>
        <w:rPr>
          <w:rFonts w:hint="eastAsia" w:ascii="宋体" w:hAnsi="宋体"/>
          <w:b/>
          <w:color w:val="auto"/>
          <w:highlight w:val="none"/>
          <w:lang w:val="en-US" w:eastAsia="zh-CN"/>
        </w:rPr>
        <w:t>东莞分公司</w:t>
      </w:r>
      <w:r>
        <w:rPr>
          <w:rFonts w:hint="eastAsia" w:ascii="宋体" w:hAnsi="宋体"/>
          <w:b/>
          <w:color w:val="auto"/>
          <w:highlight w:val="none"/>
        </w:rPr>
        <w:t>：</w:t>
      </w:r>
    </w:p>
    <w:p w14:paraId="56C2A077">
      <w:pPr>
        <w:pStyle w:val="49"/>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49"/>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49"/>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49"/>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707E34B6">
      <w:pPr>
        <w:pStyle w:val="74"/>
        <w:ind w:right="1890" w:firstLine="640"/>
        <w:jc w:val="center"/>
        <w:rPr>
          <w:rFonts w:hint="default"/>
          <w:color w:val="auto"/>
          <w:highlight w:val="none"/>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格式九：</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r>
        <w:rPr>
          <w:rFonts w:hint="eastAsia" w:ascii="宋体" w:hAnsi="宋体"/>
          <w:b/>
          <w:color w:val="auto"/>
          <w:szCs w:val="21"/>
          <w:highlight w:val="none"/>
          <w:lang w:val="en-US" w:eastAsia="zh-CN"/>
        </w:rPr>
        <w:t>东莞分公司</w:t>
      </w:r>
      <w:r>
        <w:rPr>
          <w:rFonts w:hint="eastAsia" w:ascii="宋体" w:hAnsi="宋体"/>
          <w:b/>
          <w:color w:val="auto"/>
          <w:szCs w:val="21"/>
          <w:highlight w:val="none"/>
        </w:rPr>
        <w:t>：</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0"/>
        <w:widowControl/>
        <w:numPr>
          <w:ilvl w:val="0"/>
          <w:numId w:val="138"/>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w:t>
      </w:r>
      <w:r>
        <w:rPr>
          <w:rFonts w:hint="eastAsia" w:ascii="宋体" w:hAnsi="宋体" w:cs="宋体"/>
          <w:color w:val="auto"/>
          <w:kern w:val="0"/>
          <w:szCs w:val="21"/>
          <w:highlight w:val="none"/>
          <w:lang w:val="en-US" w:eastAsia="zh-CN"/>
        </w:rPr>
        <w:t>响应</w:t>
      </w:r>
      <w:r>
        <w:rPr>
          <w:rFonts w:hint="eastAsia" w:ascii="宋体" w:hAnsi="宋体" w:cs="宋体"/>
          <w:color w:val="auto"/>
          <w:kern w:val="0"/>
          <w:szCs w:val="21"/>
          <w:highlight w:val="none"/>
        </w:rPr>
        <w:t>。</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9" w:name="_Toc169799798"/>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ascii="宋体" w:hAnsi="宋体"/>
          <w:b/>
          <w:bCs/>
          <w:color w:val="auto"/>
          <w:sz w:val="24"/>
          <w:szCs w:val="28"/>
          <w:highlight w:val="none"/>
        </w:rPr>
        <w:t>：</w:t>
      </w:r>
      <w:bookmarkEnd w:id="59"/>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hint="eastAsia" w:ascii="宋体" w:hAnsi="宋体"/>
          <w:b/>
          <w:bCs/>
          <w:color w:val="auto"/>
          <w:sz w:val="24"/>
          <w:szCs w:val="28"/>
          <w:highlight w:val="none"/>
        </w:rPr>
        <w:t>：</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eastAsia="zh-CN"/>
        </w:rPr>
        <w:t>三</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60" w:name="_Toc169799799"/>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hint="eastAsia" w:ascii="宋体" w:hAnsi="宋体"/>
          <w:b/>
          <w:bCs/>
          <w:color w:val="auto"/>
          <w:sz w:val="24"/>
          <w:szCs w:val="28"/>
          <w:highlight w:val="none"/>
          <w:lang w:eastAsia="zh-CN"/>
        </w:rPr>
        <w:t>四</w:t>
      </w:r>
      <w:r>
        <w:rPr>
          <w:rFonts w:ascii="宋体" w:hAnsi="宋体"/>
          <w:b/>
          <w:bCs/>
          <w:color w:val="auto"/>
          <w:sz w:val="24"/>
          <w:szCs w:val="28"/>
          <w:highlight w:val="none"/>
        </w:rPr>
        <w:t>：</w:t>
      </w:r>
      <w:bookmarkEnd w:id="60"/>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61"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eastAsia="zh-CN"/>
        </w:rPr>
        <w:t>五</w:t>
      </w:r>
      <w:r>
        <w:rPr>
          <w:rFonts w:ascii="宋体" w:hAnsi="宋体"/>
          <w:b/>
          <w:bCs/>
          <w:color w:val="auto"/>
          <w:sz w:val="24"/>
          <w:szCs w:val="28"/>
          <w:highlight w:val="none"/>
        </w:rPr>
        <w:t>：</w:t>
      </w:r>
      <w:bookmarkEnd w:id="61"/>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7"/>
          <w:rFonts w:ascii="宋体" w:hAnsi="宋体" w:cs="Arial"/>
          <w:color w:val="auto"/>
          <w:highlight w:val="none"/>
          <w:shd w:val="clear" w:color="auto" w:fill="FFFFFF"/>
        </w:rPr>
        <w:t>/</w:t>
      </w:r>
      <w:r>
        <w:rPr>
          <w:rStyle w:val="27"/>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7"/>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62" w:name="_Hlk169717981"/>
      <w:r>
        <w:rPr>
          <w:rFonts w:ascii="宋体" w:hAnsi="宋体"/>
          <w:color w:val="auto"/>
          <w:kern w:val="0"/>
          <w:szCs w:val="21"/>
          <w:highlight w:val="none"/>
          <w:lang w:eastAsia="zh-Hans"/>
        </w:rPr>
        <w:t>“备注”</w:t>
      </w:r>
      <w:bookmarkEnd w:id="62"/>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3"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63"/>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w:t>
      </w:r>
      <w:r>
        <w:rPr>
          <w:rFonts w:ascii="宋体" w:hAnsi="宋体"/>
          <w:b/>
          <w:bCs/>
          <w:color w:val="auto"/>
          <w:kern w:val="0"/>
          <w:szCs w:val="21"/>
          <w:highlight w:val="none"/>
          <w:lang w:eastAsia="zh-Hans"/>
        </w:rPr>
        <w:t>采购需求</w:t>
      </w:r>
      <w:r>
        <w:rPr>
          <w:rFonts w:ascii="宋体" w:hAnsi="宋体"/>
          <w:color w:val="auto"/>
          <w:kern w:val="0"/>
          <w:szCs w:val="21"/>
          <w:highlight w:val="none"/>
          <w:lang w:eastAsia="zh-Hans"/>
        </w:rPr>
        <w:t>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143F76A">
      <w:pPr>
        <w:rPr>
          <w:rFonts w:ascii="宋体" w:hAnsi="宋体"/>
          <w:b/>
          <w:bCs/>
          <w:color w:val="auto"/>
          <w:sz w:val="24"/>
          <w:szCs w:val="28"/>
          <w:highlight w:val="none"/>
        </w:rPr>
      </w:pPr>
      <w:bookmarkStart w:id="64" w:name="_Toc169799802"/>
      <w:r>
        <w:rPr>
          <w:rFonts w:ascii="宋体" w:hAnsi="宋体"/>
          <w:b/>
          <w:bCs/>
          <w:color w:val="auto"/>
          <w:sz w:val="24"/>
          <w:szCs w:val="28"/>
          <w:highlight w:val="none"/>
        </w:rPr>
        <w:br w:type="page"/>
      </w:r>
    </w:p>
    <w:p w14:paraId="28126855">
      <w:pPr>
        <w:pageBreakBefore/>
        <w:rPr>
          <w:color w:val="auto"/>
          <w:kern w:val="0"/>
          <w:sz w:val="20"/>
          <w:szCs w:val="20"/>
          <w:highlight w:val="none"/>
          <w:lang w:eastAsia="zh-Hans"/>
        </w:rPr>
      </w:pPr>
      <w:r>
        <w:rPr>
          <w:rFonts w:ascii="宋体" w:hAnsi="宋体"/>
          <w:b/>
          <w:bCs/>
          <w:color w:val="auto"/>
          <w:sz w:val="24"/>
          <w:szCs w:val="28"/>
          <w:highlight w:val="none"/>
        </w:rPr>
        <w:t>格式十</w:t>
      </w:r>
      <w:r>
        <w:rPr>
          <w:rFonts w:hint="eastAsia" w:ascii="宋体" w:hAnsi="宋体"/>
          <w:b/>
          <w:bCs/>
          <w:color w:val="auto"/>
          <w:sz w:val="24"/>
          <w:szCs w:val="28"/>
          <w:highlight w:val="none"/>
          <w:lang w:eastAsia="zh-CN"/>
        </w:rPr>
        <w:t>七</w:t>
      </w:r>
      <w:r>
        <w:rPr>
          <w:rFonts w:ascii="宋体" w:hAnsi="宋体"/>
          <w:b/>
          <w:bCs/>
          <w:color w:val="auto"/>
          <w:sz w:val="24"/>
          <w:szCs w:val="28"/>
          <w:highlight w:val="none"/>
        </w:rPr>
        <w:t>：</w:t>
      </w:r>
    </w:p>
    <w:p w14:paraId="6BD3F591">
      <w:pPr>
        <w:spacing w:before="312" w:beforeLines="100" w:after="312" w:afterLines="100"/>
        <w:jc w:val="center"/>
        <w:rPr>
          <w:rFonts w:hint="eastAsia" w:ascii="宋体" w:hAnsi="宋体" w:eastAsia="宋体" w:cs="宋体"/>
          <w:color w:val="auto"/>
          <w:sz w:val="32"/>
          <w:szCs w:val="32"/>
          <w:highlight w:val="none"/>
        </w:rPr>
      </w:pPr>
      <w:r>
        <w:rPr>
          <w:rFonts w:hint="eastAsia" w:ascii="宋体" w:hAnsi="宋体" w:eastAsia="宋体" w:cs="宋体"/>
          <w:b/>
          <w:color w:val="auto"/>
          <w:spacing w:val="20"/>
          <w:sz w:val="32"/>
          <w:szCs w:val="32"/>
          <w:highlight w:val="none"/>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kern w:val="0"/>
                <w:szCs w:val="21"/>
                <w:highlight w:val="none"/>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743" w:type="pct"/>
            <w:shd w:val="clear" w:color="auto" w:fill="auto"/>
          </w:tcPr>
          <w:p w14:paraId="5D9F3E3E">
            <w:pPr>
              <w:spacing w:line="360" w:lineRule="auto"/>
              <w:rPr>
                <w:rFonts w:hint="eastAsia" w:ascii="宋体" w:hAnsi="宋体" w:eastAsia="宋体" w:cs="宋体"/>
                <w:color w:val="auto"/>
                <w:highlight w:val="none"/>
              </w:rPr>
            </w:pPr>
          </w:p>
        </w:tc>
        <w:tc>
          <w:tcPr>
            <w:tcW w:w="1081" w:type="pct"/>
            <w:shd w:val="clear" w:color="auto" w:fill="auto"/>
          </w:tcPr>
          <w:p w14:paraId="4123AC16">
            <w:pPr>
              <w:spacing w:line="360" w:lineRule="auto"/>
              <w:rPr>
                <w:rFonts w:hint="eastAsia" w:ascii="宋体" w:hAnsi="宋体" w:eastAsia="宋体" w:cs="宋体"/>
                <w:color w:val="auto"/>
                <w:highlight w:val="none"/>
              </w:rPr>
            </w:pPr>
          </w:p>
        </w:tc>
        <w:tc>
          <w:tcPr>
            <w:tcW w:w="1081" w:type="pct"/>
            <w:shd w:val="clear" w:color="auto" w:fill="auto"/>
          </w:tcPr>
          <w:p w14:paraId="108DA07C">
            <w:pPr>
              <w:spacing w:line="360" w:lineRule="auto"/>
              <w:rPr>
                <w:rFonts w:hint="eastAsia" w:ascii="宋体" w:hAnsi="宋体" w:eastAsia="宋体" w:cs="宋体"/>
                <w:color w:val="auto"/>
                <w:highlight w:val="none"/>
              </w:rPr>
            </w:pPr>
          </w:p>
        </w:tc>
        <w:tc>
          <w:tcPr>
            <w:tcW w:w="697" w:type="pct"/>
            <w:shd w:val="clear" w:color="auto" w:fill="auto"/>
          </w:tcPr>
          <w:p w14:paraId="24527C61">
            <w:pPr>
              <w:spacing w:line="360" w:lineRule="auto"/>
              <w:rPr>
                <w:rFonts w:hint="eastAsia" w:ascii="宋体" w:hAnsi="宋体" w:eastAsia="宋体" w:cs="宋体"/>
                <w:color w:val="auto"/>
                <w:highlight w:val="none"/>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743" w:type="pct"/>
            <w:shd w:val="clear" w:color="auto" w:fill="auto"/>
          </w:tcPr>
          <w:p w14:paraId="45E2FBF3">
            <w:pPr>
              <w:spacing w:line="360" w:lineRule="auto"/>
              <w:rPr>
                <w:rFonts w:hint="eastAsia" w:ascii="宋体" w:hAnsi="宋体" w:eastAsia="宋体" w:cs="宋体"/>
                <w:color w:val="auto"/>
                <w:highlight w:val="none"/>
              </w:rPr>
            </w:pPr>
          </w:p>
        </w:tc>
        <w:tc>
          <w:tcPr>
            <w:tcW w:w="1081" w:type="pct"/>
            <w:shd w:val="clear" w:color="auto" w:fill="auto"/>
          </w:tcPr>
          <w:p w14:paraId="2FE87EF5">
            <w:pPr>
              <w:spacing w:line="360" w:lineRule="auto"/>
              <w:rPr>
                <w:rFonts w:hint="eastAsia" w:ascii="宋体" w:hAnsi="宋体" w:eastAsia="宋体" w:cs="宋体"/>
                <w:color w:val="auto"/>
                <w:highlight w:val="none"/>
              </w:rPr>
            </w:pPr>
          </w:p>
        </w:tc>
        <w:tc>
          <w:tcPr>
            <w:tcW w:w="1081" w:type="pct"/>
            <w:shd w:val="clear" w:color="auto" w:fill="auto"/>
          </w:tcPr>
          <w:p w14:paraId="055B4324">
            <w:pPr>
              <w:spacing w:line="360" w:lineRule="auto"/>
              <w:rPr>
                <w:rFonts w:hint="eastAsia" w:ascii="宋体" w:hAnsi="宋体" w:eastAsia="宋体" w:cs="宋体"/>
                <w:color w:val="auto"/>
                <w:highlight w:val="none"/>
              </w:rPr>
            </w:pPr>
          </w:p>
        </w:tc>
        <w:tc>
          <w:tcPr>
            <w:tcW w:w="697" w:type="pct"/>
            <w:shd w:val="clear" w:color="auto" w:fill="auto"/>
          </w:tcPr>
          <w:p w14:paraId="192B7028">
            <w:pPr>
              <w:spacing w:line="360" w:lineRule="auto"/>
              <w:rPr>
                <w:rFonts w:hint="eastAsia" w:ascii="宋体" w:hAnsi="宋体" w:eastAsia="宋体" w:cs="宋体"/>
                <w:color w:val="auto"/>
                <w:highlight w:val="none"/>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743" w:type="pct"/>
            <w:shd w:val="clear" w:color="auto" w:fill="auto"/>
          </w:tcPr>
          <w:p w14:paraId="7799DAFE">
            <w:pPr>
              <w:spacing w:line="360" w:lineRule="auto"/>
              <w:rPr>
                <w:rFonts w:hint="eastAsia" w:ascii="宋体" w:hAnsi="宋体" w:eastAsia="宋体" w:cs="宋体"/>
                <w:color w:val="auto"/>
                <w:highlight w:val="none"/>
              </w:rPr>
            </w:pPr>
          </w:p>
        </w:tc>
        <w:tc>
          <w:tcPr>
            <w:tcW w:w="1081" w:type="pct"/>
            <w:shd w:val="clear" w:color="auto" w:fill="auto"/>
          </w:tcPr>
          <w:p w14:paraId="64733E94">
            <w:pPr>
              <w:spacing w:line="360" w:lineRule="auto"/>
              <w:rPr>
                <w:rFonts w:hint="eastAsia" w:ascii="宋体" w:hAnsi="宋体" w:eastAsia="宋体" w:cs="宋体"/>
                <w:color w:val="auto"/>
                <w:highlight w:val="none"/>
              </w:rPr>
            </w:pPr>
          </w:p>
        </w:tc>
        <w:tc>
          <w:tcPr>
            <w:tcW w:w="1081" w:type="pct"/>
            <w:shd w:val="clear" w:color="auto" w:fill="auto"/>
          </w:tcPr>
          <w:p w14:paraId="34349ACB">
            <w:pPr>
              <w:spacing w:line="360" w:lineRule="auto"/>
              <w:rPr>
                <w:rFonts w:hint="eastAsia" w:ascii="宋体" w:hAnsi="宋体" w:eastAsia="宋体" w:cs="宋体"/>
                <w:color w:val="auto"/>
                <w:highlight w:val="none"/>
              </w:rPr>
            </w:pPr>
          </w:p>
        </w:tc>
        <w:tc>
          <w:tcPr>
            <w:tcW w:w="697" w:type="pct"/>
            <w:shd w:val="clear" w:color="auto" w:fill="auto"/>
          </w:tcPr>
          <w:p w14:paraId="61232E38">
            <w:pPr>
              <w:spacing w:line="360" w:lineRule="auto"/>
              <w:rPr>
                <w:rFonts w:hint="eastAsia" w:ascii="宋体" w:hAnsi="宋体" w:eastAsia="宋体" w:cs="宋体"/>
                <w:color w:val="auto"/>
                <w:highlight w:val="none"/>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743" w:type="pct"/>
            <w:shd w:val="clear" w:color="auto" w:fill="auto"/>
          </w:tcPr>
          <w:p w14:paraId="7BA9582E">
            <w:pPr>
              <w:spacing w:line="360" w:lineRule="auto"/>
              <w:rPr>
                <w:rFonts w:hint="eastAsia" w:ascii="宋体" w:hAnsi="宋体" w:eastAsia="宋体" w:cs="宋体"/>
                <w:color w:val="auto"/>
                <w:highlight w:val="none"/>
              </w:rPr>
            </w:pPr>
          </w:p>
        </w:tc>
        <w:tc>
          <w:tcPr>
            <w:tcW w:w="1081" w:type="pct"/>
            <w:shd w:val="clear" w:color="auto" w:fill="auto"/>
          </w:tcPr>
          <w:p w14:paraId="2AA8E109">
            <w:pPr>
              <w:spacing w:line="360" w:lineRule="auto"/>
              <w:rPr>
                <w:rFonts w:hint="eastAsia" w:ascii="宋体" w:hAnsi="宋体" w:eastAsia="宋体" w:cs="宋体"/>
                <w:color w:val="auto"/>
                <w:highlight w:val="none"/>
              </w:rPr>
            </w:pPr>
          </w:p>
        </w:tc>
        <w:tc>
          <w:tcPr>
            <w:tcW w:w="1081" w:type="pct"/>
            <w:shd w:val="clear" w:color="auto" w:fill="auto"/>
          </w:tcPr>
          <w:p w14:paraId="2BCDE7B8">
            <w:pPr>
              <w:spacing w:line="360" w:lineRule="auto"/>
              <w:rPr>
                <w:rFonts w:hint="eastAsia" w:ascii="宋体" w:hAnsi="宋体" w:eastAsia="宋体" w:cs="宋体"/>
                <w:color w:val="auto"/>
                <w:highlight w:val="none"/>
              </w:rPr>
            </w:pPr>
          </w:p>
        </w:tc>
        <w:tc>
          <w:tcPr>
            <w:tcW w:w="697" w:type="pct"/>
            <w:shd w:val="clear" w:color="auto" w:fill="auto"/>
          </w:tcPr>
          <w:p w14:paraId="153F4255">
            <w:pPr>
              <w:spacing w:line="360" w:lineRule="auto"/>
              <w:rPr>
                <w:rFonts w:hint="eastAsia" w:ascii="宋体" w:hAnsi="宋体" w:eastAsia="宋体" w:cs="宋体"/>
                <w:color w:val="auto"/>
                <w:highlight w:val="none"/>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743" w:type="pct"/>
            <w:shd w:val="clear" w:color="auto" w:fill="auto"/>
          </w:tcPr>
          <w:p w14:paraId="0A32603C">
            <w:pPr>
              <w:spacing w:line="360" w:lineRule="auto"/>
              <w:rPr>
                <w:rFonts w:hint="eastAsia" w:ascii="宋体" w:hAnsi="宋体" w:eastAsia="宋体" w:cs="宋体"/>
                <w:color w:val="auto"/>
                <w:highlight w:val="none"/>
              </w:rPr>
            </w:pPr>
          </w:p>
        </w:tc>
        <w:tc>
          <w:tcPr>
            <w:tcW w:w="1081" w:type="pct"/>
            <w:shd w:val="clear" w:color="auto" w:fill="auto"/>
          </w:tcPr>
          <w:p w14:paraId="49A28968">
            <w:pPr>
              <w:spacing w:line="360" w:lineRule="auto"/>
              <w:rPr>
                <w:rFonts w:hint="eastAsia" w:ascii="宋体" w:hAnsi="宋体" w:eastAsia="宋体" w:cs="宋体"/>
                <w:color w:val="auto"/>
                <w:highlight w:val="none"/>
              </w:rPr>
            </w:pPr>
          </w:p>
        </w:tc>
        <w:tc>
          <w:tcPr>
            <w:tcW w:w="1081" w:type="pct"/>
            <w:shd w:val="clear" w:color="auto" w:fill="auto"/>
          </w:tcPr>
          <w:p w14:paraId="7B7E29AD">
            <w:pPr>
              <w:spacing w:line="360" w:lineRule="auto"/>
              <w:rPr>
                <w:rFonts w:hint="eastAsia" w:ascii="宋体" w:hAnsi="宋体" w:eastAsia="宋体" w:cs="宋体"/>
                <w:color w:val="auto"/>
                <w:highlight w:val="none"/>
              </w:rPr>
            </w:pPr>
          </w:p>
        </w:tc>
        <w:tc>
          <w:tcPr>
            <w:tcW w:w="697" w:type="pct"/>
            <w:shd w:val="clear" w:color="auto" w:fill="auto"/>
          </w:tcPr>
          <w:p w14:paraId="3211DC51">
            <w:pPr>
              <w:spacing w:line="360" w:lineRule="auto"/>
              <w:rPr>
                <w:rFonts w:hint="eastAsia" w:ascii="宋体" w:hAnsi="宋体" w:eastAsia="宋体" w:cs="宋体"/>
                <w:color w:val="auto"/>
                <w:highlight w:val="none"/>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说</w:t>
      </w:r>
      <w:r>
        <w:rPr>
          <w:rFonts w:hint="eastAsia" w:ascii="宋体" w:hAnsi="宋体" w:eastAsia="宋体" w:cs="宋体"/>
          <w:color w:val="auto"/>
          <w:highlight w:val="none"/>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1.</w:t>
      </w:r>
      <w:r>
        <w:rPr>
          <w:rFonts w:hint="eastAsia" w:ascii="宋体" w:hAnsi="宋体" w:eastAsia="宋体" w:cs="宋体"/>
          <w:color w:val="auto"/>
          <w:highlight w:val="none"/>
        </w:rPr>
        <w:t>响应供应商必须对应磋商文件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color w:val="auto"/>
          <w:highlight w:val="none"/>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若磋商文件</w:t>
      </w:r>
      <w:r>
        <w:rPr>
          <w:rFonts w:hint="eastAsia" w:ascii="宋体" w:hAnsi="宋体" w:eastAsia="宋体" w:cs="宋体"/>
          <w:b/>
          <w:bCs/>
          <w:color w:val="auto"/>
          <w:highlight w:val="none"/>
        </w:rPr>
        <w:t>“采购需求”</w:t>
      </w:r>
      <w:r>
        <w:rPr>
          <w:rFonts w:hint="eastAsia" w:ascii="宋体" w:hAnsi="宋体" w:eastAsia="宋体" w:cs="宋体"/>
          <w:color w:val="auto"/>
          <w:highlight w:val="none"/>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color w:val="auto"/>
          <w:szCs w:val="21"/>
          <w:highlight w:val="none"/>
        </w:rPr>
      </w:pPr>
    </w:p>
    <w:p w14:paraId="6BAF9114">
      <w:pPr>
        <w:spacing w:line="360" w:lineRule="auto"/>
        <w:rPr>
          <w:rFonts w:hint="eastAsia" w:ascii="宋体" w:hAnsi="宋体" w:eastAsia="宋体" w:cs="宋体"/>
          <w:color w:val="auto"/>
          <w:szCs w:val="21"/>
          <w:highlight w:val="none"/>
        </w:rPr>
      </w:pPr>
    </w:p>
    <w:p w14:paraId="495DA4AD">
      <w:pPr>
        <w:spacing w:line="360" w:lineRule="auto"/>
        <w:rPr>
          <w:rFonts w:hint="eastAsia" w:ascii="宋体" w:hAnsi="宋体" w:eastAsia="宋体" w:cs="宋体"/>
          <w:color w:val="auto"/>
          <w:szCs w:val="21"/>
          <w:highlight w:val="none"/>
        </w:rPr>
      </w:pPr>
    </w:p>
    <w:p w14:paraId="54F599DC">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F673520">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7413BD1A">
      <w:pPr>
        <w:rPr>
          <w:rFonts w:hint="eastAsia" w:ascii="宋体" w:hAnsi="宋体" w:eastAsia="宋体" w:cs="宋体"/>
          <w:b/>
          <w:bCs/>
          <w:color w:val="auto"/>
          <w:sz w:val="24"/>
          <w:szCs w:val="28"/>
          <w:highlight w:val="none"/>
        </w:rPr>
      </w:pPr>
      <w:r>
        <w:rPr>
          <w:rFonts w:hint="eastAsia" w:ascii="宋体" w:hAnsi="宋体" w:eastAsia="宋体" w:cs="宋体"/>
          <w:b/>
          <w:bCs/>
          <w:color w:val="auto"/>
          <w:sz w:val="24"/>
          <w:szCs w:val="28"/>
          <w:highlight w:val="none"/>
        </w:rPr>
        <w:br w:type="page"/>
      </w:r>
    </w:p>
    <w:p w14:paraId="41F92673">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64"/>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5" w:name="_Toc169799803"/>
      <w:r>
        <w:rPr>
          <w:rFonts w:ascii="宋体" w:hAnsi="宋体"/>
          <w:b/>
          <w:bCs/>
          <w:color w:val="auto"/>
          <w:sz w:val="24"/>
          <w:szCs w:val="28"/>
          <w:highlight w:val="none"/>
        </w:rPr>
        <w:t>格式</w:t>
      </w:r>
      <w:r>
        <w:rPr>
          <w:rFonts w:hint="eastAsia" w:ascii="宋体" w:hAnsi="宋体"/>
          <w:b/>
          <w:bCs/>
          <w:color w:val="auto"/>
          <w:sz w:val="24"/>
          <w:szCs w:val="28"/>
          <w:highlight w:val="none"/>
        </w:rPr>
        <w:t>十</w:t>
      </w:r>
      <w:r>
        <w:rPr>
          <w:rFonts w:hint="eastAsia" w:ascii="宋体" w:hAnsi="宋体"/>
          <w:b/>
          <w:bCs/>
          <w:color w:val="auto"/>
          <w:sz w:val="24"/>
          <w:szCs w:val="28"/>
          <w:highlight w:val="none"/>
          <w:lang w:val="en-US" w:eastAsia="zh-CN"/>
        </w:rPr>
        <w:t>九</w:t>
      </w:r>
      <w:r>
        <w:rPr>
          <w:rFonts w:ascii="宋体" w:hAnsi="宋体"/>
          <w:b/>
          <w:bCs/>
          <w:color w:val="auto"/>
          <w:sz w:val="24"/>
          <w:szCs w:val="28"/>
          <w:highlight w:val="none"/>
        </w:rPr>
        <w:t>：</w:t>
      </w:r>
      <w:bookmarkEnd w:id="65"/>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val="en-US" w:eastAsia="zh-CN"/>
        </w:rPr>
        <w:t>东莞分公司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6" w:name="_Toc169799804"/>
      <w:r>
        <w:rPr>
          <w:rFonts w:ascii="宋体" w:hAnsi="宋体"/>
          <w:b/>
          <w:bCs/>
          <w:color w:val="auto"/>
          <w:sz w:val="24"/>
          <w:szCs w:val="28"/>
          <w:highlight w:val="none"/>
        </w:rPr>
        <w:t>格式二十：</w:t>
      </w:r>
      <w:bookmarkEnd w:id="66"/>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val="en-US" w:eastAsia="zh-CN"/>
        </w:rPr>
        <w:t>东莞分公司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w:t>
      </w:r>
      <w:r>
        <w:rPr>
          <w:rFonts w:hint="eastAsia" w:ascii="宋体" w:hAnsi="宋体"/>
          <w:color w:val="auto"/>
          <w:szCs w:val="21"/>
          <w:highlight w:val="none"/>
          <w:lang w:val="en-US" w:eastAsia="zh-CN"/>
        </w:rPr>
        <w:t>响应</w:t>
      </w:r>
      <w:r>
        <w:rPr>
          <w:rFonts w:hint="eastAsia" w:ascii="宋体" w:hAnsi="宋体"/>
          <w:color w:val="auto"/>
          <w:szCs w:val="21"/>
          <w:highlight w:val="none"/>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7"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67"/>
    <w:p w14:paraId="1D9AC70A">
      <w:pPr>
        <w:pageBreakBefore/>
        <w:rPr>
          <w:color w:val="auto"/>
          <w:kern w:val="0"/>
          <w:sz w:val="20"/>
          <w:szCs w:val="20"/>
          <w:highlight w:val="none"/>
          <w:lang w:eastAsia="zh-Hans"/>
        </w:rPr>
      </w:pPr>
      <w:bookmarkStart w:id="68" w:name="_Toc169799806"/>
      <w:r>
        <w:rPr>
          <w:rFonts w:ascii="宋体" w:hAnsi="宋体"/>
          <w:b/>
          <w:bCs/>
          <w:color w:val="auto"/>
          <w:sz w:val="24"/>
          <w:szCs w:val="28"/>
          <w:highlight w:val="none"/>
        </w:rPr>
        <w:t>格式二十</w:t>
      </w:r>
      <w:r>
        <w:rPr>
          <w:rFonts w:hint="eastAsia" w:ascii="宋体" w:hAnsi="宋体"/>
          <w:b/>
          <w:bCs/>
          <w:color w:val="auto"/>
          <w:sz w:val="24"/>
          <w:szCs w:val="28"/>
          <w:highlight w:val="none"/>
          <w:lang w:val="en-US" w:eastAsia="zh-CN"/>
        </w:rPr>
        <w:t>一</w:t>
      </w:r>
      <w:r>
        <w:rPr>
          <w:rFonts w:ascii="宋体" w:hAnsi="宋体"/>
          <w:b/>
          <w:bCs/>
          <w:color w:val="auto"/>
          <w:sz w:val="24"/>
          <w:szCs w:val="28"/>
          <w:highlight w:val="none"/>
        </w:rPr>
        <w:t>：</w:t>
      </w:r>
      <w:bookmarkEnd w:id="68"/>
    </w:p>
    <w:p w14:paraId="55D289B9">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17F68D9F">
      <w:pPr>
        <w:spacing w:line="360" w:lineRule="auto"/>
        <w:rPr>
          <w:rFonts w:asciiTheme="minorEastAsia" w:hAnsiTheme="minorEastAsia" w:eastAsiaTheme="minorEastAsia"/>
          <w:color w:val="auto"/>
          <w:highlight w:val="none"/>
        </w:rPr>
      </w:pPr>
      <w:r>
        <w:rPr>
          <w:rFonts w:hint="eastAsia"/>
          <w:color w:val="auto"/>
          <w:sz w:val="20"/>
          <w:szCs w:val="20"/>
          <w:highlight w:val="none"/>
          <w:lang w:eastAsia="zh-Hans"/>
        </w:rPr>
        <w:t>总体服务方案、服务质量保障方案、服务人员配置方案、故障排除及应急方案、重保时期保障方案等内容和格式自拟。</w:t>
      </w:r>
    </w:p>
    <w:sectPr>
      <w:footerReference r:id="rId3" w:type="default"/>
      <w:pgSz w:w="11906" w:h="16838"/>
      <w:pgMar w:top="1418" w:right="1418" w:bottom="1418" w:left="1418" w:header="851" w:footer="595" w:gutter="0"/>
      <w:pgBorders>
        <w:top w:val="none" w:sz="0" w:space="0"/>
        <w:left w:val="none" w:sz="0" w:space="0"/>
        <w:bottom w:val="none" w:sz="0" w:space="0"/>
        <w:right w:val="none" w:sz="0" w:space="0"/>
      </w:pgBorders>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132DB"/>
    <w:multiLevelType w:val="multilevel"/>
    <w:tmpl w:val="89E132DB"/>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89E2FE21"/>
    <w:multiLevelType w:val="singleLevel"/>
    <w:tmpl w:val="89E2FE21"/>
    <w:lvl w:ilvl="0" w:tentative="0">
      <w:start w:val="1"/>
      <w:numFmt w:val="decimal"/>
      <w:lvlText w:val="%1)"/>
      <w:lvlJc w:val="left"/>
      <w:pPr>
        <w:ind w:left="425" w:hanging="425"/>
      </w:pPr>
      <w:rPr>
        <w:rFonts w:hint="default"/>
      </w:rPr>
    </w:lvl>
  </w:abstractNum>
  <w:abstractNum w:abstractNumId="2">
    <w:nsid w:val="8A3596AC"/>
    <w:multiLevelType w:val="multilevel"/>
    <w:tmpl w:val="8A3596AC"/>
    <w:lvl w:ilvl="0" w:tentative="0">
      <w:start w:val="1"/>
      <w:numFmt w:val="chineseCountingThousand"/>
      <w:lvlText w:val="%1、"/>
      <w:lvlJc w:val="left"/>
      <w:pPr>
        <w:tabs>
          <w:tab w:val="left" w:pos="420"/>
        </w:tabs>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8D43F886"/>
    <w:multiLevelType w:val="singleLevel"/>
    <w:tmpl w:val="8D43F886"/>
    <w:lvl w:ilvl="0" w:tentative="0">
      <w:start w:val="1"/>
      <w:numFmt w:val="decimalEnclosedCircleChinese"/>
      <w:suff w:val="nothing"/>
      <w:lvlText w:val="%1　"/>
      <w:lvlJc w:val="left"/>
      <w:pPr>
        <w:ind w:left="0" w:firstLine="400"/>
      </w:pPr>
      <w:rPr>
        <w:rFonts w:hint="eastAsia"/>
      </w:rPr>
    </w:lvl>
  </w:abstractNum>
  <w:abstractNum w:abstractNumId="4">
    <w:nsid w:val="8D9BFB53"/>
    <w:multiLevelType w:val="singleLevel"/>
    <w:tmpl w:val="8D9BFB53"/>
    <w:lvl w:ilvl="0" w:tentative="0">
      <w:start w:val="1"/>
      <w:numFmt w:val="decimal"/>
      <w:lvlText w:val="(%1)"/>
      <w:lvlJc w:val="left"/>
      <w:pPr>
        <w:ind w:left="425" w:hanging="425"/>
      </w:pPr>
      <w:rPr>
        <w:rFonts w:hint="default"/>
      </w:rPr>
    </w:lvl>
  </w:abstractNum>
  <w:abstractNum w:abstractNumId="5">
    <w:nsid w:val="8E48ABCA"/>
    <w:multiLevelType w:val="singleLevel"/>
    <w:tmpl w:val="8E48ABCA"/>
    <w:lvl w:ilvl="0" w:tentative="0">
      <w:start w:val="1"/>
      <w:numFmt w:val="decimal"/>
      <w:lvlText w:val="(%1)"/>
      <w:lvlJc w:val="left"/>
      <w:pPr>
        <w:ind w:left="425" w:hanging="425"/>
      </w:pPr>
      <w:rPr>
        <w:rFonts w:hint="default"/>
      </w:rPr>
    </w:lvl>
  </w:abstractNum>
  <w:abstractNum w:abstractNumId="6">
    <w:nsid w:val="93A99039"/>
    <w:multiLevelType w:val="singleLevel"/>
    <w:tmpl w:val="93A99039"/>
    <w:lvl w:ilvl="0" w:tentative="0">
      <w:start w:val="1"/>
      <w:numFmt w:val="decimalEnclosedCircleChinese"/>
      <w:suff w:val="nothing"/>
      <w:lvlText w:val="%1　"/>
      <w:lvlJc w:val="left"/>
      <w:pPr>
        <w:ind w:left="0" w:firstLine="400"/>
      </w:pPr>
      <w:rPr>
        <w:rFonts w:hint="eastAsia"/>
      </w:rPr>
    </w:lvl>
  </w:abstractNum>
  <w:abstractNum w:abstractNumId="7">
    <w:nsid w:val="95A83A2A"/>
    <w:multiLevelType w:val="multilevel"/>
    <w:tmpl w:val="95A83A2A"/>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97DBC207"/>
    <w:multiLevelType w:val="singleLevel"/>
    <w:tmpl w:val="97DBC207"/>
    <w:lvl w:ilvl="0" w:tentative="0">
      <w:start w:val="1"/>
      <w:numFmt w:val="decimal"/>
      <w:lvlText w:val="%1."/>
      <w:lvlJc w:val="left"/>
      <w:pPr>
        <w:ind w:left="425" w:hanging="425"/>
      </w:pPr>
      <w:rPr>
        <w:rFonts w:hint="default"/>
      </w:rPr>
    </w:lvl>
  </w:abstractNum>
  <w:abstractNum w:abstractNumId="9">
    <w:nsid w:val="9DFBC9B3"/>
    <w:multiLevelType w:val="singleLevel"/>
    <w:tmpl w:val="9DFBC9B3"/>
    <w:lvl w:ilvl="0" w:tentative="0">
      <w:start w:val="1"/>
      <w:numFmt w:val="decimalEnclosedCircleChinese"/>
      <w:suff w:val="nothing"/>
      <w:lvlText w:val="%1　"/>
      <w:lvlJc w:val="left"/>
      <w:pPr>
        <w:ind w:left="0" w:firstLine="400"/>
      </w:pPr>
      <w:rPr>
        <w:rFonts w:hint="eastAsia"/>
      </w:rPr>
    </w:lvl>
  </w:abstractNum>
  <w:abstractNum w:abstractNumId="10">
    <w:nsid w:val="9F52F52B"/>
    <w:multiLevelType w:val="singleLevel"/>
    <w:tmpl w:val="9F52F52B"/>
    <w:lvl w:ilvl="0" w:tentative="0">
      <w:start w:val="1"/>
      <w:numFmt w:val="decimal"/>
      <w:lvlText w:val="%1)"/>
      <w:lvlJc w:val="left"/>
      <w:pPr>
        <w:ind w:left="425" w:hanging="425"/>
      </w:pPr>
      <w:rPr>
        <w:rFonts w:hint="default"/>
      </w:rPr>
    </w:lvl>
  </w:abstractNum>
  <w:abstractNum w:abstractNumId="11">
    <w:nsid w:val="A0336CA3"/>
    <w:multiLevelType w:val="singleLevel"/>
    <w:tmpl w:val="A0336CA3"/>
    <w:lvl w:ilvl="0" w:tentative="0">
      <w:start w:val="1"/>
      <w:numFmt w:val="decimal"/>
      <w:lvlText w:val="%1)"/>
      <w:lvlJc w:val="left"/>
      <w:pPr>
        <w:ind w:left="425" w:hanging="425"/>
      </w:pPr>
      <w:rPr>
        <w:rFonts w:hint="default"/>
      </w:rPr>
    </w:lvl>
  </w:abstractNum>
  <w:abstractNum w:abstractNumId="12">
    <w:nsid w:val="A43DD14A"/>
    <w:multiLevelType w:val="singleLevel"/>
    <w:tmpl w:val="A43DD14A"/>
    <w:lvl w:ilvl="0" w:tentative="0">
      <w:start w:val="1"/>
      <w:numFmt w:val="decimal"/>
      <w:lvlText w:val="(%1)"/>
      <w:lvlJc w:val="left"/>
      <w:pPr>
        <w:ind w:left="425" w:hanging="425"/>
      </w:pPr>
      <w:rPr>
        <w:rFonts w:hint="default"/>
      </w:rPr>
    </w:lvl>
  </w:abstractNum>
  <w:abstractNum w:abstractNumId="13">
    <w:nsid w:val="B0797BEA"/>
    <w:multiLevelType w:val="singleLevel"/>
    <w:tmpl w:val="B0797BEA"/>
    <w:lvl w:ilvl="0" w:tentative="0">
      <w:start w:val="1"/>
      <w:numFmt w:val="lowerLetter"/>
      <w:lvlText w:val="%1."/>
      <w:lvlJc w:val="left"/>
      <w:pPr>
        <w:ind w:left="425" w:hanging="425"/>
      </w:pPr>
      <w:rPr>
        <w:rFonts w:hint="default"/>
      </w:rPr>
    </w:lvl>
  </w:abstractNum>
  <w:abstractNum w:abstractNumId="14">
    <w:nsid w:val="B0F28F41"/>
    <w:multiLevelType w:val="singleLevel"/>
    <w:tmpl w:val="B0F28F41"/>
    <w:lvl w:ilvl="0" w:tentative="0">
      <w:start w:val="1"/>
      <w:numFmt w:val="decimal"/>
      <w:lvlText w:val="(%1)"/>
      <w:lvlJc w:val="left"/>
      <w:pPr>
        <w:ind w:left="425" w:hanging="425"/>
      </w:pPr>
      <w:rPr>
        <w:rFonts w:hint="default"/>
      </w:rPr>
    </w:lvl>
  </w:abstractNum>
  <w:abstractNum w:abstractNumId="15">
    <w:nsid w:val="B2EB4421"/>
    <w:multiLevelType w:val="singleLevel"/>
    <w:tmpl w:val="B2EB4421"/>
    <w:lvl w:ilvl="0" w:tentative="0">
      <w:start w:val="1"/>
      <w:numFmt w:val="decimalEnclosedCircleChinese"/>
      <w:suff w:val="nothing"/>
      <w:lvlText w:val="%1　"/>
      <w:lvlJc w:val="left"/>
      <w:pPr>
        <w:ind w:left="0" w:firstLine="400"/>
      </w:pPr>
      <w:rPr>
        <w:rFonts w:hint="eastAsia"/>
      </w:rPr>
    </w:lvl>
  </w:abstractNum>
  <w:abstractNum w:abstractNumId="16">
    <w:nsid w:val="B4586C7F"/>
    <w:multiLevelType w:val="multilevel"/>
    <w:tmpl w:val="B4586C7F"/>
    <w:lvl w:ilvl="0" w:tentative="0">
      <w:start w:val="1"/>
      <w:numFmt w:val="decimal"/>
      <w:lvlText w:val="%1)"/>
      <w:lvlJc w:val="left"/>
      <w:pPr>
        <w:tabs>
          <w:tab w:val="left" w:pos="420"/>
        </w:tabs>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B5F1E3F7"/>
    <w:multiLevelType w:val="multilevel"/>
    <w:tmpl w:val="B5F1E3F7"/>
    <w:lvl w:ilvl="0" w:tentative="0">
      <w:start w:val="1"/>
      <w:numFmt w:val="chineseCountingThousand"/>
      <w:lvlText w:val="(%1)"/>
      <w:lvlJc w:val="left"/>
      <w:pPr>
        <w:tabs>
          <w:tab w:val="left" w:pos="420"/>
        </w:tabs>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8">
    <w:nsid w:val="C312C4FC"/>
    <w:multiLevelType w:val="singleLevel"/>
    <w:tmpl w:val="C312C4FC"/>
    <w:lvl w:ilvl="0" w:tentative="0">
      <w:start w:val="1"/>
      <w:numFmt w:val="decimal"/>
      <w:lvlText w:val="%1)"/>
      <w:lvlJc w:val="left"/>
      <w:pPr>
        <w:ind w:left="425" w:hanging="425"/>
      </w:pPr>
      <w:rPr>
        <w:rFonts w:hint="default"/>
      </w:rPr>
    </w:lvl>
  </w:abstractNum>
  <w:abstractNum w:abstractNumId="19">
    <w:nsid w:val="C60E797E"/>
    <w:multiLevelType w:val="singleLevel"/>
    <w:tmpl w:val="C60E797E"/>
    <w:lvl w:ilvl="0" w:tentative="0">
      <w:start w:val="1"/>
      <w:numFmt w:val="decimalEnclosedCircleChinese"/>
      <w:suff w:val="nothing"/>
      <w:lvlText w:val="%1　"/>
      <w:lvlJc w:val="left"/>
      <w:pPr>
        <w:ind w:left="0" w:firstLine="400"/>
      </w:pPr>
      <w:rPr>
        <w:rFonts w:hint="eastAsia"/>
      </w:rPr>
    </w:lvl>
  </w:abstractNum>
  <w:abstractNum w:abstractNumId="20">
    <w:nsid w:val="CE508532"/>
    <w:multiLevelType w:val="singleLevel"/>
    <w:tmpl w:val="CE508532"/>
    <w:lvl w:ilvl="0" w:tentative="0">
      <w:start w:val="1"/>
      <w:numFmt w:val="decimal"/>
      <w:lvlText w:val="(%1)"/>
      <w:lvlJc w:val="left"/>
      <w:pPr>
        <w:ind w:left="425" w:hanging="425"/>
      </w:pPr>
      <w:rPr>
        <w:rFonts w:hint="default"/>
      </w:rPr>
    </w:lvl>
  </w:abstractNum>
  <w:abstractNum w:abstractNumId="21">
    <w:nsid w:val="CEA39084"/>
    <w:multiLevelType w:val="singleLevel"/>
    <w:tmpl w:val="CEA39084"/>
    <w:lvl w:ilvl="0" w:tentative="0">
      <w:start w:val="1"/>
      <w:numFmt w:val="decimal"/>
      <w:lvlText w:val="(%1)"/>
      <w:lvlJc w:val="left"/>
      <w:pPr>
        <w:ind w:left="425" w:hanging="425"/>
      </w:pPr>
      <w:rPr>
        <w:rFonts w:hint="default"/>
      </w:rPr>
    </w:lvl>
  </w:abstractNum>
  <w:abstractNum w:abstractNumId="22">
    <w:nsid w:val="D86D1E3E"/>
    <w:multiLevelType w:val="singleLevel"/>
    <w:tmpl w:val="D86D1E3E"/>
    <w:lvl w:ilvl="0" w:tentative="0">
      <w:start w:val="1"/>
      <w:numFmt w:val="decimal"/>
      <w:lvlText w:val="(%1)"/>
      <w:lvlJc w:val="left"/>
      <w:pPr>
        <w:ind w:left="425" w:hanging="425"/>
      </w:pPr>
      <w:rPr>
        <w:rFonts w:hint="default"/>
      </w:rPr>
    </w:lvl>
  </w:abstractNum>
  <w:abstractNum w:abstractNumId="23">
    <w:nsid w:val="E810B78A"/>
    <w:multiLevelType w:val="multilevel"/>
    <w:tmpl w:val="E810B78A"/>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EC670AB2"/>
    <w:multiLevelType w:val="singleLevel"/>
    <w:tmpl w:val="EC670AB2"/>
    <w:lvl w:ilvl="0" w:tentative="0">
      <w:start w:val="1"/>
      <w:numFmt w:val="decimal"/>
      <w:lvlText w:val="%1)"/>
      <w:lvlJc w:val="left"/>
      <w:pPr>
        <w:ind w:left="425" w:hanging="425"/>
      </w:pPr>
      <w:rPr>
        <w:rFonts w:hint="default"/>
      </w:rPr>
    </w:lvl>
  </w:abstractNum>
  <w:abstractNum w:abstractNumId="25">
    <w:nsid w:val="F91946A8"/>
    <w:multiLevelType w:val="singleLevel"/>
    <w:tmpl w:val="F91946A8"/>
    <w:lvl w:ilvl="0" w:tentative="0">
      <w:start w:val="1"/>
      <w:numFmt w:val="lowerLetter"/>
      <w:lvlText w:val="%1."/>
      <w:lvlJc w:val="left"/>
      <w:pPr>
        <w:ind w:left="425" w:hanging="425"/>
      </w:pPr>
      <w:rPr>
        <w:rFonts w:hint="default"/>
      </w:rPr>
    </w:lvl>
  </w:abstractNum>
  <w:abstractNum w:abstractNumId="26">
    <w:nsid w:val="FE4C8295"/>
    <w:multiLevelType w:val="singleLevel"/>
    <w:tmpl w:val="FE4C8295"/>
    <w:lvl w:ilvl="0" w:tentative="0">
      <w:start w:val="1"/>
      <w:numFmt w:val="lowerLetter"/>
      <w:lvlText w:val="%1."/>
      <w:lvlJc w:val="left"/>
      <w:pPr>
        <w:ind w:left="425" w:hanging="425"/>
      </w:pPr>
      <w:rPr>
        <w:rFonts w:hint="default"/>
      </w:rPr>
    </w:lvl>
  </w:abstractNum>
  <w:abstractNum w:abstractNumId="27">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3CDCEA2"/>
    <w:multiLevelType w:val="singleLevel"/>
    <w:tmpl w:val="03CDCEA2"/>
    <w:lvl w:ilvl="0" w:tentative="0">
      <w:start w:val="1"/>
      <w:numFmt w:val="decimalEnclosedCircleChinese"/>
      <w:suff w:val="nothing"/>
      <w:lvlText w:val="%1　"/>
      <w:lvlJc w:val="left"/>
      <w:pPr>
        <w:ind w:left="0" w:firstLine="400"/>
      </w:pPr>
      <w:rPr>
        <w:rFonts w:hint="eastAsia"/>
      </w:rPr>
    </w:lvl>
  </w:abstractNum>
  <w:abstractNum w:abstractNumId="36">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07BF9802"/>
    <w:multiLevelType w:val="singleLevel"/>
    <w:tmpl w:val="07BF9802"/>
    <w:lvl w:ilvl="0" w:tentative="0">
      <w:start w:val="1"/>
      <w:numFmt w:val="decimal"/>
      <w:lvlText w:val="(%1)"/>
      <w:lvlJc w:val="left"/>
      <w:pPr>
        <w:ind w:left="425" w:hanging="425"/>
      </w:pPr>
      <w:rPr>
        <w:rFonts w:hint="default"/>
      </w:rPr>
    </w:lvl>
  </w:abstractNum>
  <w:abstractNum w:abstractNumId="42">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0B3A7E5B"/>
    <w:multiLevelType w:val="singleLevel"/>
    <w:tmpl w:val="0B3A7E5B"/>
    <w:lvl w:ilvl="0" w:tentative="0">
      <w:start w:val="1"/>
      <w:numFmt w:val="decimal"/>
      <w:lvlText w:val="(%1)"/>
      <w:lvlJc w:val="left"/>
      <w:pPr>
        <w:ind w:left="425" w:hanging="425"/>
      </w:pPr>
      <w:rPr>
        <w:rFonts w:hint="default"/>
      </w:rPr>
    </w:lvl>
  </w:abstractNum>
  <w:abstractNum w:abstractNumId="45">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49">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116A80E5"/>
    <w:multiLevelType w:val="singleLevel"/>
    <w:tmpl w:val="116A80E5"/>
    <w:lvl w:ilvl="0" w:tentative="0">
      <w:start w:val="1"/>
      <w:numFmt w:val="decimal"/>
      <w:lvlText w:val="(%1)"/>
      <w:lvlJc w:val="left"/>
      <w:pPr>
        <w:ind w:left="425" w:hanging="425"/>
      </w:pPr>
      <w:rPr>
        <w:rFonts w:hint="default"/>
      </w:rPr>
    </w:lvl>
  </w:abstractNum>
  <w:abstractNum w:abstractNumId="51">
    <w:nsid w:val="1295E4A8"/>
    <w:multiLevelType w:val="singleLevel"/>
    <w:tmpl w:val="1295E4A8"/>
    <w:lvl w:ilvl="0" w:tentative="0">
      <w:start w:val="1"/>
      <w:numFmt w:val="decimal"/>
      <w:lvlText w:val="(%1)"/>
      <w:lvlJc w:val="left"/>
      <w:pPr>
        <w:ind w:left="425" w:hanging="425"/>
      </w:pPr>
      <w:rPr>
        <w:rFonts w:hint="default"/>
      </w:rPr>
    </w:lvl>
  </w:abstractNum>
  <w:abstractNum w:abstractNumId="52">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1DED64B9"/>
    <w:multiLevelType w:val="singleLevel"/>
    <w:tmpl w:val="1DED64B9"/>
    <w:lvl w:ilvl="0" w:tentative="0">
      <w:start w:val="1"/>
      <w:numFmt w:val="decimal"/>
      <w:lvlText w:val="%1)"/>
      <w:lvlJc w:val="left"/>
      <w:pPr>
        <w:ind w:left="425" w:hanging="425"/>
      </w:pPr>
      <w:rPr>
        <w:rFonts w:hint="default"/>
      </w:rPr>
    </w:lvl>
  </w:abstractNum>
  <w:abstractNum w:abstractNumId="60">
    <w:nsid w:val="1E72D57B"/>
    <w:multiLevelType w:val="singleLevel"/>
    <w:tmpl w:val="1E72D57B"/>
    <w:lvl w:ilvl="0" w:tentative="0">
      <w:start w:val="1"/>
      <w:numFmt w:val="decimalEnclosedCircleChinese"/>
      <w:suff w:val="nothing"/>
      <w:lvlText w:val="%1　"/>
      <w:lvlJc w:val="left"/>
      <w:pPr>
        <w:ind w:left="0" w:firstLine="400"/>
      </w:pPr>
      <w:rPr>
        <w:rFonts w:hint="eastAsia"/>
      </w:rPr>
    </w:lvl>
  </w:abstractNum>
  <w:abstractNum w:abstractNumId="61">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202C7FC5"/>
    <w:multiLevelType w:val="singleLevel"/>
    <w:tmpl w:val="202C7FC5"/>
    <w:lvl w:ilvl="0" w:tentative="0">
      <w:start w:val="1"/>
      <w:numFmt w:val="decimal"/>
      <w:lvlText w:val="%1."/>
      <w:lvlJc w:val="left"/>
      <w:pPr>
        <w:ind w:left="425" w:hanging="425"/>
      </w:pPr>
      <w:rPr>
        <w:rFonts w:hint="default"/>
      </w:rPr>
    </w:lvl>
  </w:abstractNum>
  <w:abstractNum w:abstractNumId="6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4">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2369DA5C"/>
    <w:multiLevelType w:val="singleLevel"/>
    <w:tmpl w:val="2369DA5C"/>
    <w:lvl w:ilvl="0" w:tentative="0">
      <w:start w:val="1"/>
      <w:numFmt w:val="decimal"/>
      <w:lvlText w:val="%1)"/>
      <w:lvlJc w:val="left"/>
      <w:pPr>
        <w:ind w:left="425" w:hanging="425"/>
      </w:pPr>
      <w:rPr>
        <w:rFonts w:hint="default"/>
      </w:rPr>
    </w:lvl>
  </w:abstractNum>
  <w:abstractNum w:abstractNumId="66">
    <w:nsid w:val="24298D41"/>
    <w:multiLevelType w:val="singleLevel"/>
    <w:tmpl w:val="24298D41"/>
    <w:lvl w:ilvl="0" w:tentative="0">
      <w:start w:val="1"/>
      <w:numFmt w:val="decimal"/>
      <w:lvlText w:val="(%1)"/>
      <w:lvlJc w:val="left"/>
      <w:pPr>
        <w:ind w:left="425" w:hanging="425"/>
      </w:pPr>
      <w:rPr>
        <w:rFonts w:hint="default"/>
      </w:rPr>
    </w:lvl>
  </w:abstractNum>
  <w:abstractNum w:abstractNumId="67">
    <w:nsid w:val="274CB5A6"/>
    <w:multiLevelType w:val="multilevel"/>
    <w:tmpl w:val="274CB5A6"/>
    <w:lvl w:ilvl="0" w:tentative="0">
      <w:start w:val="1"/>
      <w:numFmt w:val="decimal"/>
      <w:lvlText w:val="1.%1"/>
      <w:lvlJc w:val="left"/>
      <w:pPr>
        <w:ind w:left="440" w:hanging="440"/>
      </w:pPr>
      <w:rPr>
        <w:rFonts w:hint="default"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28E4A982"/>
    <w:multiLevelType w:val="multilevel"/>
    <w:tmpl w:val="28E4A98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372389EA"/>
    <w:multiLevelType w:val="singleLevel"/>
    <w:tmpl w:val="372389EA"/>
    <w:lvl w:ilvl="0" w:tentative="0">
      <w:start w:val="1"/>
      <w:numFmt w:val="decimal"/>
      <w:lvlText w:val="%1."/>
      <w:lvlJc w:val="left"/>
      <w:pPr>
        <w:ind w:left="425" w:hanging="425"/>
      </w:pPr>
      <w:rPr>
        <w:rFonts w:hint="default"/>
      </w:rPr>
    </w:lvl>
  </w:abstractNum>
  <w:abstractNum w:abstractNumId="79">
    <w:nsid w:val="37E3080F"/>
    <w:multiLevelType w:val="singleLevel"/>
    <w:tmpl w:val="37E3080F"/>
    <w:lvl w:ilvl="0" w:tentative="0">
      <w:start w:val="1"/>
      <w:numFmt w:val="decimal"/>
      <w:lvlText w:val="%1)"/>
      <w:lvlJc w:val="left"/>
      <w:pPr>
        <w:ind w:left="425" w:hanging="425"/>
      </w:pPr>
      <w:rPr>
        <w:rFonts w:hint="default"/>
      </w:rPr>
    </w:lvl>
  </w:abstractNum>
  <w:abstractNum w:abstractNumId="80">
    <w:nsid w:val="38024839"/>
    <w:multiLevelType w:val="multilevel"/>
    <w:tmpl w:val="38024839"/>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3A11C376"/>
    <w:multiLevelType w:val="singleLevel"/>
    <w:tmpl w:val="3A11C376"/>
    <w:lvl w:ilvl="0" w:tentative="0">
      <w:start w:val="1"/>
      <w:numFmt w:val="decimal"/>
      <w:lvlText w:val="%1)"/>
      <w:lvlJc w:val="left"/>
      <w:pPr>
        <w:ind w:left="425" w:hanging="425"/>
      </w:pPr>
      <w:rPr>
        <w:rFonts w:hint="default"/>
      </w:rPr>
    </w:lvl>
  </w:abstractNum>
  <w:abstractNum w:abstractNumId="84">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6">
    <w:nsid w:val="3C77DDBD"/>
    <w:multiLevelType w:val="singleLevel"/>
    <w:tmpl w:val="3C77DDBD"/>
    <w:lvl w:ilvl="0" w:tentative="0">
      <w:start w:val="1"/>
      <w:numFmt w:val="decimalEnclosedCircleChinese"/>
      <w:suff w:val="nothing"/>
      <w:lvlText w:val="%1　"/>
      <w:lvlJc w:val="left"/>
      <w:pPr>
        <w:ind w:left="0" w:firstLine="400"/>
      </w:pPr>
      <w:rPr>
        <w:rFonts w:hint="eastAsia"/>
      </w:rPr>
    </w:lvl>
  </w:abstractNum>
  <w:abstractNum w:abstractNumId="87">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401F7EBF"/>
    <w:multiLevelType w:val="multilevel"/>
    <w:tmpl w:val="401F7EBF"/>
    <w:lvl w:ilvl="0" w:tentative="0">
      <w:start w:val="1"/>
      <w:numFmt w:val="decimal"/>
      <w:lvlText w:val="%1"/>
      <w:lvlJc w:val="left"/>
      <w:pPr>
        <w:tabs>
          <w:tab w:val="left" w:pos="420"/>
        </w:tabs>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46B7EEEC"/>
    <w:multiLevelType w:val="singleLevel"/>
    <w:tmpl w:val="46B7EEEC"/>
    <w:lvl w:ilvl="0" w:tentative="0">
      <w:start w:val="1"/>
      <w:numFmt w:val="decimal"/>
      <w:lvlText w:val="%1."/>
      <w:lvlJc w:val="left"/>
      <w:pPr>
        <w:ind w:left="425" w:hanging="425"/>
      </w:pPr>
      <w:rPr>
        <w:rFonts w:hint="default"/>
      </w:rPr>
    </w:lvl>
  </w:abstractNum>
  <w:abstractNum w:abstractNumId="96">
    <w:nsid w:val="476092D8"/>
    <w:multiLevelType w:val="singleLevel"/>
    <w:tmpl w:val="476092D8"/>
    <w:lvl w:ilvl="0" w:tentative="0">
      <w:start w:val="1"/>
      <w:numFmt w:val="decimalEnclosedCircleChinese"/>
      <w:suff w:val="nothing"/>
      <w:lvlText w:val="%1　"/>
      <w:lvlJc w:val="left"/>
      <w:pPr>
        <w:ind w:left="0" w:firstLine="400"/>
      </w:pPr>
      <w:rPr>
        <w:rFonts w:hint="eastAsia"/>
      </w:rPr>
    </w:lvl>
  </w:abstractNum>
  <w:abstractNum w:abstractNumId="97">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4AE03E9F"/>
    <w:multiLevelType w:val="multilevel"/>
    <w:tmpl w:val="4AE03E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5">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57E44CB1"/>
    <w:multiLevelType w:val="singleLevel"/>
    <w:tmpl w:val="57E44CB1"/>
    <w:lvl w:ilvl="0" w:tentative="0">
      <w:start w:val="1"/>
      <w:numFmt w:val="decimal"/>
      <w:lvlText w:val="%1)"/>
      <w:lvlJc w:val="left"/>
      <w:pPr>
        <w:ind w:left="425" w:hanging="425"/>
      </w:pPr>
      <w:rPr>
        <w:rFonts w:hint="default"/>
      </w:rPr>
    </w:lvl>
  </w:abstractNum>
  <w:abstractNum w:abstractNumId="108">
    <w:nsid w:val="59AFC61B"/>
    <w:multiLevelType w:val="singleLevel"/>
    <w:tmpl w:val="59AFC61B"/>
    <w:lvl w:ilvl="0" w:tentative="0">
      <w:start w:val="1"/>
      <w:numFmt w:val="decimal"/>
      <w:lvlText w:val="(%1)"/>
      <w:lvlJc w:val="left"/>
      <w:pPr>
        <w:ind w:left="425" w:hanging="425"/>
      </w:pPr>
      <w:rPr>
        <w:rFonts w:hint="default"/>
      </w:rPr>
    </w:lvl>
  </w:abstractNum>
  <w:abstractNum w:abstractNumId="109">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0">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6111AA4A"/>
    <w:multiLevelType w:val="singleLevel"/>
    <w:tmpl w:val="6111AA4A"/>
    <w:lvl w:ilvl="0" w:tentative="0">
      <w:start w:val="1"/>
      <w:numFmt w:val="decimal"/>
      <w:lvlText w:val="%1)"/>
      <w:lvlJc w:val="left"/>
      <w:pPr>
        <w:ind w:left="425" w:hanging="425"/>
      </w:pPr>
      <w:rPr>
        <w:rFonts w:hint="default"/>
      </w:rPr>
    </w:lvl>
  </w:abstractNum>
  <w:abstractNum w:abstractNumId="113">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4">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6">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8">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2">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3">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4">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6">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7">
    <w:nsid w:val="7217A386"/>
    <w:multiLevelType w:val="singleLevel"/>
    <w:tmpl w:val="7217A386"/>
    <w:lvl w:ilvl="0" w:tentative="0">
      <w:start w:val="1"/>
      <w:numFmt w:val="decimal"/>
      <w:lvlText w:val="(%1)"/>
      <w:lvlJc w:val="left"/>
      <w:pPr>
        <w:ind w:left="425" w:hanging="425"/>
      </w:pPr>
      <w:rPr>
        <w:rFonts w:hint="default"/>
      </w:rPr>
    </w:lvl>
  </w:abstractNum>
  <w:abstractNum w:abstractNumId="128">
    <w:nsid w:val="738CAB0F"/>
    <w:multiLevelType w:val="singleLevel"/>
    <w:tmpl w:val="738CAB0F"/>
    <w:lvl w:ilvl="0" w:tentative="0">
      <w:start w:val="1"/>
      <w:numFmt w:val="decimal"/>
      <w:lvlText w:val="%1)"/>
      <w:lvlJc w:val="left"/>
      <w:pPr>
        <w:ind w:left="425" w:hanging="425"/>
      </w:pPr>
      <w:rPr>
        <w:rFonts w:hint="default"/>
      </w:rPr>
    </w:lvl>
  </w:abstractNum>
  <w:abstractNum w:abstractNumId="129">
    <w:nsid w:val="7407B79A"/>
    <w:multiLevelType w:val="singleLevel"/>
    <w:tmpl w:val="7407B79A"/>
    <w:lvl w:ilvl="0" w:tentative="0">
      <w:start w:val="1"/>
      <w:numFmt w:val="decimal"/>
      <w:lvlText w:val="(%1)"/>
      <w:lvlJc w:val="left"/>
      <w:pPr>
        <w:ind w:left="425" w:hanging="425"/>
      </w:pPr>
      <w:rPr>
        <w:rFonts w:hint="default"/>
      </w:rPr>
    </w:lvl>
  </w:abstractNum>
  <w:abstractNum w:abstractNumId="130">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1">
    <w:nsid w:val="78F4DE89"/>
    <w:multiLevelType w:val="singleLevel"/>
    <w:tmpl w:val="78F4DE89"/>
    <w:lvl w:ilvl="0" w:tentative="0">
      <w:start w:val="1"/>
      <w:numFmt w:val="decimal"/>
      <w:lvlText w:val="%1."/>
      <w:lvlJc w:val="left"/>
      <w:pPr>
        <w:ind w:left="425" w:hanging="425"/>
      </w:pPr>
      <w:rPr>
        <w:rFonts w:hint="default"/>
      </w:rPr>
    </w:lvl>
  </w:abstractNum>
  <w:abstractNum w:abstractNumId="132">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3">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4">
    <w:nsid w:val="7B4E55C5"/>
    <w:multiLevelType w:val="singleLevel"/>
    <w:tmpl w:val="7B4E55C5"/>
    <w:lvl w:ilvl="0" w:tentative="0">
      <w:start w:val="1"/>
      <w:numFmt w:val="lowerLetter"/>
      <w:lvlText w:val="%1."/>
      <w:lvlJc w:val="left"/>
      <w:pPr>
        <w:ind w:left="425" w:hanging="425"/>
      </w:pPr>
      <w:rPr>
        <w:rFonts w:hint="default"/>
      </w:rPr>
    </w:lvl>
  </w:abstractNum>
  <w:abstractNum w:abstractNumId="135">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6">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7">
    <w:nsid w:val="7F8825E8"/>
    <w:multiLevelType w:val="multilevel"/>
    <w:tmpl w:val="7F8825E8"/>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76"/>
  </w:num>
  <w:num w:numId="2">
    <w:abstractNumId w:val="49"/>
  </w:num>
  <w:num w:numId="3">
    <w:abstractNumId w:val="73"/>
  </w:num>
  <w:num w:numId="4">
    <w:abstractNumId w:val="72"/>
  </w:num>
  <w:num w:numId="5">
    <w:abstractNumId w:val="46"/>
  </w:num>
  <w:num w:numId="6">
    <w:abstractNumId w:val="135"/>
  </w:num>
  <w:num w:numId="7">
    <w:abstractNumId w:val="130"/>
  </w:num>
  <w:num w:numId="8">
    <w:abstractNumId w:val="105"/>
  </w:num>
  <w:num w:numId="9">
    <w:abstractNumId w:val="133"/>
  </w:num>
  <w:num w:numId="10">
    <w:abstractNumId w:val="17"/>
  </w:num>
  <w:num w:numId="11">
    <w:abstractNumId w:val="78"/>
  </w:num>
  <w:num w:numId="12">
    <w:abstractNumId w:val="137"/>
  </w:num>
  <w:num w:numId="13">
    <w:abstractNumId w:val="82"/>
  </w:num>
  <w:num w:numId="14">
    <w:abstractNumId w:val="108"/>
  </w:num>
  <w:num w:numId="15">
    <w:abstractNumId w:val="112"/>
  </w:num>
  <w:num w:numId="16">
    <w:abstractNumId w:val="22"/>
  </w:num>
  <w:num w:numId="17">
    <w:abstractNumId w:val="14"/>
  </w:num>
  <w:num w:numId="18">
    <w:abstractNumId w:val="12"/>
  </w:num>
  <w:num w:numId="19">
    <w:abstractNumId w:val="100"/>
  </w:num>
  <w:num w:numId="20">
    <w:abstractNumId w:val="5"/>
  </w:num>
  <w:num w:numId="21">
    <w:abstractNumId w:val="44"/>
  </w:num>
  <w:num w:numId="22">
    <w:abstractNumId w:val="10"/>
  </w:num>
  <w:num w:numId="23">
    <w:abstractNumId w:val="6"/>
  </w:num>
  <w:num w:numId="24">
    <w:abstractNumId w:val="96"/>
  </w:num>
  <w:num w:numId="25">
    <w:abstractNumId w:val="9"/>
  </w:num>
  <w:num w:numId="26">
    <w:abstractNumId w:val="1"/>
  </w:num>
  <w:num w:numId="27">
    <w:abstractNumId w:val="19"/>
  </w:num>
  <w:num w:numId="28">
    <w:abstractNumId w:val="134"/>
  </w:num>
  <w:num w:numId="29">
    <w:abstractNumId w:val="13"/>
  </w:num>
  <w:num w:numId="30">
    <w:abstractNumId w:val="3"/>
  </w:num>
  <w:num w:numId="31">
    <w:abstractNumId w:val="0"/>
  </w:num>
  <w:num w:numId="32">
    <w:abstractNumId w:val="41"/>
  </w:num>
  <w:num w:numId="33">
    <w:abstractNumId w:val="24"/>
  </w:num>
  <w:num w:numId="34">
    <w:abstractNumId w:val="18"/>
  </w:num>
  <w:num w:numId="35">
    <w:abstractNumId w:val="107"/>
  </w:num>
  <w:num w:numId="36">
    <w:abstractNumId w:val="8"/>
  </w:num>
  <w:num w:numId="37">
    <w:abstractNumId w:val="95"/>
  </w:num>
  <w:num w:numId="38">
    <w:abstractNumId w:val="62"/>
  </w:num>
  <w:num w:numId="39">
    <w:abstractNumId w:val="66"/>
  </w:num>
  <w:num w:numId="40">
    <w:abstractNumId w:val="89"/>
  </w:num>
  <w:num w:numId="41">
    <w:abstractNumId w:val="57"/>
  </w:num>
  <w:num w:numId="42">
    <w:abstractNumId w:val="39"/>
  </w:num>
  <w:num w:numId="43">
    <w:abstractNumId w:val="42"/>
  </w:num>
  <w:num w:numId="44">
    <w:abstractNumId w:val="40"/>
  </w:num>
  <w:num w:numId="45">
    <w:abstractNumId w:val="136"/>
  </w:num>
  <w:num w:numId="46">
    <w:abstractNumId w:val="52"/>
  </w:num>
  <w:num w:numId="47">
    <w:abstractNumId w:val="77"/>
  </w:num>
  <w:num w:numId="48">
    <w:abstractNumId w:val="81"/>
  </w:num>
  <w:num w:numId="49">
    <w:abstractNumId w:val="43"/>
  </w:num>
  <w:num w:numId="50">
    <w:abstractNumId w:val="123"/>
  </w:num>
  <w:num w:numId="51">
    <w:abstractNumId w:val="45"/>
  </w:num>
  <w:num w:numId="52">
    <w:abstractNumId w:val="34"/>
  </w:num>
  <w:num w:numId="53">
    <w:abstractNumId w:val="124"/>
  </w:num>
  <w:num w:numId="54">
    <w:abstractNumId w:val="109"/>
  </w:num>
  <w:num w:numId="55">
    <w:abstractNumId w:val="56"/>
  </w:num>
  <w:num w:numId="56">
    <w:abstractNumId w:val="74"/>
  </w:num>
  <w:num w:numId="57">
    <w:abstractNumId w:val="55"/>
  </w:num>
  <w:num w:numId="58">
    <w:abstractNumId w:val="99"/>
  </w:num>
  <w:num w:numId="59">
    <w:abstractNumId w:val="119"/>
  </w:num>
  <w:num w:numId="60">
    <w:abstractNumId w:val="87"/>
  </w:num>
  <w:num w:numId="61">
    <w:abstractNumId w:val="125"/>
  </w:num>
  <w:num w:numId="62">
    <w:abstractNumId w:val="111"/>
  </w:num>
  <w:num w:numId="63">
    <w:abstractNumId w:val="101"/>
  </w:num>
  <w:num w:numId="64">
    <w:abstractNumId w:val="71"/>
  </w:num>
  <w:num w:numId="65">
    <w:abstractNumId w:val="38"/>
  </w:num>
  <w:num w:numId="66">
    <w:abstractNumId w:val="58"/>
  </w:num>
  <w:num w:numId="67">
    <w:abstractNumId w:val="92"/>
  </w:num>
  <w:num w:numId="68">
    <w:abstractNumId w:val="110"/>
  </w:num>
  <w:num w:numId="69">
    <w:abstractNumId w:val="98"/>
  </w:num>
  <w:num w:numId="70">
    <w:abstractNumId w:val="120"/>
  </w:num>
  <w:num w:numId="71">
    <w:abstractNumId w:val="68"/>
  </w:num>
  <w:num w:numId="72">
    <w:abstractNumId w:val="122"/>
  </w:num>
  <w:num w:numId="73">
    <w:abstractNumId w:val="64"/>
  </w:num>
  <w:num w:numId="74">
    <w:abstractNumId w:val="117"/>
  </w:num>
  <w:num w:numId="75">
    <w:abstractNumId w:val="93"/>
  </w:num>
  <w:num w:numId="76">
    <w:abstractNumId w:val="102"/>
  </w:num>
  <w:num w:numId="77">
    <w:abstractNumId w:val="75"/>
  </w:num>
  <w:num w:numId="78">
    <w:abstractNumId w:val="37"/>
  </w:num>
  <w:num w:numId="79">
    <w:abstractNumId w:val="47"/>
  </w:num>
  <w:num w:numId="80">
    <w:abstractNumId w:val="88"/>
  </w:num>
  <w:num w:numId="81">
    <w:abstractNumId w:val="113"/>
  </w:num>
  <w:num w:numId="82">
    <w:abstractNumId w:val="106"/>
  </w:num>
  <w:num w:numId="83">
    <w:abstractNumId w:val="85"/>
  </w:num>
  <w:num w:numId="84">
    <w:abstractNumId w:val="103"/>
  </w:num>
  <w:num w:numId="85">
    <w:abstractNumId w:val="61"/>
  </w:num>
  <w:num w:numId="86">
    <w:abstractNumId w:val="132"/>
  </w:num>
  <w:num w:numId="87">
    <w:abstractNumId w:val="36"/>
  </w:num>
  <w:num w:numId="88">
    <w:abstractNumId w:val="114"/>
  </w:num>
  <w:num w:numId="89">
    <w:abstractNumId w:val="97"/>
  </w:num>
  <w:num w:numId="90">
    <w:abstractNumId w:val="91"/>
  </w:num>
  <w:num w:numId="91">
    <w:abstractNumId w:val="63"/>
  </w:num>
  <w:num w:numId="92">
    <w:abstractNumId w:val="67"/>
  </w:num>
  <w:num w:numId="93">
    <w:abstractNumId w:val="104"/>
  </w:num>
  <w:num w:numId="94">
    <w:abstractNumId w:val="53"/>
  </w:num>
  <w:num w:numId="95">
    <w:abstractNumId w:val="126"/>
  </w:num>
  <w:num w:numId="96">
    <w:abstractNumId w:val="121"/>
  </w:num>
  <w:num w:numId="97">
    <w:abstractNumId w:val="70"/>
  </w:num>
  <w:num w:numId="98">
    <w:abstractNumId w:val="54"/>
  </w:num>
  <w:num w:numId="99">
    <w:abstractNumId w:val="115"/>
  </w:num>
  <w:num w:numId="100">
    <w:abstractNumId w:val="30"/>
  </w:num>
  <w:num w:numId="101">
    <w:abstractNumId w:val="28"/>
  </w:num>
  <w:num w:numId="102">
    <w:abstractNumId w:val="94"/>
  </w:num>
  <w:num w:numId="103">
    <w:abstractNumId w:val="16"/>
  </w:num>
  <w:num w:numId="104">
    <w:abstractNumId w:val="7"/>
  </w:num>
  <w:num w:numId="105">
    <w:abstractNumId w:val="27"/>
  </w:num>
  <w:num w:numId="106">
    <w:abstractNumId w:val="80"/>
  </w:num>
  <w:num w:numId="107">
    <w:abstractNumId w:val="50"/>
  </w:num>
  <w:num w:numId="108">
    <w:abstractNumId w:val="59"/>
  </w:num>
  <w:num w:numId="109">
    <w:abstractNumId w:val="21"/>
  </w:num>
  <w:num w:numId="110">
    <w:abstractNumId w:val="127"/>
  </w:num>
  <w:num w:numId="111">
    <w:abstractNumId w:val="23"/>
  </w:num>
  <w:num w:numId="112">
    <w:abstractNumId w:val="129"/>
  </w:num>
  <w:num w:numId="113">
    <w:abstractNumId w:val="4"/>
  </w:num>
  <w:num w:numId="114">
    <w:abstractNumId w:val="65"/>
  </w:num>
  <w:num w:numId="115">
    <w:abstractNumId w:val="86"/>
  </w:num>
  <w:num w:numId="116">
    <w:abstractNumId w:val="60"/>
  </w:num>
  <w:num w:numId="117">
    <w:abstractNumId w:val="79"/>
  </w:num>
  <w:num w:numId="118">
    <w:abstractNumId w:val="15"/>
  </w:num>
  <w:num w:numId="119">
    <w:abstractNumId w:val="25"/>
  </w:num>
  <w:num w:numId="120">
    <w:abstractNumId w:val="26"/>
  </w:num>
  <w:num w:numId="121">
    <w:abstractNumId w:val="35"/>
  </w:num>
  <w:num w:numId="122">
    <w:abstractNumId w:val="69"/>
  </w:num>
  <w:num w:numId="123">
    <w:abstractNumId w:val="20"/>
  </w:num>
  <w:num w:numId="124">
    <w:abstractNumId w:val="11"/>
  </w:num>
  <w:num w:numId="125">
    <w:abstractNumId w:val="128"/>
  </w:num>
  <w:num w:numId="126">
    <w:abstractNumId w:val="83"/>
  </w:num>
  <w:num w:numId="127">
    <w:abstractNumId w:val="131"/>
  </w:num>
  <w:num w:numId="128">
    <w:abstractNumId w:val="51"/>
  </w:num>
  <w:num w:numId="129">
    <w:abstractNumId w:val="29"/>
  </w:num>
  <w:num w:numId="130">
    <w:abstractNumId w:val="33"/>
  </w:num>
  <w:num w:numId="131">
    <w:abstractNumId w:val="90"/>
  </w:num>
  <w:num w:numId="132">
    <w:abstractNumId w:val="84"/>
  </w:num>
  <w:num w:numId="133">
    <w:abstractNumId w:val="118"/>
  </w:num>
  <w:num w:numId="134">
    <w:abstractNumId w:val="31"/>
  </w:num>
  <w:num w:numId="135">
    <w:abstractNumId w:val="32"/>
  </w:num>
  <w:num w:numId="136">
    <w:abstractNumId w:val="48"/>
  </w:num>
  <w:num w:numId="137">
    <w:abstractNumId w:val="116"/>
  </w:num>
  <w:num w:numId="1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6DF"/>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4C71"/>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0E19"/>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0370"/>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6E2F6B"/>
    <w:rsid w:val="017D5534"/>
    <w:rsid w:val="020B4CCA"/>
    <w:rsid w:val="02427F54"/>
    <w:rsid w:val="024E06A7"/>
    <w:rsid w:val="0270686F"/>
    <w:rsid w:val="033B6E7D"/>
    <w:rsid w:val="033D6862"/>
    <w:rsid w:val="03A964DC"/>
    <w:rsid w:val="03B43DA6"/>
    <w:rsid w:val="03C926DB"/>
    <w:rsid w:val="03E2554B"/>
    <w:rsid w:val="041C009B"/>
    <w:rsid w:val="04212517"/>
    <w:rsid w:val="04262466"/>
    <w:rsid w:val="04363AAC"/>
    <w:rsid w:val="05212394"/>
    <w:rsid w:val="06141C07"/>
    <w:rsid w:val="066761DB"/>
    <w:rsid w:val="068A2DD0"/>
    <w:rsid w:val="06C26280"/>
    <w:rsid w:val="06F70D43"/>
    <w:rsid w:val="071F0864"/>
    <w:rsid w:val="073C7668"/>
    <w:rsid w:val="07610E7C"/>
    <w:rsid w:val="0788780A"/>
    <w:rsid w:val="07D04FA8"/>
    <w:rsid w:val="07DD1B2D"/>
    <w:rsid w:val="081F0C67"/>
    <w:rsid w:val="083566D7"/>
    <w:rsid w:val="087A1D48"/>
    <w:rsid w:val="088A61B1"/>
    <w:rsid w:val="08AC4379"/>
    <w:rsid w:val="09CF031F"/>
    <w:rsid w:val="09E32860"/>
    <w:rsid w:val="09EA0C98"/>
    <w:rsid w:val="09F91840"/>
    <w:rsid w:val="0A2226F7"/>
    <w:rsid w:val="0A7705F9"/>
    <w:rsid w:val="0A8E51BD"/>
    <w:rsid w:val="0AB17A25"/>
    <w:rsid w:val="0B072072"/>
    <w:rsid w:val="0B4E34C6"/>
    <w:rsid w:val="0BD279F0"/>
    <w:rsid w:val="0C252478"/>
    <w:rsid w:val="0C8A2C23"/>
    <w:rsid w:val="0C9615C8"/>
    <w:rsid w:val="0D0E73B0"/>
    <w:rsid w:val="0D185A68"/>
    <w:rsid w:val="0DC70935"/>
    <w:rsid w:val="0DFA7D4C"/>
    <w:rsid w:val="0E56296F"/>
    <w:rsid w:val="0E7B0A75"/>
    <w:rsid w:val="0E7E0566"/>
    <w:rsid w:val="0EC3241C"/>
    <w:rsid w:val="0ED2440E"/>
    <w:rsid w:val="0EFC0AA1"/>
    <w:rsid w:val="0F1D38DB"/>
    <w:rsid w:val="0F5340F4"/>
    <w:rsid w:val="0F7200CA"/>
    <w:rsid w:val="0FC41BBC"/>
    <w:rsid w:val="0FD146C5"/>
    <w:rsid w:val="10071369"/>
    <w:rsid w:val="11647A4F"/>
    <w:rsid w:val="11744B2C"/>
    <w:rsid w:val="119613BE"/>
    <w:rsid w:val="11B928CB"/>
    <w:rsid w:val="12727AD0"/>
    <w:rsid w:val="12A33B0D"/>
    <w:rsid w:val="12F72695"/>
    <w:rsid w:val="13197966"/>
    <w:rsid w:val="13B3480E"/>
    <w:rsid w:val="13DB3D64"/>
    <w:rsid w:val="13E946D3"/>
    <w:rsid w:val="14292D22"/>
    <w:rsid w:val="144D4C62"/>
    <w:rsid w:val="14AB3737"/>
    <w:rsid w:val="14B940A6"/>
    <w:rsid w:val="14DC1B42"/>
    <w:rsid w:val="14F72197"/>
    <w:rsid w:val="15137188"/>
    <w:rsid w:val="157A39DB"/>
    <w:rsid w:val="158D1367"/>
    <w:rsid w:val="15A8004B"/>
    <w:rsid w:val="15F51C7C"/>
    <w:rsid w:val="15FF01DE"/>
    <w:rsid w:val="161226C3"/>
    <w:rsid w:val="16161084"/>
    <w:rsid w:val="16781D3E"/>
    <w:rsid w:val="16797F90"/>
    <w:rsid w:val="182E0907"/>
    <w:rsid w:val="183D34A2"/>
    <w:rsid w:val="18894E0A"/>
    <w:rsid w:val="18976EEF"/>
    <w:rsid w:val="18D92F68"/>
    <w:rsid w:val="19117A63"/>
    <w:rsid w:val="196B7938"/>
    <w:rsid w:val="19780C73"/>
    <w:rsid w:val="19930995"/>
    <w:rsid w:val="19C5529B"/>
    <w:rsid w:val="19F71C34"/>
    <w:rsid w:val="1A2C356C"/>
    <w:rsid w:val="1A4772FE"/>
    <w:rsid w:val="1AB570BD"/>
    <w:rsid w:val="1ABE22CB"/>
    <w:rsid w:val="1B7900EB"/>
    <w:rsid w:val="1B8847D2"/>
    <w:rsid w:val="1BE22134"/>
    <w:rsid w:val="1C1A6466"/>
    <w:rsid w:val="1C76645C"/>
    <w:rsid w:val="1C874A89"/>
    <w:rsid w:val="1D69418F"/>
    <w:rsid w:val="1DB55626"/>
    <w:rsid w:val="1DC92F91"/>
    <w:rsid w:val="1E094B74"/>
    <w:rsid w:val="1E0C16EA"/>
    <w:rsid w:val="1E1E0B8D"/>
    <w:rsid w:val="1E5170FD"/>
    <w:rsid w:val="1E5906A7"/>
    <w:rsid w:val="1EB27972"/>
    <w:rsid w:val="1ED41C72"/>
    <w:rsid w:val="1EF503D0"/>
    <w:rsid w:val="1FD44EAF"/>
    <w:rsid w:val="1FDC333E"/>
    <w:rsid w:val="201B3E66"/>
    <w:rsid w:val="205D380E"/>
    <w:rsid w:val="2078202A"/>
    <w:rsid w:val="20EA188C"/>
    <w:rsid w:val="21380A48"/>
    <w:rsid w:val="21426F3A"/>
    <w:rsid w:val="215F6CA8"/>
    <w:rsid w:val="217A6BB5"/>
    <w:rsid w:val="219F2875"/>
    <w:rsid w:val="2217240B"/>
    <w:rsid w:val="222B1363"/>
    <w:rsid w:val="22E22A19"/>
    <w:rsid w:val="22F83FEB"/>
    <w:rsid w:val="230010F2"/>
    <w:rsid w:val="237154E5"/>
    <w:rsid w:val="23A322E4"/>
    <w:rsid w:val="24253646"/>
    <w:rsid w:val="24661428"/>
    <w:rsid w:val="247A2C44"/>
    <w:rsid w:val="247B3126"/>
    <w:rsid w:val="24DF4095"/>
    <w:rsid w:val="25545725"/>
    <w:rsid w:val="257E7550"/>
    <w:rsid w:val="25E42F4C"/>
    <w:rsid w:val="25E82A3D"/>
    <w:rsid w:val="2637307C"/>
    <w:rsid w:val="27D1406A"/>
    <w:rsid w:val="27D52D46"/>
    <w:rsid w:val="27F009E7"/>
    <w:rsid w:val="281318C7"/>
    <w:rsid w:val="281F48F8"/>
    <w:rsid w:val="284D6B87"/>
    <w:rsid w:val="28941167"/>
    <w:rsid w:val="29096867"/>
    <w:rsid w:val="294A30C6"/>
    <w:rsid w:val="29656152"/>
    <w:rsid w:val="29A9038D"/>
    <w:rsid w:val="29A924E3"/>
    <w:rsid w:val="29C26BFB"/>
    <w:rsid w:val="29C323D4"/>
    <w:rsid w:val="29DC183A"/>
    <w:rsid w:val="29E74DB9"/>
    <w:rsid w:val="2A8B684F"/>
    <w:rsid w:val="2A9F070C"/>
    <w:rsid w:val="2AB1667F"/>
    <w:rsid w:val="2ABA24CE"/>
    <w:rsid w:val="2B6D775F"/>
    <w:rsid w:val="2B9056CA"/>
    <w:rsid w:val="2C2045B2"/>
    <w:rsid w:val="2D480265"/>
    <w:rsid w:val="2D6055AE"/>
    <w:rsid w:val="2D83555C"/>
    <w:rsid w:val="2DB87198"/>
    <w:rsid w:val="2DF6381D"/>
    <w:rsid w:val="2E184226"/>
    <w:rsid w:val="2E206AEC"/>
    <w:rsid w:val="2E60060C"/>
    <w:rsid w:val="2E975000"/>
    <w:rsid w:val="2F097064"/>
    <w:rsid w:val="31152A06"/>
    <w:rsid w:val="3199108F"/>
    <w:rsid w:val="319A2F84"/>
    <w:rsid w:val="31E16592"/>
    <w:rsid w:val="31E97269"/>
    <w:rsid w:val="31F664E1"/>
    <w:rsid w:val="323B2146"/>
    <w:rsid w:val="32A87641"/>
    <w:rsid w:val="33062754"/>
    <w:rsid w:val="33260D24"/>
    <w:rsid w:val="334943EF"/>
    <w:rsid w:val="33571338"/>
    <w:rsid w:val="33581EED"/>
    <w:rsid w:val="33E32A95"/>
    <w:rsid w:val="34173357"/>
    <w:rsid w:val="34BD5094"/>
    <w:rsid w:val="35441312"/>
    <w:rsid w:val="35696FCA"/>
    <w:rsid w:val="36050AA1"/>
    <w:rsid w:val="364C66D0"/>
    <w:rsid w:val="366907BD"/>
    <w:rsid w:val="36857E34"/>
    <w:rsid w:val="36AA789A"/>
    <w:rsid w:val="36B10C29"/>
    <w:rsid w:val="36BF714A"/>
    <w:rsid w:val="36C97E74"/>
    <w:rsid w:val="381C0324"/>
    <w:rsid w:val="38B844F1"/>
    <w:rsid w:val="39B34CB8"/>
    <w:rsid w:val="39C13B7F"/>
    <w:rsid w:val="39CC0C76"/>
    <w:rsid w:val="39EC3D26"/>
    <w:rsid w:val="3A342760"/>
    <w:rsid w:val="3A551B4D"/>
    <w:rsid w:val="3A830A46"/>
    <w:rsid w:val="3AF70469"/>
    <w:rsid w:val="3B11613A"/>
    <w:rsid w:val="3B3D3C2D"/>
    <w:rsid w:val="3B5953EB"/>
    <w:rsid w:val="3B60677A"/>
    <w:rsid w:val="3BB50897"/>
    <w:rsid w:val="3BD45317"/>
    <w:rsid w:val="3BF0239E"/>
    <w:rsid w:val="3BF64543"/>
    <w:rsid w:val="3C12216A"/>
    <w:rsid w:val="3C384C09"/>
    <w:rsid w:val="3C696521"/>
    <w:rsid w:val="3CD218F9"/>
    <w:rsid w:val="3CFB4687"/>
    <w:rsid w:val="3D2F17FB"/>
    <w:rsid w:val="3D4C3459"/>
    <w:rsid w:val="3D4E0F7F"/>
    <w:rsid w:val="3D6267D9"/>
    <w:rsid w:val="3D797E4C"/>
    <w:rsid w:val="3D9D1F07"/>
    <w:rsid w:val="3DB73FDF"/>
    <w:rsid w:val="3DB80AEF"/>
    <w:rsid w:val="3DC76F84"/>
    <w:rsid w:val="3DCB6A74"/>
    <w:rsid w:val="3DCC7B36"/>
    <w:rsid w:val="3E8D5AD7"/>
    <w:rsid w:val="3E9C7F9D"/>
    <w:rsid w:val="3ED5122D"/>
    <w:rsid w:val="3F1D63BC"/>
    <w:rsid w:val="3F217805"/>
    <w:rsid w:val="3F2B3501"/>
    <w:rsid w:val="3F3C5FB7"/>
    <w:rsid w:val="3F670284"/>
    <w:rsid w:val="3FB90E32"/>
    <w:rsid w:val="40026051"/>
    <w:rsid w:val="406250BB"/>
    <w:rsid w:val="407D0FB1"/>
    <w:rsid w:val="409F5F96"/>
    <w:rsid w:val="40A23390"/>
    <w:rsid w:val="413B4B8E"/>
    <w:rsid w:val="41885B91"/>
    <w:rsid w:val="419E1DAA"/>
    <w:rsid w:val="41C53136"/>
    <w:rsid w:val="42033710"/>
    <w:rsid w:val="42051E29"/>
    <w:rsid w:val="4245123D"/>
    <w:rsid w:val="42CD2946"/>
    <w:rsid w:val="42DF08CC"/>
    <w:rsid w:val="42F04887"/>
    <w:rsid w:val="43122A4F"/>
    <w:rsid w:val="43760FB2"/>
    <w:rsid w:val="43B57349"/>
    <w:rsid w:val="43D761B4"/>
    <w:rsid w:val="448F7DDB"/>
    <w:rsid w:val="45482758"/>
    <w:rsid w:val="45E7206D"/>
    <w:rsid w:val="45FC3543"/>
    <w:rsid w:val="4677696F"/>
    <w:rsid w:val="468F5881"/>
    <w:rsid w:val="47097BFA"/>
    <w:rsid w:val="47242D51"/>
    <w:rsid w:val="47633879"/>
    <w:rsid w:val="479779C7"/>
    <w:rsid w:val="47B60184"/>
    <w:rsid w:val="47B642F1"/>
    <w:rsid w:val="47CC42DC"/>
    <w:rsid w:val="481A1506"/>
    <w:rsid w:val="48254FD3"/>
    <w:rsid w:val="486C49B0"/>
    <w:rsid w:val="48876D39"/>
    <w:rsid w:val="48C83770"/>
    <w:rsid w:val="48DC3376"/>
    <w:rsid w:val="48E24C72"/>
    <w:rsid w:val="49042E3A"/>
    <w:rsid w:val="497C2C57"/>
    <w:rsid w:val="49A4496C"/>
    <w:rsid w:val="49AB59AC"/>
    <w:rsid w:val="49DE0F52"/>
    <w:rsid w:val="4A203CA4"/>
    <w:rsid w:val="4A310CEA"/>
    <w:rsid w:val="4A396B13"/>
    <w:rsid w:val="4A413BFB"/>
    <w:rsid w:val="4A56349A"/>
    <w:rsid w:val="4A6A1279"/>
    <w:rsid w:val="4B2C3957"/>
    <w:rsid w:val="4B5B7B05"/>
    <w:rsid w:val="4B867C14"/>
    <w:rsid w:val="4BA17066"/>
    <w:rsid w:val="4C045886"/>
    <w:rsid w:val="4C382EE5"/>
    <w:rsid w:val="4C8147A2"/>
    <w:rsid w:val="4C8449BE"/>
    <w:rsid w:val="4D3017F6"/>
    <w:rsid w:val="4D8331E2"/>
    <w:rsid w:val="4D9E773D"/>
    <w:rsid w:val="4E772448"/>
    <w:rsid w:val="4E796078"/>
    <w:rsid w:val="4EB175C0"/>
    <w:rsid w:val="4F0A5FD9"/>
    <w:rsid w:val="4F0F079A"/>
    <w:rsid w:val="4F2A1CC8"/>
    <w:rsid w:val="4F2E04D0"/>
    <w:rsid w:val="4F4941F2"/>
    <w:rsid w:val="4F6C34E7"/>
    <w:rsid w:val="4F844CD5"/>
    <w:rsid w:val="4FB70C06"/>
    <w:rsid w:val="4FBD3D43"/>
    <w:rsid w:val="503D4A7F"/>
    <w:rsid w:val="506D728C"/>
    <w:rsid w:val="50F46AC0"/>
    <w:rsid w:val="51071719"/>
    <w:rsid w:val="510936E3"/>
    <w:rsid w:val="512F6EC2"/>
    <w:rsid w:val="513F5357"/>
    <w:rsid w:val="51532BB1"/>
    <w:rsid w:val="51965659"/>
    <w:rsid w:val="51E657D3"/>
    <w:rsid w:val="51FD2B1C"/>
    <w:rsid w:val="52012A35"/>
    <w:rsid w:val="52100FB5"/>
    <w:rsid w:val="52157E66"/>
    <w:rsid w:val="52320A18"/>
    <w:rsid w:val="52450697"/>
    <w:rsid w:val="528F7C18"/>
    <w:rsid w:val="52D715BF"/>
    <w:rsid w:val="533662E6"/>
    <w:rsid w:val="53952FF7"/>
    <w:rsid w:val="53BF015C"/>
    <w:rsid w:val="54021F1F"/>
    <w:rsid w:val="54463879"/>
    <w:rsid w:val="545146F9"/>
    <w:rsid w:val="547D68D5"/>
    <w:rsid w:val="551E34D6"/>
    <w:rsid w:val="55466588"/>
    <w:rsid w:val="55651104"/>
    <w:rsid w:val="558465DA"/>
    <w:rsid w:val="5589244C"/>
    <w:rsid w:val="55933427"/>
    <w:rsid w:val="56292132"/>
    <w:rsid w:val="565F6940"/>
    <w:rsid w:val="56FA5424"/>
    <w:rsid w:val="572A6F18"/>
    <w:rsid w:val="57C93D34"/>
    <w:rsid w:val="57CC1B28"/>
    <w:rsid w:val="57CC7219"/>
    <w:rsid w:val="57EC3F49"/>
    <w:rsid w:val="5805272B"/>
    <w:rsid w:val="587D0513"/>
    <w:rsid w:val="58871392"/>
    <w:rsid w:val="591035BA"/>
    <w:rsid w:val="595B5175"/>
    <w:rsid w:val="595C5ED8"/>
    <w:rsid w:val="59796F2C"/>
    <w:rsid w:val="5A0B6BA5"/>
    <w:rsid w:val="5A163930"/>
    <w:rsid w:val="5A64198B"/>
    <w:rsid w:val="5A951B44"/>
    <w:rsid w:val="5B3C6463"/>
    <w:rsid w:val="5B417EA0"/>
    <w:rsid w:val="5B5C6B06"/>
    <w:rsid w:val="5B8322E4"/>
    <w:rsid w:val="5C1A041F"/>
    <w:rsid w:val="5C682EE4"/>
    <w:rsid w:val="5CC878A6"/>
    <w:rsid w:val="5CE632C1"/>
    <w:rsid w:val="5CEE378D"/>
    <w:rsid w:val="5D0631CD"/>
    <w:rsid w:val="5D153410"/>
    <w:rsid w:val="5D5366E7"/>
    <w:rsid w:val="5DCA244C"/>
    <w:rsid w:val="5E23306B"/>
    <w:rsid w:val="5E666035"/>
    <w:rsid w:val="5EB427B5"/>
    <w:rsid w:val="5EBD47EE"/>
    <w:rsid w:val="5EC450EE"/>
    <w:rsid w:val="5F2462A5"/>
    <w:rsid w:val="5F862461"/>
    <w:rsid w:val="5F937EBF"/>
    <w:rsid w:val="5FFB2BC8"/>
    <w:rsid w:val="603718EF"/>
    <w:rsid w:val="60832C2C"/>
    <w:rsid w:val="60A01243"/>
    <w:rsid w:val="613213D4"/>
    <w:rsid w:val="61553DC1"/>
    <w:rsid w:val="616B6174"/>
    <w:rsid w:val="61775CE7"/>
    <w:rsid w:val="61ED04B8"/>
    <w:rsid w:val="623139CC"/>
    <w:rsid w:val="626A1B08"/>
    <w:rsid w:val="627956E9"/>
    <w:rsid w:val="627961EF"/>
    <w:rsid w:val="62C03E1E"/>
    <w:rsid w:val="62D93A21"/>
    <w:rsid w:val="63620A31"/>
    <w:rsid w:val="638C48B6"/>
    <w:rsid w:val="6390559E"/>
    <w:rsid w:val="63BA5D30"/>
    <w:rsid w:val="63D23E09"/>
    <w:rsid w:val="64251261"/>
    <w:rsid w:val="65053D6A"/>
    <w:rsid w:val="652F0DE7"/>
    <w:rsid w:val="653D1756"/>
    <w:rsid w:val="654F790E"/>
    <w:rsid w:val="65626BE9"/>
    <w:rsid w:val="658F0EF9"/>
    <w:rsid w:val="65F34FBD"/>
    <w:rsid w:val="66304E17"/>
    <w:rsid w:val="663A5C95"/>
    <w:rsid w:val="666D1BC7"/>
    <w:rsid w:val="668A1206"/>
    <w:rsid w:val="66CD2666"/>
    <w:rsid w:val="66E04A8F"/>
    <w:rsid w:val="677A27ED"/>
    <w:rsid w:val="67931B01"/>
    <w:rsid w:val="68264209"/>
    <w:rsid w:val="68F866C5"/>
    <w:rsid w:val="69535A05"/>
    <w:rsid w:val="69777C99"/>
    <w:rsid w:val="697E4A29"/>
    <w:rsid w:val="698056B8"/>
    <w:rsid w:val="69D87DF0"/>
    <w:rsid w:val="6A082C8B"/>
    <w:rsid w:val="6A0C16F7"/>
    <w:rsid w:val="6A4140F8"/>
    <w:rsid w:val="6A710606"/>
    <w:rsid w:val="6A7334B9"/>
    <w:rsid w:val="6A837C0B"/>
    <w:rsid w:val="6A9478E7"/>
    <w:rsid w:val="6AB60FA5"/>
    <w:rsid w:val="6B136FFE"/>
    <w:rsid w:val="6B1D2776"/>
    <w:rsid w:val="6B250CC2"/>
    <w:rsid w:val="6B282560"/>
    <w:rsid w:val="6B6D4417"/>
    <w:rsid w:val="6BAD26B3"/>
    <w:rsid w:val="6BC314D4"/>
    <w:rsid w:val="6BD77BAE"/>
    <w:rsid w:val="6C625DD2"/>
    <w:rsid w:val="6C9048E4"/>
    <w:rsid w:val="6CAB51F7"/>
    <w:rsid w:val="6CB5251A"/>
    <w:rsid w:val="6CD7423E"/>
    <w:rsid w:val="6CDE737B"/>
    <w:rsid w:val="6CE1418C"/>
    <w:rsid w:val="6CF308EB"/>
    <w:rsid w:val="6D3E54CC"/>
    <w:rsid w:val="6D6A5197"/>
    <w:rsid w:val="6D927D32"/>
    <w:rsid w:val="6DF66946"/>
    <w:rsid w:val="6DFD53F7"/>
    <w:rsid w:val="6E8B3532"/>
    <w:rsid w:val="6ED54BE7"/>
    <w:rsid w:val="6EF20050"/>
    <w:rsid w:val="6F2D45E9"/>
    <w:rsid w:val="6FA67EF8"/>
    <w:rsid w:val="6FBF9311"/>
    <w:rsid w:val="6FC22F83"/>
    <w:rsid w:val="6FCC795E"/>
    <w:rsid w:val="6FE74798"/>
    <w:rsid w:val="70114CEC"/>
    <w:rsid w:val="704936A5"/>
    <w:rsid w:val="706345BB"/>
    <w:rsid w:val="709C1A26"/>
    <w:rsid w:val="70BF74C3"/>
    <w:rsid w:val="70C268FE"/>
    <w:rsid w:val="71535E5D"/>
    <w:rsid w:val="71867FE1"/>
    <w:rsid w:val="71AF07A1"/>
    <w:rsid w:val="71CA0911"/>
    <w:rsid w:val="7221183F"/>
    <w:rsid w:val="723143F0"/>
    <w:rsid w:val="728B1D53"/>
    <w:rsid w:val="732D564A"/>
    <w:rsid w:val="73FB4BB7"/>
    <w:rsid w:val="74357542"/>
    <w:rsid w:val="74512B28"/>
    <w:rsid w:val="74B03CF2"/>
    <w:rsid w:val="756E51A5"/>
    <w:rsid w:val="75AD5268"/>
    <w:rsid w:val="75EB1BC8"/>
    <w:rsid w:val="76390F9C"/>
    <w:rsid w:val="765056CF"/>
    <w:rsid w:val="76790D5D"/>
    <w:rsid w:val="76944F4E"/>
    <w:rsid w:val="76AB509B"/>
    <w:rsid w:val="770B219A"/>
    <w:rsid w:val="772462D2"/>
    <w:rsid w:val="775C1F10"/>
    <w:rsid w:val="77877839"/>
    <w:rsid w:val="779C1906"/>
    <w:rsid w:val="779F016E"/>
    <w:rsid w:val="77AB07A1"/>
    <w:rsid w:val="77B75398"/>
    <w:rsid w:val="77C912FA"/>
    <w:rsid w:val="77F268C7"/>
    <w:rsid w:val="781225CE"/>
    <w:rsid w:val="78182F2B"/>
    <w:rsid w:val="782347DB"/>
    <w:rsid w:val="78472EBC"/>
    <w:rsid w:val="784E4B2C"/>
    <w:rsid w:val="787A7F08"/>
    <w:rsid w:val="78A21BA4"/>
    <w:rsid w:val="78D36201"/>
    <w:rsid w:val="78E47CFE"/>
    <w:rsid w:val="79404F19"/>
    <w:rsid w:val="79905EA0"/>
    <w:rsid w:val="79B034B6"/>
    <w:rsid w:val="79BA211C"/>
    <w:rsid w:val="79E77430"/>
    <w:rsid w:val="7A1B7E60"/>
    <w:rsid w:val="7A48042F"/>
    <w:rsid w:val="7ACA7190"/>
    <w:rsid w:val="7B06480D"/>
    <w:rsid w:val="7B073F40"/>
    <w:rsid w:val="7B1D4AE8"/>
    <w:rsid w:val="7B2745E3"/>
    <w:rsid w:val="7B762E74"/>
    <w:rsid w:val="7B98103C"/>
    <w:rsid w:val="7C0E57A2"/>
    <w:rsid w:val="7C3242A6"/>
    <w:rsid w:val="7C350F81"/>
    <w:rsid w:val="7C5F1143"/>
    <w:rsid w:val="7D133A6A"/>
    <w:rsid w:val="7D536B95"/>
    <w:rsid w:val="7D8335F7"/>
    <w:rsid w:val="7DB639FC"/>
    <w:rsid w:val="7DE35CCE"/>
    <w:rsid w:val="7E682F48"/>
    <w:rsid w:val="7EEB5927"/>
    <w:rsid w:val="7F1C3D32"/>
    <w:rsid w:val="7F40017A"/>
    <w:rsid w:val="7F5B2AAD"/>
    <w:rsid w:val="7F620525"/>
    <w:rsid w:val="7FC70142"/>
    <w:rsid w:val="7FD8234F"/>
    <w:rsid w:val="7FEC1957"/>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9">
    <w:name w:val="Table Text"/>
    <w:basedOn w:val="1"/>
    <w:semiHidden/>
    <w:qFormat/>
    <w:uiPriority w:val="0"/>
    <w:pPr>
      <w:widowControl/>
      <w:kinsoku w:val="0"/>
      <w:autoSpaceDE w:val="0"/>
      <w:autoSpaceDN w:val="0"/>
      <w:adjustRightInd w:val="0"/>
      <w:snapToGrid w:val="0"/>
      <w:spacing w:after="160"/>
      <w:jc w:val="left"/>
      <w:textAlignment w:val="baseline"/>
    </w:pPr>
    <w:rPr>
      <w:rFonts w:ascii="宋体" w:hAnsi="宋体" w:eastAsia="宋体" w:cs="宋体"/>
      <w:snapToGrid w:val="0"/>
      <w:color w:val="000000"/>
      <w:kern w:val="0"/>
      <w:szCs w:val="21"/>
      <w:lang w:eastAsia="en-US"/>
    </w:rPr>
  </w:style>
  <w:style w:type="table" w:customStyle="1" w:styleId="80">
    <w:name w:val="Table Normal"/>
    <w:semiHidden/>
    <w:unhideWhenUsed/>
    <w:qFormat/>
    <w:uiPriority w:val="0"/>
    <w:pPr>
      <w:spacing w:after="160" w:line="278" w:lineRule="auto"/>
    </w:pPr>
    <w:rPr>
      <w:rFonts w:ascii="Arial" w:hAnsi="Arial" w:cs="Arial"/>
      <w:snapToGrid w:val="0"/>
      <w:color w:val="000000"/>
      <w:kern w:val="0"/>
      <w:szCs w:val="21"/>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92</Pages>
  <Words>5199</Words>
  <Characters>5564</Characters>
  <Lines>370</Lines>
  <Paragraphs>104</Paragraphs>
  <TotalTime>28</TotalTime>
  <ScaleCrop>false</ScaleCrop>
  <LinksUpToDate>false</LinksUpToDate>
  <CharactersWithSpaces>5657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2025-04-02T02:47:09Z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1C2992D170A44A959D93FFAA9C7B311D_13</vt:lpwstr>
  </property>
  <property fmtid="{D5CDD505-2E9C-101B-9397-08002B2CF9AE}" pid="4" name="KSOTemplateDocerSaveRecord">
    <vt:lpwstr>eyJoZGlkIjoiZmRhMmFmYjM3OWE4N2ViMTFmMDk1NGM5ZGE2M2MzZDciLCJ1c2VySWQiOiI4ODQ5MTAzMjQifQ==</vt:lpwstr>
  </property>
</Properties>
</file>