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color w:val="auto"/>
          <w:spacing w:val="22"/>
          <w:kern w:val="0"/>
          <w:sz w:val="160"/>
          <w:szCs w:val="160"/>
          <w:highlight w:val="none"/>
        </w:rPr>
      </w:pPr>
      <w:bookmarkStart w:id="0" w:name="_Toc391367873"/>
      <w:bookmarkStart w:id="1" w:name="_Toc391627747"/>
      <w:bookmarkStart w:id="2" w:name="_Toc405313951"/>
      <w:r>
        <w:rPr>
          <w:rFonts w:hint="eastAsia" w:ascii="宋体" w:hAnsi="宋体" w:eastAsia="宋体"/>
          <w:b/>
          <w:bCs/>
          <w:snapToGrid w:val="0"/>
          <w:color w:val="auto"/>
          <w:spacing w:val="22"/>
          <w:kern w:val="0"/>
          <w:sz w:val="160"/>
          <w:szCs w:val="160"/>
          <w:highlight w:val="none"/>
          <w:lang w:val="en-US" w:eastAsia="zh-CN"/>
        </w:rPr>
        <w:t>遴选</w:t>
      </w:r>
      <w:r>
        <w:rPr>
          <w:rFonts w:hint="eastAsia" w:ascii="宋体" w:hAnsi="宋体" w:eastAsia="宋体"/>
          <w:b/>
          <w:bCs/>
          <w:snapToGrid w:val="0"/>
          <w:color w:val="auto"/>
          <w:spacing w:val="22"/>
          <w:kern w:val="0"/>
          <w:sz w:val="160"/>
          <w:szCs w:val="160"/>
          <w:highlight w:val="none"/>
        </w:rPr>
        <w:t>文件</w:t>
      </w:r>
    </w:p>
    <w:p w14:paraId="446CA223">
      <w:pPr>
        <w:spacing w:before="652" w:beforeLines="150" w:after="870" w:afterLines="200" w:line="360" w:lineRule="auto"/>
        <w:jc w:val="center"/>
        <w:rPr>
          <w:rFonts w:ascii="宋体" w:hAnsi="宋体" w:eastAsia="宋体"/>
          <w:b/>
          <w:bCs/>
          <w:snapToGrid w:val="0"/>
          <w:color w:val="auto"/>
          <w:spacing w:val="-20"/>
          <w:kern w:val="0"/>
          <w:sz w:val="100"/>
          <w:szCs w:val="100"/>
          <w:highlight w:val="none"/>
        </w:rPr>
      </w:pPr>
      <w:r>
        <w:rPr>
          <w:rFonts w:ascii="宋体" w:hAnsi="宋体" w:eastAsia="宋体"/>
          <w:b/>
          <w:bCs/>
          <w:color w:val="auto"/>
          <w:sz w:val="100"/>
          <w:szCs w:val="100"/>
          <w:highlight w:val="none"/>
        </w:rPr>
        <w:drawing>
          <wp:inline distT="0" distB="0" distL="0" distR="0">
            <wp:extent cx="3677920" cy="3597910"/>
            <wp:effectExtent l="0" t="0" r="1778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1694DFF9">
      <w:pPr>
        <w:pStyle w:val="70"/>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eastAsia" w:ascii="宋体" w:hAnsi="宋体" w:eastAsia="宋体"/>
          <w:color w:val="auto"/>
          <w:sz w:val="35"/>
          <w:szCs w:val="35"/>
          <w:highlight w:val="none"/>
          <w:lang w:eastAsia="zh-CN"/>
        </w:rPr>
      </w:pPr>
      <w:r>
        <w:rPr>
          <w:rFonts w:hint="eastAsia" w:ascii="宋体" w:hAnsi="宋体" w:eastAsia="宋体"/>
          <w:b/>
          <w:color w:val="auto"/>
          <w:sz w:val="35"/>
          <w:szCs w:val="35"/>
          <w:highlight w:val="none"/>
          <w:lang w:val="en-US" w:eastAsia="zh-CN"/>
        </w:rPr>
        <w:t>评选</w:t>
      </w:r>
      <w:r>
        <w:rPr>
          <w:rFonts w:ascii="宋体" w:hAnsi="宋体" w:eastAsia="宋体"/>
          <w:b/>
          <w:color w:val="auto"/>
          <w:sz w:val="35"/>
          <w:szCs w:val="35"/>
          <w:highlight w:val="none"/>
        </w:rPr>
        <w:t>编号：</w:t>
      </w:r>
      <w:r>
        <w:rPr>
          <w:rFonts w:hint="eastAsia" w:ascii="宋体" w:hAnsi="宋体" w:eastAsia="宋体"/>
          <w:b/>
          <w:color w:val="auto"/>
          <w:sz w:val="35"/>
          <w:szCs w:val="35"/>
          <w:highlight w:val="none"/>
          <w:lang w:eastAsia="zh-CN"/>
        </w:rPr>
        <w:t>ZHDGZC2025028</w:t>
      </w:r>
    </w:p>
    <w:p w14:paraId="68612354">
      <w:pPr>
        <w:pStyle w:val="70"/>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eastAsia" w:ascii="宋体" w:hAnsi="宋体" w:eastAsia="宋体"/>
          <w:color w:val="auto"/>
          <w:sz w:val="35"/>
          <w:szCs w:val="35"/>
          <w:highlight w:val="none"/>
          <w:lang w:eastAsia="zh-CN"/>
        </w:rPr>
      </w:pPr>
      <w:r>
        <w:rPr>
          <w:rFonts w:ascii="宋体" w:hAnsi="宋体" w:eastAsia="宋体"/>
          <w:b/>
          <w:color w:val="auto"/>
          <w:sz w:val="35"/>
          <w:szCs w:val="35"/>
          <w:highlight w:val="none"/>
        </w:rPr>
        <w:t>项目名称：</w:t>
      </w:r>
      <w:r>
        <w:rPr>
          <w:rFonts w:hint="eastAsia" w:ascii="宋体" w:hAnsi="宋体" w:eastAsia="宋体"/>
          <w:b/>
          <w:color w:val="auto"/>
          <w:sz w:val="35"/>
          <w:szCs w:val="35"/>
          <w:highlight w:val="none"/>
          <w:lang w:eastAsia="zh-CN"/>
        </w:rPr>
        <w:t>东莞市消防救援支队2025年战勤保障中心食材配送服务项目</w:t>
      </w:r>
    </w:p>
    <w:p w14:paraId="71953F7B">
      <w:pPr>
        <w:pStyle w:val="70"/>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b/>
          <w:color w:val="auto"/>
          <w:sz w:val="35"/>
          <w:szCs w:val="35"/>
          <w:highlight w:val="none"/>
        </w:rPr>
      </w:pPr>
      <w:r>
        <w:rPr>
          <w:rFonts w:ascii="宋体" w:hAnsi="宋体" w:eastAsia="宋体"/>
          <w:b/>
          <w:color w:val="auto"/>
          <w:sz w:val="35"/>
          <w:szCs w:val="35"/>
          <w:highlight w:val="none"/>
        </w:rPr>
        <w:t>采</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购</w:t>
      </w:r>
      <w:r>
        <w:rPr>
          <w:rFonts w:ascii="宋体" w:hAnsi="宋体" w:eastAsia="宋体"/>
          <w:b/>
          <w:color w:val="auto"/>
          <w:sz w:val="35"/>
          <w:szCs w:val="35"/>
          <w:highlight w:val="none"/>
          <w:lang w:eastAsia="zh-CN"/>
        </w:rPr>
        <w:t xml:space="preserve"> </w:t>
      </w:r>
      <w:r>
        <w:rPr>
          <w:rFonts w:ascii="宋体" w:hAnsi="宋体" w:eastAsia="宋体"/>
          <w:b/>
          <w:color w:val="auto"/>
          <w:sz w:val="35"/>
          <w:szCs w:val="35"/>
          <w:highlight w:val="none"/>
        </w:rPr>
        <w:t>人：</w:t>
      </w:r>
      <w:r>
        <w:rPr>
          <w:rFonts w:hint="eastAsia" w:ascii="宋体" w:hAnsi="宋体" w:eastAsia="宋体"/>
          <w:b/>
          <w:color w:val="auto"/>
          <w:sz w:val="35"/>
          <w:szCs w:val="35"/>
          <w:highlight w:val="none"/>
        </w:rPr>
        <w:t>东莞市消防救援支队</w:t>
      </w:r>
    </w:p>
    <w:p w14:paraId="05B13617">
      <w:pPr>
        <w:pStyle w:val="70"/>
        <w:keepNext w:val="0"/>
        <w:keepLines w:val="0"/>
        <w:pageBreakBefore w:val="0"/>
        <w:widowControl/>
        <w:tabs>
          <w:tab w:val="left" w:pos="9072"/>
        </w:tabs>
        <w:kinsoku/>
        <w:wordWrap/>
        <w:overflowPunct/>
        <w:topLinePunct w:val="0"/>
        <w:autoSpaceDE/>
        <w:autoSpaceDN/>
        <w:bidi w:val="0"/>
        <w:adjustRightInd/>
        <w:snapToGrid/>
        <w:spacing w:line="640" w:lineRule="exact"/>
        <w:ind w:left="840" w:leftChars="400" w:firstLine="0" w:firstLineChars="0"/>
        <w:textAlignment w:val="auto"/>
        <w:outlineLvl w:val="3"/>
        <w:rPr>
          <w:rFonts w:hint="default" w:ascii="宋体" w:hAnsi="宋体" w:eastAsia="宋体"/>
          <w:b/>
          <w:color w:val="auto"/>
          <w:sz w:val="35"/>
          <w:szCs w:val="35"/>
          <w:highlight w:val="none"/>
          <w:lang w:eastAsia="zh-CN"/>
        </w:rPr>
      </w:pPr>
      <w:r>
        <w:rPr>
          <w:rFonts w:ascii="宋体" w:hAnsi="宋体" w:eastAsia="宋体"/>
          <w:b/>
          <w:color w:val="auto"/>
          <w:sz w:val="35"/>
          <w:szCs w:val="35"/>
          <w:highlight w:val="none"/>
        </w:rPr>
        <w:t>采购代理机构：广东智汇城市招标采购有限公司</w:t>
      </w:r>
    </w:p>
    <w:p w14:paraId="3C7E2314">
      <w:pPr>
        <w:pStyle w:val="38"/>
        <w:keepNext w:val="0"/>
        <w:keepLines w:val="0"/>
        <w:pageBreakBefore/>
        <w:widowControl w:val="0"/>
        <w:kinsoku/>
        <w:wordWrap/>
        <w:overflowPunct/>
        <w:topLinePunct w:val="0"/>
        <w:autoSpaceDE/>
        <w:autoSpaceDN/>
        <w:bidi w:val="0"/>
        <w:adjustRightInd/>
        <w:snapToGrid/>
        <w:spacing w:before="240" w:line="360" w:lineRule="auto"/>
        <w:jc w:val="center"/>
        <w:textAlignment w:val="auto"/>
        <w:rPr>
          <w:rFonts w:asciiTheme="minorEastAsia" w:hAnsiTheme="minorEastAsia" w:eastAsiaTheme="minorEastAsia"/>
          <w:color w:val="auto"/>
          <w:sz w:val="36"/>
          <w:szCs w:val="36"/>
          <w:highlight w:val="none"/>
        </w:rPr>
      </w:pPr>
      <w:r>
        <w:rPr>
          <w:rFonts w:hint="eastAsia" w:asciiTheme="minorEastAsia" w:hAnsiTheme="minorEastAsia" w:eastAsiaTheme="minorEastAsia"/>
          <w:color w:val="auto"/>
          <w:sz w:val="36"/>
          <w:szCs w:val="36"/>
          <w:highlight w:val="none"/>
          <w:lang w:val="zh-CN"/>
        </w:rPr>
        <w:t>目   录</w:t>
      </w:r>
    </w:p>
    <w:p w14:paraId="5A087946">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TOC \o "1-3" \h \z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"_Toc138770006"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第一部分 邀请函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_Toc138770006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2216573">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"_Toc138770007"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第二部分 采购需求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_Toc138770007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63D9949">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"_Toc138770008"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第三部分 响应须知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_Toc138770008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96E0204">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"_Toc138770011"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第四部分 评审方法、步骤、标准</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_Toc138770011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C500D72">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"_Toc138770012"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第五部分 合同书格式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_Toc138770012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620BEE2">
      <w:pPr>
        <w:pStyle w:val="17"/>
        <w:keepNext w:val="0"/>
        <w:keepLines w:val="0"/>
        <w:pageBreakBefore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kern w:val="2"/>
          <w:sz w:val="24"/>
          <w:szCs w:val="24"/>
          <w:highlight w:val="none"/>
          <w14:ligatures w14:val="standardContextual"/>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"_Toc138770013" </w:instrText>
      </w:r>
      <w:r>
        <w:rPr>
          <w:rFonts w:hint="eastAsia" w:ascii="宋体" w:hAnsi="宋体" w:eastAsia="宋体" w:cs="宋体"/>
          <w:color w:val="auto"/>
          <w:sz w:val="24"/>
          <w:szCs w:val="24"/>
          <w:highlight w:val="none"/>
        </w:rPr>
        <w:fldChar w:fldCharType="separate"/>
      </w:r>
      <w:r>
        <w:rPr>
          <w:rStyle w:val="29"/>
          <w:rFonts w:hint="eastAsia" w:ascii="宋体" w:hAnsi="宋体" w:eastAsia="宋体" w:cs="宋体"/>
          <w:color w:val="auto"/>
          <w:spacing w:val="20"/>
          <w:sz w:val="24"/>
          <w:szCs w:val="24"/>
          <w:highlight w:val="none"/>
        </w:rPr>
        <w:t>第六部分 响应文件格式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_Toc138770013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6733761">
      <w:pPr>
        <w:keepNext w:val="0"/>
        <w:keepLines w:val="0"/>
        <w:pageBreakBefore w:val="0"/>
        <w:tabs>
          <w:tab w:val="right" w:leader="dot" w:pos="8931"/>
        </w:tabs>
        <w:kinsoku/>
        <w:wordWrap/>
        <w:overflowPunct/>
        <w:topLinePunct w:val="0"/>
        <w:autoSpaceDE/>
        <w:autoSpaceDN/>
        <w:bidi w:val="0"/>
        <w:adjustRightInd/>
        <w:snapToGrid w:val="0"/>
        <w:spacing w:line="480" w:lineRule="auto"/>
        <w:textAlignment w:val="auto"/>
        <w:rPr>
          <w:rFonts w:asciiTheme="minorEastAsia" w:hAnsiTheme="minorEastAsia"/>
          <w:color w:val="auto"/>
          <w:szCs w:val="21"/>
          <w:highlight w:val="none"/>
        </w:rPr>
      </w:pPr>
      <w:r>
        <w:rPr>
          <w:rFonts w:hint="eastAsia" w:ascii="宋体" w:hAnsi="宋体" w:eastAsia="宋体" w:cs="宋体"/>
          <w:b/>
          <w:bCs/>
          <w:color w:val="auto"/>
          <w:sz w:val="24"/>
          <w:szCs w:val="24"/>
          <w:highlight w:val="none"/>
          <w:lang w:val="zh-CN"/>
        </w:rPr>
        <w:fldChar w:fldCharType="end"/>
      </w:r>
    </w:p>
    <w:p w14:paraId="6D207D52">
      <w:pPr>
        <w:pStyle w:val="2"/>
        <w:keepNext w:val="0"/>
        <w:keepLines w:val="0"/>
        <w:pageBreakBefore/>
        <w:spacing w:before="120" w:after="120" w:line="360" w:lineRule="auto"/>
        <w:jc w:val="center"/>
        <w:rPr>
          <w:rFonts w:asciiTheme="minorEastAsia" w:hAnsiTheme="minorEastAsia"/>
          <w:color w:val="auto"/>
          <w:spacing w:val="20"/>
          <w:sz w:val="32"/>
          <w:szCs w:val="32"/>
          <w:highlight w:val="none"/>
        </w:rPr>
      </w:pPr>
      <w:bookmarkStart w:id="3" w:name="_Toc138770006"/>
      <w:r>
        <w:rPr>
          <w:rFonts w:hint="eastAsia" w:asciiTheme="minorEastAsia" w:hAnsiTheme="minorEastAsia"/>
          <w:color w:val="auto"/>
          <w:spacing w:val="20"/>
          <w:sz w:val="32"/>
          <w:szCs w:val="32"/>
          <w:highlight w:val="none"/>
        </w:rPr>
        <w:t>第一部分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邀请函</w:t>
      </w:r>
      <w:bookmarkEnd w:id="0"/>
      <w:bookmarkEnd w:id="1"/>
      <w:bookmarkEnd w:id="2"/>
      <w:bookmarkEnd w:id="3"/>
    </w:p>
    <w:p w14:paraId="1274A103">
      <w:pPr>
        <w:widowControl/>
        <w:spacing w:before="156" w:beforeLines="50" w:after="156" w:afterLines="50" w:line="360" w:lineRule="atLeast"/>
        <w:jc w:val="left"/>
        <w:rPr>
          <w:rFonts w:cs="宋体" w:asciiTheme="minorEastAsia" w:hAnsiTheme="minorEastAsia"/>
          <w:b/>
          <w:color w:val="auto"/>
          <w:kern w:val="0"/>
          <w:sz w:val="24"/>
          <w:szCs w:val="24"/>
          <w:highlight w:val="none"/>
        </w:rPr>
      </w:pPr>
      <w:r>
        <w:rPr>
          <w:rFonts w:hint="eastAsia" w:cs="宋体" w:asciiTheme="minorEastAsia" w:hAnsiTheme="minorEastAsia"/>
          <w:b/>
          <w:color w:val="auto"/>
          <w:kern w:val="0"/>
          <w:sz w:val="24"/>
          <w:szCs w:val="24"/>
          <w:highlight w:val="none"/>
        </w:rPr>
        <w:t>项目概况</w:t>
      </w:r>
    </w:p>
    <w:p w14:paraId="1F51AB10">
      <w:pPr>
        <w:tabs>
          <w:tab w:val="left" w:pos="426"/>
        </w:tabs>
        <w:spacing w:before="312" w:beforeLines="100" w:line="360" w:lineRule="auto"/>
        <w:ind w:firstLine="420" w:firstLineChars="200"/>
        <w:rPr>
          <w:rFonts w:asciiTheme="minorEastAsia" w:hAnsiTheme="minorEastAsia"/>
          <w:color w:val="auto"/>
          <w:szCs w:val="21"/>
          <w:highlight w:val="none"/>
        </w:rPr>
      </w:pPr>
      <w:r>
        <w:rPr>
          <w:rFonts w:hint="eastAsia" w:cs="宋体" w:asciiTheme="minorEastAsia" w:hAnsiTheme="minorEastAsia"/>
          <w:color w:val="auto"/>
          <w:kern w:val="0"/>
          <w:szCs w:val="21"/>
          <w:highlight w:val="none"/>
          <w:u w:val="single"/>
          <w:lang w:eastAsia="zh-CN"/>
        </w:rPr>
        <w:t>东莞市消防救援支队2025年战勤保障中心食材配送服务项目</w:t>
      </w:r>
      <w:r>
        <w:rPr>
          <w:rFonts w:hint="eastAsia" w:cs="宋体" w:asciiTheme="minorEastAsia" w:hAnsiTheme="minorEastAsia"/>
          <w:color w:val="auto"/>
          <w:kern w:val="0"/>
          <w:szCs w:val="21"/>
          <w:highlight w:val="none"/>
        </w:rPr>
        <w:t>的潜在供应商应在</w:t>
      </w:r>
      <w:r>
        <w:rPr>
          <w:rFonts w:hint="eastAsia" w:cs="宋体" w:asciiTheme="minorEastAsia" w:hAnsiTheme="minorEastAsia"/>
          <w:color w:val="auto"/>
          <w:kern w:val="0"/>
          <w:szCs w:val="21"/>
          <w:highlight w:val="none"/>
          <w:u w:val="none"/>
          <w:lang w:eastAsia="zh-CN"/>
        </w:rPr>
        <w:t>东莞市南城街道雅园产业园区路5号1栋1楼</w:t>
      </w:r>
      <w:r>
        <w:rPr>
          <w:rFonts w:hint="eastAsia" w:cs="宋体" w:asciiTheme="minorEastAsia" w:hAnsiTheme="minorEastAsia"/>
          <w:color w:val="auto"/>
          <w:kern w:val="0"/>
          <w:szCs w:val="21"/>
          <w:highlight w:val="none"/>
          <w:u w:val="none"/>
        </w:rPr>
        <w:t>或微信搜索公众号“广东智汇城市招标采购有限公司”</w:t>
      </w:r>
      <w:r>
        <w:rPr>
          <w:rFonts w:hint="eastAsia" w:cs="宋体" w:asciiTheme="minorEastAsia" w:hAnsiTheme="minorEastAsia"/>
          <w:color w:val="auto"/>
          <w:kern w:val="0"/>
          <w:szCs w:val="21"/>
          <w:highlight w:val="none"/>
        </w:rPr>
        <w:t>获取遴选文件，并于</w:t>
      </w:r>
      <w:r>
        <w:rPr>
          <w:rFonts w:cs="宋体" w:asciiTheme="minorEastAsia" w:hAnsiTheme="minorEastAsia"/>
          <w:color w:val="auto"/>
          <w:kern w:val="0"/>
          <w:szCs w:val="21"/>
          <w:highlight w:val="none"/>
          <w:u w:val="single"/>
        </w:rPr>
        <w:t>202</w:t>
      </w:r>
      <w:r>
        <w:rPr>
          <w:rFonts w:hint="eastAsia" w:cs="宋体" w:asciiTheme="minorEastAsia" w:hAnsiTheme="minorEastAsia"/>
          <w:color w:val="auto"/>
          <w:kern w:val="0"/>
          <w:szCs w:val="21"/>
          <w:highlight w:val="none"/>
          <w:u w:val="single"/>
          <w:lang w:val="en-US" w:eastAsia="zh-CN"/>
        </w:rPr>
        <w:t>5</w:t>
      </w:r>
      <w:r>
        <w:rPr>
          <w:rFonts w:hint="eastAsia" w:cs="宋体" w:asciiTheme="minorEastAsia" w:hAnsiTheme="minorEastAsia"/>
          <w:color w:val="auto"/>
          <w:kern w:val="0"/>
          <w:szCs w:val="21"/>
          <w:highlight w:val="none"/>
        </w:rPr>
        <w:t>年</w:t>
      </w:r>
      <w:r>
        <w:rPr>
          <w:rFonts w:hint="eastAsia" w:cs="宋体" w:asciiTheme="minorEastAsia" w:hAnsiTheme="minorEastAsia"/>
          <w:color w:val="auto"/>
          <w:kern w:val="0"/>
          <w:szCs w:val="21"/>
          <w:highlight w:val="none"/>
          <w:u w:val="single"/>
          <w:lang w:val="en-US" w:eastAsia="zh-CN"/>
        </w:rPr>
        <w:t>05</w:t>
      </w:r>
      <w:r>
        <w:rPr>
          <w:rFonts w:hint="eastAsia" w:cs="宋体" w:asciiTheme="minorEastAsia" w:hAnsiTheme="minorEastAsia"/>
          <w:color w:val="auto"/>
          <w:kern w:val="0"/>
          <w:szCs w:val="21"/>
          <w:highlight w:val="none"/>
        </w:rPr>
        <w:t>月</w:t>
      </w:r>
      <w:r>
        <w:rPr>
          <w:rFonts w:hint="eastAsia" w:cs="宋体" w:asciiTheme="minorEastAsia" w:hAnsiTheme="minorEastAsia"/>
          <w:color w:val="auto"/>
          <w:kern w:val="0"/>
          <w:szCs w:val="21"/>
          <w:highlight w:val="none"/>
          <w:u w:val="single"/>
          <w:lang w:val="en-US" w:eastAsia="zh-CN"/>
        </w:rPr>
        <w:t>12</w:t>
      </w:r>
      <w:r>
        <w:rPr>
          <w:rFonts w:hint="eastAsia" w:cs="宋体" w:asciiTheme="minorEastAsia" w:hAnsiTheme="minorEastAsia"/>
          <w:color w:val="auto"/>
          <w:kern w:val="0"/>
          <w:szCs w:val="21"/>
          <w:highlight w:val="none"/>
        </w:rPr>
        <w:t>日</w:t>
      </w:r>
      <w:r>
        <w:rPr>
          <w:rFonts w:hint="eastAsia" w:cs="宋体" w:asciiTheme="minorEastAsia" w:hAnsiTheme="minorEastAsia"/>
          <w:color w:val="auto"/>
          <w:kern w:val="0"/>
          <w:szCs w:val="21"/>
          <w:highlight w:val="none"/>
          <w:u w:val="single"/>
          <w:lang w:val="en-US" w:eastAsia="zh-CN"/>
        </w:rPr>
        <w:t>09</w:t>
      </w:r>
      <w:r>
        <w:rPr>
          <w:rFonts w:hint="eastAsia" w:cs="宋体" w:asciiTheme="minorEastAsia" w:hAnsiTheme="minorEastAsia"/>
          <w:color w:val="auto"/>
          <w:kern w:val="0"/>
          <w:szCs w:val="21"/>
          <w:highlight w:val="none"/>
        </w:rPr>
        <w:t>点</w:t>
      </w:r>
      <w:r>
        <w:rPr>
          <w:rFonts w:hint="eastAsia" w:cs="宋体" w:asciiTheme="minorEastAsia" w:hAnsiTheme="minorEastAsia"/>
          <w:color w:val="auto"/>
          <w:kern w:val="0"/>
          <w:szCs w:val="21"/>
          <w:highlight w:val="none"/>
          <w:u w:val="single"/>
          <w:lang w:val="en-US" w:eastAsia="zh-CN"/>
        </w:rPr>
        <w:t>30</w:t>
      </w:r>
      <w:r>
        <w:rPr>
          <w:rFonts w:hint="eastAsia" w:cs="宋体" w:asciiTheme="minorEastAsia" w:hAnsiTheme="minorEastAsia"/>
          <w:color w:val="auto"/>
          <w:kern w:val="0"/>
          <w:szCs w:val="21"/>
          <w:highlight w:val="none"/>
        </w:rPr>
        <w:t>分（北京时间）前递交响应文件。</w:t>
      </w:r>
    </w:p>
    <w:p w14:paraId="1B1C366B">
      <w:pPr>
        <w:pStyle w:val="33"/>
        <w:numPr>
          <w:ilvl w:val="0"/>
          <w:numId w:val="1"/>
        </w:numPr>
        <w:tabs>
          <w:tab w:val="left" w:pos="426"/>
        </w:tabs>
        <w:spacing w:before="312" w:beforeLines="100" w:line="360" w:lineRule="auto"/>
        <w:ind w:firstLineChars="0"/>
        <w:rPr>
          <w:rFonts w:asciiTheme="minorEastAsia" w:hAnsiTheme="minorEastAsia"/>
          <w:color w:val="auto"/>
          <w:szCs w:val="21"/>
          <w:highlight w:val="none"/>
        </w:rPr>
      </w:pPr>
      <w:r>
        <w:rPr>
          <w:rFonts w:hint="eastAsia" w:asciiTheme="minorEastAsia" w:hAnsiTheme="minorEastAsia"/>
          <w:b/>
          <w:color w:val="auto"/>
          <w:szCs w:val="21"/>
          <w:highlight w:val="none"/>
        </w:rPr>
        <w:t>项目基本情况：</w:t>
      </w:r>
    </w:p>
    <w:p w14:paraId="246063CA">
      <w:pPr>
        <w:tabs>
          <w:tab w:val="left" w:pos="426"/>
        </w:tabs>
        <w:spacing w:line="360" w:lineRule="auto"/>
        <w:ind w:left="420" w:hanging="420" w:hangingChars="200"/>
        <w:rPr>
          <w:rFonts w:hint="eastAsia" w:asciiTheme="minorEastAsia" w:hAnsiTheme="minorEastAsia" w:eastAsiaTheme="minorEastAsia"/>
          <w:color w:val="auto"/>
          <w:szCs w:val="21"/>
          <w:highlight w:val="none"/>
          <w:u w:val="single"/>
          <w:lang w:eastAsia="zh-CN"/>
        </w:rPr>
      </w:pPr>
      <w:r>
        <w:rPr>
          <w:rFonts w:hint="eastAsia" w:asciiTheme="minorEastAsia" w:hAnsiTheme="minorEastAsia"/>
          <w:color w:val="auto"/>
          <w:szCs w:val="21"/>
          <w:highlight w:val="none"/>
        </w:rPr>
        <w:t>评选编号：</w:t>
      </w:r>
      <w:r>
        <w:rPr>
          <w:rFonts w:hint="eastAsia" w:asciiTheme="minorEastAsia" w:hAnsiTheme="minorEastAsia"/>
          <w:color w:val="auto"/>
          <w:szCs w:val="21"/>
          <w:highlight w:val="none"/>
          <w:lang w:eastAsia="zh-CN"/>
        </w:rPr>
        <w:t>ZHDGZC2025028</w:t>
      </w:r>
    </w:p>
    <w:p w14:paraId="20E109B6">
      <w:pPr>
        <w:tabs>
          <w:tab w:val="left" w:pos="426"/>
        </w:tabs>
        <w:spacing w:line="360" w:lineRule="auto"/>
        <w:ind w:left="420" w:hanging="420" w:hangingChars="200"/>
        <w:rPr>
          <w:rFonts w:hint="eastAsia" w:asciiTheme="minorEastAsia" w:hAnsiTheme="minorEastAsia" w:eastAsiaTheme="minorEastAsia"/>
          <w:color w:val="auto"/>
          <w:szCs w:val="21"/>
          <w:highlight w:val="none"/>
          <w:lang w:eastAsia="zh-CN"/>
        </w:rPr>
      </w:pPr>
      <w:r>
        <w:rPr>
          <w:rFonts w:hint="eastAsia" w:asciiTheme="minorEastAsia" w:hAnsiTheme="minorEastAsia"/>
          <w:color w:val="auto"/>
          <w:szCs w:val="21"/>
          <w:highlight w:val="none"/>
        </w:rPr>
        <w:t>项目名称：</w:t>
      </w:r>
      <w:r>
        <w:rPr>
          <w:rFonts w:hint="eastAsia" w:asciiTheme="minorEastAsia" w:hAnsiTheme="minorEastAsia"/>
          <w:color w:val="auto"/>
          <w:szCs w:val="21"/>
          <w:highlight w:val="none"/>
          <w:lang w:eastAsia="zh-CN"/>
        </w:rPr>
        <w:t>东莞市消防救援支队2025年战勤保障中心食材配送服务项目</w:t>
      </w:r>
    </w:p>
    <w:p w14:paraId="743E4FF9">
      <w:pPr>
        <w:tabs>
          <w:tab w:val="left" w:pos="426"/>
        </w:tabs>
        <w:spacing w:line="360" w:lineRule="auto"/>
        <w:ind w:left="420" w:hanging="420" w:hangingChars="200"/>
        <w:rPr>
          <w:rFonts w:asciiTheme="minorEastAsia" w:hAnsiTheme="minorEastAsia"/>
          <w:color w:val="auto"/>
          <w:szCs w:val="21"/>
          <w:highlight w:val="none"/>
        </w:rPr>
      </w:pPr>
      <w:r>
        <w:rPr>
          <w:rFonts w:hint="eastAsia" w:asciiTheme="minorEastAsia" w:hAnsiTheme="minorEastAsia"/>
          <w:color w:val="auto"/>
          <w:szCs w:val="21"/>
          <w:highlight w:val="none"/>
        </w:rPr>
        <w:t>采购方式：遴选采购</w:t>
      </w:r>
    </w:p>
    <w:p w14:paraId="158F00E4">
      <w:pPr>
        <w:tabs>
          <w:tab w:val="left" w:pos="426"/>
        </w:tabs>
        <w:spacing w:line="360" w:lineRule="auto"/>
        <w:ind w:left="1050" w:hanging="1050" w:hangingChars="500"/>
        <w:rPr>
          <w:rFonts w:asciiTheme="minorEastAsia" w:hAnsiTheme="minorEastAsia"/>
          <w:color w:val="auto"/>
          <w:szCs w:val="21"/>
          <w:highlight w:val="none"/>
        </w:rPr>
      </w:pPr>
      <w:r>
        <w:rPr>
          <w:rFonts w:hint="eastAsia" w:asciiTheme="minorEastAsia" w:hAnsiTheme="minorEastAsia"/>
          <w:color w:val="auto"/>
          <w:szCs w:val="21"/>
          <w:highlight w:val="none"/>
        </w:rPr>
        <w:t>项目预算：</w:t>
      </w:r>
      <w:r>
        <w:rPr>
          <w:rFonts w:hint="eastAsia" w:asciiTheme="minorEastAsia" w:hAnsiTheme="minorEastAsia"/>
          <w:color w:val="auto"/>
          <w:szCs w:val="21"/>
          <w:highlight w:val="none"/>
          <w:lang w:val="en-US" w:eastAsia="zh-CN"/>
        </w:rPr>
        <w:t>¥</w:t>
      </w:r>
      <w:r>
        <w:rPr>
          <w:rFonts w:hint="eastAsia" w:asciiTheme="minorEastAsia" w:hAnsiTheme="minorEastAsia"/>
          <w:color w:val="auto"/>
          <w:szCs w:val="21"/>
          <w:highlight w:val="none"/>
        </w:rPr>
        <w:t>680,044.00</w:t>
      </w:r>
      <w:r>
        <w:rPr>
          <w:rFonts w:hint="eastAsia" w:asciiTheme="minorEastAsia" w:hAnsiTheme="minorEastAsia"/>
          <w:color w:val="auto"/>
          <w:highlight w:val="none"/>
        </w:rPr>
        <w:t>元</w:t>
      </w:r>
    </w:p>
    <w:p w14:paraId="2A21E101">
      <w:pPr>
        <w:tabs>
          <w:tab w:val="left" w:pos="426"/>
        </w:tabs>
        <w:spacing w:line="360" w:lineRule="auto"/>
        <w:ind w:left="422" w:hanging="422" w:hangingChars="200"/>
        <w:rPr>
          <w:rFonts w:asciiTheme="minorEastAsia" w:hAnsiTheme="minorEastAsia"/>
          <w:b/>
          <w:bCs/>
          <w:color w:val="auto"/>
          <w:szCs w:val="21"/>
          <w:highlight w:val="none"/>
        </w:rPr>
      </w:pPr>
      <w:r>
        <w:rPr>
          <w:rFonts w:hint="eastAsia" w:asciiTheme="minorEastAsia" w:hAnsiTheme="minorEastAsia"/>
          <w:b/>
          <w:bCs/>
          <w:color w:val="auto"/>
          <w:szCs w:val="21"/>
          <w:highlight w:val="none"/>
        </w:rPr>
        <w:t>采购需求：</w:t>
      </w:r>
    </w:p>
    <w:p w14:paraId="70C1A359">
      <w:pPr>
        <w:pStyle w:val="33"/>
        <w:numPr>
          <w:ilvl w:val="0"/>
          <w:numId w:val="2"/>
        </w:numPr>
        <w:tabs>
          <w:tab w:val="left" w:pos="284"/>
        </w:tabs>
        <w:spacing w:line="360" w:lineRule="auto"/>
        <w:ind w:left="420" w:hangingChars="200"/>
        <w:rPr>
          <w:rFonts w:asciiTheme="minorEastAsia" w:hAnsiTheme="minorEastAsia"/>
          <w:color w:val="auto"/>
          <w:szCs w:val="21"/>
          <w:highlight w:val="none"/>
        </w:rPr>
      </w:pPr>
      <w:r>
        <w:rPr>
          <w:rFonts w:hint="eastAsia" w:asciiTheme="minorEastAsia" w:hAnsiTheme="minorEastAsia"/>
          <w:color w:val="auto"/>
          <w:szCs w:val="21"/>
          <w:highlight w:val="none"/>
        </w:rPr>
        <w:t>标的内容：</w:t>
      </w:r>
    </w:p>
    <w:tbl>
      <w:tblPr>
        <w:tblStyle w:val="2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
        <w:gridCol w:w="1950"/>
        <w:gridCol w:w="1800"/>
        <w:gridCol w:w="767"/>
        <w:gridCol w:w="750"/>
        <w:gridCol w:w="2604"/>
      </w:tblGrid>
      <w:tr w14:paraId="52E9C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8" w:hRule="atLeast"/>
        </w:trPr>
        <w:tc>
          <w:tcPr>
            <w:tcW w:w="507" w:type="pct"/>
            <w:vAlign w:val="center"/>
          </w:tcPr>
          <w:p w14:paraId="427A8EC7">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序号</w:t>
            </w:r>
          </w:p>
        </w:tc>
        <w:tc>
          <w:tcPr>
            <w:tcW w:w="1113" w:type="pct"/>
            <w:vAlign w:val="center"/>
          </w:tcPr>
          <w:p w14:paraId="72C4323F">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标的名称</w:t>
            </w:r>
          </w:p>
        </w:tc>
        <w:tc>
          <w:tcPr>
            <w:tcW w:w="1027" w:type="pct"/>
            <w:vAlign w:val="center"/>
          </w:tcPr>
          <w:p w14:paraId="6BC87F70">
            <w:pPr>
              <w:widowControl/>
              <w:jc w:val="center"/>
              <w:rPr>
                <w:rFonts w:ascii="Calibri" w:hAnsi="Calibri" w:eastAsia="宋体" w:cs="Times New Roman"/>
                <w:b/>
                <w:bCs/>
                <w:color w:val="auto"/>
                <w:kern w:val="0"/>
                <w:sz w:val="21"/>
                <w:szCs w:val="21"/>
                <w:highlight w:val="none"/>
              </w:rPr>
            </w:pPr>
            <w:r>
              <w:rPr>
                <w:rFonts w:hint="eastAsia" w:ascii="Calibri" w:hAnsi="Calibri" w:eastAsia="宋体" w:cs="Times New Roman"/>
                <w:b/>
                <w:bCs/>
                <w:color w:val="auto"/>
                <w:kern w:val="0"/>
                <w:sz w:val="21"/>
                <w:szCs w:val="21"/>
                <w:highlight w:val="none"/>
              </w:rPr>
              <w:t>预算金额（元）</w:t>
            </w:r>
          </w:p>
        </w:tc>
        <w:tc>
          <w:tcPr>
            <w:tcW w:w="437" w:type="pct"/>
            <w:vAlign w:val="center"/>
          </w:tcPr>
          <w:p w14:paraId="05CDE2E7">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数量</w:t>
            </w:r>
          </w:p>
        </w:tc>
        <w:tc>
          <w:tcPr>
            <w:tcW w:w="428" w:type="pct"/>
            <w:vAlign w:val="center"/>
          </w:tcPr>
          <w:p w14:paraId="3DD5745A">
            <w:pPr>
              <w:widowControl/>
              <w:jc w:val="center"/>
              <w:rPr>
                <w:rFonts w:ascii="Calibri" w:hAnsi="Calibri" w:eastAsia="宋体" w:cs="Times New Roman"/>
                <w:b/>
                <w:bCs/>
                <w:color w:val="auto"/>
                <w:kern w:val="0"/>
                <w:sz w:val="21"/>
                <w:szCs w:val="21"/>
                <w:highlight w:val="none"/>
                <w:lang w:eastAsia="zh-Hans"/>
              </w:rPr>
            </w:pPr>
            <w:r>
              <w:rPr>
                <w:rFonts w:ascii="Calibri" w:hAnsi="Calibri" w:eastAsia="宋体" w:cs="Times New Roman"/>
                <w:b/>
                <w:bCs/>
                <w:color w:val="auto"/>
                <w:kern w:val="0"/>
                <w:sz w:val="21"/>
                <w:szCs w:val="21"/>
                <w:highlight w:val="none"/>
                <w:lang w:eastAsia="zh-Hans"/>
              </w:rPr>
              <w:t>单位</w:t>
            </w:r>
          </w:p>
        </w:tc>
        <w:tc>
          <w:tcPr>
            <w:tcW w:w="1486" w:type="pct"/>
            <w:vAlign w:val="center"/>
          </w:tcPr>
          <w:p w14:paraId="46866B18">
            <w:pPr>
              <w:widowControl/>
              <w:jc w:val="center"/>
              <w:rPr>
                <w:rFonts w:ascii="Calibri" w:hAnsi="Calibri" w:eastAsia="宋体" w:cs="Times New Roman"/>
                <w:b/>
                <w:bCs/>
                <w:color w:val="auto"/>
                <w:kern w:val="0"/>
                <w:sz w:val="21"/>
                <w:szCs w:val="21"/>
                <w:highlight w:val="none"/>
                <w:lang w:eastAsia="zh-Hans"/>
              </w:rPr>
            </w:pPr>
            <w:r>
              <w:rPr>
                <w:rFonts w:hint="eastAsia" w:ascii="Calibri" w:hAnsi="Calibri" w:eastAsia="宋体" w:cs="Times New Roman"/>
                <w:b/>
                <w:bCs/>
                <w:color w:val="auto"/>
                <w:kern w:val="0"/>
                <w:sz w:val="21"/>
                <w:szCs w:val="21"/>
                <w:highlight w:val="none"/>
                <w:lang w:eastAsia="zh-Hans"/>
              </w:rPr>
              <w:t>简要技术需求或服务要求</w:t>
            </w:r>
          </w:p>
        </w:tc>
      </w:tr>
      <w:tr w14:paraId="0ACD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507" w:type="pct"/>
            <w:vAlign w:val="center"/>
          </w:tcPr>
          <w:p w14:paraId="6DC1FBC2">
            <w:pPr>
              <w:widowControl/>
              <w:jc w:val="center"/>
              <w:rPr>
                <w:rFonts w:ascii="Calibri" w:hAnsi="Calibri" w:eastAsia="宋体" w:cs="Times New Roman"/>
                <w:color w:val="auto"/>
                <w:kern w:val="0"/>
                <w:sz w:val="21"/>
                <w:szCs w:val="21"/>
                <w:highlight w:val="none"/>
              </w:rPr>
            </w:pPr>
            <w:r>
              <w:rPr>
                <w:rFonts w:hint="eastAsia" w:ascii="宋体" w:hAnsi="宋体" w:eastAsia="宋体" w:cs="宋体"/>
                <w:b/>
                <w:bCs/>
                <w:color w:val="auto"/>
                <w:kern w:val="0"/>
                <w:sz w:val="21"/>
                <w:szCs w:val="21"/>
                <w:highlight w:val="none"/>
              </w:rPr>
              <w:t>1</w:t>
            </w:r>
          </w:p>
        </w:tc>
        <w:tc>
          <w:tcPr>
            <w:tcW w:w="1113" w:type="pct"/>
            <w:vAlign w:val="center"/>
          </w:tcPr>
          <w:p w14:paraId="45E441AE">
            <w:pPr>
              <w:widowControl/>
              <w:jc w:val="center"/>
              <w:rPr>
                <w:rFonts w:ascii="Calibri" w:hAnsi="Calibri" w:eastAsia="宋体" w:cs="Times New Roman"/>
                <w:color w:val="auto"/>
                <w:kern w:val="0"/>
                <w:sz w:val="21"/>
                <w:szCs w:val="21"/>
                <w:highlight w:val="none"/>
                <w:lang w:eastAsia="zh-Hans"/>
              </w:rPr>
            </w:pPr>
            <w:r>
              <w:rPr>
                <w:rFonts w:hint="eastAsia" w:asciiTheme="minorEastAsia" w:hAnsiTheme="minorEastAsia"/>
                <w:color w:val="auto"/>
                <w:szCs w:val="21"/>
                <w:highlight w:val="none"/>
                <w:lang w:eastAsia="zh-CN"/>
              </w:rPr>
              <w:t>食材配送服务</w:t>
            </w:r>
          </w:p>
        </w:tc>
        <w:tc>
          <w:tcPr>
            <w:tcW w:w="1027" w:type="pct"/>
            <w:vAlign w:val="center"/>
          </w:tcPr>
          <w:p w14:paraId="60B881F5">
            <w:pPr>
              <w:widowControl/>
              <w:jc w:val="center"/>
              <w:rPr>
                <w:rFonts w:hint="eastAsia" w:ascii="宋体" w:hAnsi="宋体" w:eastAsia="宋体" w:cs="宋体"/>
                <w:color w:val="auto"/>
                <w:kern w:val="0"/>
                <w:sz w:val="21"/>
                <w:szCs w:val="21"/>
                <w:highlight w:val="none"/>
                <w:lang w:eastAsia="zh-Hans"/>
              </w:rPr>
            </w:pPr>
            <w:r>
              <w:rPr>
                <w:rFonts w:hint="eastAsia" w:asciiTheme="minorEastAsia" w:hAnsiTheme="minorEastAsia"/>
                <w:color w:val="auto"/>
                <w:szCs w:val="21"/>
                <w:highlight w:val="none"/>
              </w:rPr>
              <w:t>680,044.00</w:t>
            </w:r>
          </w:p>
        </w:tc>
        <w:tc>
          <w:tcPr>
            <w:tcW w:w="437" w:type="pct"/>
            <w:vAlign w:val="center"/>
          </w:tcPr>
          <w:p w14:paraId="215E745D">
            <w:pPr>
              <w:widowControl/>
              <w:jc w:val="center"/>
              <w:rPr>
                <w:rFonts w:ascii="宋体" w:hAnsi="宋体" w:eastAsia="宋体" w:cs="Times New Roman"/>
                <w:color w:val="auto"/>
                <w:kern w:val="0"/>
                <w:sz w:val="21"/>
                <w:szCs w:val="21"/>
                <w:highlight w:val="none"/>
                <w:lang w:eastAsia="zh-Hans"/>
              </w:rPr>
            </w:pPr>
            <w:r>
              <w:rPr>
                <w:rFonts w:ascii="宋体" w:hAnsi="宋体" w:eastAsia="宋体" w:cs="Times New Roman"/>
                <w:color w:val="auto"/>
                <w:kern w:val="0"/>
                <w:sz w:val="21"/>
                <w:szCs w:val="21"/>
                <w:highlight w:val="none"/>
                <w:lang w:eastAsia="zh-Hans"/>
              </w:rPr>
              <w:t>1</w:t>
            </w:r>
          </w:p>
        </w:tc>
        <w:tc>
          <w:tcPr>
            <w:tcW w:w="428" w:type="pct"/>
            <w:vAlign w:val="center"/>
          </w:tcPr>
          <w:p w14:paraId="0D05EEAD">
            <w:pPr>
              <w:widowControl/>
              <w:jc w:val="center"/>
              <w:rPr>
                <w:rFonts w:hint="eastAsia" w:ascii="宋体" w:hAnsi="宋体" w:eastAsia="宋体" w:cs="Times New Roman"/>
                <w:color w:val="auto"/>
                <w:kern w:val="0"/>
                <w:sz w:val="21"/>
                <w:szCs w:val="21"/>
                <w:highlight w:val="none"/>
                <w:lang w:val="en-US" w:eastAsia="zh-CN"/>
              </w:rPr>
            </w:pPr>
            <w:r>
              <w:rPr>
                <w:rFonts w:hint="eastAsia" w:ascii="宋体" w:hAnsi="宋体" w:eastAsia="宋体" w:cs="Times New Roman"/>
                <w:color w:val="auto"/>
                <w:kern w:val="0"/>
                <w:sz w:val="21"/>
                <w:szCs w:val="21"/>
                <w:highlight w:val="none"/>
                <w:lang w:val="en-US" w:eastAsia="zh-CN"/>
              </w:rPr>
              <w:t>项</w:t>
            </w:r>
          </w:p>
        </w:tc>
        <w:tc>
          <w:tcPr>
            <w:tcW w:w="1486" w:type="pct"/>
            <w:vAlign w:val="center"/>
          </w:tcPr>
          <w:p w14:paraId="3FA2DDE4">
            <w:pPr>
              <w:widowControl/>
              <w:jc w:val="center"/>
              <w:rPr>
                <w:rFonts w:ascii="Calibri" w:hAnsi="Calibri" w:eastAsia="宋体" w:cs="Times New Roman"/>
                <w:color w:val="auto"/>
                <w:kern w:val="0"/>
                <w:sz w:val="21"/>
                <w:szCs w:val="21"/>
                <w:highlight w:val="none"/>
              </w:rPr>
            </w:pPr>
            <w:r>
              <w:rPr>
                <w:rFonts w:ascii="Calibri" w:hAnsi="Calibri" w:eastAsia="宋体" w:cs="Times New Roman"/>
                <w:color w:val="auto"/>
                <w:kern w:val="0"/>
                <w:sz w:val="21"/>
                <w:szCs w:val="21"/>
                <w:highlight w:val="none"/>
                <w:lang w:eastAsia="zh-Hans"/>
              </w:rPr>
              <w:t>详见第二章</w:t>
            </w:r>
            <w:r>
              <w:rPr>
                <w:rFonts w:hint="eastAsia" w:ascii="Calibri" w:hAnsi="Calibri" w:eastAsia="宋体" w:cs="Times New Roman"/>
                <w:color w:val="auto"/>
                <w:kern w:val="0"/>
                <w:sz w:val="21"/>
                <w:szCs w:val="21"/>
                <w:highlight w:val="none"/>
                <w:lang w:eastAsia="zh-Hans"/>
              </w:rPr>
              <w:t>采购需求</w:t>
            </w:r>
          </w:p>
        </w:tc>
      </w:tr>
    </w:tbl>
    <w:p w14:paraId="49BF13B7">
      <w:pPr>
        <w:pStyle w:val="33"/>
        <w:keepNext w:val="0"/>
        <w:keepLines w:val="0"/>
        <w:pageBreakBefore w:val="0"/>
        <w:widowControl w:val="0"/>
        <w:numPr>
          <w:ilvl w:val="0"/>
          <w:numId w:val="2"/>
        </w:numPr>
        <w:tabs>
          <w:tab w:val="left" w:pos="284"/>
        </w:tabs>
        <w:kinsoku/>
        <w:wordWrap/>
        <w:overflowPunct/>
        <w:topLinePunct w:val="0"/>
        <w:autoSpaceDE/>
        <w:autoSpaceDN/>
        <w:bidi w:val="0"/>
        <w:adjustRightInd/>
        <w:snapToGrid/>
        <w:spacing w:line="360" w:lineRule="auto"/>
        <w:ind w:left="315" w:hanging="315" w:hangingChars="150"/>
        <w:textAlignment w:val="auto"/>
        <w:rPr>
          <w:rFonts w:asciiTheme="minorEastAsia" w:hAnsiTheme="minorEastAsia"/>
          <w:color w:val="auto"/>
          <w:highlight w:val="none"/>
        </w:rPr>
      </w:pPr>
      <w:r>
        <w:rPr>
          <w:rFonts w:hint="eastAsia" w:asciiTheme="minorEastAsia" w:hAnsiTheme="minorEastAsia"/>
          <w:color w:val="auto"/>
          <w:szCs w:val="21"/>
          <w:highlight w:val="none"/>
        </w:rPr>
        <w:t>合同履行期限</w:t>
      </w:r>
      <w:r>
        <w:rPr>
          <w:rFonts w:hint="eastAsia" w:asciiTheme="minorEastAsia" w:hAnsiTheme="minorEastAsia"/>
          <w:color w:val="auto"/>
          <w:szCs w:val="21"/>
          <w:highlight w:val="none"/>
          <w:lang w:eastAsia="zh-CN"/>
        </w:rPr>
        <w:t>：</w:t>
      </w:r>
      <w:r>
        <w:rPr>
          <w:rFonts w:hint="eastAsia" w:asciiTheme="minorEastAsia" w:hAnsiTheme="minorEastAsia"/>
          <w:color w:val="auto"/>
          <w:szCs w:val="21"/>
          <w:highlight w:val="none"/>
          <w:lang w:val="en-US" w:eastAsia="zh-CN"/>
        </w:rPr>
        <w:t>自合同签订之日起1年或本项目预算金额（¥680,044.00）使用完毕，以其中一项先到达的为止。</w:t>
      </w:r>
    </w:p>
    <w:p w14:paraId="426427C6">
      <w:pPr>
        <w:pStyle w:val="33"/>
        <w:numPr>
          <w:ilvl w:val="0"/>
          <w:numId w:val="2"/>
        </w:numPr>
        <w:tabs>
          <w:tab w:val="left" w:pos="284"/>
        </w:tabs>
        <w:spacing w:line="360" w:lineRule="auto"/>
        <w:ind w:left="420" w:hangingChars="200"/>
        <w:rPr>
          <w:rFonts w:asciiTheme="minorEastAsia" w:hAnsiTheme="minorEastAsia"/>
          <w:color w:val="auto"/>
          <w:szCs w:val="21"/>
          <w:highlight w:val="none"/>
        </w:rPr>
      </w:pPr>
      <w:r>
        <w:rPr>
          <w:rFonts w:hint="eastAsia" w:asciiTheme="minorEastAsia" w:hAnsiTheme="minorEastAsia"/>
          <w:color w:val="auto"/>
          <w:szCs w:val="21"/>
          <w:highlight w:val="none"/>
        </w:rPr>
        <w:t>本项目不接受联合体响应。</w:t>
      </w:r>
    </w:p>
    <w:p w14:paraId="1756BE09">
      <w:pPr>
        <w:pStyle w:val="33"/>
        <w:numPr>
          <w:ilvl w:val="0"/>
          <w:numId w:val="1"/>
        </w:numPr>
        <w:tabs>
          <w:tab w:val="left" w:pos="426"/>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申请人的资格要求</w:t>
      </w:r>
    </w:p>
    <w:p w14:paraId="75C51058">
      <w:pPr>
        <w:pStyle w:val="33"/>
        <w:numPr>
          <w:ilvl w:val="0"/>
          <w:numId w:val="3"/>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响应供应商应具备《中华人民共和国政府采购法》第二十二条规定的条件，提供下列材料：</w:t>
      </w:r>
    </w:p>
    <w:p w14:paraId="2410FF33">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具有独立承担民事责任的能力：提供在中华人民共和国境内注册的法人或其他组织的营业执照或事业单位法人证书或社会团体法人登记证书复印件，如响应供应商为自然人的提供自然人身份证明复印件；如国家另有规定的，则从其规定。（分支机构参与响应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3B1B0B7D">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有依法缴纳税收和社会保障资金的良好记录</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提供资格声明函，详见响应文件格式。</w:t>
      </w:r>
    </w:p>
    <w:p w14:paraId="17948A96">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bookmarkStart w:id="4" w:name="_Hlk90659088"/>
      <w:r>
        <w:rPr>
          <w:rFonts w:hint="eastAsia" w:cs="宋体" w:asciiTheme="minorEastAsia" w:hAnsiTheme="minorEastAsia"/>
          <w:color w:val="auto"/>
          <w:kern w:val="0"/>
          <w:szCs w:val="21"/>
          <w:highlight w:val="none"/>
        </w:rPr>
        <w:t>具有良好的商业信誉和健全的财务会计制度</w:t>
      </w:r>
      <w:r>
        <w:rPr>
          <w:rFonts w:hint="eastAsia" w:cs="宋体" w:asciiTheme="minorEastAsia" w:hAnsiTheme="minorEastAsia"/>
          <w:color w:val="auto"/>
          <w:kern w:val="0"/>
          <w:szCs w:val="21"/>
          <w:highlight w:val="none"/>
          <w:lang w:eastAsia="zh-CN"/>
        </w:rPr>
        <w:t>：</w:t>
      </w:r>
      <w:r>
        <w:rPr>
          <w:rFonts w:hint="eastAsia" w:cs="宋体" w:asciiTheme="minorEastAsia" w:hAnsiTheme="minorEastAsia"/>
          <w:color w:val="auto"/>
          <w:kern w:val="0"/>
          <w:szCs w:val="21"/>
          <w:highlight w:val="none"/>
        </w:rPr>
        <w:t>提供资格声明函，详见响应文件格式</w:t>
      </w:r>
      <w:bookmarkEnd w:id="4"/>
      <w:r>
        <w:rPr>
          <w:rFonts w:hint="eastAsia" w:cs="宋体" w:asciiTheme="minorEastAsia" w:hAnsiTheme="minorEastAsia"/>
          <w:color w:val="auto"/>
          <w:kern w:val="0"/>
          <w:szCs w:val="21"/>
          <w:highlight w:val="none"/>
        </w:rPr>
        <w:t>。</w:t>
      </w:r>
    </w:p>
    <w:p w14:paraId="38955D9B">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履行合同所必须的设备和专业技术能力：</w:t>
      </w:r>
      <w:bookmarkStart w:id="5" w:name="_Hlk90659431"/>
      <w:r>
        <w:rPr>
          <w:rFonts w:hint="eastAsia" w:cs="宋体" w:asciiTheme="minorEastAsia" w:hAnsiTheme="minorEastAsia"/>
          <w:color w:val="auto"/>
          <w:kern w:val="0"/>
          <w:szCs w:val="21"/>
          <w:highlight w:val="none"/>
        </w:rPr>
        <w:t>提供资格声明函，详见响应文件格式。</w:t>
      </w:r>
      <w:bookmarkEnd w:id="5"/>
    </w:p>
    <w:p w14:paraId="5534D73A">
      <w:pPr>
        <w:pStyle w:val="33"/>
        <w:widowControl/>
        <w:numPr>
          <w:ilvl w:val="0"/>
          <w:numId w:val="4"/>
        </w:numPr>
        <w:shd w:val="clear" w:color="auto" w:fill="FFFFFF"/>
        <w:spacing w:line="360" w:lineRule="auto"/>
        <w:ind w:firstLineChars="0"/>
        <w:textAlignment w:val="baseline"/>
        <w:rPr>
          <w:rFonts w:cs="宋体" w:asciiTheme="minorEastAsia" w:hAnsiTheme="minorEastAsia"/>
          <w:color w:val="auto"/>
          <w:kern w:val="0"/>
          <w:szCs w:val="21"/>
          <w:highlight w:val="none"/>
        </w:rPr>
      </w:pPr>
      <w:bookmarkStart w:id="6" w:name="_Hlk81177175"/>
      <w:r>
        <w:rPr>
          <w:rFonts w:hint="eastAsia" w:cs="宋体" w:asciiTheme="minorEastAsia" w:hAnsiTheme="minorEastAsia"/>
          <w:color w:val="auto"/>
          <w:kern w:val="0"/>
          <w:szCs w:val="21"/>
          <w:highlight w:val="none"/>
        </w:rPr>
        <w:t>参加采购活动前</w:t>
      </w:r>
      <w:r>
        <w:rPr>
          <w:rFonts w:cs="宋体" w:asciiTheme="minorEastAsia" w:hAnsiTheme="minorEastAsia"/>
          <w:color w:val="auto"/>
          <w:kern w:val="0"/>
          <w:szCs w:val="21"/>
          <w:highlight w:val="none"/>
        </w:rPr>
        <w:t>3年内，在经营活动中没有重大违法记录：重大违法记录，是指响应供应商因违法经营受到刑事处罚或者责令停产停业、吊销许可证或者执照、较大数额罚款等行政处罚。（较大数额罚款按照发出行政处罚决定</w:t>
      </w:r>
      <w:r>
        <w:rPr>
          <w:rFonts w:hint="eastAsia" w:cs="宋体" w:asciiTheme="minorEastAsia" w:hAnsiTheme="minorEastAsia"/>
          <w:color w:val="auto"/>
          <w:kern w:val="0"/>
          <w:szCs w:val="21"/>
          <w:highlight w:val="none"/>
        </w:rPr>
        <w:t>书部门所在省级政府，或实行垂直领导的国务院有关行政主管部门制定的较大数额罚款标准，或罚款决定之前需要举行听证会的金额标准来认定）</w:t>
      </w:r>
      <w:bookmarkStart w:id="7" w:name="_Hlk79147767"/>
      <w:r>
        <w:rPr>
          <w:rFonts w:hint="eastAsia" w:cs="宋体" w:asciiTheme="minorEastAsia" w:hAnsiTheme="minorEastAsia"/>
          <w:color w:val="auto"/>
          <w:kern w:val="0"/>
          <w:szCs w:val="21"/>
          <w:highlight w:val="none"/>
        </w:rPr>
        <w:t>。</w:t>
      </w:r>
      <w:bookmarkEnd w:id="6"/>
      <w:bookmarkEnd w:id="7"/>
      <w:r>
        <w:rPr>
          <w:rFonts w:hint="eastAsia" w:cs="宋体" w:asciiTheme="minorEastAsia" w:hAnsiTheme="minorEastAsia"/>
          <w:color w:val="auto"/>
          <w:kern w:val="0"/>
          <w:szCs w:val="21"/>
          <w:highlight w:val="none"/>
        </w:rPr>
        <w:t>提供资格声明函，详见响应文件格式。</w:t>
      </w:r>
    </w:p>
    <w:p w14:paraId="75715429">
      <w:pPr>
        <w:pStyle w:val="33"/>
        <w:numPr>
          <w:ilvl w:val="0"/>
          <w:numId w:val="3"/>
        </w:numPr>
        <w:spacing w:line="360" w:lineRule="auto"/>
        <w:ind w:firstLineChars="0"/>
        <w:rPr>
          <w:rFonts w:cs="宋体" w:asciiTheme="minorEastAsia" w:hAnsiTheme="minorEastAsia"/>
          <w:b/>
          <w:bCs/>
          <w:color w:val="auto"/>
          <w:kern w:val="0"/>
          <w:szCs w:val="21"/>
          <w:highlight w:val="none"/>
        </w:rPr>
      </w:pPr>
      <w:r>
        <w:rPr>
          <w:rFonts w:hint="eastAsia" w:asciiTheme="minorEastAsia" w:hAnsiTheme="minorEastAsia"/>
          <w:b/>
          <w:bCs/>
          <w:color w:val="auto"/>
          <w:szCs w:val="21"/>
          <w:highlight w:val="none"/>
        </w:rPr>
        <w:t>落实政府采购政策需满足的资格要求：</w:t>
      </w:r>
      <w:r>
        <w:rPr>
          <w:rFonts w:hint="eastAsia" w:asciiTheme="minorEastAsia" w:hAnsiTheme="minorEastAsia"/>
          <w:b/>
          <w:bCs/>
          <w:color w:val="auto"/>
          <w:szCs w:val="21"/>
          <w:highlight w:val="none"/>
          <w:lang w:val="en-US" w:eastAsia="zh-CN"/>
        </w:rPr>
        <w:t>无</w:t>
      </w:r>
      <w:r>
        <w:rPr>
          <w:rFonts w:hint="eastAsia" w:asciiTheme="minorEastAsia" w:hAnsiTheme="minorEastAsia"/>
          <w:b/>
          <w:bCs/>
          <w:color w:val="auto"/>
          <w:szCs w:val="21"/>
          <w:highlight w:val="none"/>
          <w:lang w:eastAsia="zh-CN"/>
        </w:rPr>
        <w:t>。</w:t>
      </w:r>
    </w:p>
    <w:p w14:paraId="71944253">
      <w:pPr>
        <w:pStyle w:val="33"/>
        <w:numPr>
          <w:ilvl w:val="0"/>
          <w:numId w:val="3"/>
        </w:numPr>
        <w:spacing w:line="360" w:lineRule="auto"/>
        <w:ind w:firstLineChars="0"/>
        <w:rPr>
          <w:rFonts w:cs="宋体" w:asciiTheme="minorEastAsia" w:hAnsiTheme="minorEastAsia"/>
          <w:color w:val="auto"/>
          <w:kern w:val="0"/>
          <w:szCs w:val="21"/>
          <w:highlight w:val="none"/>
        </w:rPr>
      </w:pPr>
      <w:r>
        <w:rPr>
          <w:rFonts w:ascii="Calibri" w:hAnsi="Calibri" w:eastAsia="宋体" w:cs="Times New Roman"/>
          <w:b/>
          <w:color w:val="auto"/>
          <w:kern w:val="0"/>
          <w:szCs w:val="21"/>
          <w:highlight w:val="none"/>
          <w:lang w:eastAsia="zh-Hans"/>
        </w:rPr>
        <w:t>本项目的特定资格要求：</w:t>
      </w:r>
    </w:p>
    <w:p w14:paraId="6731B6B1">
      <w:pPr>
        <w:pStyle w:val="33"/>
        <w:widowControl/>
        <w:numPr>
          <w:ilvl w:val="0"/>
          <w:numId w:val="5"/>
        </w:numPr>
        <w:shd w:val="clear" w:color="auto" w:fill="FFFFFF"/>
        <w:spacing w:line="360" w:lineRule="auto"/>
        <w:ind w:left="420" w:leftChars="0" w:hanging="420" w:firstLineChars="0"/>
        <w:textAlignment w:val="baseline"/>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信用记录：响应供应商未被列入“信用中国”网站(www.creditchina.gov.cn)“记录失信被执行人或重大税收违法失信主体”记录名单；不处于中国政府采购网(www.ccgp.gov.cn)“政府采购严重违法失信行为信息记录”中的禁止参加政府采购活动期间。（以采购代理机构于响应截止时间当天在“信用中国”网站（www.creditchina.gov.cn）及中国政府采购网（http://www.ccgp.gov.cn/）查询结果为准，如相关失信记录已失效，响应供应商需提供相关证明资料）。</w:t>
      </w:r>
    </w:p>
    <w:p w14:paraId="793A9058">
      <w:pPr>
        <w:pStyle w:val="33"/>
        <w:widowControl/>
        <w:numPr>
          <w:ilvl w:val="0"/>
          <w:numId w:val="5"/>
        </w:numPr>
        <w:shd w:val="clear" w:color="auto" w:fill="FFFFFF"/>
        <w:spacing w:line="360" w:lineRule="auto"/>
        <w:ind w:left="420" w:leftChars="0" w:hanging="420" w:firstLineChars="0"/>
        <w:textAlignment w:val="baseline"/>
        <w:rPr>
          <w:rFonts w:hint="eastAsia"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响应供应商必须符合法律、行政法规规定的其他条件：单位负责人为同一人或者存在直接控股、管理关系的不同响应供应商，不得同时参加本采购项目（或采购包）。为本项目提供整体设计、规范编制或者项目管理、监理、检测等服务的响应供应商，不得再参与本项目。</w:t>
      </w:r>
      <w:bookmarkStart w:id="8" w:name="_Hlk81178057"/>
      <w:r>
        <w:rPr>
          <w:rFonts w:hint="eastAsia" w:cs="宋体" w:asciiTheme="minorEastAsia" w:hAnsiTheme="minorEastAsia"/>
          <w:color w:val="auto"/>
          <w:kern w:val="0"/>
          <w:szCs w:val="21"/>
          <w:highlight w:val="none"/>
        </w:rPr>
        <w:t>提供资格声明函，详见响应文件格式。</w:t>
      </w:r>
      <w:bookmarkEnd w:id="8"/>
    </w:p>
    <w:p w14:paraId="2FFCD373">
      <w:pPr>
        <w:pStyle w:val="33"/>
        <w:numPr>
          <w:ilvl w:val="0"/>
          <w:numId w:val="1"/>
        </w:numPr>
        <w:tabs>
          <w:tab w:val="left" w:pos="426"/>
        </w:tabs>
        <w:spacing w:line="360" w:lineRule="auto"/>
        <w:ind w:firstLineChars="0"/>
        <w:rPr>
          <w:rFonts w:asciiTheme="minorEastAsia" w:hAnsiTheme="minorEastAsia"/>
          <w:b/>
          <w:color w:val="auto"/>
          <w:szCs w:val="21"/>
          <w:highlight w:val="none"/>
        </w:rPr>
      </w:pPr>
      <w:bookmarkStart w:id="9" w:name="_Hlk58185024"/>
      <w:bookmarkStart w:id="10" w:name="_Hlk90918431"/>
      <w:r>
        <w:rPr>
          <w:rFonts w:hint="eastAsia" w:asciiTheme="minorEastAsia" w:hAnsiTheme="minorEastAsia"/>
          <w:b/>
          <w:color w:val="auto"/>
          <w:szCs w:val="21"/>
          <w:highlight w:val="none"/>
        </w:rPr>
        <w:t>获取遴选文件</w:t>
      </w:r>
    </w:p>
    <w:bookmarkEnd w:id="9"/>
    <w:p w14:paraId="11489EA6">
      <w:pPr>
        <w:pStyle w:val="33"/>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cs="宋体" w:asciiTheme="minorEastAsia" w:hAnsiTheme="minorEastAsia"/>
          <w:color w:val="auto"/>
          <w:szCs w:val="21"/>
          <w:highlight w:val="none"/>
        </w:rPr>
      </w:pPr>
      <w:r>
        <w:rPr>
          <w:rFonts w:hint="eastAsia" w:cs="宋体" w:asciiTheme="minorEastAsia" w:hAnsiTheme="minorEastAsia"/>
          <w:color w:val="auto"/>
          <w:szCs w:val="21"/>
          <w:highlight w:val="none"/>
        </w:rPr>
        <w:t>时间：</w:t>
      </w:r>
      <w:r>
        <w:rPr>
          <w:rFonts w:cs="宋体" w:asciiTheme="minorEastAsia" w:hAnsiTheme="minorEastAsia"/>
          <w:color w:val="auto"/>
          <w:szCs w:val="21"/>
          <w:highlight w:val="none"/>
          <w:u w:val="single"/>
        </w:rPr>
        <w:t>202</w:t>
      </w:r>
      <w:r>
        <w:rPr>
          <w:rFonts w:hint="eastAsia" w:cs="宋体" w:asciiTheme="minorEastAsia" w:hAnsiTheme="minorEastAsia"/>
          <w:color w:val="auto"/>
          <w:szCs w:val="21"/>
          <w:highlight w:val="none"/>
          <w:u w:val="single"/>
          <w:lang w:val="en-US" w:eastAsia="zh-CN"/>
        </w:rPr>
        <w:t>5</w:t>
      </w:r>
      <w:r>
        <w:rPr>
          <w:rFonts w:hint="eastAsia" w:cs="宋体" w:asciiTheme="minorEastAsia" w:hAnsiTheme="minorEastAsia"/>
          <w:color w:val="auto"/>
          <w:szCs w:val="21"/>
          <w:highlight w:val="none"/>
          <w:u w:val="none"/>
        </w:rPr>
        <w:t>年</w:t>
      </w:r>
      <w:r>
        <w:rPr>
          <w:rFonts w:hint="eastAsia" w:cs="宋体" w:asciiTheme="minorEastAsia" w:hAnsiTheme="minorEastAsia"/>
          <w:color w:val="auto"/>
          <w:szCs w:val="21"/>
          <w:highlight w:val="none"/>
          <w:u w:val="single"/>
          <w:lang w:val="en-US" w:eastAsia="zh-CN"/>
        </w:rPr>
        <w:t>04</w:t>
      </w:r>
      <w:r>
        <w:rPr>
          <w:rFonts w:hint="eastAsia" w:cs="宋体" w:asciiTheme="minorEastAsia" w:hAnsiTheme="minorEastAsia"/>
          <w:color w:val="auto"/>
          <w:szCs w:val="21"/>
          <w:highlight w:val="none"/>
          <w:u w:val="none"/>
        </w:rPr>
        <w:t>月</w:t>
      </w:r>
      <w:r>
        <w:rPr>
          <w:rFonts w:hint="eastAsia" w:cs="宋体" w:asciiTheme="minorEastAsia" w:hAnsiTheme="minorEastAsia"/>
          <w:color w:val="auto"/>
          <w:szCs w:val="21"/>
          <w:highlight w:val="none"/>
          <w:u w:val="single"/>
          <w:lang w:val="en-US" w:eastAsia="zh-CN"/>
        </w:rPr>
        <w:t>29</w:t>
      </w:r>
      <w:r>
        <w:rPr>
          <w:rFonts w:hint="eastAsia" w:cs="宋体" w:asciiTheme="minorEastAsia" w:hAnsiTheme="minorEastAsia"/>
          <w:color w:val="auto"/>
          <w:szCs w:val="21"/>
          <w:highlight w:val="none"/>
          <w:u w:val="none"/>
        </w:rPr>
        <w:t>日</w:t>
      </w:r>
      <w:r>
        <w:rPr>
          <w:rFonts w:hint="eastAsia" w:cs="宋体" w:asciiTheme="minorEastAsia" w:hAnsiTheme="minorEastAsia"/>
          <w:color w:val="auto"/>
          <w:szCs w:val="21"/>
          <w:highlight w:val="none"/>
        </w:rPr>
        <w:t>至</w:t>
      </w:r>
      <w:r>
        <w:rPr>
          <w:rFonts w:cs="宋体" w:asciiTheme="minorEastAsia" w:hAnsiTheme="minorEastAsia"/>
          <w:color w:val="auto"/>
          <w:szCs w:val="21"/>
          <w:highlight w:val="none"/>
          <w:u w:val="single"/>
        </w:rPr>
        <w:t>202</w:t>
      </w:r>
      <w:r>
        <w:rPr>
          <w:rFonts w:hint="eastAsia" w:cs="宋体" w:asciiTheme="minorEastAsia" w:hAnsiTheme="minorEastAsia"/>
          <w:color w:val="auto"/>
          <w:szCs w:val="21"/>
          <w:highlight w:val="none"/>
          <w:u w:val="single"/>
          <w:lang w:val="en-US" w:eastAsia="zh-CN"/>
        </w:rPr>
        <w:t>5</w:t>
      </w:r>
      <w:r>
        <w:rPr>
          <w:rFonts w:hint="eastAsia" w:cs="宋体" w:asciiTheme="minorEastAsia" w:hAnsiTheme="minorEastAsia"/>
          <w:color w:val="auto"/>
          <w:szCs w:val="21"/>
          <w:highlight w:val="none"/>
          <w:u w:val="none"/>
        </w:rPr>
        <w:t>年</w:t>
      </w:r>
      <w:r>
        <w:rPr>
          <w:rFonts w:hint="eastAsia" w:cs="宋体" w:asciiTheme="minorEastAsia" w:hAnsiTheme="minorEastAsia"/>
          <w:color w:val="auto"/>
          <w:szCs w:val="21"/>
          <w:highlight w:val="none"/>
          <w:u w:val="single"/>
          <w:lang w:val="en-US" w:eastAsia="zh-CN"/>
        </w:rPr>
        <w:t>05</w:t>
      </w:r>
      <w:r>
        <w:rPr>
          <w:rFonts w:hint="eastAsia" w:cs="宋体" w:asciiTheme="minorEastAsia" w:hAnsiTheme="minorEastAsia"/>
          <w:color w:val="auto"/>
          <w:szCs w:val="21"/>
          <w:highlight w:val="none"/>
          <w:u w:val="none"/>
        </w:rPr>
        <w:t>月</w:t>
      </w:r>
      <w:r>
        <w:rPr>
          <w:rFonts w:hint="eastAsia" w:cs="宋体" w:asciiTheme="minorEastAsia" w:hAnsiTheme="minorEastAsia"/>
          <w:color w:val="auto"/>
          <w:szCs w:val="21"/>
          <w:highlight w:val="none"/>
          <w:u w:val="single"/>
          <w:lang w:val="en-US" w:eastAsia="zh-CN"/>
        </w:rPr>
        <w:t>09</w:t>
      </w:r>
      <w:r>
        <w:rPr>
          <w:rFonts w:hint="eastAsia" w:cs="宋体" w:asciiTheme="minorEastAsia" w:hAnsiTheme="minorEastAsia"/>
          <w:color w:val="auto"/>
          <w:szCs w:val="21"/>
          <w:highlight w:val="none"/>
          <w:u w:val="none"/>
        </w:rPr>
        <w:t>日</w:t>
      </w:r>
      <w:r>
        <w:rPr>
          <w:rFonts w:hint="eastAsia" w:cs="宋体" w:asciiTheme="minorEastAsia" w:hAnsiTheme="minorEastAsia"/>
          <w:iCs/>
          <w:color w:val="auto"/>
          <w:szCs w:val="21"/>
          <w:highlight w:val="none"/>
          <w:u w:val="none"/>
        </w:rPr>
        <w:t>（</w:t>
      </w:r>
      <w:r>
        <w:rPr>
          <w:rFonts w:hint="eastAsia" w:cs="宋体" w:asciiTheme="minorEastAsia" w:hAnsiTheme="minorEastAsia"/>
          <w:color w:val="auto"/>
          <w:szCs w:val="21"/>
          <w:highlight w:val="none"/>
          <w:u w:val="none"/>
        </w:rPr>
        <w:t>提供期限自本公告发布之日起不得少于5个工作日</w:t>
      </w:r>
      <w:r>
        <w:rPr>
          <w:rFonts w:hint="eastAsia" w:cs="宋体" w:asciiTheme="minorEastAsia" w:hAnsiTheme="minorEastAsia"/>
          <w:iCs/>
          <w:color w:val="auto"/>
          <w:szCs w:val="21"/>
          <w:highlight w:val="none"/>
          <w:u w:val="none"/>
        </w:rPr>
        <w:t>）</w:t>
      </w:r>
      <w:r>
        <w:rPr>
          <w:rFonts w:hint="eastAsia" w:cs="宋体" w:asciiTheme="minorEastAsia" w:hAnsiTheme="minorEastAsia"/>
          <w:color w:val="auto"/>
          <w:szCs w:val="21"/>
          <w:highlight w:val="none"/>
        </w:rPr>
        <w:t>，每天上午9：00至12：00，下午2：30至5：30（北京时间，</w:t>
      </w:r>
      <w:r>
        <w:rPr>
          <w:rFonts w:cs="宋体" w:asciiTheme="minorEastAsia" w:hAnsiTheme="minorEastAsia"/>
          <w:color w:val="auto"/>
          <w:szCs w:val="21"/>
          <w:highlight w:val="none"/>
        </w:rPr>
        <w:t>法定节假日</w:t>
      </w:r>
      <w:r>
        <w:rPr>
          <w:rFonts w:hint="eastAsia" w:cs="宋体" w:asciiTheme="minorEastAsia" w:hAnsiTheme="minorEastAsia"/>
          <w:color w:val="auto"/>
          <w:szCs w:val="21"/>
          <w:highlight w:val="none"/>
        </w:rPr>
        <w:t>除外）</w:t>
      </w:r>
    </w:p>
    <w:p w14:paraId="29FAFECD">
      <w:pPr>
        <w:pStyle w:val="33"/>
        <w:keepNext w:val="0"/>
        <w:keepLines w:val="0"/>
        <w:pageBreakBefore w:val="0"/>
        <w:widowControl w:val="0"/>
        <w:kinsoku/>
        <w:wordWrap/>
        <w:overflowPunct/>
        <w:topLinePunct w:val="0"/>
        <w:autoSpaceDE/>
        <w:autoSpaceDN/>
        <w:bidi w:val="0"/>
        <w:adjustRightInd/>
        <w:snapToGrid/>
        <w:spacing w:line="360" w:lineRule="auto"/>
        <w:ind w:left="1050" w:leftChars="200" w:hanging="630" w:hangingChars="300"/>
        <w:textAlignment w:val="auto"/>
        <w:rPr>
          <w:rFonts w:hint="eastAsia" w:cs="宋体" w:asciiTheme="minorEastAsia" w:hAnsiTheme="minorEastAsia" w:eastAsiaTheme="minorEastAsia"/>
          <w:color w:val="auto"/>
          <w:szCs w:val="21"/>
          <w:highlight w:val="none"/>
          <w:lang w:eastAsia="zh-CN"/>
        </w:rPr>
      </w:pPr>
      <w:r>
        <w:rPr>
          <w:rFonts w:hint="eastAsia" w:cs="宋体" w:asciiTheme="minorEastAsia" w:hAnsiTheme="minorEastAsia"/>
          <w:color w:val="auto"/>
          <w:szCs w:val="21"/>
          <w:highlight w:val="none"/>
        </w:rPr>
        <w:t>地点：</w:t>
      </w:r>
      <w:r>
        <w:rPr>
          <w:rFonts w:hint="eastAsia" w:cs="宋体" w:asciiTheme="minorEastAsia" w:hAnsiTheme="minorEastAsia"/>
          <w:color w:val="auto"/>
          <w:szCs w:val="21"/>
          <w:highlight w:val="none"/>
          <w:lang w:eastAsia="zh-CN"/>
        </w:rPr>
        <w:t>东莞市南城街道雅园产业园区路5号1栋1楼</w:t>
      </w:r>
      <w:r>
        <w:rPr>
          <w:rFonts w:hint="eastAsia" w:cs="宋体" w:asciiTheme="minorEastAsia" w:hAnsiTheme="minorEastAsia"/>
          <w:color w:val="auto"/>
          <w:szCs w:val="21"/>
          <w:highlight w:val="none"/>
        </w:rPr>
        <w:t>或微信搜索公众号“广东智汇城市招标采购有限公司”</w:t>
      </w:r>
    </w:p>
    <w:p w14:paraId="1D0DD6AA">
      <w:pPr>
        <w:pStyle w:val="33"/>
        <w:spacing w:line="360" w:lineRule="auto"/>
        <w:ind w:left="420" w:firstLine="0" w:firstLineChars="0"/>
        <w:rPr>
          <w:rFonts w:cs="宋体" w:asciiTheme="minorEastAsia" w:hAnsiTheme="minorEastAsia"/>
          <w:color w:val="auto"/>
          <w:szCs w:val="21"/>
          <w:highlight w:val="none"/>
          <w:u w:val="single"/>
        </w:rPr>
      </w:pPr>
      <w:r>
        <w:rPr>
          <w:rFonts w:hint="eastAsia" w:cs="宋体" w:asciiTheme="minorEastAsia" w:hAnsiTheme="minorEastAsia"/>
          <w:color w:val="auto"/>
          <w:szCs w:val="21"/>
          <w:highlight w:val="none"/>
        </w:rPr>
        <w:t>方式：现场或线上获取</w:t>
      </w:r>
    </w:p>
    <w:p w14:paraId="36F10995">
      <w:pPr>
        <w:pStyle w:val="33"/>
        <w:spacing w:line="360" w:lineRule="auto"/>
        <w:ind w:left="420" w:firstLine="0" w:firstLineChars="0"/>
        <w:rPr>
          <w:rFonts w:cs="宋体" w:asciiTheme="minorEastAsia" w:hAnsiTheme="minorEastAsia"/>
          <w:color w:val="auto"/>
          <w:szCs w:val="21"/>
          <w:highlight w:val="none"/>
        </w:rPr>
      </w:pPr>
      <w:r>
        <w:rPr>
          <w:rFonts w:hint="eastAsia" w:cs="宋体" w:asciiTheme="minorEastAsia" w:hAnsiTheme="minorEastAsia"/>
          <w:color w:val="auto"/>
          <w:szCs w:val="21"/>
          <w:highlight w:val="none"/>
        </w:rPr>
        <w:t>售价：</w:t>
      </w:r>
      <w:r>
        <w:rPr>
          <w:rFonts w:hint="eastAsia" w:cs="宋体" w:asciiTheme="minorEastAsia" w:hAnsiTheme="minorEastAsia"/>
          <w:color w:val="auto"/>
          <w:szCs w:val="21"/>
          <w:highlight w:val="none"/>
          <w:lang w:val="en-US" w:eastAsia="zh-CN"/>
        </w:rPr>
        <w:t>0</w:t>
      </w:r>
      <w:r>
        <w:rPr>
          <w:rFonts w:cs="宋体" w:asciiTheme="minorEastAsia" w:hAnsiTheme="minorEastAsia"/>
          <w:color w:val="auto"/>
          <w:szCs w:val="21"/>
          <w:highlight w:val="none"/>
        </w:rPr>
        <w:t>.00</w:t>
      </w:r>
      <w:r>
        <w:rPr>
          <w:rFonts w:hint="eastAsia" w:cs="宋体" w:asciiTheme="minorEastAsia" w:hAnsiTheme="minorEastAsia"/>
          <w:color w:val="auto"/>
          <w:szCs w:val="21"/>
          <w:highlight w:val="none"/>
        </w:rPr>
        <w:t>元</w:t>
      </w:r>
    </w:p>
    <w:bookmarkEnd w:id="10"/>
    <w:p w14:paraId="58095A17">
      <w:pPr>
        <w:pStyle w:val="33"/>
        <w:numPr>
          <w:ilvl w:val="0"/>
          <w:numId w:val="1"/>
        </w:numPr>
        <w:tabs>
          <w:tab w:val="left" w:pos="426"/>
        </w:tabs>
        <w:spacing w:line="360" w:lineRule="auto"/>
        <w:ind w:left="0" w:firstLine="0"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提交响应文件截止时间、开标时间和地点</w:t>
      </w:r>
    </w:p>
    <w:p w14:paraId="79D210B3">
      <w:pPr>
        <w:keepNext w:val="0"/>
        <w:keepLines w:val="0"/>
        <w:pageBreakBefore w:val="0"/>
        <w:widowControl w:val="0"/>
        <w:tabs>
          <w:tab w:val="left" w:pos="284"/>
          <w:tab w:val="left" w:pos="426"/>
        </w:tabs>
        <w:kinsoku/>
        <w:wordWrap/>
        <w:overflowPunct/>
        <w:topLinePunct w:val="0"/>
        <w:autoSpaceDE/>
        <w:autoSpaceDN/>
        <w:bidi w:val="0"/>
        <w:adjustRightInd/>
        <w:snapToGrid/>
        <w:spacing w:line="360" w:lineRule="auto"/>
        <w:ind w:left="1050" w:leftChars="200" w:hanging="630" w:hangingChars="300"/>
        <w:textAlignment w:val="auto"/>
        <w:rPr>
          <w:rFonts w:asciiTheme="minorEastAsia" w:hAnsiTheme="minorEastAsia"/>
          <w:color w:val="auto"/>
          <w:szCs w:val="21"/>
          <w:highlight w:val="none"/>
        </w:rPr>
      </w:pPr>
      <w:r>
        <w:rPr>
          <w:rFonts w:hint="eastAsia" w:asciiTheme="minorEastAsia" w:hAnsiTheme="minorEastAsia"/>
          <w:color w:val="auto"/>
          <w:szCs w:val="21"/>
          <w:highlight w:val="none"/>
          <w:u w:val="none"/>
          <w:lang w:val="en-US" w:eastAsia="zh-CN"/>
        </w:rPr>
        <w:t>时间：</w:t>
      </w:r>
      <w:r>
        <w:rPr>
          <w:rFonts w:asciiTheme="minorEastAsia" w:hAnsiTheme="minorEastAsia"/>
          <w:color w:val="auto"/>
          <w:szCs w:val="21"/>
          <w:highlight w:val="none"/>
          <w:u w:val="single"/>
        </w:rPr>
        <w:t>202</w:t>
      </w:r>
      <w:r>
        <w:rPr>
          <w:rFonts w:hint="eastAsia" w:asciiTheme="minorEastAsia" w:hAnsiTheme="minorEastAsia"/>
          <w:color w:val="auto"/>
          <w:szCs w:val="21"/>
          <w:highlight w:val="none"/>
          <w:u w:val="single"/>
          <w:lang w:val="en-US" w:eastAsia="zh-CN"/>
        </w:rPr>
        <w:t>5</w:t>
      </w:r>
      <w:r>
        <w:rPr>
          <w:rFonts w:hint="eastAsia" w:asciiTheme="minorEastAsia" w:hAnsiTheme="minorEastAsia"/>
          <w:color w:val="auto"/>
          <w:szCs w:val="21"/>
          <w:highlight w:val="none"/>
          <w:u w:val="none"/>
        </w:rPr>
        <w:t>年</w:t>
      </w:r>
      <w:r>
        <w:rPr>
          <w:rFonts w:hint="eastAsia" w:asciiTheme="minorEastAsia" w:hAnsiTheme="minorEastAsia"/>
          <w:color w:val="auto"/>
          <w:szCs w:val="21"/>
          <w:highlight w:val="none"/>
          <w:u w:val="single"/>
          <w:lang w:val="en-US" w:eastAsia="zh-CN"/>
        </w:rPr>
        <w:t>05</w:t>
      </w:r>
      <w:r>
        <w:rPr>
          <w:rFonts w:hint="eastAsia" w:asciiTheme="minorEastAsia" w:hAnsiTheme="minorEastAsia"/>
          <w:color w:val="auto"/>
          <w:szCs w:val="21"/>
          <w:highlight w:val="none"/>
          <w:u w:val="none"/>
        </w:rPr>
        <w:t>月</w:t>
      </w:r>
      <w:r>
        <w:rPr>
          <w:rFonts w:hint="eastAsia" w:asciiTheme="minorEastAsia" w:hAnsiTheme="minorEastAsia"/>
          <w:color w:val="auto"/>
          <w:szCs w:val="21"/>
          <w:highlight w:val="none"/>
          <w:u w:val="single"/>
          <w:lang w:val="en-US" w:eastAsia="zh-CN"/>
        </w:rPr>
        <w:t>12</w:t>
      </w:r>
      <w:r>
        <w:rPr>
          <w:rFonts w:hint="eastAsia" w:asciiTheme="minorEastAsia" w:hAnsiTheme="minorEastAsia"/>
          <w:color w:val="auto"/>
          <w:szCs w:val="21"/>
          <w:highlight w:val="none"/>
          <w:u w:val="none"/>
        </w:rPr>
        <w:t>日</w:t>
      </w:r>
      <w:r>
        <w:rPr>
          <w:rFonts w:hint="eastAsia" w:asciiTheme="minorEastAsia" w:hAnsiTheme="minorEastAsia"/>
          <w:color w:val="auto"/>
          <w:szCs w:val="21"/>
          <w:highlight w:val="none"/>
          <w:u w:val="single"/>
          <w:lang w:val="en-US" w:eastAsia="zh-CN"/>
        </w:rPr>
        <w:t>09</w:t>
      </w:r>
      <w:r>
        <w:rPr>
          <w:rFonts w:hint="eastAsia" w:asciiTheme="minorEastAsia" w:hAnsiTheme="minorEastAsia"/>
          <w:color w:val="auto"/>
          <w:szCs w:val="21"/>
          <w:highlight w:val="none"/>
          <w:u w:val="none"/>
        </w:rPr>
        <w:t>点</w:t>
      </w:r>
      <w:r>
        <w:rPr>
          <w:rFonts w:hint="eastAsia" w:asciiTheme="minorEastAsia" w:hAnsiTheme="minorEastAsia"/>
          <w:color w:val="auto"/>
          <w:szCs w:val="21"/>
          <w:highlight w:val="none"/>
          <w:u w:val="single"/>
          <w:lang w:val="en-US" w:eastAsia="zh-CN"/>
        </w:rPr>
        <w:t>30</w:t>
      </w:r>
      <w:r>
        <w:rPr>
          <w:rFonts w:hint="eastAsia" w:asciiTheme="minorEastAsia" w:hAnsiTheme="minorEastAsia"/>
          <w:color w:val="auto"/>
          <w:szCs w:val="21"/>
          <w:highlight w:val="none"/>
          <w:u w:val="none"/>
        </w:rPr>
        <w:t>分</w:t>
      </w:r>
      <w:r>
        <w:rPr>
          <w:rFonts w:hint="eastAsia" w:asciiTheme="minorEastAsia" w:hAnsiTheme="minorEastAsia"/>
          <w:color w:val="auto"/>
          <w:szCs w:val="21"/>
          <w:highlight w:val="none"/>
        </w:rPr>
        <w:t>（北京时间）（自遴选文件开始发出之日起至响应供应商提交响应文件截止之日止，不得少于</w:t>
      </w:r>
      <w:r>
        <w:rPr>
          <w:rFonts w:asciiTheme="minorEastAsia" w:hAnsiTheme="minorEastAsia"/>
          <w:color w:val="auto"/>
          <w:szCs w:val="21"/>
          <w:highlight w:val="none"/>
        </w:rPr>
        <w:t>1</w:t>
      </w:r>
      <w:r>
        <w:rPr>
          <w:rFonts w:hint="eastAsia" w:asciiTheme="minorEastAsia" w:hAnsiTheme="minorEastAsia"/>
          <w:color w:val="auto"/>
          <w:szCs w:val="21"/>
          <w:highlight w:val="none"/>
        </w:rPr>
        <w:t>0日）</w:t>
      </w:r>
    </w:p>
    <w:p w14:paraId="0AD795E5">
      <w:pPr>
        <w:pStyle w:val="33"/>
        <w:tabs>
          <w:tab w:val="left" w:pos="426"/>
        </w:tabs>
        <w:spacing w:line="360" w:lineRule="auto"/>
        <w:ind w:left="420" w:firstLine="0" w:firstLineChars="0"/>
        <w:rPr>
          <w:rFonts w:hint="eastAsia" w:asciiTheme="minorEastAsia" w:hAnsiTheme="minorEastAsia" w:eastAsiaTheme="minorEastAsia"/>
          <w:color w:val="auto"/>
          <w:szCs w:val="21"/>
          <w:highlight w:val="none"/>
          <w:lang w:eastAsia="zh-CN"/>
        </w:rPr>
      </w:pPr>
      <w:r>
        <w:rPr>
          <w:rFonts w:hint="eastAsia" w:asciiTheme="minorEastAsia" w:hAnsiTheme="minorEastAsia"/>
          <w:color w:val="auto"/>
          <w:szCs w:val="21"/>
          <w:highlight w:val="none"/>
        </w:rPr>
        <w:t>地点：</w:t>
      </w:r>
      <w:r>
        <w:rPr>
          <w:rFonts w:hint="eastAsia" w:asciiTheme="minorEastAsia" w:hAnsiTheme="minorEastAsia"/>
          <w:color w:val="auto"/>
          <w:szCs w:val="21"/>
          <w:highlight w:val="none"/>
          <w:lang w:eastAsia="zh-CN"/>
        </w:rPr>
        <w:t>东莞市南城街道雅园产业园区路5号1栋1楼</w:t>
      </w:r>
    </w:p>
    <w:p w14:paraId="0B9E3734">
      <w:pPr>
        <w:pStyle w:val="33"/>
        <w:numPr>
          <w:ilvl w:val="0"/>
          <w:numId w:val="1"/>
        </w:numPr>
        <w:tabs>
          <w:tab w:val="left" w:pos="426"/>
        </w:tabs>
        <w:spacing w:line="360" w:lineRule="auto"/>
        <w:ind w:left="-2" w:leftChars="-1" w:firstLine="1"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公告期限</w:t>
      </w:r>
    </w:p>
    <w:p w14:paraId="4FB88488">
      <w:pPr>
        <w:pStyle w:val="33"/>
        <w:tabs>
          <w:tab w:val="left" w:pos="426"/>
        </w:tabs>
        <w:spacing w:line="360" w:lineRule="auto"/>
        <w:ind w:left="420" w:firstLine="0" w:firstLineChars="0"/>
        <w:rPr>
          <w:rFonts w:asciiTheme="minorEastAsia" w:hAnsiTheme="minorEastAsia"/>
          <w:color w:val="auto"/>
          <w:szCs w:val="21"/>
          <w:highlight w:val="none"/>
        </w:rPr>
      </w:pPr>
      <w:r>
        <w:rPr>
          <w:rFonts w:hint="eastAsia" w:asciiTheme="minorEastAsia" w:hAnsiTheme="minorEastAsia"/>
          <w:color w:val="auto"/>
          <w:szCs w:val="21"/>
          <w:highlight w:val="none"/>
        </w:rPr>
        <w:t>自本公告发布之日起5个工作日。</w:t>
      </w:r>
    </w:p>
    <w:p w14:paraId="74C1298C">
      <w:pPr>
        <w:pStyle w:val="33"/>
        <w:numPr>
          <w:ilvl w:val="0"/>
          <w:numId w:val="1"/>
        </w:numPr>
        <w:tabs>
          <w:tab w:val="left" w:pos="426"/>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其他补充事宜</w:t>
      </w:r>
    </w:p>
    <w:p w14:paraId="3163DF63">
      <w:pPr>
        <w:pStyle w:val="33"/>
        <w:numPr>
          <w:ilvl w:val="0"/>
          <w:numId w:val="6"/>
        </w:numPr>
        <w:spacing w:line="360" w:lineRule="auto"/>
        <w:ind w:firstLineChars="0"/>
        <w:rPr>
          <w:rFonts w:asciiTheme="minorEastAsia" w:hAnsiTheme="minorEastAsia"/>
          <w:bCs/>
          <w:color w:val="auto"/>
          <w:szCs w:val="21"/>
          <w:highlight w:val="none"/>
        </w:rPr>
      </w:pPr>
      <w:bookmarkStart w:id="11" w:name="_Hlk90919351"/>
      <w:r>
        <w:rPr>
          <w:rFonts w:hint="eastAsia" w:asciiTheme="minorEastAsia" w:hAnsiTheme="minorEastAsia"/>
          <w:bCs/>
          <w:color w:val="auto"/>
          <w:szCs w:val="21"/>
          <w:highlight w:val="none"/>
        </w:rPr>
        <w:t>遴选文件公示/下载媒体</w:t>
      </w:r>
    </w:p>
    <w:p w14:paraId="5F7DB8CC">
      <w:pPr>
        <w:pStyle w:val="33"/>
        <w:keepNext w:val="0"/>
        <w:keepLines w:val="0"/>
        <w:pageBreakBefore w:val="0"/>
        <w:widowControl w:val="0"/>
        <w:tabs>
          <w:tab w:val="left" w:pos="709"/>
        </w:tabs>
        <w:kinsoku/>
        <w:wordWrap w:val="0"/>
        <w:overflowPunct/>
        <w:topLinePunct w:val="0"/>
        <w:autoSpaceDE/>
        <w:autoSpaceDN/>
        <w:bidi w:val="0"/>
        <w:adjustRightInd/>
        <w:snapToGrid/>
        <w:spacing w:line="360" w:lineRule="auto"/>
        <w:ind w:left="420" w:firstLine="0" w:firstLineChars="0"/>
        <w:textAlignment w:val="auto"/>
        <w:rPr>
          <w:rFonts w:asciiTheme="minorEastAsia" w:hAnsiTheme="minorEastAsia"/>
          <w:bCs/>
          <w:color w:val="auto"/>
          <w:szCs w:val="21"/>
          <w:highlight w:val="none"/>
        </w:rPr>
      </w:pPr>
      <w:r>
        <w:rPr>
          <w:rFonts w:hint="eastAsia" w:asciiTheme="minorEastAsia" w:hAnsiTheme="minorEastAsia"/>
          <w:color w:val="auto"/>
          <w:spacing w:val="-4"/>
          <w:szCs w:val="21"/>
          <w:highlight w:val="none"/>
        </w:rPr>
        <w:t>中国政府采购网(http://www.ccgp.gov.cn)、中国采购与招标网（https://zbdt.chinabidding.cn/）、广东智汇城市招标采购有限公司网站(http://www.gdzhcity.com/)</w:t>
      </w:r>
      <w:bookmarkStart w:id="132" w:name="_GoBack"/>
      <w:bookmarkEnd w:id="132"/>
    </w:p>
    <w:p w14:paraId="75275029">
      <w:pPr>
        <w:pStyle w:val="33"/>
        <w:numPr>
          <w:ilvl w:val="0"/>
          <w:numId w:val="6"/>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拟参加本项目的响应供应商须在规定时间内按要求获取遴选文件后方可参与本项目。获取遴选文件后而不参加响应的响应供应商，请在开标日期三日前以书面形式通知采购代理机构。</w:t>
      </w:r>
    </w:p>
    <w:p w14:paraId="003B1DE0">
      <w:pPr>
        <w:pStyle w:val="33"/>
        <w:numPr>
          <w:ilvl w:val="0"/>
          <w:numId w:val="6"/>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获取遴选文件联系人及联系方式：</w:t>
      </w:r>
      <w:r>
        <w:rPr>
          <w:rFonts w:hint="eastAsia" w:asciiTheme="minorEastAsia" w:hAnsiTheme="minorEastAsia"/>
          <w:bCs/>
          <w:color w:val="auto"/>
          <w:szCs w:val="21"/>
          <w:highlight w:val="none"/>
          <w:lang w:val="en-US" w:eastAsia="zh-CN"/>
        </w:rPr>
        <w:t>黄</w:t>
      </w:r>
      <w:r>
        <w:rPr>
          <w:rFonts w:hint="eastAsia" w:asciiTheme="minorEastAsia" w:hAnsiTheme="minorEastAsia"/>
          <w:bCs/>
          <w:color w:val="auto"/>
          <w:szCs w:val="21"/>
          <w:highlight w:val="none"/>
        </w:rPr>
        <w:t>小姐</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0769</w:t>
      </w:r>
      <w:r>
        <w:rPr>
          <w:rFonts w:hint="eastAsia" w:asciiTheme="minorEastAsia" w:hAnsiTheme="minorEastAsia"/>
          <w:bCs/>
          <w:color w:val="auto"/>
          <w:szCs w:val="21"/>
          <w:highlight w:val="none"/>
          <w:lang w:val="en-US" w:eastAsia="zh-CN"/>
        </w:rPr>
        <w:t>-</w:t>
      </w:r>
      <w:r>
        <w:rPr>
          <w:rFonts w:asciiTheme="minorEastAsia" w:hAnsiTheme="minorEastAsia"/>
          <w:bCs/>
          <w:color w:val="auto"/>
          <w:szCs w:val="21"/>
          <w:highlight w:val="none"/>
        </w:rPr>
        <w:t xml:space="preserve">22367009 </w:t>
      </w:r>
      <w:bookmarkStart w:id="12" w:name="_Hlk90986682"/>
      <w:r>
        <w:rPr>
          <w:rFonts w:hint="eastAsia" w:asciiTheme="minorEastAsia" w:hAnsiTheme="minorEastAsia"/>
          <w:bCs/>
          <w:color w:val="auto"/>
          <w:szCs w:val="21"/>
          <w:highlight w:val="none"/>
        </w:rPr>
        <w:t>邮箱：</w:t>
      </w:r>
      <w:r>
        <w:rPr>
          <w:rFonts w:asciiTheme="minorEastAsia" w:hAnsiTheme="minorEastAsia"/>
          <w:color w:val="auto"/>
          <w:highlight w:val="none"/>
        </w:rPr>
        <w:t>zhcity_gd@163.com</w:t>
      </w:r>
      <w:r>
        <w:rPr>
          <w:rFonts w:hint="eastAsia" w:asciiTheme="minorEastAsia" w:hAnsiTheme="minorEastAsia"/>
          <w:bCs/>
          <w:color w:val="auto"/>
          <w:szCs w:val="21"/>
          <w:highlight w:val="none"/>
        </w:rPr>
        <w:t>。</w:t>
      </w:r>
      <w:bookmarkEnd w:id="12"/>
    </w:p>
    <w:bookmarkEnd w:id="11"/>
    <w:p w14:paraId="76F5B9EB">
      <w:pPr>
        <w:pStyle w:val="33"/>
        <w:numPr>
          <w:ilvl w:val="0"/>
          <w:numId w:val="1"/>
        </w:numPr>
        <w:tabs>
          <w:tab w:val="left" w:pos="567"/>
        </w:tabs>
        <w:spacing w:before="156" w:beforeLines="50"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对本项目提出询问，请按以下方式联系。</w:t>
      </w:r>
    </w:p>
    <w:p w14:paraId="4BEA5845">
      <w:pPr>
        <w:pStyle w:val="33"/>
        <w:numPr>
          <w:ilvl w:val="0"/>
          <w:numId w:val="7"/>
        </w:numPr>
        <w:tabs>
          <w:tab w:val="left" w:pos="567"/>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采购人信息</w:t>
      </w:r>
    </w:p>
    <w:p w14:paraId="78492681">
      <w:pPr>
        <w:tabs>
          <w:tab w:val="left" w:pos="567"/>
        </w:tabs>
        <w:spacing w:line="360" w:lineRule="auto"/>
        <w:ind w:left="424" w:leftChars="202"/>
        <w:rPr>
          <w:rFonts w:asciiTheme="minorEastAsia" w:hAnsiTheme="minorEastAsia"/>
          <w:bCs/>
          <w:color w:val="auto"/>
          <w:szCs w:val="21"/>
          <w:highlight w:val="none"/>
        </w:rPr>
      </w:pPr>
      <w:r>
        <w:rPr>
          <w:rFonts w:hint="eastAsia" w:asciiTheme="minorEastAsia" w:hAnsiTheme="minorEastAsia"/>
          <w:bCs/>
          <w:color w:val="auto"/>
          <w:szCs w:val="21"/>
          <w:highlight w:val="none"/>
        </w:rPr>
        <w:t>名</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称：东莞市消防救援支队</w:t>
      </w:r>
    </w:p>
    <w:p w14:paraId="29572218">
      <w:pPr>
        <w:tabs>
          <w:tab w:val="left" w:pos="567"/>
        </w:tabs>
        <w:spacing w:line="360" w:lineRule="auto"/>
        <w:ind w:left="424" w:leftChars="202"/>
        <w:rPr>
          <w:rFonts w:asciiTheme="minorEastAsia" w:hAnsiTheme="minorEastAsia"/>
          <w:bCs/>
          <w:color w:val="auto"/>
          <w:szCs w:val="21"/>
          <w:highlight w:val="none"/>
        </w:rPr>
      </w:pPr>
      <w:r>
        <w:rPr>
          <w:rFonts w:hint="eastAsia" w:asciiTheme="minorEastAsia" w:hAnsiTheme="minorEastAsia"/>
          <w:bCs/>
          <w:color w:val="auto"/>
          <w:szCs w:val="21"/>
          <w:highlight w:val="none"/>
        </w:rPr>
        <w:t>地</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址：东莞市东城街道莞长路立新路段23号</w:t>
      </w:r>
    </w:p>
    <w:p w14:paraId="0EC3B6AF">
      <w:pPr>
        <w:tabs>
          <w:tab w:val="left" w:pos="567"/>
        </w:tabs>
        <w:spacing w:line="360" w:lineRule="auto"/>
        <w:ind w:left="424" w:leftChars="202"/>
        <w:rPr>
          <w:rFonts w:asciiTheme="minorEastAsia" w:hAnsiTheme="minorEastAsia"/>
          <w:b/>
          <w:color w:val="auto"/>
          <w:szCs w:val="21"/>
          <w:highlight w:val="none"/>
        </w:rPr>
      </w:pPr>
      <w:r>
        <w:rPr>
          <w:rFonts w:hint="eastAsia" w:asciiTheme="minorEastAsia" w:hAnsiTheme="minorEastAsia"/>
          <w:bCs/>
          <w:color w:val="auto"/>
          <w:szCs w:val="21"/>
          <w:highlight w:val="none"/>
        </w:rPr>
        <w:t>联系方式：潘助理</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0769</w:t>
      </w:r>
      <w:r>
        <w:rPr>
          <w:rFonts w:hint="eastAsia" w:asciiTheme="minorEastAsia" w:hAnsiTheme="minorEastAsia"/>
          <w:bCs/>
          <w:color w:val="auto"/>
          <w:szCs w:val="21"/>
          <w:highlight w:val="none"/>
          <w:lang w:val="en-US" w:eastAsia="zh-CN"/>
        </w:rPr>
        <w:t>-</w:t>
      </w:r>
      <w:r>
        <w:rPr>
          <w:rFonts w:hint="eastAsia" w:asciiTheme="minorEastAsia" w:hAnsiTheme="minorEastAsia"/>
          <w:bCs/>
          <w:color w:val="auto"/>
          <w:szCs w:val="21"/>
          <w:highlight w:val="none"/>
        </w:rPr>
        <w:t>23119069</w:t>
      </w:r>
    </w:p>
    <w:p w14:paraId="05440163">
      <w:pPr>
        <w:pStyle w:val="33"/>
        <w:numPr>
          <w:ilvl w:val="0"/>
          <w:numId w:val="7"/>
        </w:numPr>
        <w:tabs>
          <w:tab w:val="left" w:pos="567"/>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采购代理机构信息</w:t>
      </w:r>
    </w:p>
    <w:p w14:paraId="1CF5F414">
      <w:pPr>
        <w:tabs>
          <w:tab w:val="left" w:pos="567"/>
        </w:tabs>
        <w:spacing w:line="360" w:lineRule="auto"/>
        <w:ind w:left="424" w:leftChars="202"/>
        <w:rPr>
          <w:rFonts w:asciiTheme="minorEastAsia" w:hAnsiTheme="minorEastAsia"/>
          <w:bCs/>
          <w:color w:val="auto"/>
          <w:szCs w:val="21"/>
          <w:highlight w:val="none"/>
        </w:rPr>
      </w:pPr>
      <w:bookmarkStart w:id="13" w:name="_Hlk90986307"/>
      <w:r>
        <w:rPr>
          <w:rFonts w:hint="eastAsia" w:asciiTheme="minorEastAsia" w:hAnsiTheme="minorEastAsia"/>
          <w:bCs/>
          <w:color w:val="auto"/>
          <w:szCs w:val="21"/>
          <w:highlight w:val="none"/>
        </w:rPr>
        <w:t xml:space="preserve">名 </w:t>
      </w:r>
      <w:r>
        <w:rPr>
          <w:rFonts w:asciiTheme="minorEastAsia" w:hAnsiTheme="minorEastAsia"/>
          <w:bCs/>
          <w:color w:val="auto"/>
          <w:szCs w:val="21"/>
          <w:highlight w:val="none"/>
        </w:rPr>
        <w:t xml:space="preserve"> </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称：广东智汇城市招标采购有限公司</w:t>
      </w:r>
    </w:p>
    <w:p w14:paraId="22A17730">
      <w:pPr>
        <w:tabs>
          <w:tab w:val="left" w:pos="567"/>
        </w:tabs>
        <w:spacing w:line="360" w:lineRule="auto"/>
        <w:ind w:left="424" w:leftChars="202"/>
        <w:rPr>
          <w:rFonts w:hint="eastAsia" w:asciiTheme="minorEastAsia" w:hAnsiTheme="minorEastAsia" w:eastAsiaTheme="minorEastAsia"/>
          <w:bCs/>
          <w:color w:val="auto"/>
          <w:szCs w:val="21"/>
          <w:highlight w:val="none"/>
          <w:lang w:eastAsia="zh-CN"/>
        </w:rPr>
      </w:pPr>
      <w:r>
        <w:rPr>
          <w:rFonts w:hint="eastAsia" w:asciiTheme="minorEastAsia" w:hAnsiTheme="minorEastAsia"/>
          <w:bCs/>
          <w:color w:val="auto"/>
          <w:szCs w:val="21"/>
          <w:highlight w:val="none"/>
        </w:rPr>
        <w:t>地</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址：</w:t>
      </w:r>
      <w:r>
        <w:rPr>
          <w:rFonts w:hint="eastAsia" w:asciiTheme="minorEastAsia" w:hAnsiTheme="minorEastAsia"/>
          <w:bCs/>
          <w:color w:val="auto"/>
          <w:szCs w:val="21"/>
          <w:highlight w:val="none"/>
          <w:lang w:eastAsia="zh-CN"/>
        </w:rPr>
        <w:t>东莞市南城街道雅园产业园区路5号1栋1楼</w:t>
      </w:r>
    </w:p>
    <w:p w14:paraId="276630B3">
      <w:pPr>
        <w:tabs>
          <w:tab w:val="left" w:pos="567"/>
        </w:tabs>
        <w:spacing w:line="360" w:lineRule="auto"/>
        <w:ind w:left="424" w:leftChars="202"/>
        <w:rPr>
          <w:rFonts w:asciiTheme="minorEastAsia" w:hAnsiTheme="minorEastAsia"/>
          <w:b/>
          <w:color w:val="auto"/>
          <w:szCs w:val="21"/>
          <w:highlight w:val="none"/>
        </w:rPr>
      </w:pPr>
      <w:r>
        <w:rPr>
          <w:rFonts w:hint="eastAsia" w:asciiTheme="minorEastAsia" w:hAnsiTheme="minorEastAsia"/>
          <w:bCs/>
          <w:color w:val="auto"/>
          <w:szCs w:val="21"/>
          <w:highlight w:val="none"/>
        </w:rPr>
        <w:t>联系方式：0769</w:t>
      </w:r>
      <w:r>
        <w:rPr>
          <w:rFonts w:hint="eastAsia" w:asciiTheme="minorEastAsia" w:hAnsiTheme="minorEastAsia"/>
          <w:bCs/>
          <w:color w:val="auto"/>
          <w:szCs w:val="21"/>
          <w:highlight w:val="none"/>
          <w:lang w:val="en-US" w:eastAsia="zh-CN"/>
        </w:rPr>
        <w:t>-</w:t>
      </w:r>
      <w:r>
        <w:rPr>
          <w:rFonts w:hint="eastAsia" w:asciiTheme="minorEastAsia" w:hAnsiTheme="minorEastAsia"/>
          <w:bCs/>
          <w:color w:val="auto"/>
          <w:szCs w:val="21"/>
          <w:highlight w:val="none"/>
        </w:rPr>
        <w:t>22367009</w:t>
      </w:r>
    </w:p>
    <w:bookmarkEnd w:id="13"/>
    <w:p w14:paraId="166708B7">
      <w:pPr>
        <w:pStyle w:val="33"/>
        <w:numPr>
          <w:ilvl w:val="0"/>
          <w:numId w:val="7"/>
        </w:numPr>
        <w:tabs>
          <w:tab w:val="left" w:pos="567"/>
        </w:tabs>
        <w:spacing w:line="360" w:lineRule="auto"/>
        <w:ind w:firstLineChars="0"/>
        <w:rPr>
          <w:rFonts w:asciiTheme="minorEastAsia" w:hAnsiTheme="minorEastAsia"/>
          <w:b/>
          <w:color w:val="auto"/>
          <w:szCs w:val="21"/>
          <w:highlight w:val="none"/>
        </w:rPr>
      </w:pPr>
      <w:r>
        <w:rPr>
          <w:rFonts w:hint="eastAsia" w:asciiTheme="minorEastAsia" w:hAnsiTheme="minorEastAsia"/>
          <w:b/>
          <w:color w:val="auto"/>
          <w:szCs w:val="21"/>
          <w:highlight w:val="none"/>
        </w:rPr>
        <w:t>项目联系方式</w:t>
      </w:r>
    </w:p>
    <w:p w14:paraId="09C6051D">
      <w:pPr>
        <w:tabs>
          <w:tab w:val="left" w:pos="567"/>
        </w:tabs>
        <w:spacing w:line="360" w:lineRule="auto"/>
        <w:ind w:left="283" w:leftChars="135" w:firstLine="142" w:firstLineChars="68"/>
        <w:rPr>
          <w:rFonts w:hint="eastAsia" w:asciiTheme="minorEastAsia" w:hAnsiTheme="minorEastAsia" w:eastAsiaTheme="minorEastAsia"/>
          <w:bCs/>
          <w:color w:val="auto"/>
          <w:szCs w:val="21"/>
          <w:highlight w:val="none"/>
          <w:lang w:eastAsia="zh-CN"/>
        </w:rPr>
      </w:pPr>
      <w:r>
        <w:rPr>
          <w:rFonts w:hint="eastAsia" w:asciiTheme="minorEastAsia" w:hAnsiTheme="minorEastAsia"/>
          <w:bCs/>
          <w:color w:val="auto"/>
          <w:szCs w:val="21"/>
          <w:highlight w:val="none"/>
        </w:rPr>
        <w:t>项目联系人：</w:t>
      </w:r>
      <w:r>
        <w:rPr>
          <w:rFonts w:hint="eastAsia" w:asciiTheme="minorEastAsia" w:hAnsiTheme="minorEastAsia"/>
          <w:bCs/>
          <w:color w:val="auto"/>
          <w:szCs w:val="21"/>
          <w:highlight w:val="none"/>
          <w:lang w:val="en-US" w:eastAsia="zh-CN"/>
        </w:rPr>
        <w:t>陈子菱</w:t>
      </w:r>
    </w:p>
    <w:p w14:paraId="0CBED898">
      <w:pPr>
        <w:tabs>
          <w:tab w:val="left" w:pos="567"/>
        </w:tabs>
        <w:spacing w:line="360" w:lineRule="auto"/>
        <w:ind w:left="283" w:leftChars="135" w:firstLine="142" w:firstLineChars="68"/>
        <w:rPr>
          <w:rFonts w:asciiTheme="minorEastAsia" w:hAnsiTheme="minorEastAsia"/>
          <w:b/>
          <w:color w:val="auto"/>
          <w:szCs w:val="21"/>
          <w:highlight w:val="none"/>
        </w:rPr>
      </w:pPr>
      <w:r>
        <w:rPr>
          <w:rFonts w:hint="eastAsia" w:asciiTheme="minorEastAsia" w:hAnsiTheme="minorEastAsia"/>
          <w:bCs/>
          <w:color w:val="auto"/>
          <w:szCs w:val="21"/>
          <w:highlight w:val="none"/>
        </w:rPr>
        <w:t>电</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话：0769</w:t>
      </w:r>
      <w:r>
        <w:rPr>
          <w:rFonts w:hint="eastAsia" w:asciiTheme="minorEastAsia" w:hAnsiTheme="minorEastAsia"/>
          <w:bCs/>
          <w:color w:val="auto"/>
          <w:szCs w:val="21"/>
          <w:highlight w:val="none"/>
          <w:lang w:val="en-US" w:eastAsia="zh-CN"/>
        </w:rPr>
        <w:t>-</w:t>
      </w:r>
      <w:r>
        <w:rPr>
          <w:rFonts w:hint="eastAsia" w:asciiTheme="minorEastAsia" w:hAnsiTheme="minorEastAsia"/>
          <w:bCs/>
          <w:color w:val="auto"/>
          <w:szCs w:val="21"/>
          <w:highlight w:val="none"/>
        </w:rPr>
        <w:t>22367009</w:t>
      </w:r>
    </w:p>
    <w:p w14:paraId="1087F565">
      <w:pPr>
        <w:tabs>
          <w:tab w:val="left" w:pos="567"/>
        </w:tabs>
        <w:spacing w:before="840" w:line="360" w:lineRule="auto"/>
        <w:jc w:val="right"/>
        <w:rPr>
          <w:rFonts w:asciiTheme="minorEastAsia" w:hAnsiTheme="minorEastAsia"/>
          <w:b/>
          <w:color w:val="auto"/>
          <w:szCs w:val="21"/>
          <w:highlight w:val="none"/>
        </w:rPr>
      </w:pPr>
      <w:r>
        <w:rPr>
          <w:rFonts w:hint="eastAsia" w:asciiTheme="minorEastAsia" w:hAnsiTheme="minorEastAsia"/>
          <w:b/>
          <w:color w:val="auto"/>
          <w:szCs w:val="21"/>
          <w:highlight w:val="none"/>
        </w:rPr>
        <w:t>发布人：广东智汇城市招标采购有限公司</w:t>
      </w:r>
    </w:p>
    <w:p w14:paraId="4ADDE3AE">
      <w:pPr>
        <w:tabs>
          <w:tab w:val="left" w:pos="567"/>
        </w:tabs>
        <w:spacing w:before="156" w:line="360" w:lineRule="auto"/>
        <w:jc w:val="right"/>
        <w:rPr>
          <w:rFonts w:asciiTheme="minorEastAsia" w:hAnsiTheme="minorEastAsia"/>
          <w:b/>
          <w:color w:val="auto"/>
          <w:szCs w:val="21"/>
          <w:highlight w:val="none"/>
        </w:rPr>
      </w:pPr>
      <w:r>
        <w:rPr>
          <w:rFonts w:hint="eastAsia" w:asciiTheme="minorEastAsia" w:hAnsiTheme="minorEastAsia"/>
          <w:b/>
          <w:color w:val="auto"/>
          <w:szCs w:val="21"/>
          <w:highlight w:val="none"/>
        </w:rPr>
        <w:t>发布时间：</w:t>
      </w:r>
      <w:r>
        <w:rPr>
          <w:rFonts w:asciiTheme="minorEastAsia" w:hAnsiTheme="minorEastAsia"/>
          <w:b/>
          <w:color w:val="auto"/>
          <w:szCs w:val="21"/>
          <w:highlight w:val="none"/>
        </w:rPr>
        <w:t>202</w:t>
      </w:r>
      <w:r>
        <w:rPr>
          <w:rFonts w:hint="eastAsia" w:asciiTheme="minorEastAsia" w:hAnsiTheme="minorEastAsia"/>
          <w:b/>
          <w:color w:val="auto"/>
          <w:szCs w:val="21"/>
          <w:highlight w:val="none"/>
          <w:lang w:val="en-US" w:eastAsia="zh-CN"/>
        </w:rPr>
        <w:t>5</w:t>
      </w:r>
      <w:r>
        <w:rPr>
          <w:rFonts w:hint="eastAsia" w:asciiTheme="minorEastAsia" w:hAnsiTheme="minorEastAsia"/>
          <w:b/>
          <w:color w:val="auto"/>
          <w:szCs w:val="21"/>
          <w:highlight w:val="none"/>
        </w:rPr>
        <w:t>年</w:t>
      </w:r>
      <w:r>
        <w:rPr>
          <w:rFonts w:hint="eastAsia" w:asciiTheme="minorEastAsia" w:hAnsiTheme="minorEastAsia"/>
          <w:b/>
          <w:color w:val="auto"/>
          <w:szCs w:val="21"/>
          <w:highlight w:val="none"/>
          <w:lang w:val="en-US" w:eastAsia="zh-CN"/>
        </w:rPr>
        <w:t>04</w:t>
      </w:r>
      <w:r>
        <w:rPr>
          <w:rFonts w:hint="eastAsia" w:asciiTheme="minorEastAsia" w:hAnsiTheme="minorEastAsia"/>
          <w:b/>
          <w:color w:val="auto"/>
          <w:szCs w:val="21"/>
          <w:highlight w:val="none"/>
        </w:rPr>
        <w:t>月</w:t>
      </w:r>
      <w:r>
        <w:rPr>
          <w:rFonts w:hint="eastAsia" w:asciiTheme="minorEastAsia" w:hAnsiTheme="minorEastAsia"/>
          <w:b/>
          <w:color w:val="auto"/>
          <w:szCs w:val="21"/>
          <w:highlight w:val="none"/>
          <w:lang w:val="en-US" w:eastAsia="zh-CN"/>
        </w:rPr>
        <w:t>29</w:t>
      </w:r>
      <w:r>
        <w:rPr>
          <w:rFonts w:hint="eastAsia" w:asciiTheme="minorEastAsia" w:hAnsiTheme="minorEastAsia"/>
          <w:b/>
          <w:color w:val="auto"/>
          <w:szCs w:val="21"/>
          <w:highlight w:val="none"/>
        </w:rPr>
        <w:t>日</w:t>
      </w:r>
    </w:p>
    <w:p w14:paraId="3D7468B2">
      <w:pPr>
        <w:pStyle w:val="2"/>
        <w:keepNext w:val="0"/>
        <w:keepLines w:val="0"/>
        <w:pageBreakBefore/>
        <w:spacing w:line="360" w:lineRule="auto"/>
        <w:jc w:val="center"/>
        <w:rPr>
          <w:rFonts w:asciiTheme="minorEastAsia" w:hAnsiTheme="minorEastAsia"/>
          <w:color w:val="auto"/>
          <w:spacing w:val="20"/>
          <w:sz w:val="32"/>
          <w:szCs w:val="32"/>
          <w:highlight w:val="none"/>
        </w:rPr>
      </w:pPr>
      <w:bookmarkStart w:id="14" w:name="_Toc405313952"/>
      <w:bookmarkStart w:id="15" w:name="_Toc138770007"/>
      <w:bookmarkStart w:id="16" w:name="_Hlk90986704"/>
      <w:r>
        <w:rPr>
          <w:rFonts w:hint="eastAsia" w:asciiTheme="minorEastAsia" w:hAnsiTheme="minorEastAsia"/>
          <w:color w:val="auto"/>
          <w:spacing w:val="20"/>
          <w:sz w:val="32"/>
          <w:szCs w:val="32"/>
          <w:highlight w:val="none"/>
        </w:rPr>
        <w:t>第二部分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采购需求</w:t>
      </w:r>
      <w:bookmarkEnd w:id="14"/>
      <w:bookmarkEnd w:id="15"/>
    </w:p>
    <w:p w14:paraId="35E15061">
      <w:pPr>
        <w:numPr>
          <w:ilvl w:val="0"/>
          <w:numId w:val="8"/>
        </w:numPr>
        <w:tabs>
          <w:tab w:val="left" w:pos="567"/>
        </w:tabs>
        <w:spacing w:before="100" w:beforeAutospacing="1" w:line="360" w:lineRule="auto"/>
        <w:rPr>
          <w:rFonts w:hint="eastAsia" w:ascii="宋体" w:hAnsi="宋体" w:eastAsia="宋体" w:cs="宋体"/>
          <w:b/>
          <w:color w:val="auto"/>
          <w:sz w:val="21"/>
          <w:szCs w:val="21"/>
          <w:highlight w:val="none"/>
        </w:rPr>
      </w:pPr>
      <w:bookmarkStart w:id="17" w:name="_Hlk90919605"/>
      <w:r>
        <w:rPr>
          <w:rFonts w:hint="eastAsia" w:ascii="宋体" w:hAnsi="宋体" w:eastAsia="宋体" w:cs="宋体"/>
          <w:b/>
          <w:color w:val="auto"/>
          <w:sz w:val="21"/>
          <w:szCs w:val="21"/>
          <w:highlight w:val="none"/>
        </w:rPr>
        <w:t>项目概况</w:t>
      </w:r>
    </w:p>
    <w:p w14:paraId="1FD5594E">
      <w:pPr>
        <w:spacing w:line="360" w:lineRule="auto"/>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东莞市消防救援支队拟通过遴选采购方式选定1家供应商为战勤保障中心饭堂及东莞市沙田码头消防救援站（下称分站）提供食材配送服务（包括但不限于①蔬菜类；②水产类；③鸭猪牛羊肉类；④禽蛋类；⑤米面麦主食类；⑥副食调料类等货物，供应食材以战勤保障中心与分站下单为准），本项目采购预算金额为680,044.00元，战勤保障中心饭堂及分站食材配送服务费由东莞市消防救援支队和分站分别按月据实结算。</w:t>
      </w:r>
    </w:p>
    <w:p w14:paraId="56CFC46D">
      <w:pPr>
        <w:numPr>
          <w:ilvl w:val="0"/>
          <w:numId w:val="8"/>
        </w:numPr>
        <w:tabs>
          <w:tab w:val="left" w:pos="567"/>
        </w:tabs>
        <w:spacing w:before="100" w:beforeAutospacing="1" w:line="360" w:lineRule="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采购标的</w:t>
      </w:r>
    </w:p>
    <w:p w14:paraId="7EF97B1D">
      <w:pPr>
        <w:pStyle w:val="33"/>
        <w:numPr>
          <w:ilvl w:val="0"/>
          <w:numId w:val="9"/>
        </w:numPr>
        <w:snapToGrid w:val="0"/>
        <w:spacing w:line="360" w:lineRule="auto"/>
        <w:ind w:firstLineChars="0"/>
        <w:contextualSpacing/>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采购标的</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3860"/>
        <w:gridCol w:w="1061"/>
        <w:gridCol w:w="1038"/>
        <w:gridCol w:w="1941"/>
      </w:tblGrid>
      <w:tr w14:paraId="4E3DE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92" w:type="pct"/>
            <w:vAlign w:val="center"/>
          </w:tcPr>
          <w:p w14:paraId="43F50A7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序号</w:t>
            </w:r>
          </w:p>
        </w:tc>
        <w:tc>
          <w:tcPr>
            <w:tcW w:w="2202" w:type="pct"/>
            <w:vAlign w:val="center"/>
          </w:tcPr>
          <w:p w14:paraId="2A9F9AA7">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标的名称</w:t>
            </w:r>
          </w:p>
        </w:tc>
        <w:tc>
          <w:tcPr>
            <w:tcW w:w="605" w:type="pct"/>
            <w:vAlign w:val="center"/>
          </w:tcPr>
          <w:p w14:paraId="47FCB236">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数量</w:t>
            </w:r>
          </w:p>
        </w:tc>
        <w:tc>
          <w:tcPr>
            <w:tcW w:w="592" w:type="pct"/>
            <w:vAlign w:val="center"/>
          </w:tcPr>
          <w:p w14:paraId="444DAEA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单位</w:t>
            </w:r>
          </w:p>
        </w:tc>
        <w:tc>
          <w:tcPr>
            <w:tcW w:w="1107" w:type="pct"/>
            <w:vAlign w:val="center"/>
          </w:tcPr>
          <w:p w14:paraId="73318811">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
                <w:bCs w:val="0"/>
                <w:color w:val="auto"/>
                <w:sz w:val="21"/>
                <w:szCs w:val="21"/>
                <w:highlight w:val="none"/>
              </w:rPr>
            </w:pPr>
            <w:r>
              <w:rPr>
                <w:rFonts w:hint="eastAsia" w:ascii="宋体" w:hAnsi="宋体" w:eastAsia="宋体" w:cs="宋体"/>
                <w:b/>
                <w:bCs w:val="0"/>
                <w:color w:val="auto"/>
                <w:sz w:val="21"/>
                <w:szCs w:val="21"/>
                <w:highlight w:val="none"/>
              </w:rPr>
              <w:t>采购标的所属行业</w:t>
            </w:r>
          </w:p>
        </w:tc>
      </w:tr>
      <w:tr w14:paraId="39FD5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492" w:type="pct"/>
            <w:vAlign w:val="center"/>
          </w:tcPr>
          <w:p w14:paraId="36E3E0D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
                <w:bCs w:val="0"/>
                <w:color w:val="auto"/>
                <w:sz w:val="21"/>
                <w:szCs w:val="21"/>
                <w:highlight w:val="none"/>
                <w:lang w:val="en-US" w:eastAsia="zh-CN"/>
              </w:rPr>
              <w:t>1</w:t>
            </w:r>
          </w:p>
        </w:tc>
        <w:tc>
          <w:tcPr>
            <w:tcW w:w="2202" w:type="pct"/>
            <w:vAlign w:val="center"/>
          </w:tcPr>
          <w:p w14:paraId="5F368A8D">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lang w:eastAsia="zh-CN"/>
              </w:rPr>
              <w:t>食材配送服务</w:t>
            </w:r>
          </w:p>
        </w:tc>
        <w:tc>
          <w:tcPr>
            <w:tcW w:w="605" w:type="pct"/>
            <w:vAlign w:val="center"/>
          </w:tcPr>
          <w:p w14:paraId="4A6E1E43">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1</w:t>
            </w:r>
          </w:p>
        </w:tc>
        <w:tc>
          <w:tcPr>
            <w:tcW w:w="592" w:type="pct"/>
            <w:vAlign w:val="center"/>
          </w:tcPr>
          <w:p w14:paraId="7D8BBE69">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项</w:t>
            </w:r>
          </w:p>
        </w:tc>
        <w:tc>
          <w:tcPr>
            <w:tcW w:w="1107" w:type="pct"/>
            <w:vAlign w:val="center"/>
          </w:tcPr>
          <w:p w14:paraId="7514CCAF">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批发业</w:t>
            </w:r>
          </w:p>
        </w:tc>
      </w:tr>
    </w:tbl>
    <w:p w14:paraId="571BB56A">
      <w:pPr>
        <w:pStyle w:val="33"/>
        <w:numPr>
          <w:ilvl w:val="0"/>
          <w:numId w:val="0"/>
        </w:numPr>
        <w:tabs>
          <w:tab w:val="left" w:pos="7140"/>
        </w:tabs>
        <w:snapToGrid w:val="0"/>
        <w:spacing w:line="360" w:lineRule="auto"/>
        <w:ind w:firstLineChars="0"/>
        <w:contextualSpacing/>
        <w:rPr>
          <w:rFonts w:hint="eastAsia" w:ascii="宋体" w:hAnsi="宋体" w:eastAsia="宋体" w:cs="宋体"/>
          <w:b/>
          <w:bCs/>
          <w:color w:val="auto"/>
          <w:kern w:val="2"/>
          <w:sz w:val="21"/>
          <w:szCs w:val="21"/>
          <w:highlight w:val="none"/>
          <w:lang w:val="en-US" w:eastAsia="zh-CN" w:bidi="ar-SA"/>
        </w:rPr>
      </w:pPr>
    </w:p>
    <w:p w14:paraId="5221DE76">
      <w:pPr>
        <w:pStyle w:val="33"/>
        <w:numPr>
          <w:ilvl w:val="0"/>
          <w:numId w:val="0"/>
        </w:numPr>
        <w:tabs>
          <w:tab w:val="left" w:pos="7140"/>
        </w:tabs>
        <w:snapToGrid w:val="0"/>
        <w:spacing w:line="360" w:lineRule="auto"/>
        <w:ind w:firstLineChars="0"/>
        <w:contextualSpacing/>
        <w:rPr>
          <w:rFonts w:hint="eastAsia" w:ascii="宋体" w:hAnsi="宋体" w:eastAsia="宋体" w:cs="宋体"/>
          <w:b/>
          <w:color w:val="auto"/>
          <w:sz w:val="21"/>
          <w:szCs w:val="21"/>
          <w:highlight w:val="none"/>
        </w:rPr>
      </w:pPr>
      <w:r>
        <w:rPr>
          <w:rFonts w:hint="eastAsia" w:ascii="宋体" w:hAnsi="宋体" w:eastAsia="宋体" w:cs="宋体"/>
          <w:b/>
          <w:bCs/>
          <w:color w:val="auto"/>
          <w:kern w:val="2"/>
          <w:sz w:val="21"/>
          <w:szCs w:val="21"/>
          <w:highlight w:val="none"/>
          <w:lang w:val="en-US" w:eastAsia="zh-CN" w:bidi="ar-SA"/>
        </w:rPr>
        <w:t>三、</w:t>
      </w:r>
      <w:r>
        <w:rPr>
          <w:rFonts w:hint="eastAsia" w:ascii="宋体" w:hAnsi="宋体" w:eastAsia="宋体" w:cs="宋体"/>
          <w:b/>
          <w:bCs/>
          <w:color w:val="auto"/>
          <w:sz w:val="21"/>
          <w:szCs w:val="21"/>
          <w:highlight w:val="none"/>
        </w:rPr>
        <w:t>商务要求</w:t>
      </w:r>
    </w:p>
    <w:p w14:paraId="78602975">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服务期</w:t>
      </w:r>
      <w:r>
        <w:rPr>
          <w:rFonts w:hint="eastAsia" w:ascii="宋体" w:hAnsi="宋体" w:eastAsia="宋体" w:cs="宋体"/>
          <w:iCs/>
          <w:color w:val="auto"/>
          <w:sz w:val="21"/>
          <w:szCs w:val="21"/>
          <w:highlight w:val="none"/>
          <w:lang w:eastAsia="zh-CN"/>
        </w:rPr>
        <w:t>：</w:t>
      </w:r>
      <w:r>
        <w:rPr>
          <w:rFonts w:hint="eastAsia" w:ascii="宋体" w:hAnsi="宋体" w:eastAsia="宋体" w:cs="宋体"/>
          <w:color w:val="auto"/>
          <w:sz w:val="21"/>
          <w:szCs w:val="21"/>
          <w:highlight w:val="none"/>
          <w:lang w:val="en-US" w:eastAsia="zh-CN"/>
        </w:rPr>
        <w:t>自合同签订之日起1年或本项目预算金额（¥680,044.00）使用完毕，以其中一项先到达的为止。</w:t>
      </w:r>
    </w:p>
    <w:p w14:paraId="1C23707B">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服务</w:t>
      </w:r>
      <w:r>
        <w:rPr>
          <w:rFonts w:hint="eastAsia" w:ascii="宋体" w:hAnsi="宋体" w:eastAsia="宋体" w:cs="宋体"/>
          <w:iCs/>
          <w:color w:val="auto"/>
          <w:sz w:val="21"/>
          <w:szCs w:val="21"/>
          <w:highlight w:val="none"/>
        </w:rPr>
        <w:t>地点</w:t>
      </w:r>
      <w:r>
        <w:rPr>
          <w:rFonts w:hint="eastAsia" w:ascii="宋体" w:hAnsi="宋体" w:eastAsia="宋体" w:cs="宋体"/>
          <w:iCs/>
          <w:color w:val="auto"/>
          <w:sz w:val="21"/>
          <w:szCs w:val="21"/>
          <w:highlight w:val="none"/>
          <w:lang w:eastAsia="zh-CN"/>
        </w:rPr>
        <w:t>：</w:t>
      </w:r>
      <w:r>
        <w:rPr>
          <w:rFonts w:hint="eastAsia" w:ascii="宋体" w:hAnsi="宋体" w:eastAsia="宋体" w:cs="宋体"/>
          <w:iCs/>
          <w:color w:val="auto"/>
          <w:sz w:val="21"/>
          <w:szCs w:val="21"/>
          <w:highlight w:val="none"/>
          <w:lang w:val="en-US" w:eastAsia="zh-CN"/>
        </w:rPr>
        <w:t>东莞市内采购人指定地点。</w:t>
      </w:r>
    </w:p>
    <w:p w14:paraId="169EE5A5">
      <w:pPr>
        <w:pStyle w:val="33"/>
        <w:numPr>
          <w:ilvl w:val="0"/>
          <w:numId w:val="10"/>
        </w:numPr>
        <w:snapToGrid w:val="0"/>
        <w:spacing w:line="360" w:lineRule="auto"/>
        <w:ind w:firstLineChars="0"/>
        <w:contextualSpacing/>
        <w:rPr>
          <w:rFonts w:hint="eastAsia" w:ascii="宋体" w:hAnsi="宋体" w:eastAsia="宋体" w:cs="宋体"/>
          <w:b/>
          <w:bCs/>
          <w:iCs/>
          <w:color w:val="auto"/>
          <w:sz w:val="21"/>
          <w:szCs w:val="21"/>
          <w:highlight w:val="none"/>
        </w:rPr>
      </w:pPr>
      <w:r>
        <w:rPr>
          <w:rFonts w:hint="eastAsia" w:ascii="宋体" w:hAnsi="宋体" w:eastAsia="宋体" w:cs="宋体"/>
          <w:b/>
          <w:bCs/>
          <w:iCs/>
          <w:color w:val="auto"/>
          <w:sz w:val="21"/>
          <w:szCs w:val="21"/>
          <w:highlight w:val="none"/>
        </w:rPr>
        <w:t>★付款方式</w:t>
      </w:r>
      <w:r>
        <w:rPr>
          <w:rFonts w:hint="eastAsia" w:ascii="宋体" w:hAnsi="宋体" w:eastAsia="宋体" w:cs="宋体"/>
          <w:b/>
          <w:bCs/>
          <w:iCs/>
          <w:color w:val="auto"/>
          <w:sz w:val="21"/>
          <w:szCs w:val="21"/>
          <w:highlight w:val="none"/>
          <w:lang w:eastAsia="zh-CN"/>
        </w:rPr>
        <w:t>：</w:t>
      </w:r>
    </w:p>
    <w:p w14:paraId="186B439D">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eastAsia="宋体" w:cs="宋体"/>
          <w:b/>
          <w:bCs/>
          <w:iCs/>
          <w:color w:val="auto"/>
          <w:sz w:val="21"/>
          <w:szCs w:val="21"/>
          <w:highlight w:val="none"/>
          <w:u w:val="single"/>
          <w:lang w:val="en-US" w:eastAsia="zh-CN"/>
        </w:rPr>
      </w:pPr>
      <w:r>
        <w:rPr>
          <w:rFonts w:hint="eastAsia" w:ascii="宋体" w:hAnsi="宋体" w:eastAsia="宋体" w:cs="宋体"/>
          <w:b/>
          <w:bCs/>
          <w:iCs/>
          <w:color w:val="auto"/>
          <w:sz w:val="21"/>
          <w:szCs w:val="21"/>
          <w:highlight w:val="none"/>
          <w:u w:val="single"/>
          <w:lang w:val="en-US" w:eastAsia="zh-CN"/>
        </w:rPr>
        <w:t>服务费按月结算，每月10日前成交供应商凭经采购人（分站）签字确认的上月送货清单（须列明配送时间、规格、质量、数量及价格等信息）、等额合规发票及本项目合同向采购人（分站）请款，采购人（分站）收到合格请款资料后15个工作日内分别支付对应服务费。</w:t>
      </w:r>
    </w:p>
    <w:p w14:paraId="293DA3D2">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eastAsia="宋体" w:cs="宋体"/>
          <w:b/>
          <w:bCs/>
          <w:color w:val="auto"/>
          <w:sz w:val="21"/>
          <w:szCs w:val="21"/>
          <w:highlight w:val="none"/>
          <w:u w:val="single"/>
          <w:lang w:val="en-US" w:eastAsia="zh-CN"/>
        </w:rPr>
      </w:pPr>
      <w:r>
        <w:rPr>
          <w:rFonts w:hint="eastAsia" w:ascii="宋体" w:hAnsi="宋体" w:eastAsia="宋体" w:cs="宋体"/>
          <w:b/>
          <w:bCs/>
          <w:iCs/>
          <w:color w:val="auto"/>
          <w:sz w:val="21"/>
          <w:szCs w:val="21"/>
          <w:highlight w:val="none"/>
          <w:u w:val="single"/>
          <w:lang w:val="en-US" w:eastAsia="zh-CN"/>
        </w:rPr>
        <w:t>注：1.成交供应商需根据战勤保障中心饭堂及分站实际食材配送情况分别向采购人及</w:t>
      </w:r>
      <w:r>
        <w:rPr>
          <w:rFonts w:hint="eastAsia" w:ascii="宋体" w:hAnsi="宋体" w:eastAsia="宋体" w:cs="宋体"/>
          <w:b/>
          <w:bCs/>
          <w:color w:val="auto"/>
          <w:sz w:val="21"/>
          <w:szCs w:val="21"/>
          <w:highlight w:val="none"/>
          <w:u w:val="single"/>
          <w:lang w:val="en-US" w:eastAsia="zh-CN"/>
        </w:rPr>
        <w:t>分站提交请款资料请款（发票抬头应按东莞市消防救援支队和分站分别提供，请款资料中收款方、发票的销售方、合同乙方均必须与成交供应商名称一致）。</w:t>
      </w:r>
    </w:p>
    <w:p w14:paraId="3A30F977">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eastAsia="宋体" w:cs="宋体"/>
          <w:b/>
          <w:bCs/>
          <w:color w:val="auto"/>
          <w:sz w:val="21"/>
          <w:szCs w:val="21"/>
          <w:highlight w:val="none"/>
          <w:u w:val="single"/>
          <w:lang w:val="en-US" w:eastAsia="zh-CN"/>
        </w:rPr>
      </w:pPr>
      <w:r>
        <w:rPr>
          <w:rFonts w:hint="eastAsia" w:ascii="宋体" w:hAnsi="宋体" w:eastAsia="宋体" w:cs="宋体"/>
          <w:b/>
          <w:bCs/>
          <w:color w:val="auto"/>
          <w:sz w:val="21"/>
          <w:szCs w:val="21"/>
          <w:highlight w:val="none"/>
          <w:u w:val="single"/>
          <w:lang w:val="en-US" w:eastAsia="zh-CN"/>
        </w:rPr>
        <w:t>2.本项目采购资金为财政性资金，相关付款应遵守财政资金支付程序规定；如因执行该程序而使拨款未能及时到位，成交供应商不得以此为由而不履行本合同规定的义务，也不得以此追究采购人（分站）任何形式的违约责任，若成交供应商以此为由不履行本合同规定，属于成交供应商违约。</w:t>
      </w:r>
    </w:p>
    <w:p w14:paraId="4D01B7CC">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eastAsia" w:ascii="宋体" w:hAnsi="宋体" w:eastAsia="宋体" w:cs="宋体"/>
          <w:b/>
          <w:bCs/>
          <w:color w:val="auto"/>
          <w:sz w:val="21"/>
          <w:szCs w:val="21"/>
          <w:highlight w:val="none"/>
          <w:u w:val="single"/>
          <w:lang w:val="en-US" w:eastAsia="zh-CN"/>
        </w:rPr>
      </w:pPr>
      <w:r>
        <w:rPr>
          <w:rFonts w:hint="eastAsia" w:ascii="宋体" w:hAnsi="宋体" w:eastAsia="宋体" w:cs="宋体"/>
          <w:b/>
          <w:bCs/>
          <w:color w:val="auto"/>
          <w:sz w:val="21"/>
          <w:szCs w:val="21"/>
          <w:highlight w:val="none"/>
          <w:u w:val="single"/>
          <w:lang w:val="en-US" w:eastAsia="zh-CN"/>
        </w:rPr>
        <w:t>3.因特殊原因需要提早或延迟结算的，经采购人和分站分别与成交供应商双方协商一致后，按另定的结算期限执行。</w:t>
      </w:r>
    </w:p>
    <w:p w14:paraId="1D3C998A">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报价说明：</w:t>
      </w:r>
    </w:p>
    <w:p w14:paraId="327CFCE4">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rPr>
        <w:t>本项目报价为折扣率报价，折扣率报价范围为：0.00%（不含）-100.00%（含）。报价（折扣率）应包含完成本次项目所有服务内容的费用，包括但不限于购货或自产养种植成本、包装配送运输、保险、装卸服务、粗加工、退换、雇员费用、质保期售后服务、全额含税发票及合同实施过程中的应预见和不可预见费用等，以及完成合同规定责任和义务、达到合同目的的一切费用。</w:t>
      </w:r>
    </w:p>
    <w:p w14:paraId="475E3DF0">
      <w:pPr>
        <w:pStyle w:val="33"/>
        <w:numPr>
          <w:ilvl w:val="0"/>
          <w:numId w:val="10"/>
        </w:numPr>
        <w:snapToGrid w:val="0"/>
        <w:spacing w:line="360" w:lineRule="auto"/>
        <w:ind w:firstLineChars="0"/>
        <w:contextualSpacing/>
        <w:rPr>
          <w:rFonts w:hint="eastAsia" w:ascii="宋体" w:hAnsi="宋体" w:eastAsia="宋体" w:cs="宋体"/>
          <w:b/>
          <w:bCs/>
          <w:iCs/>
          <w:color w:val="auto"/>
          <w:sz w:val="21"/>
          <w:szCs w:val="21"/>
          <w:highlight w:val="none"/>
          <w:u w:val="single"/>
        </w:rPr>
      </w:pPr>
      <w:r>
        <w:rPr>
          <w:rFonts w:hint="eastAsia" w:ascii="宋体" w:hAnsi="宋体" w:eastAsia="宋体" w:cs="宋体"/>
          <w:b/>
          <w:bCs/>
          <w:iCs/>
          <w:color w:val="auto"/>
          <w:sz w:val="21"/>
          <w:szCs w:val="21"/>
          <w:highlight w:val="none"/>
          <w:u w:val="single"/>
        </w:rPr>
        <w:t>★</w:t>
      </w:r>
      <w:r>
        <w:rPr>
          <w:rFonts w:hint="eastAsia" w:ascii="宋体" w:hAnsi="宋体" w:eastAsia="宋体" w:cs="宋体"/>
          <w:b/>
          <w:bCs/>
          <w:iCs/>
          <w:color w:val="auto"/>
          <w:sz w:val="21"/>
          <w:szCs w:val="21"/>
          <w:highlight w:val="none"/>
          <w:u w:val="single"/>
          <w:lang w:val="en-US" w:eastAsia="zh-CN"/>
        </w:rPr>
        <w:t>结算说明：</w:t>
      </w:r>
    </w:p>
    <w:p w14:paraId="232A2C41">
      <w:pPr>
        <w:pStyle w:val="33"/>
        <w:keepNext w:val="0"/>
        <w:keepLines w:val="0"/>
        <w:pageBreakBefore w:val="0"/>
        <w:widowControl w:val="0"/>
        <w:numPr>
          <w:ilvl w:val="0"/>
          <w:numId w:val="11"/>
        </w:numPr>
        <w:kinsoku/>
        <w:wordWrap w:val="0"/>
        <w:overflowPunct/>
        <w:topLinePunct w:val="0"/>
        <w:autoSpaceDE/>
        <w:autoSpaceDN/>
        <w:bidi w:val="0"/>
        <w:adjustRightInd/>
        <w:snapToGrid w:val="0"/>
        <w:spacing w:line="360" w:lineRule="auto"/>
        <w:ind w:left="316" w:leftChars="0" w:hanging="316" w:hangingChars="150"/>
        <w:contextualSpacing/>
        <w:textAlignment w:val="auto"/>
        <w:rPr>
          <w:rFonts w:hint="eastAsia" w:ascii="宋体" w:hAnsi="宋体" w:eastAsia="宋体" w:cs="宋体"/>
          <w:b/>
          <w:bCs/>
          <w:iCs/>
          <w:color w:val="auto"/>
          <w:sz w:val="21"/>
          <w:szCs w:val="21"/>
          <w:highlight w:val="none"/>
          <w:u w:val="single"/>
          <w:lang w:val="en-US" w:eastAsia="zh-CN"/>
        </w:rPr>
      </w:pPr>
      <w:r>
        <w:rPr>
          <w:rFonts w:hint="eastAsia" w:ascii="宋体" w:hAnsi="宋体" w:eastAsia="宋体" w:cs="宋体"/>
          <w:b/>
          <w:bCs/>
          <w:iCs/>
          <w:color w:val="auto"/>
          <w:sz w:val="21"/>
          <w:szCs w:val="21"/>
          <w:highlight w:val="none"/>
          <w:u w:val="single"/>
          <w:lang w:val="en-US" w:eastAsia="zh-CN"/>
        </w:rPr>
        <w:t>基准价确定：（1）原则上在东莞市发展和改革局价格管理专栏（http://dgdp.dg.gov.cn/jggl/index.html）中《东莞市菜篮子价格监测表》有价格的货物，取《东莞市菜篮子价格监测表》公布的农贸市场平均零售价格为基准价，成交供应商须于东莞市发展和改革局网站最新价格挂出后第二天向采购人（分站）提供最新一期的价格表，采购人（分站）原则上每隔一个月调整一次价格，每次调整价格经采购人（分站）确认后方可开始执行；（2）《东莞市菜篮子价格监测表》无采购人（分站）所需货品的，则由采购人（分站）和成交供应商双方共同按就近原则确认周边三个市场或商超作为参考，以其同类产品价格的平均价作为基准价（即基准价=就近市场（商超）平均价=3个市场抽样价格之和÷3，计算结果四舍五入保留两位小数）。</w:t>
      </w:r>
    </w:p>
    <w:p w14:paraId="30C5B006">
      <w:pPr>
        <w:pStyle w:val="33"/>
        <w:keepNext w:val="0"/>
        <w:keepLines w:val="0"/>
        <w:pageBreakBefore w:val="0"/>
        <w:widowControl w:val="0"/>
        <w:numPr>
          <w:ilvl w:val="0"/>
          <w:numId w:val="11"/>
        </w:numPr>
        <w:kinsoku/>
        <w:wordWrap/>
        <w:overflowPunct/>
        <w:topLinePunct w:val="0"/>
        <w:autoSpaceDE/>
        <w:autoSpaceDN/>
        <w:bidi w:val="0"/>
        <w:adjustRightInd/>
        <w:snapToGrid w:val="0"/>
        <w:spacing w:line="360" w:lineRule="auto"/>
        <w:ind w:left="316" w:leftChars="0" w:hanging="316" w:hangingChars="150"/>
        <w:contextualSpacing/>
        <w:textAlignment w:val="auto"/>
        <w:rPr>
          <w:rFonts w:hint="eastAsia" w:ascii="宋体" w:hAnsi="宋体" w:eastAsia="宋体" w:cs="宋体"/>
          <w:b/>
          <w:bCs/>
          <w:iCs/>
          <w:color w:val="auto"/>
          <w:sz w:val="21"/>
          <w:szCs w:val="21"/>
          <w:highlight w:val="none"/>
          <w:u w:val="single"/>
          <w:lang w:val="en-US" w:eastAsia="zh-CN"/>
        </w:rPr>
      </w:pPr>
      <w:r>
        <w:rPr>
          <w:rFonts w:hint="eastAsia" w:ascii="宋体" w:hAnsi="宋体" w:eastAsia="宋体" w:cs="宋体"/>
          <w:b/>
          <w:bCs/>
          <w:iCs/>
          <w:color w:val="auto"/>
          <w:sz w:val="21"/>
          <w:szCs w:val="21"/>
          <w:highlight w:val="none"/>
          <w:u w:val="single"/>
          <w:lang w:val="en-US" w:eastAsia="zh-CN"/>
        </w:rPr>
        <w:t>结算价格确定：结算价格=基准价×成交折扣率（例：当基准价为10.00元，成交折扣率为97.00%时，结算价格=10.00元×97.00%=9.70元）。</w:t>
      </w:r>
    </w:p>
    <w:p w14:paraId="66FF73CF">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验收要求：</w:t>
      </w:r>
    </w:p>
    <w:p w14:paraId="7A012BA3">
      <w:pPr>
        <w:pStyle w:val="33"/>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成交供应商按照采购人（分站）要求将货物送至指定地点后，双方人员应及时对货物进行验收。食材的每日验收由采购人（分站）及成交供应商组成的验收小组进行共同验收，验收人员对当天所配送的食材进行规格、质量、数量、价格等方面的验收。验收标准严格按照国家、地方的相关规定、采购文件及响应文件相关内容执行。</w:t>
      </w:r>
    </w:p>
    <w:p w14:paraId="7D7D3EAD">
      <w:pPr>
        <w:pStyle w:val="33"/>
        <w:keepNext w:val="0"/>
        <w:keepLines w:val="0"/>
        <w:pageBreakBefore w:val="0"/>
        <w:widowControl w:val="0"/>
        <w:numPr>
          <w:ilvl w:val="0"/>
          <w:numId w:val="12"/>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双方对验收结果或货物质量持有异议的，成交供应商须先应采购人（分站）要求对货物进行更换或退货，然后由双方对存有异议的货物进行抽样封存，并在3日内交由</w:t>
      </w:r>
      <w:r>
        <w:rPr>
          <w:rFonts w:hint="eastAsia" w:ascii="宋体" w:hAnsi="宋体" w:eastAsia="宋体" w:cs="宋体"/>
          <w:iCs/>
          <w:color w:val="auto"/>
          <w:szCs w:val="21"/>
          <w:highlight w:val="none"/>
        </w:rPr>
        <w:t>广东省东莞市质量监督检测中心</w:t>
      </w:r>
      <w:r>
        <w:rPr>
          <w:rFonts w:hint="eastAsia" w:ascii="宋体" w:hAnsi="宋体" w:eastAsia="宋体" w:cs="宋体"/>
          <w:iCs/>
          <w:color w:val="auto"/>
          <w:sz w:val="21"/>
          <w:szCs w:val="21"/>
          <w:highlight w:val="none"/>
          <w:lang w:val="en-US" w:eastAsia="zh-CN"/>
        </w:rPr>
        <w:t>进行检验，由此产生的检验费由成交供应商承担。</w:t>
      </w:r>
    </w:p>
    <w:p w14:paraId="4BFFD721">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合同要求：</w:t>
      </w:r>
    </w:p>
    <w:p w14:paraId="5513854C">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响应供应商</w:t>
      </w:r>
      <w:r>
        <w:rPr>
          <w:rFonts w:hint="eastAsia" w:ascii="宋体" w:hAnsi="宋体" w:eastAsia="宋体" w:cs="宋体"/>
          <w:iCs/>
          <w:color w:val="auto"/>
          <w:sz w:val="21"/>
          <w:szCs w:val="21"/>
          <w:highlight w:val="none"/>
        </w:rPr>
        <w:t>须在</w:t>
      </w:r>
      <w:r>
        <w:rPr>
          <w:rFonts w:hint="eastAsia" w:ascii="宋体" w:hAnsi="宋体" w:eastAsia="宋体" w:cs="宋体"/>
          <w:iCs/>
          <w:color w:val="auto"/>
          <w:sz w:val="21"/>
          <w:szCs w:val="21"/>
          <w:highlight w:val="none"/>
          <w:lang w:val="en-US" w:eastAsia="zh-CN"/>
        </w:rPr>
        <w:t>成交</w:t>
      </w:r>
      <w:r>
        <w:rPr>
          <w:rFonts w:hint="eastAsia" w:ascii="宋体" w:hAnsi="宋体" w:eastAsia="宋体" w:cs="宋体"/>
          <w:iCs/>
          <w:color w:val="auto"/>
          <w:sz w:val="21"/>
          <w:szCs w:val="21"/>
          <w:highlight w:val="none"/>
        </w:rPr>
        <w:t>后</w:t>
      </w:r>
      <w:r>
        <w:rPr>
          <w:rFonts w:hint="eastAsia" w:ascii="宋体" w:hAnsi="宋体" w:eastAsia="宋体" w:cs="宋体"/>
          <w:iCs/>
          <w:color w:val="auto"/>
          <w:sz w:val="21"/>
          <w:szCs w:val="21"/>
          <w:highlight w:val="none"/>
          <w:lang w:val="en-US" w:eastAsia="zh-CN"/>
        </w:rPr>
        <w:t>分别与采购人及分站签订食材配送服务合同。</w:t>
      </w:r>
    </w:p>
    <w:p w14:paraId="5BA73B4D">
      <w:pPr>
        <w:pStyle w:val="33"/>
        <w:numPr>
          <w:ilvl w:val="0"/>
          <w:numId w:val="10"/>
        </w:numPr>
        <w:snapToGrid w:val="0"/>
        <w:spacing w:line="360" w:lineRule="auto"/>
        <w:ind w:firstLineChars="0"/>
        <w:contextualSpacing/>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保险要求：</w:t>
      </w:r>
    </w:p>
    <w:p w14:paraId="0E6906E3">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供应商成交后需为本项目单独购买食品安全责任险，保险期限需涵盖本项目服务期，保险金额不低于600万元/年。</w:t>
      </w:r>
    </w:p>
    <w:p w14:paraId="2193B681">
      <w:pPr>
        <w:pStyle w:val="33"/>
        <w:numPr>
          <w:ilvl w:val="0"/>
          <w:numId w:val="10"/>
        </w:numPr>
        <w:snapToGrid w:val="0"/>
        <w:spacing w:line="360" w:lineRule="auto"/>
        <w:ind w:firstLineChars="0"/>
        <w:contextualSpacing/>
        <w:rPr>
          <w:rFonts w:hint="eastAsia" w:ascii="宋体" w:hAnsi="宋体" w:eastAsia="宋体" w:cs="宋体"/>
          <w:b/>
          <w:bCs/>
          <w:iCs/>
          <w:color w:val="auto"/>
          <w:sz w:val="21"/>
          <w:szCs w:val="21"/>
          <w:highlight w:val="none"/>
          <w:u w:val="single"/>
        </w:rPr>
      </w:pPr>
      <w:r>
        <w:rPr>
          <w:rFonts w:hint="eastAsia" w:ascii="宋体" w:hAnsi="宋体" w:eastAsia="宋体" w:cs="宋体"/>
          <w:b/>
          <w:bCs/>
          <w:iCs/>
          <w:color w:val="auto"/>
          <w:sz w:val="21"/>
          <w:szCs w:val="21"/>
          <w:highlight w:val="none"/>
          <w:u w:val="single"/>
        </w:rPr>
        <w:t>★</w:t>
      </w:r>
      <w:r>
        <w:rPr>
          <w:rFonts w:hint="eastAsia" w:ascii="宋体" w:hAnsi="宋体" w:eastAsia="宋体" w:cs="宋体"/>
          <w:b/>
          <w:bCs/>
          <w:iCs/>
          <w:color w:val="auto"/>
          <w:sz w:val="21"/>
          <w:szCs w:val="21"/>
          <w:highlight w:val="none"/>
          <w:u w:val="single"/>
          <w:lang w:val="en-US" w:eastAsia="zh-CN"/>
        </w:rPr>
        <w:t>政策响应要求：</w:t>
      </w:r>
    </w:p>
    <w:p w14:paraId="701802DD">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2" w:firstLineChars="200"/>
        <w:contextualSpacing/>
        <w:textAlignment w:val="auto"/>
        <w:rPr>
          <w:rFonts w:hint="default" w:ascii="宋体" w:hAnsi="宋体" w:eastAsia="宋体" w:cs="宋体"/>
          <w:b/>
          <w:bCs/>
          <w:iCs/>
          <w:color w:val="auto"/>
          <w:sz w:val="21"/>
          <w:szCs w:val="21"/>
          <w:highlight w:val="none"/>
          <w:u w:val="single"/>
          <w:lang w:val="en-US" w:eastAsia="zh-CN"/>
        </w:rPr>
      </w:pPr>
      <w:r>
        <w:rPr>
          <w:rFonts w:hint="default" w:ascii="宋体" w:hAnsi="宋体" w:eastAsia="宋体" w:cs="宋体"/>
          <w:b/>
          <w:bCs/>
          <w:iCs/>
          <w:color w:val="auto"/>
          <w:sz w:val="21"/>
          <w:szCs w:val="21"/>
          <w:highlight w:val="none"/>
          <w:u w:val="single"/>
          <w:lang w:val="en-US" w:eastAsia="zh-CN"/>
        </w:rPr>
        <w:t>采购人</w:t>
      </w:r>
      <w:r>
        <w:rPr>
          <w:rFonts w:hint="eastAsia" w:ascii="宋体" w:hAnsi="宋体" w:eastAsia="宋体" w:cs="宋体"/>
          <w:b/>
          <w:bCs/>
          <w:iCs/>
          <w:color w:val="auto"/>
          <w:sz w:val="21"/>
          <w:szCs w:val="21"/>
          <w:highlight w:val="none"/>
          <w:u w:val="single"/>
          <w:lang w:val="en-US" w:eastAsia="zh-CN"/>
        </w:rPr>
        <w:t>（分站）</w:t>
      </w:r>
      <w:r>
        <w:rPr>
          <w:rFonts w:hint="default" w:ascii="宋体" w:hAnsi="宋体" w:eastAsia="宋体" w:cs="宋体"/>
          <w:b/>
          <w:bCs/>
          <w:iCs/>
          <w:color w:val="auto"/>
          <w:sz w:val="21"/>
          <w:szCs w:val="21"/>
          <w:highlight w:val="none"/>
          <w:u w:val="single"/>
          <w:lang w:val="en-US" w:eastAsia="zh-CN"/>
        </w:rPr>
        <w:t>对应急食材及政府脱贫农副产品采购有自主权</w:t>
      </w:r>
      <w:r>
        <w:rPr>
          <w:rFonts w:hint="eastAsia" w:ascii="宋体" w:hAnsi="宋体" w:eastAsia="宋体" w:cs="宋体"/>
          <w:b/>
          <w:bCs/>
          <w:iCs/>
          <w:color w:val="auto"/>
          <w:sz w:val="21"/>
          <w:szCs w:val="21"/>
          <w:highlight w:val="none"/>
          <w:u w:val="single"/>
          <w:lang w:val="en-US" w:eastAsia="zh-CN"/>
        </w:rPr>
        <w:t>，</w:t>
      </w:r>
      <w:r>
        <w:rPr>
          <w:rFonts w:hint="default" w:ascii="宋体" w:hAnsi="宋体" w:eastAsia="宋体" w:cs="宋体"/>
          <w:b/>
          <w:bCs/>
          <w:iCs/>
          <w:color w:val="auto"/>
          <w:sz w:val="21"/>
          <w:szCs w:val="21"/>
          <w:highlight w:val="none"/>
          <w:u w:val="single"/>
          <w:lang w:val="en-US" w:eastAsia="zh-CN"/>
        </w:rPr>
        <w:t>采购人</w:t>
      </w:r>
      <w:r>
        <w:rPr>
          <w:rFonts w:hint="eastAsia" w:ascii="宋体" w:hAnsi="宋体" w:eastAsia="宋体" w:cs="宋体"/>
          <w:b/>
          <w:bCs/>
          <w:iCs/>
          <w:color w:val="auto"/>
          <w:sz w:val="21"/>
          <w:szCs w:val="21"/>
          <w:highlight w:val="none"/>
          <w:u w:val="single"/>
          <w:lang w:val="en-US" w:eastAsia="zh-CN"/>
        </w:rPr>
        <w:t>（分站）</w:t>
      </w:r>
      <w:r>
        <w:rPr>
          <w:rFonts w:hint="default" w:ascii="宋体" w:hAnsi="宋体" w:eastAsia="宋体" w:cs="宋体"/>
          <w:b/>
          <w:bCs/>
          <w:iCs/>
          <w:color w:val="auto"/>
          <w:sz w:val="21"/>
          <w:szCs w:val="21"/>
          <w:highlight w:val="none"/>
          <w:u w:val="single"/>
          <w:lang w:val="en-US" w:eastAsia="zh-CN"/>
        </w:rPr>
        <w:t>有权直接采购</w:t>
      </w:r>
      <w:r>
        <w:rPr>
          <w:rFonts w:hint="eastAsia" w:ascii="宋体" w:hAnsi="宋体" w:eastAsia="宋体" w:cs="宋体"/>
          <w:b/>
          <w:bCs/>
          <w:iCs/>
          <w:color w:val="auto"/>
          <w:sz w:val="21"/>
          <w:szCs w:val="21"/>
          <w:highlight w:val="none"/>
          <w:u w:val="single"/>
          <w:lang w:val="en-US" w:eastAsia="zh-CN"/>
        </w:rPr>
        <w:t>，</w:t>
      </w:r>
      <w:r>
        <w:rPr>
          <w:rFonts w:hint="default" w:ascii="宋体" w:hAnsi="宋体" w:eastAsia="宋体" w:cs="宋体"/>
          <w:b/>
          <w:bCs/>
          <w:iCs/>
          <w:color w:val="auto"/>
          <w:sz w:val="21"/>
          <w:szCs w:val="21"/>
          <w:highlight w:val="none"/>
          <w:u w:val="single"/>
          <w:lang w:val="en-US" w:eastAsia="zh-CN"/>
        </w:rPr>
        <w:t>不受</w:t>
      </w:r>
      <w:r>
        <w:rPr>
          <w:rFonts w:hint="eastAsia" w:ascii="宋体" w:hAnsi="宋体" w:eastAsia="宋体" w:cs="宋体"/>
          <w:b/>
          <w:bCs/>
          <w:iCs/>
          <w:color w:val="auto"/>
          <w:sz w:val="21"/>
          <w:szCs w:val="21"/>
          <w:highlight w:val="none"/>
          <w:u w:val="single"/>
          <w:lang w:val="en-US" w:eastAsia="zh-CN"/>
        </w:rPr>
        <w:t>成交供应商</w:t>
      </w:r>
      <w:r>
        <w:rPr>
          <w:rFonts w:hint="default" w:ascii="宋体" w:hAnsi="宋体" w:eastAsia="宋体" w:cs="宋体"/>
          <w:b/>
          <w:bCs/>
          <w:iCs/>
          <w:color w:val="auto"/>
          <w:sz w:val="21"/>
          <w:szCs w:val="21"/>
          <w:highlight w:val="none"/>
          <w:u w:val="single"/>
          <w:lang w:val="en-US" w:eastAsia="zh-CN"/>
        </w:rPr>
        <w:t>和本项目制约。为贯彻落实党中央国务院和广东省委、省政府关于打赢脱贫攻坚战的有关决策部署，</w:t>
      </w:r>
      <w:r>
        <w:rPr>
          <w:rFonts w:hint="eastAsia" w:ascii="宋体" w:hAnsi="宋体" w:eastAsia="宋体" w:cs="宋体"/>
          <w:b/>
          <w:bCs/>
          <w:iCs/>
          <w:color w:val="auto"/>
          <w:sz w:val="21"/>
          <w:szCs w:val="21"/>
          <w:highlight w:val="none"/>
          <w:u w:val="single"/>
          <w:lang w:val="en-US" w:eastAsia="zh-CN"/>
        </w:rPr>
        <w:t>成交供应商</w:t>
      </w:r>
      <w:r>
        <w:rPr>
          <w:rFonts w:hint="default" w:ascii="宋体" w:hAnsi="宋体" w:eastAsia="宋体" w:cs="宋体"/>
          <w:b/>
          <w:bCs/>
          <w:iCs/>
          <w:color w:val="auto"/>
          <w:sz w:val="21"/>
          <w:szCs w:val="21"/>
          <w:highlight w:val="none"/>
          <w:u w:val="single"/>
          <w:lang w:val="en-US" w:eastAsia="zh-CN"/>
        </w:rPr>
        <w:t>需配合采购人</w:t>
      </w:r>
      <w:r>
        <w:rPr>
          <w:rFonts w:hint="eastAsia" w:ascii="宋体" w:hAnsi="宋体" w:eastAsia="宋体" w:cs="宋体"/>
          <w:b/>
          <w:bCs/>
          <w:iCs/>
          <w:color w:val="auto"/>
          <w:sz w:val="21"/>
          <w:szCs w:val="21"/>
          <w:highlight w:val="none"/>
          <w:u w:val="single"/>
          <w:lang w:val="en-US" w:eastAsia="zh-CN"/>
        </w:rPr>
        <w:t>（分站）</w:t>
      </w:r>
      <w:r>
        <w:rPr>
          <w:rFonts w:hint="default" w:ascii="宋体" w:hAnsi="宋体" w:eastAsia="宋体" w:cs="宋体"/>
          <w:b/>
          <w:bCs/>
          <w:iCs/>
          <w:color w:val="auto"/>
          <w:sz w:val="21"/>
          <w:szCs w:val="21"/>
          <w:highlight w:val="none"/>
          <w:u w:val="single"/>
          <w:lang w:val="en-US" w:eastAsia="zh-CN"/>
        </w:rPr>
        <w:t>要求，落实政府采购贫困地区农副产品的相关政策要求</w:t>
      </w:r>
      <w:r>
        <w:rPr>
          <w:rFonts w:hint="eastAsia" w:ascii="宋体" w:hAnsi="宋体" w:eastAsia="宋体" w:cs="宋体"/>
          <w:b/>
          <w:bCs/>
          <w:iCs/>
          <w:color w:val="auto"/>
          <w:sz w:val="21"/>
          <w:szCs w:val="21"/>
          <w:highlight w:val="none"/>
          <w:u w:val="single"/>
          <w:lang w:val="en-US" w:eastAsia="zh-CN"/>
        </w:rPr>
        <w:t>，</w:t>
      </w:r>
      <w:r>
        <w:rPr>
          <w:rFonts w:hint="default" w:ascii="宋体" w:hAnsi="宋体" w:eastAsia="宋体" w:cs="宋体"/>
          <w:b/>
          <w:bCs/>
          <w:iCs/>
          <w:color w:val="auto"/>
          <w:sz w:val="21"/>
          <w:szCs w:val="21"/>
          <w:highlight w:val="none"/>
          <w:u w:val="single"/>
          <w:lang w:val="en-US" w:eastAsia="zh-CN"/>
        </w:rPr>
        <w:t>在本项目服务期内</w:t>
      </w:r>
      <w:r>
        <w:rPr>
          <w:rFonts w:hint="eastAsia" w:ascii="宋体" w:hAnsi="宋体" w:eastAsia="宋体" w:cs="宋体"/>
          <w:b/>
          <w:bCs/>
          <w:iCs/>
          <w:color w:val="auto"/>
          <w:sz w:val="21"/>
          <w:szCs w:val="21"/>
          <w:highlight w:val="none"/>
          <w:u w:val="single"/>
          <w:lang w:val="en-US" w:eastAsia="zh-CN"/>
        </w:rPr>
        <w:t>，</w:t>
      </w:r>
      <w:r>
        <w:rPr>
          <w:rFonts w:hint="default" w:ascii="宋体" w:hAnsi="宋体" w:eastAsia="宋体" w:cs="宋体"/>
          <w:b/>
          <w:bCs/>
          <w:iCs/>
          <w:color w:val="auto"/>
          <w:sz w:val="21"/>
          <w:szCs w:val="21"/>
          <w:highlight w:val="none"/>
          <w:u w:val="single"/>
          <w:lang w:val="en-US" w:eastAsia="zh-CN"/>
        </w:rPr>
        <w:t>通过“国家贫困地区农副产品网络销售平台”或“广东省政府采购扶贫馆平台”等政府部门认可的平台采购部分既定预留份额的食材，</w:t>
      </w:r>
      <w:r>
        <w:rPr>
          <w:rFonts w:hint="eastAsia" w:ascii="宋体" w:hAnsi="宋体" w:eastAsia="宋体" w:cs="宋体"/>
          <w:b/>
          <w:bCs/>
          <w:iCs/>
          <w:color w:val="auto"/>
          <w:sz w:val="21"/>
          <w:szCs w:val="21"/>
          <w:highlight w:val="none"/>
          <w:u w:val="single"/>
          <w:lang w:val="en-US" w:eastAsia="zh-CN"/>
        </w:rPr>
        <w:t>成交供应商</w:t>
      </w:r>
      <w:r>
        <w:rPr>
          <w:rFonts w:hint="default" w:ascii="宋体" w:hAnsi="宋体" w:eastAsia="宋体" w:cs="宋体"/>
          <w:b/>
          <w:bCs/>
          <w:iCs/>
          <w:color w:val="auto"/>
          <w:sz w:val="21"/>
          <w:szCs w:val="21"/>
          <w:highlight w:val="none"/>
          <w:u w:val="single"/>
          <w:lang w:val="en-US" w:eastAsia="zh-CN"/>
        </w:rPr>
        <w:t>不得提出异议。</w:t>
      </w:r>
      <w:r>
        <w:rPr>
          <w:rFonts w:hint="eastAsia" w:ascii="宋体" w:hAnsi="宋体" w:eastAsia="宋体" w:cs="宋体"/>
          <w:b/>
          <w:bCs/>
          <w:iCs/>
          <w:color w:val="auto"/>
          <w:sz w:val="21"/>
          <w:szCs w:val="21"/>
          <w:highlight w:val="none"/>
          <w:u w:val="single"/>
          <w:lang w:val="en-US" w:eastAsia="zh-CN"/>
        </w:rPr>
        <w:t>（须提供承诺函加盖供应商公章，承诺函格式自拟）</w:t>
      </w:r>
    </w:p>
    <w:p w14:paraId="668ADE3F">
      <w:pPr>
        <w:pStyle w:val="33"/>
        <w:numPr>
          <w:ilvl w:val="0"/>
          <w:numId w:val="0"/>
        </w:numPr>
        <w:snapToGrid w:val="0"/>
        <w:spacing w:line="360" w:lineRule="auto"/>
        <w:ind w:firstLineChars="0"/>
        <w:contextualSpacing/>
        <w:rPr>
          <w:rFonts w:hint="eastAsia" w:ascii="宋体" w:hAnsi="宋体" w:eastAsia="宋体" w:cs="宋体"/>
          <w:b/>
          <w:bCs/>
          <w:color w:val="auto"/>
          <w:kern w:val="2"/>
          <w:sz w:val="21"/>
          <w:szCs w:val="21"/>
          <w:highlight w:val="none"/>
          <w:lang w:val="en-US" w:eastAsia="zh-CN" w:bidi="ar-SA"/>
        </w:rPr>
      </w:pPr>
    </w:p>
    <w:p w14:paraId="6B871D1B">
      <w:pPr>
        <w:pStyle w:val="33"/>
        <w:numPr>
          <w:ilvl w:val="0"/>
          <w:numId w:val="0"/>
        </w:numPr>
        <w:snapToGrid w:val="0"/>
        <w:spacing w:line="360" w:lineRule="auto"/>
        <w:ind w:firstLineChars="0"/>
        <w:contextualSpacing/>
        <w:rPr>
          <w:rFonts w:hint="eastAsia" w:ascii="宋体" w:hAnsi="宋体" w:eastAsia="宋体" w:cs="宋体"/>
          <w:b/>
          <w:color w:val="auto"/>
          <w:sz w:val="21"/>
          <w:szCs w:val="21"/>
          <w:highlight w:val="none"/>
        </w:rPr>
      </w:pPr>
      <w:r>
        <w:rPr>
          <w:rFonts w:hint="eastAsia" w:ascii="宋体" w:hAnsi="宋体" w:eastAsia="宋体" w:cs="宋体"/>
          <w:b/>
          <w:bCs/>
          <w:color w:val="auto"/>
          <w:kern w:val="2"/>
          <w:sz w:val="21"/>
          <w:szCs w:val="21"/>
          <w:highlight w:val="none"/>
          <w:lang w:val="en-US" w:eastAsia="zh-CN" w:bidi="ar-SA"/>
        </w:rPr>
        <w:t>四、</w:t>
      </w:r>
      <w:r>
        <w:rPr>
          <w:rFonts w:hint="eastAsia" w:ascii="宋体" w:hAnsi="宋体" w:eastAsia="宋体" w:cs="宋体"/>
          <w:b/>
          <w:bCs/>
          <w:color w:val="auto"/>
          <w:sz w:val="21"/>
          <w:szCs w:val="21"/>
          <w:highlight w:val="none"/>
        </w:rPr>
        <w:t>技术要求</w:t>
      </w:r>
    </w:p>
    <w:p w14:paraId="397494A3">
      <w:pPr>
        <w:pStyle w:val="33"/>
        <w:numPr>
          <w:ilvl w:val="0"/>
          <w:numId w:val="1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基本服务要求</w:t>
      </w:r>
    </w:p>
    <w:p w14:paraId="724A354A">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蔬菜类经粗加工后用胶筐包装运输（可用率在97%以上），所有食材符合国家食品卫生标准，不得直接接触地面，且要确保新鲜、色泽好、无异物。水菜类务必抽样检测，确保农药残留量符合食品安全国家标准 食品生产通用卫生规范（GB 14881-2013）。</w:t>
      </w:r>
    </w:p>
    <w:p w14:paraId="4657932A">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成交供应商提供的鲜肉类、禽类、水产类、冻品类等肉类需保证每日新鲜，提供的鲜肉类、禽类须为市级或以上行政主管部门准予设立的定点屠宰厂（场）经检疫和肉品品质检验合格的产品，具有由定点屠宰厂（场）加盖验讫印章并出具《畜产品检验证明》或《动物检疫合格证明》，所有产品可以追溯。</w:t>
      </w:r>
    </w:p>
    <w:p w14:paraId="2BD1CE06">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成交供应商应保证所提供的鲜肉类、禽类、水产类、冻品类等的多样性和季节性，以保证食材新鲜感。</w:t>
      </w:r>
    </w:p>
    <w:p w14:paraId="525F7409">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粮油、副食、调料由正规厂家生产、供货。</w:t>
      </w:r>
    </w:p>
    <w:p w14:paraId="2666F371">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货物有包装的，货物的包装须完整清洁（无损、无污、无皱），采购人（分站）有权拒收包装不整齐、已拆封的商品。</w:t>
      </w:r>
    </w:p>
    <w:p w14:paraId="6FC1EC08">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采购人（分站）发现商品出现损坏（包括表面损坏），或出现水渍、串味、受潮等导致货物性质改变的，成交供应商须无条件退货或更换商品。</w:t>
      </w:r>
    </w:p>
    <w:p w14:paraId="5B1B993D">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食品溯源要求：食品供应链必须明确，所有食品的来源必须清晰，来源应当是受到地方政府部门监管的流通市场或具有相关资质的厂家生产，食品生产企业必须获得《食品生产许可证》，生产食品的源头与成交供应商要有固定的合法的供应关系。</w:t>
      </w:r>
    </w:p>
    <w:p w14:paraId="27327FAB">
      <w:pPr>
        <w:pStyle w:val="33"/>
        <w:keepNext w:val="0"/>
        <w:keepLines w:val="0"/>
        <w:pageBreakBefore w:val="0"/>
        <w:widowControl w:val="0"/>
        <w:numPr>
          <w:ilvl w:val="0"/>
          <w:numId w:val="1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成交供应商应保存与采购人（分站）的采购合同及送货单据、销售发票备查。货物由成交供应商向第三方采购的，还需保存：①与生产企业的销售合同；②生产企业的送货单和销售发票。</w:t>
      </w:r>
    </w:p>
    <w:p w14:paraId="2502794B">
      <w:pPr>
        <w:pStyle w:val="33"/>
        <w:numPr>
          <w:ilvl w:val="0"/>
          <w:numId w:val="1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质量、数量和包装要求</w:t>
      </w:r>
    </w:p>
    <w:p w14:paraId="3F91BF62">
      <w:pPr>
        <w:pStyle w:val="33"/>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质量要求：</w:t>
      </w:r>
      <w:r>
        <w:rPr>
          <w:rFonts w:hint="eastAsia" w:ascii="宋体" w:hAnsi="宋体" w:eastAsia="宋体" w:cs="宋体"/>
          <w:iCs/>
          <w:color w:val="auto"/>
          <w:sz w:val="21"/>
          <w:szCs w:val="21"/>
          <w:highlight w:val="none"/>
          <w:lang w:val="en-US" w:eastAsia="zh-CN"/>
        </w:rPr>
        <w:t>成交供应商</w:t>
      </w:r>
      <w:r>
        <w:rPr>
          <w:rFonts w:hint="eastAsia" w:ascii="宋体" w:hAnsi="宋体" w:eastAsia="宋体" w:cs="宋体"/>
          <w:bCs/>
          <w:color w:val="auto"/>
          <w:szCs w:val="21"/>
          <w:highlight w:val="none"/>
        </w:rPr>
        <w:t>必须遵守国家规定的《中华人民共和国食品安全法》《农产品质量安全法》等法律和行政法规的规定，提供的货品必须符合国家有关卫生标准，保质、保量、保鲜，严禁配送假冒、变质、过期的农副产品。对于验收不合格的货品，</w:t>
      </w:r>
      <w:r>
        <w:rPr>
          <w:rFonts w:hint="eastAsia" w:ascii="宋体" w:hAnsi="宋体" w:eastAsia="宋体" w:cs="宋体"/>
          <w:bCs/>
          <w:color w:val="auto"/>
          <w:szCs w:val="21"/>
          <w:highlight w:val="none"/>
          <w:lang w:val="en-US" w:eastAsia="zh-CN"/>
        </w:rPr>
        <w:t>成交</w:t>
      </w:r>
      <w:r>
        <w:rPr>
          <w:rFonts w:hint="eastAsia" w:ascii="宋体" w:hAnsi="宋体" w:eastAsia="宋体" w:cs="宋体"/>
          <w:bCs/>
          <w:color w:val="auto"/>
          <w:szCs w:val="21"/>
          <w:highlight w:val="none"/>
        </w:rPr>
        <w:t>人必须无条件包退包换。</w:t>
      </w:r>
      <w:r>
        <w:rPr>
          <w:rFonts w:hint="eastAsia" w:ascii="宋体" w:hAnsi="宋体" w:eastAsia="宋体" w:cs="宋体"/>
          <w:bCs/>
          <w:color w:val="auto"/>
          <w:szCs w:val="21"/>
          <w:highlight w:val="none"/>
          <w:lang w:val="en-US" w:eastAsia="zh-CN"/>
        </w:rPr>
        <w:t>具体要求如下：</w:t>
      </w:r>
    </w:p>
    <w:p w14:paraId="7DC98807">
      <w:pPr>
        <w:pStyle w:val="33"/>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冻品类为一级以上的优质品，有生产厂家、生产日期和保质期。</w:t>
      </w:r>
    </w:p>
    <w:p w14:paraId="6D918206">
      <w:pPr>
        <w:pStyle w:val="33"/>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水产类须鲜活（利用率不低于95%）。</w:t>
      </w:r>
    </w:p>
    <w:p w14:paraId="396AE98B">
      <w:pPr>
        <w:pStyle w:val="33"/>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鲜肉类、禽类全部来源于正规肉联厂，保证为当日新鲜肉，并提供政府检疫部门出示的检疫合格证明（鲜肉类利用率不低于98%）。</w:t>
      </w:r>
    </w:p>
    <w:p w14:paraId="1A75F444">
      <w:pPr>
        <w:pStyle w:val="33"/>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畜、禽货物须符合《食品安全国家标准 鲜（冻）畜、禽产品》（GB 2707-2016），水产品须符合《食品安全国家标准 鲜、冻动物性水产品》（GB 2733-2015）的要求。</w:t>
      </w:r>
    </w:p>
    <w:p w14:paraId="0DE97046">
      <w:pPr>
        <w:pStyle w:val="33"/>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对于不符合采购人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rPr>
        <w:t>质量要求的品种可无偿退货或换货，如换货成交供应商须在采购人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rPr>
        <w:t>规定的时间内把合格的货物送到目的地。</w:t>
      </w:r>
    </w:p>
    <w:p w14:paraId="5C24E6F3">
      <w:pPr>
        <w:pStyle w:val="33"/>
        <w:keepNext w:val="0"/>
        <w:keepLines w:val="0"/>
        <w:pageBreakBefore w:val="0"/>
        <w:widowControl w:val="0"/>
        <w:numPr>
          <w:ilvl w:val="0"/>
          <w:numId w:val="16"/>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如双方对质量有争议，需将货物送至</w:t>
      </w:r>
      <w:r>
        <w:rPr>
          <w:rFonts w:hint="eastAsia" w:ascii="宋体" w:hAnsi="宋体" w:eastAsia="宋体" w:cs="宋体"/>
          <w:color w:val="auto"/>
          <w:szCs w:val="21"/>
          <w:highlight w:val="none"/>
        </w:rPr>
        <w:t>广东省东莞市质量监督检测中心</w:t>
      </w:r>
      <w:r>
        <w:rPr>
          <w:rFonts w:hint="eastAsia" w:ascii="宋体" w:hAnsi="宋体" w:eastAsia="宋体" w:cs="宋体"/>
          <w:color w:val="auto"/>
          <w:sz w:val="21"/>
          <w:szCs w:val="21"/>
          <w:highlight w:val="none"/>
          <w:lang w:val="en-US" w:eastAsia="zh-CN"/>
        </w:rPr>
        <w:t>检测</w:t>
      </w:r>
      <w:r>
        <w:rPr>
          <w:rFonts w:hint="eastAsia" w:ascii="宋体" w:hAnsi="宋体" w:eastAsia="宋体" w:cs="宋体"/>
          <w:color w:val="auto"/>
          <w:sz w:val="21"/>
          <w:szCs w:val="21"/>
          <w:highlight w:val="none"/>
        </w:rPr>
        <w:t>的，检测费用由成交供应商支付，</w:t>
      </w:r>
      <w:r>
        <w:rPr>
          <w:rFonts w:hint="eastAsia" w:ascii="宋体" w:hAnsi="宋体" w:eastAsia="宋体" w:cs="宋体"/>
          <w:color w:val="auto"/>
          <w:sz w:val="21"/>
          <w:szCs w:val="21"/>
          <w:highlight w:val="none"/>
          <w:lang w:val="en-US" w:eastAsia="zh-CN"/>
        </w:rPr>
        <w:t>检测不合格的，</w:t>
      </w:r>
      <w:r>
        <w:rPr>
          <w:rFonts w:hint="eastAsia" w:ascii="宋体" w:hAnsi="宋体" w:eastAsia="宋体" w:cs="宋体"/>
          <w:color w:val="auto"/>
          <w:sz w:val="21"/>
          <w:szCs w:val="21"/>
          <w:highlight w:val="none"/>
        </w:rPr>
        <w:t>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rPr>
        <w:t>将该批次货物退货，成交供应商需重新配送合格货物。</w:t>
      </w:r>
    </w:p>
    <w:p w14:paraId="588FA07D">
      <w:pPr>
        <w:pStyle w:val="33"/>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数量要求</w:t>
      </w:r>
    </w:p>
    <w:p w14:paraId="56E0DB51">
      <w:pPr>
        <w:pStyle w:val="33"/>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成交供应商应保证斤、两的准确性。</w:t>
      </w:r>
    </w:p>
    <w:p w14:paraId="12D923D6">
      <w:pPr>
        <w:pStyle w:val="33"/>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rPr>
        <w:t>的验收数量为准，成交供应商每次随货携带一式两联的送货清单，食品经双方验收后须签字确认。</w:t>
      </w:r>
    </w:p>
    <w:p w14:paraId="3A044E02">
      <w:pPr>
        <w:pStyle w:val="33"/>
        <w:keepNext w:val="0"/>
        <w:keepLines w:val="0"/>
        <w:pageBreakBefore w:val="0"/>
        <w:widowControl w:val="0"/>
        <w:numPr>
          <w:ilvl w:val="0"/>
          <w:numId w:val="17"/>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送货清单双方各持一份，全部作为收货与货款结算的凭证。</w:t>
      </w:r>
    </w:p>
    <w:p w14:paraId="2DEBFAE3">
      <w:pPr>
        <w:pStyle w:val="33"/>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包装要求</w:t>
      </w:r>
    </w:p>
    <w:p w14:paraId="3F84F064">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包装应清洁、卫生，无破漏；标签须标明产品名称、净含量、生产商名称和地址、生产日期、保质期、产品标准号等内容；剩余保质期不得少于原保质期的</w:t>
      </w:r>
      <w:r>
        <w:rPr>
          <w:rFonts w:hint="eastAsia" w:ascii="宋体" w:hAnsi="宋体" w:eastAsia="宋体" w:cs="宋体"/>
          <w:color w:val="auto"/>
          <w:sz w:val="21"/>
          <w:szCs w:val="21"/>
          <w:highlight w:val="none"/>
          <w:lang w:val="en-US" w:eastAsia="zh-CN"/>
        </w:rPr>
        <w:t>80%</w:t>
      </w:r>
      <w:r>
        <w:rPr>
          <w:rFonts w:hint="eastAsia" w:ascii="宋体" w:hAnsi="宋体" w:eastAsia="宋体" w:cs="宋体"/>
          <w:color w:val="auto"/>
          <w:sz w:val="21"/>
          <w:szCs w:val="21"/>
          <w:highlight w:val="none"/>
        </w:rPr>
        <w:t>。</w:t>
      </w:r>
    </w:p>
    <w:p w14:paraId="24DC7DE0">
      <w:pPr>
        <w:pStyle w:val="33"/>
        <w:keepNext w:val="0"/>
        <w:keepLines w:val="0"/>
        <w:pageBreakBefore w:val="0"/>
        <w:widowControl w:val="0"/>
        <w:numPr>
          <w:ilvl w:val="0"/>
          <w:numId w:val="15"/>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食品溯源</w:t>
      </w:r>
      <w:r>
        <w:rPr>
          <w:rFonts w:hint="eastAsia" w:ascii="宋体" w:hAnsi="宋体" w:eastAsia="宋体" w:cs="宋体"/>
          <w:color w:val="auto"/>
          <w:sz w:val="21"/>
          <w:szCs w:val="21"/>
          <w:highlight w:val="none"/>
          <w:lang w:val="en-US" w:eastAsia="zh-CN"/>
        </w:rPr>
        <w:t>要求</w:t>
      </w:r>
    </w:p>
    <w:p w14:paraId="6EABA20D">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食品供应链必须明确，所有食品的来源必须清晰，来源应当是受到地方政府部门监管的流通市场或具有相关资质的供应商，中标人与食材供应商要有固定的合法的供应关系。</w:t>
      </w:r>
    </w:p>
    <w:p w14:paraId="357575D9">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中标人应保存以下资料备查：①食材购销合同（或协议）；②相关的送货单和销售发票；③与采购人的采购合同及送货单据、销售发票。</w:t>
      </w:r>
    </w:p>
    <w:p w14:paraId="360B1A56">
      <w:pPr>
        <w:pStyle w:val="33"/>
        <w:numPr>
          <w:ilvl w:val="0"/>
          <w:numId w:val="1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配送服务要求</w:t>
      </w:r>
    </w:p>
    <w:p w14:paraId="0515F7C1">
      <w:pPr>
        <w:pStyle w:val="33"/>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成交供应商应当在采购人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规定时间（每天8：30）前送货到采购人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指定地点以备查验；根据采购人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实际情况，按照与采购人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的约定，在规定的时间内将预定的货物如数送到指定地点。除发生客观不可抗力的情况外，成交供应商不得推迟送货。如因特殊原因确需延迟送货的，须提前知会采购人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并征得采购人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同意，由于成交供应商延迟造成采购人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利益受损的，采购人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有权要求成交供应商赔偿。采购人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如遇特殊情况需推迟或取消送货，应提前至少24小时通知成交供应商。</w:t>
      </w:r>
    </w:p>
    <w:p w14:paraId="220DC1CE">
      <w:pPr>
        <w:pStyle w:val="33"/>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肉类一般每天每个食堂送货1次；蔬菜类一般每天每个食堂送货1次，采购人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在前一天12：00前确认采购订单。每次订单不论数量多少，成交供应商都必须按采购人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要求配送。对于临时性采购订单，成交供应商须积极配合，按照采购人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要求按时、按质、按量将货品配送到指定地点。</w:t>
      </w:r>
    </w:p>
    <w:p w14:paraId="1D0657D2">
      <w:pPr>
        <w:pStyle w:val="33"/>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成交供应商负责货品配送前的仓储，采购人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不提供仓库。整个配送运输过程应科学合理，配送车辆管理良好，必须采用符合卫生要求的专用冷藏、冷冻载具运输，保持清洁和定期消毒，车厢内无不良气味、异味，应当有必要的保温设备并在整个运输过程中保持安全的冷藏、冷冻温度。货物到达目的地时外包装箱干爽，无软化现象。在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签收之前，货物的所有权和风险属于成交供应商，货物发生遗失、损坏由成交供应商负责。</w:t>
      </w:r>
    </w:p>
    <w:p w14:paraId="0914B2FF">
      <w:pPr>
        <w:pStyle w:val="33"/>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成交供应商须严格按照采购人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的订单配送货品，不得随意增减数量或改变品种。如因市场流通问题确实需要变更供货内容的，成交供应商应在得知情况的同时书面告知采购人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并征得采购人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同意后方可变更，否则，采购人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有权拒收，由此产生的一切损失和费用由成交供应商承担。</w:t>
      </w:r>
    </w:p>
    <w:p w14:paraId="5FB89DBE">
      <w:pPr>
        <w:pStyle w:val="33"/>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无论采购人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所采购的食品原材料数量多少，成交供应商应无条件为采购人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送货。</w:t>
      </w:r>
    </w:p>
    <w:p w14:paraId="3ED5A0CE">
      <w:pPr>
        <w:pStyle w:val="33"/>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成交供应商应明确配送人员岗位职责，且必须是固定专人长期送货，不得指派来路不明的临时人员送货，如需更换配送人员，需经得采购人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color w:val="auto"/>
          <w:sz w:val="21"/>
          <w:szCs w:val="21"/>
          <w:highlight w:val="none"/>
          <w:lang w:val="en-US" w:eastAsia="zh-CN"/>
        </w:rPr>
        <w:t>同意后方可更换。</w:t>
      </w:r>
    </w:p>
    <w:p w14:paraId="20439BEE">
      <w:pPr>
        <w:pStyle w:val="33"/>
        <w:keepNext w:val="0"/>
        <w:keepLines w:val="0"/>
        <w:pageBreakBefore w:val="0"/>
        <w:widowControl w:val="0"/>
        <w:numPr>
          <w:ilvl w:val="0"/>
          <w:numId w:val="1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食材装车及卸货应轻拿轻放，降低货损。</w:t>
      </w:r>
    </w:p>
    <w:p w14:paraId="0FD0A588">
      <w:pPr>
        <w:pStyle w:val="33"/>
        <w:numPr>
          <w:ilvl w:val="0"/>
          <w:numId w:val="1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违约责任</w:t>
      </w:r>
    </w:p>
    <w:p w14:paraId="2A50E0C5">
      <w:pPr>
        <w:pStyle w:val="33"/>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成交供应商存在以下违约行为的，采购人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有权解除合同、取消成交供应商供货资格，由此给采购人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造成损失的，成交供应商需</w:t>
      </w:r>
      <w:r>
        <w:rPr>
          <w:rFonts w:hint="default" w:ascii="宋体" w:hAnsi="宋体" w:eastAsia="宋体" w:cs="宋体"/>
          <w:bCs/>
          <w:color w:val="auto"/>
          <w:sz w:val="21"/>
          <w:szCs w:val="21"/>
          <w:highlight w:val="none"/>
          <w:lang w:val="en-US" w:eastAsia="zh-CN"/>
        </w:rPr>
        <w:t>承担赔偿责任</w:t>
      </w:r>
      <w:r>
        <w:rPr>
          <w:rFonts w:hint="eastAsia" w:ascii="宋体" w:hAnsi="宋体" w:eastAsia="宋体" w:cs="宋体"/>
          <w:bCs/>
          <w:color w:val="auto"/>
          <w:sz w:val="21"/>
          <w:szCs w:val="21"/>
          <w:highlight w:val="none"/>
          <w:lang w:val="en-US" w:eastAsia="zh-CN"/>
        </w:rPr>
        <w:t>。</w:t>
      </w:r>
    </w:p>
    <w:p w14:paraId="10113071">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在收到订货要求后，在承诺的供货时间内不能供货的；</w:t>
      </w:r>
    </w:p>
    <w:p w14:paraId="772BC5D8">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货物质量验收不合格，退货数量超过50%（含本数）的；</w:t>
      </w:r>
    </w:p>
    <w:p w14:paraId="0E71F025">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提供虚假检验报告等相关票证；</w:t>
      </w:r>
    </w:p>
    <w:p w14:paraId="64156296">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在包装、运输、装卸等环节不符合食品安全要求；</w:t>
      </w:r>
    </w:p>
    <w:p w14:paraId="7A163524">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食品溯源管理制度不落实，进货查验记录不全；</w:t>
      </w:r>
    </w:p>
    <w:p w14:paraId="698CB129">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送货专员在采购人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单位活动但不遵守采购人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单位各项规章制度或做出有损采购人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形象和利益的事情的；</w:t>
      </w:r>
    </w:p>
    <w:p w14:paraId="0A30C14E">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成交供应商提供过期、变质的、有毒食品的，未按采购人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要求无条件退货或换货；</w:t>
      </w:r>
    </w:p>
    <w:p w14:paraId="25748379">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成交供应商未经采购人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书面同意将本合同项下权利、义务进行转包、分包；</w:t>
      </w:r>
    </w:p>
    <w:p w14:paraId="385CA341">
      <w:pPr>
        <w:keepNext w:val="0"/>
        <w:keepLines w:val="0"/>
        <w:pageBreakBefore w:val="0"/>
        <w:widowControl w:val="0"/>
        <w:numPr>
          <w:ilvl w:val="0"/>
          <w:numId w:val="21"/>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其他违反合同的行为，且拒不整改。</w:t>
      </w:r>
    </w:p>
    <w:p w14:paraId="36EF7946">
      <w:pPr>
        <w:pStyle w:val="33"/>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成交供应商提供过期、变质的、有毒食品的，一经发现，除按采购人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要求无条件退货或换货外，成交供应商需承担当次供应食品货款2倍的违约金（违约金由采购人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在供货结算款内扣除），采购人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视情节对本项目合同享有单方解约权。</w:t>
      </w:r>
    </w:p>
    <w:p w14:paraId="2BE8328A">
      <w:pPr>
        <w:pStyle w:val="33"/>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若成交供应商提供有毒食品，造成食品安全事故的，经</w:t>
      </w:r>
      <w:r>
        <w:rPr>
          <w:rFonts w:hint="eastAsia" w:ascii="宋体" w:hAnsi="宋体" w:eastAsia="宋体" w:cs="宋体"/>
          <w:bCs/>
          <w:color w:val="auto"/>
          <w:szCs w:val="21"/>
          <w:highlight w:val="none"/>
        </w:rPr>
        <w:t>广东省东莞市质量监督检测中心</w:t>
      </w:r>
      <w:r>
        <w:rPr>
          <w:rFonts w:hint="eastAsia" w:ascii="宋体" w:hAnsi="宋体" w:eastAsia="宋体" w:cs="宋体"/>
          <w:bCs/>
          <w:color w:val="auto"/>
          <w:sz w:val="21"/>
          <w:szCs w:val="21"/>
          <w:highlight w:val="none"/>
          <w:lang w:val="en-US" w:eastAsia="zh-CN"/>
        </w:rPr>
        <w:t>或主管部门鉴定原因后，如确实为成交供应商提供的食品问题，成交供应商须负担全数的医药费，采购人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将取消该成交供应商的供货资格并解除合同，成交供应商同时承担相应的民事及刑事法律责任。</w:t>
      </w:r>
    </w:p>
    <w:p w14:paraId="4C7EA35A">
      <w:pPr>
        <w:pStyle w:val="33"/>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由于成交供应商的原因（包括但不限经营亏损、人员变动等因素），导致双方签订的合同终止，成交供应商因此而遭受的损失，将由成交供应商独立承担，采购人</w:t>
      </w:r>
      <w:r>
        <w:rPr>
          <w:rFonts w:hint="eastAsia" w:ascii="宋体" w:hAnsi="宋体" w:eastAsia="宋体" w:cs="宋体"/>
          <w:iCs/>
          <w:color w:val="auto"/>
          <w:sz w:val="21"/>
          <w:szCs w:val="21"/>
          <w:highlight w:val="none"/>
          <w:lang w:val="en-US" w:eastAsia="zh-CN"/>
        </w:rPr>
        <w:t>（分站）</w:t>
      </w:r>
      <w:r>
        <w:rPr>
          <w:rFonts w:hint="eastAsia" w:ascii="宋体" w:hAnsi="宋体" w:eastAsia="宋体" w:cs="宋体"/>
          <w:bCs/>
          <w:color w:val="auto"/>
          <w:sz w:val="21"/>
          <w:szCs w:val="21"/>
          <w:highlight w:val="none"/>
          <w:lang w:val="en-US" w:eastAsia="zh-CN"/>
        </w:rPr>
        <w:t>对此不负任何责任，也不作任何赔偿。</w:t>
      </w:r>
    </w:p>
    <w:p w14:paraId="62B31D54">
      <w:pPr>
        <w:pStyle w:val="33"/>
        <w:keepNext w:val="0"/>
        <w:keepLines w:val="0"/>
        <w:pageBreakBefore w:val="0"/>
        <w:widowControl w:val="0"/>
        <w:numPr>
          <w:ilvl w:val="0"/>
          <w:numId w:val="2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bookmarkStart w:id="18" w:name="_Toc31639"/>
      <w:r>
        <w:rPr>
          <w:rFonts w:hint="eastAsia" w:ascii="宋体" w:hAnsi="宋体" w:eastAsia="宋体" w:cs="宋体"/>
          <w:bCs/>
          <w:color w:val="auto"/>
          <w:sz w:val="21"/>
          <w:szCs w:val="21"/>
          <w:highlight w:val="none"/>
          <w:lang w:val="en-US" w:eastAsia="zh-CN"/>
        </w:rPr>
        <w:t>合作期间，任何一方不得无故单方面终止合同，如单方面需终止合同，需经双方协商一致，并至少提前一个月以书面形式通知对方，否则违约方需向守约方赔偿支付上月食材货款三倍金额的违约金。</w:t>
      </w:r>
      <w:bookmarkEnd w:id="18"/>
    </w:p>
    <w:p w14:paraId="72DBD098">
      <w:pPr>
        <w:pStyle w:val="33"/>
        <w:numPr>
          <w:ilvl w:val="0"/>
          <w:numId w:val="13"/>
        </w:numPr>
        <w:snapToGrid w:val="0"/>
        <w:spacing w:line="360" w:lineRule="auto"/>
        <w:ind w:firstLineChars="0"/>
        <w:contextualSpacing/>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其他服务要求</w:t>
      </w:r>
    </w:p>
    <w:p w14:paraId="5FD070D9">
      <w:pPr>
        <w:pStyle w:val="33"/>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供应商需为本项目拟定总体服务方案，包括履约计划、服务团队架构、服务人员管理、考核奖惩制度等，供应商应针对本项目采购需求要求，提出科学可行的服务计划，服务团队人员充足，同类项目经验丰富，针对服务人员工作情况有行之有效的管理及考核奖惩制度。</w:t>
      </w:r>
    </w:p>
    <w:p w14:paraId="28CAF174">
      <w:pPr>
        <w:pStyle w:val="33"/>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针对本项目涉及食材，供应商应具备完善的溯源体系，确保食材来源及去向均可查，发现问题做到及时召回，避免食品安全问题出现，防止问题恶化、影响扩大。</w:t>
      </w:r>
    </w:p>
    <w:p w14:paraId="2A3C53E7">
      <w:pPr>
        <w:pStyle w:val="33"/>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供应商在食材配送服务中应执行符合国家、地方及行业相关标准的生产、加工、存储、运输标准和指定，做好履约中的食品安全质量保障工作。</w:t>
      </w:r>
    </w:p>
    <w:p w14:paraId="75F630A0">
      <w:pPr>
        <w:pStyle w:val="33"/>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供应商需为本项目组织专门的售后服务团队，负责解答、解决采购人（分站）在项目履约过程中遇到的问题，如需成交供应商前往现场处理的，成交供应商应在接到采购人（分站）要求后3小时内到达采购人（分站）指定地点，成交供应商须对货品质量问题应迅速响应，尽快完成召回、退换工作。</w:t>
      </w:r>
    </w:p>
    <w:p w14:paraId="3BDDCD87">
      <w:pPr>
        <w:pStyle w:val="33"/>
        <w:keepNext w:val="0"/>
        <w:keepLines w:val="0"/>
        <w:pageBreakBefore w:val="0"/>
        <w:widowControl w:val="0"/>
        <w:numPr>
          <w:ilvl w:val="0"/>
          <w:numId w:val="22"/>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供应商应全面预判</w:t>
      </w:r>
      <w:r>
        <w:rPr>
          <w:rFonts w:hint="eastAsia" w:asciiTheme="minorEastAsia" w:hAnsiTheme="minorEastAsia"/>
          <w:color w:val="auto"/>
          <w:highlight w:val="none"/>
        </w:rPr>
        <w:t>食材仓储、分拣、配送中可能出现的突发情况（包括但不限于：突发停电、台风、暴雨、火灾等导致的仓储、分拣、配送困难或食材短缺；突发车辆故障、交通事故、临时封路等导致的配送困难等情形</w:t>
      </w:r>
      <w:r>
        <w:rPr>
          <w:rFonts w:hint="eastAsia" w:asciiTheme="minorEastAsia" w:hAnsiTheme="minorEastAsia"/>
          <w:color w:val="auto"/>
          <w:highlight w:val="none"/>
          <w:lang w:val="en-US" w:eastAsia="zh-CN"/>
        </w:rPr>
        <w:t>、采购人（分站）临时紧急采购等</w:t>
      </w:r>
      <w:r>
        <w:rPr>
          <w:rFonts w:hint="eastAsia" w:asciiTheme="minorEastAsia" w:hAnsiTheme="minorEastAsia"/>
          <w:color w:val="auto"/>
          <w:highlight w:val="none"/>
        </w:rPr>
        <w:t>）</w:t>
      </w:r>
      <w:r>
        <w:rPr>
          <w:rFonts w:hint="eastAsia" w:asciiTheme="minorEastAsia" w:hAnsiTheme="minorEastAsia"/>
          <w:color w:val="auto"/>
          <w:highlight w:val="none"/>
          <w:lang w:val="en-US" w:eastAsia="zh-CN"/>
        </w:rPr>
        <w:t>及服务人员可能出现的工伤和劳务纠纷事件。针对上述情况，</w:t>
      </w:r>
      <w:r>
        <w:rPr>
          <w:rFonts w:hint="eastAsia" w:asciiTheme="minorEastAsia" w:hAnsiTheme="minorEastAsia"/>
          <w:color w:val="auto"/>
          <w:highlight w:val="none"/>
        </w:rPr>
        <w:t>制定</w:t>
      </w:r>
      <w:r>
        <w:rPr>
          <w:rFonts w:hint="eastAsia" w:asciiTheme="minorEastAsia" w:hAnsiTheme="minorEastAsia"/>
          <w:color w:val="auto"/>
          <w:highlight w:val="none"/>
          <w:lang w:val="en-US" w:eastAsia="zh-CN"/>
        </w:rPr>
        <w:t>相应的预防和</w:t>
      </w:r>
      <w:r>
        <w:rPr>
          <w:rFonts w:hint="eastAsia" w:asciiTheme="minorEastAsia" w:hAnsiTheme="minorEastAsia"/>
          <w:color w:val="auto"/>
          <w:highlight w:val="none"/>
        </w:rPr>
        <w:t>应急处置措施</w:t>
      </w:r>
      <w:r>
        <w:rPr>
          <w:rFonts w:hint="eastAsia" w:asciiTheme="minorEastAsia" w:hAnsiTheme="minorEastAsia"/>
          <w:color w:val="auto"/>
          <w:highlight w:val="none"/>
          <w:lang w:eastAsia="zh-CN"/>
        </w:rPr>
        <w:t>。</w:t>
      </w:r>
    </w:p>
    <w:bookmarkEnd w:id="16"/>
    <w:bookmarkEnd w:id="17"/>
    <w:p w14:paraId="11C753CC">
      <w:pPr>
        <w:pStyle w:val="2"/>
        <w:keepNext w:val="0"/>
        <w:keepLines w:val="0"/>
        <w:pageBreakBefore/>
        <w:spacing w:line="360" w:lineRule="auto"/>
        <w:jc w:val="center"/>
        <w:rPr>
          <w:rFonts w:asciiTheme="minorEastAsia" w:hAnsiTheme="minorEastAsia"/>
          <w:color w:val="auto"/>
          <w:spacing w:val="20"/>
          <w:sz w:val="32"/>
          <w:szCs w:val="32"/>
          <w:highlight w:val="none"/>
        </w:rPr>
      </w:pPr>
      <w:bookmarkStart w:id="19" w:name="_Toc405313954"/>
      <w:bookmarkStart w:id="20" w:name="_Toc391627750"/>
      <w:bookmarkStart w:id="21" w:name="_Toc138770008"/>
      <w:r>
        <w:rPr>
          <w:rFonts w:hint="eastAsia" w:asciiTheme="minorEastAsia" w:hAnsiTheme="minorEastAsia"/>
          <w:color w:val="auto"/>
          <w:spacing w:val="20"/>
          <w:sz w:val="32"/>
          <w:szCs w:val="32"/>
          <w:highlight w:val="none"/>
        </w:rPr>
        <w:t>第三部分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响应须知</w:t>
      </w:r>
      <w:bookmarkEnd w:id="19"/>
      <w:bookmarkEnd w:id="20"/>
      <w:bookmarkEnd w:id="21"/>
    </w:p>
    <w:p w14:paraId="26E66F36">
      <w:pPr>
        <w:pStyle w:val="33"/>
        <w:numPr>
          <w:ilvl w:val="0"/>
          <w:numId w:val="23"/>
        </w:numPr>
        <w:spacing w:before="312" w:beforeLines="100" w:line="360" w:lineRule="auto"/>
        <w:ind w:firstLineChars="0"/>
        <w:rPr>
          <w:rFonts w:asciiTheme="minorEastAsia" w:hAnsiTheme="minorEastAsia"/>
          <w:b/>
          <w:bCs/>
          <w:color w:val="auto"/>
          <w:sz w:val="24"/>
          <w:szCs w:val="24"/>
          <w:highlight w:val="none"/>
        </w:rPr>
      </w:pPr>
      <w:r>
        <w:rPr>
          <w:rFonts w:hint="eastAsia" w:asciiTheme="minorEastAsia" w:hAnsiTheme="minorEastAsia"/>
          <w:b/>
          <w:bCs/>
          <w:color w:val="auto"/>
          <w:sz w:val="24"/>
          <w:szCs w:val="24"/>
          <w:highlight w:val="none"/>
        </w:rPr>
        <w:t>说明</w:t>
      </w:r>
    </w:p>
    <w:p w14:paraId="714523A3">
      <w:pPr>
        <w:pStyle w:val="33"/>
        <w:numPr>
          <w:ilvl w:val="0"/>
          <w:numId w:val="24"/>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总则</w:t>
      </w:r>
    </w:p>
    <w:p w14:paraId="047506D3">
      <w:pPr>
        <w:spacing w:line="360" w:lineRule="auto"/>
        <w:ind w:firstLine="420" w:firstLineChars="200"/>
        <w:rPr>
          <w:rFonts w:asciiTheme="minorEastAsia" w:hAnsiTheme="minorEastAsia"/>
          <w:bCs/>
          <w:color w:val="auto"/>
          <w:highlight w:val="none"/>
        </w:rPr>
      </w:pPr>
      <w:r>
        <w:rPr>
          <w:rFonts w:hint="eastAsia" w:asciiTheme="minorEastAsia" w:hAnsiTheme="minorEastAsia"/>
          <w:bCs/>
          <w:color w:val="auto"/>
          <w:highlight w:val="none"/>
        </w:rPr>
        <w:t>采购人、采购代理机构及响应供应商进行的本次采购活动参考《</w:t>
      </w:r>
      <w:bookmarkStart w:id="22" w:name="_Hlk75725950"/>
      <w:r>
        <w:rPr>
          <w:rFonts w:hint="eastAsia" w:asciiTheme="minorEastAsia" w:hAnsiTheme="minorEastAsia"/>
          <w:bCs/>
          <w:color w:val="auto"/>
          <w:highlight w:val="none"/>
        </w:rPr>
        <w:t>中华人民共和国</w:t>
      </w:r>
      <w:bookmarkEnd w:id="22"/>
      <w:r>
        <w:rPr>
          <w:rFonts w:hint="eastAsia" w:asciiTheme="minorEastAsia" w:hAnsiTheme="minorEastAsia"/>
          <w:bCs/>
          <w:color w:val="auto"/>
          <w:highlight w:val="none"/>
        </w:rPr>
        <w:t>政府采购法》及其配套的法规、规章、政策。响应供应商应仔细阅读本项目遴选公告及遴选文件的所有内容（包括变更、补充、澄清以及修改等，且均为遴选文件的组成部分），按照遴选文件要求以及格式编制响应文件，并保证其真实性，否则一切后果自负。</w:t>
      </w:r>
    </w:p>
    <w:p w14:paraId="189381A1">
      <w:pPr>
        <w:spacing w:line="360" w:lineRule="auto"/>
        <w:ind w:firstLine="420" w:firstLineChars="200"/>
        <w:rPr>
          <w:rFonts w:asciiTheme="minorEastAsia" w:hAnsiTheme="minorEastAsia"/>
          <w:bCs/>
          <w:color w:val="auto"/>
          <w:highlight w:val="none"/>
        </w:rPr>
      </w:pPr>
    </w:p>
    <w:p w14:paraId="6DE0C112">
      <w:pPr>
        <w:pStyle w:val="33"/>
        <w:numPr>
          <w:ilvl w:val="0"/>
          <w:numId w:val="24"/>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适用范围</w:t>
      </w:r>
    </w:p>
    <w:p w14:paraId="625BC998">
      <w:pPr>
        <w:pStyle w:val="33"/>
        <w:numPr>
          <w:ilvl w:val="0"/>
          <w:numId w:val="25"/>
        </w:numPr>
        <w:spacing w:line="360" w:lineRule="auto"/>
        <w:ind w:firstLineChars="0"/>
        <w:rPr>
          <w:rFonts w:asciiTheme="minorEastAsia" w:hAnsiTheme="minorEastAsia"/>
          <w:color w:val="auto"/>
          <w:highlight w:val="none"/>
        </w:rPr>
      </w:pPr>
      <w:r>
        <w:rPr>
          <w:rFonts w:hint="eastAsia" w:asciiTheme="minorEastAsia" w:hAnsiTheme="minorEastAsia"/>
          <w:color w:val="auto"/>
          <w:highlight w:val="none"/>
        </w:rPr>
        <w:t>本遴选文件仅适用于本次遴选公告中所涉及的项目和内容。</w:t>
      </w:r>
    </w:p>
    <w:p w14:paraId="7651C85F">
      <w:pPr>
        <w:pStyle w:val="33"/>
        <w:numPr>
          <w:ilvl w:val="0"/>
          <w:numId w:val="25"/>
        </w:numPr>
        <w:spacing w:line="360" w:lineRule="auto"/>
        <w:ind w:firstLineChars="0"/>
        <w:rPr>
          <w:rFonts w:asciiTheme="minorEastAsia" w:hAnsiTheme="minorEastAsia"/>
          <w:b/>
          <w:color w:val="auto"/>
          <w:highlight w:val="none"/>
          <w:u w:val="single"/>
        </w:rPr>
      </w:pPr>
      <w:r>
        <w:rPr>
          <w:rFonts w:hint="eastAsia" w:asciiTheme="minorEastAsia" w:hAnsiTheme="minorEastAsia"/>
          <w:color w:val="auto"/>
          <w:highlight w:val="none"/>
        </w:rPr>
        <w:t>资金来源：</w:t>
      </w:r>
      <w:r>
        <w:rPr>
          <w:rFonts w:hint="eastAsia" w:asciiTheme="minorEastAsia" w:hAnsiTheme="minorEastAsia"/>
          <w:b/>
          <w:color w:val="auto"/>
          <w:highlight w:val="none"/>
          <w:u w:val="single"/>
        </w:rPr>
        <w:t>财政资金</w:t>
      </w:r>
      <w:r>
        <w:rPr>
          <w:rFonts w:hint="eastAsia" w:asciiTheme="minorEastAsia" w:hAnsiTheme="minorEastAsia"/>
          <w:color w:val="auto"/>
          <w:highlight w:val="none"/>
        </w:rPr>
        <w:t>。</w:t>
      </w:r>
    </w:p>
    <w:p w14:paraId="3A80E3E4">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定义</w:t>
      </w:r>
    </w:p>
    <w:p w14:paraId="7DB37392">
      <w:pPr>
        <w:pStyle w:val="33"/>
        <w:numPr>
          <w:ilvl w:val="0"/>
          <w:numId w:val="26"/>
        </w:numPr>
        <w:tabs>
          <w:tab w:val="left" w:pos="426"/>
        </w:tabs>
        <w:spacing w:line="360" w:lineRule="auto"/>
        <w:ind w:left="426" w:hanging="426" w:firstLineChars="0"/>
        <w:rPr>
          <w:rFonts w:asciiTheme="minorEastAsia" w:hAnsiTheme="minorEastAsia"/>
          <w:color w:val="auto"/>
          <w:highlight w:val="none"/>
        </w:rPr>
      </w:pPr>
      <w:r>
        <w:rPr>
          <w:rFonts w:asciiTheme="minorEastAsia" w:hAnsiTheme="minorEastAsia"/>
          <w:color w:val="auto"/>
          <w:highlight w:val="none"/>
        </w:rPr>
        <w:t>采购人</w:t>
      </w:r>
      <w:r>
        <w:rPr>
          <w:rFonts w:hint="eastAsia" w:asciiTheme="minorEastAsia" w:hAnsiTheme="minorEastAsia"/>
          <w:color w:val="auto"/>
          <w:highlight w:val="none"/>
        </w:rPr>
        <w:t>：是采购活动当事人之一，负责项目的整体规划、技术方案可行性设计论证与实施，作为合同采购方（用户）的主体承担质疑回复、履行合同、验收与评价等义务。</w:t>
      </w:r>
    </w:p>
    <w:p w14:paraId="6865AEC2">
      <w:pPr>
        <w:pStyle w:val="33"/>
        <w:numPr>
          <w:ilvl w:val="0"/>
          <w:numId w:val="26"/>
        </w:numPr>
        <w:tabs>
          <w:tab w:val="left" w:pos="426"/>
        </w:tabs>
        <w:spacing w:line="360" w:lineRule="auto"/>
        <w:ind w:left="426" w:hanging="426" w:firstLineChars="0"/>
        <w:rPr>
          <w:rFonts w:asciiTheme="minorEastAsia" w:hAnsiTheme="minorEastAsia"/>
          <w:color w:val="auto"/>
          <w:highlight w:val="none"/>
        </w:rPr>
      </w:pPr>
      <w:r>
        <w:rPr>
          <w:rFonts w:hint="eastAsia" w:asciiTheme="minorEastAsia" w:hAnsiTheme="minorEastAsia"/>
          <w:color w:val="auto"/>
          <w:highlight w:val="none"/>
        </w:rPr>
        <w:t>采购代理机构：负责整个采购活动的组织，依法负责编制和发布遴选文件，对遴选文件拥有最终的解释权，不以任何身份出任评审委员会成员。</w:t>
      </w:r>
    </w:p>
    <w:p w14:paraId="1FEE3919">
      <w:pPr>
        <w:pStyle w:val="33"/>
        <w:numPr>
          <w:ilvl w:val="0"/>
          <w:numId w:val="26"/>
        </w:numPr>
        <w:tabs>
          <w:tab w:val="left" w:pos="426"/>
        </w:tabs>
        <w:spacing w:line="360" w:lineRule="auto"/>
        <w:ind w:hanging="941" w:firstLineChars="0"/>
        <w:rPr>
          <w:rFonts w:asciiTheme="minorEastAsia" w:hAnsiTheme="minorEastAsia"/>
          <w:color w:val="auto"/>
          <w:highlight w:val="none"/>
        </w:rPr>
      </w:pPr>
      <w:r>
        <w:rPr>
          <w:rFonts w:hint="eastAsia" w:asciiTheme="minorEastAsia" w:hAnsiTheme="minorEastAsia"/>
          <w:color w:val="auto"/>
          <w:highlight w:val="none"/>
        </w:rPr>
        <w:t>响应供应商：是本项目参加响应竞争的法人或其他组织或自然人。</w:t>
      </w:r>
    </w:p>
    <w:p w14:paraId="111127C9">
      <w:pPr>
        <w:pStyle w:val="33"/>
        <w:numPr>
          <w:ilvl w:val="0"/>
          <w:numId w:val="26"/>
        </w:numPr>
        <w:tabs>
          <w:tab w:val="left" w:pos="426"/>
        </w:tabs>
        <w:spacing w:line="360" w:lineRule="auto"/>
        <w:ind w:hanging="941" w:firstLineChars="0"/>
        <w:rPr>
          <w:rFonts w:asciiTheme="minorEastAsia" w:hAnsiTheme="minorEastAsia"/>
          <w:color w:val="auto"/>
          <w:highlight w:val="none"/>
        </w:rPr>
      </w:pPr>
      <w:r>
        <w:rPr>
          <w:rFonts w:asciiTheme="minorEastAsia" w:hAnsiTheme="minorEastAsia"/>
          <w:color w:val="auto"/>
          <w:highlight w:val="none"/>
        </w:rPr>
        <w:t>合格的</w:t>
      </w:r>
      <w:r>
        <w:rPr>
          <w:rFonts w:hint="eastAsia" w:asciiTheme="minorEastAsia" w:hAnsiTheme="minorEastAsia"/>
          <w:color w:val="auto"/>
          <w:highlight w:val="none"/>
        </w:rPr>
        <w:t>响应供应商是指：详见《第一部分邀请函》申请人的资格要求</w:t>
      </w:r>
    </w:p>
    <w:p w14:paraId="5A300A3B">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合格的服务</w:t>
      </w:r>
    </w:p>
    <w:p w14:paraId="00056CD4">
      <w:pPr>
        <w:pStyle w:val="33"/>
        <w:numPr>
          <w:ilvl w:val="0"/>
          <w:numId w:val="2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服务是指除货物和工程以外的其他政府采购对象，且满足实质性采购需求。</w:t>
      </w:r>
    </w:p>
    <w:p w14:paraId="6B2CAA00">
      <w:pPr>
        <w:pStyle w:val="33"/>
        <w:numPr>
          <w:ilvl w:val="0"/>
          <w:numId w:val="2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响应供应商提供的所有服务，其质量、技术等特征必须符合国家、行业现行法律、法规的相关标准和《中华人民共和国政府采购法》的有关规定及采购需求。</w:t>
      </w:r>
    </w:p>
    <w:p w14:paraId="2B82A98E">
      <w:pPr>
        <w:pStyle w:val="33"/>
        <w:numPr>
          <w:ilvl w:val="0"/>
          <w:numId w:val="2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pacing w:val="-6"/>
          <w:szCs w:val="21"/>
          <w:highlight w:val="none"/>
        </w:rPr>
        <w:t>采购人有权拒绝接受任何不合格的服务，由此产生的费用及相关后果均由响应供应商自行承担；</w:t>
      </w:r>
    </w:p>
    <w:p w14:paraId="4EAF6F0C">
      <w:pPr>
        <w:pStyle w:val="33"/>
        <w:numPr>
          <w:ilvl w:val="0"/>
          <w:numId w:val="2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保证本项目的响应技术、服务或其任何一部分不会产生因第三方提出侵犯其专利权、商标权或其他知识产权而引起的法律和经济纠纷；如果响应供应商不拥有相应的知识产权，则须在报价中包括合法获取该知识产权的相关费用，并在响应文件中附有相关证明文件。如因第三方提出其专利权、商标权或其他知识产权的侵权之诉，则一切法律责任由响应供应商承担。</w:t>
      </w:r>
    </w:p>
    <w:p w14:paraId="3B43FD9F">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费用</w:t>
      </w:r>
    </w:p>
    <w:p w14:paraId="3A658392">
      <w:pPr>
        <w:pStyle w:val="33"/>
        <w:numPr>
          <w:ilvl w:val="0"/>
          <w:numId w:val="28"/>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w:t>
      </w:r>
      <w:r>
        <w:rPr>
          <w:rFonts w:asciiTheme="minorEastAsia" w:hAnsiTheme="minorEastAsia"/>
          <w:bCs/>
          <w:color w:val="auto"/>
          <w:szCs w:val="21"/>
          <w:highlight w:val="none"/>
        </w:rPr>
        <w:t>应承担所有与准备和参加</w:t>
      </w:r>
      <w:r>
        <w:rPr>
          <w:rFonts w:hint="eastAsia" w:asciiTheme="minorEastAsia" w:hAnsiTheme="minorEastAsia"/>
          <w:bCs/>
          <w:color w:val="auto"/>
          <w:szCs w:val="21"/>
          <w:highlight w:val="none"/>
        </w:rPr>
        <w:t>响应</w:t>
      </w:r>
      <w:r>
        <w:rPr>
          <w:rFonts w:asciiTheme="minorEastAsia" w:hAnsiTheme="minorEastAsia"/>
          <w:bCs/>
          <w:color w:val="auto"/>
          <w:szCs w:val="21"/>
          <w:highlight w:val="none"/>
        </w:rPr>
        <w:t>有关的费用。不论</w:t>
      </w:r>
      <w:r>
        <w:rPr>
          <w:rFonts w:hint="eastAsia" w:asciiTheme="minorEastAsia" w:hAnsiTheme="minorEastAsia"/>
          <w:bCs/>
          <w:color w:val="auto"/>
          <w:szCs w:val="21"/>
          <w:highlight w:val="none"/>
        </w:rPr>
        <w:t>响应</w:t>
      </w:r>
      <w:r>
        <w:rPr>
          <w:rFonts w:asciiTheme="minorEastAsia" w:hAnsiTheme="minorEastAsia"/>
          <w:bCs/>
          <w:color w:val="auto"/>
          <w:szCs w:val="21"/>
          <w:highlight w:val="none"/>
        </w:rPr>
        <w:t>的结果如何，采购代理机构和采购人均无义务和责任承担</w:t>
      </w:r>
      <w:r>
        <w:rPr>
          <w:rFonts w:hint="eastAsia" w:asciiTheme="minorEastAsia" w:hAnsiTheme="minorEastAsia"/>
          <w:bCs/>
          <w:color w:val="auto"/>
          <w:szCs w:val="21"/>
          <w:highlight w:val="none"/>
        </w:rPr>
        <w:t>相关</w:t>
      </w:r>
      <w:r>
        <w:rPr>
          <w:rFonts w:asciiTheme="minorEastAsia" w:hAnsiTheme="minorEastAsia"/>
          <w:bCs/>
          <w:color w:val="auto"/>
          <w:szCs w:val="21"/>
          <w:highlight w:val="none"/>
        </w:rPr>
        <w:t>费用</w:t>
      </w:r>
      <w:r>
        <w:rPr>
          <w:rFonts w:hint="eastAsia" w:asciiTheme="minorEastAsia" w:hAnsiTheme="minorEastAsia"/>
          <w:bCs/>
          <w:color w:val="auto"/>
          <w:szCs w:val="21"/>
          <w:highlight w:val="none"/>
        </w:rPr>
        <w:t>。</w:t>
      </w:r>
    </w:p>
    <w:p w14:paraId="63754477">
      <w:pPr>
        <w:pStyle w:val="33"/>
        <w:numPr>
          <w:ilvl w:val="0"/>
          <w:numId w:val="23"/>
        </w:numPr>
        <w:spacing w:before="312" w:beforeLines="100" w:line="360" w:lineRule="auto"/>
        <w:ind w:firstLineChars="0"/>
        <w:rPr>
          <w:rFonts w:asciiTheme="minorEastAsia" w:hAnsiTheme="minorEastAsia"/>
          <w:b/>
          <w:bCs/>
          <w:color w:val="auto"/>
          <w:sz w:val="24"/>
          <w:szCs w:val="24"/>
          <w:highlight w:val="none"/>
        </w:rPr>
      </w:pPr>
      <w:bookmarkStart w:id="23" w:name="_Toc357676115"/>
      <w:r>
        <w:rPr>
          <w:rFonts w:hint="eastAsia" w:asciiTheme="minorEastAsia" w:hAnsiTheme="minorEastAsia"/>
          <w:b/>
          <w:bCs/>
          <w:color w:val="auto"/>
          <w:sz w:val="24"/>
          <w:szCs w:val="24"/>
          <w:highlight w:val="none"/>
        </w:rPr>
        <w:t>遴选文件</w:t>
      </w:r>
    </w:p>
    <w:p w14:paraId="24D06D90">
      <w:pPr>
        <w:pStyle w:val="33"/>
        <w:numPr>
          <w:ilvl w:val="0"/>
          <w:numId w:val="24"/>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遴选文件的编制依据与构成</w:t>
      </w:r>
      <w:bookmarkEnd w:id="23"/>
    </w:p>
    <w:p w14:paraId="6B07E91A">
      <w:pPr>
        <w:pStyle w:val="33"/>
        <w:numPr>
          <w:ilvl w:val="0"/>
          <w:numId w:val="2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本遴选文件的编制依据是参考</w:t>
      </w:r>
      <w:r>
        <w:rPr>
          <w:rFonts w:hint="eastAsia" w:asciiTheme="minorEastAsia" w:hAnsiTheme="minorEastAsia"/>
          <w:color w:val="auto"/>
          <w:szCs w:val="21"/>
          <w:highlight w:val="none"/>
        </w:rPr>
        <w:t>《中华人民共和国政府采购法》、《中华人民共和国政府采购法实施条例》、财政部《政府采购货物和服务招标投标管理办法》</w:t>
      </w:r>
      <w:r>
        <w:rPr>
          <w:rFonts w:hint="eastAsia" w:asciiTheme="minorEastAsia" w:hAnsiTheme="minorEastAsia"/>
          <w:bCs/>
          <w:color w:val="auto"/>
          <w:szCs w:val="21"/>
          <w:highlight w:val="none"/>
        </w:rPr>
        <w:t>等法律法规。</w:t>
      </w:r>
    </w:p>
    <w:p w14:paraId="298688B4">
      <w:pPr>
        <w:pStyle w:val="33"/>
        <w:numPr>
          <w:ilvl w:val="0"/>
          <w:numId w:val="2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认真阅读、并充分理解遴选文件的全部内容（包括所有的补充、修改内容重要事项、格式、条款和服务要求等）。响应供应商没有按照遴选文件要求提交全部资料，或者响应文件没有对遴选文件在各方面都作出实质性响应是响应供应商的风险，有可能导致其被拒绝，或被认定为无效响应。</w:t>
      </w:r>
    </w:p>
    <w:p w14:paraId="2937176A">
      <w:pPr>
        <w:pStyle w:val="33"/>
        <w:numPr>
          <w:ilvl w:val="0"/>
          <w:numId w:val="29"/>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本遴选文件的解释权归“广东智汇城市招标采购有限公司”所有。</w:t>
      </w:r>
    </w:p>
    <w:p w14:paraId="418A15EC">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遴选文件的澄清或修改</w:t>
      </w:r>
    </w:p>
    <w:p w14:paraId="6977E575">
      <w:pPr>
        <w:pStyle w:val="33"/>
        <w:numPr>
          <w:ilvl w:val="2"/>
          <w:numId w:val="24"/>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响应供应商在规定的时间内未对遴选文件提出澄清或疑问的，采购代理机构将视其为无异议。</w:t>
      </w:r>
    </w:p>
    <w:p w14:paraId="37AABAD5">
      <w:pPr>
        <w:pStyle w:val="33"/>
        <w:numPr>
          <w:ilvl w:val="2"/>
          <w:numId w:val="24"/>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人可以对已发出的遴选文件进行必要的澄清或者修改。澄清或者修改的内容可能影响响应文件编制的，采购人应当在递交响应文件截止时间3个工作日前，以同一互联网媒体或直接向邀请的供应商发布更正公告，不足3个工作日的，应当顺延提交响应文件截止时间。</w:t>
      </w:r>
    </w:p>
    <w:p w14:paraId="2BCE447D">
      <w:pPr>
        <w:pStyle w:val="33"/>
        <w:numPr>
          <w:ilvl w:val="2"/>
          <w:numId w:val="24"/>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对遴选文件中描述有歧义或前后不一致的地方，评审委员会有权进行评判，但对同一条款的评判应适用于每个响应供应商。</w:t>
      </w:r>
    </w:p>
    <w:p w14:paraId="23263159">
      <w:pPr>
        <w:pStyle w:val="33"/>
        <w:numPr>
          <w:ilvl w:val="2"/>
          <w:numId w:val="24"/>
        </w:numPr>
        <w:spacing w:line="360" w:lineRule="auto"/>
        <w:ind w:left="426" w:hanging="426" w:firstLineChars="0"/>
        <w:rPr>
          <w:rFonts w:asciiTheme="minorEastAsia" w:hAnsiTheme="minorEastAsia"/>
          <w:bCs/>
          <w:color w:val="auto"/>
          <w:szCs w:val="21"/>
          <w:highlight w:val="none"/>
        </w:rPr>
      </w:pPr>
      <w:r>
        <w:rPr>
          <w:rFonts w:asciiTheme="minorEastAsia" w:hAnsiTheme="minorEastAsia"/>
          <w:bCs/>
          <w:color w:val="auto"/>
          <w:szCs w:val="21"/>
          <w:highlight w:val="none"/>
        </w:rPr>
        <w:t>遴选文件的</w:t>
      </w:r>
      <w:r>
        <w:rPr>
          <w:rFonts w:hint="eastAsia" w:asciiTheme="minorEastAsia" w:hAnsiTheme="minorEastAsia"/>
          <w:bCs/>
          <w:color w:val="auto"/>
          <w:szCs w:val="21"/>
          <w:highlight w:val="none"/>
        </w:rPr>
        <w:t>澄清或</w:t>
      </w:r>
      <w:r>
        <w:rPr>
          <w:rFonts w:asciiTheme="minorEastAsia" w:hAnsiTheme="minorEastAsia"/>
          <w:bCs/>
          <w:color w:val="auto"/>
          <w:szCs w:val="21"/>
          <w:highlight w:val="none"/>
        </w:rPr>
        <w:t>修改内容作为遴选文件的组成部分，具有约束作用</w:t>
      </w:r>
      <w:r>
        <w:rPr>
          <w:rFonts w:hint="eastAsia" w:asciiTheme="minorEastAsia" w:hAnsiTheme="minorEastAsia"/>
          <w:bCs/>
          <w:color w:val="auto"/>
          <w:szCs w:val="21"/>
          <w:highlight w:val="none"/>
        </w:rPr>
        <w:t>。</w:t>
      </w:r>
      <w:r>
        <w:rPr>
          <w:rFonts w:asciiTheme="minorEastAsia" w:hAnsiTheme="minorEastAsia"/>
          <w:bCs/>
          <w:color w:val="auto"/>
          <w:szCs w:val="21"/>
          <w:highlight w:val="none"/>
        </w:rPr>
        <w:t>当遴选文件、遴选文件的澄清</w:t>
      </w:r>
      <w:r>
        <w:rPr>
          <w:rFonts w:hint="eastAsia" w:asciiTheme="minorEastAsia" w:hAnsiTheme="minorEastAsia"/>
          <w:bCs/>
          <w:color w:val="auto"/>
          <w:szCs w:val="21"/>
          <w:highlight w:val="none"/>
        </w:rPr>
        <w:t>或</w:t>
      </w:r>
      <w:r>
        <w:rPr>
          <w:rFonts w:asciiTheme="minorEastAsia" w:hAnsiTheme="minorEastAsia"/>
          <w:bCs/>
          <w:color w:val="auto"/>
          <w:szCs w:val="21"/>
          <w:highlight w:val="none"/>
        </w:rPr>
        <w:t>修改等在同一内容的表述上不一致时，以最后发出的书面文件为准。</w:t>
      </w:r>
    </w:p>
    <w:p w14:paraId="0B3FF72E">
      <w:pPr>
        <w:pStyle w:val="33"/>
        <w:numPr>
          <w:ilvl w:val="2"/>
          <w:numId w:val="24"/>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评选期间，响应供应商有义务上网查看，公告一经上网发布，即视为送达。</w:t>
      </w:r>
      <w:r>
        <w:rPr>
          <w:rFonts w:asciiTheme="minorEastAsia" w:hAnsiTheme="minorEastAsia"/>
          <w:bCs/>
          <w:color w:val="auto"/>
          <w:szCs w:val="21"/>
          <w:highlight w:val="none"/>
        </w:rPr>
        <w:t>响应供应商应于收到该</w:t>
      </w:r>
      <w:r>
        <w:rPr>
          <w:rFonts w:hint="eastAsia" w:asciiTheme="minorEastAsia" w:hAnsiTheme="minorEastAsia"/>
          <w:bCs/>
          <w:color w:val="auto"/>
          <w:szCs w:val="21"/>
          <w:highlight w:val="none"/>
        </w:rPr>
        <w:t>澄清或</w:t>
      </w:r>
      <w:r>
        <w:rPr>
          <w:rFonts w:asciiTheme="minorEastAsia" w:hAnsiTheme="minorEastAsia"/>
          <w:bCs/>
          <w:color w:val="auto"/>
          <w:szCs w:val="21"/>
          <w:highlight w:val="none"/>
        </w:rPr>
        <w:t>修改文件的</w:t>
      </w:r>
      <w:r>
        <w:rPr>
          <w:rFonts w:hint="eastAsia" w:asciiTheme="minorEastAsia" w:hAnsiTheme="minorEastAsia"/>
          <w:bCs/>
          <w:color w:val="auto"/>
          <w:szCs w:val="21"/>
          <w:highlight w:val="none"/>
        </w:rPr>
        <w:t>二十四小时</w:t>
      </w:r>
      <w:r>
        <w:rPr>
          <w:rFonts w:asciiTheme="minorEastAsia" w:hAnsiTheme="minorEastAsia"/>
          <w:bCs/>
          <w:color w:val="auto"/>
          <w:szCs w:val="21"/>
          <w:highlight w:val="none"/>
        </w:rPr>
        <w:t>内以书面形式给予确认</w:t>
      </w:r>
      <w:r>
        <w:rPr>
          <w:rFonts w:hint="eastAsia" w:asciiTheme="minorEastAsia" w:hAnsiTheme="minorEastAsia"/>
          <w:bCs/>
          <w:color w:val="auto"/>
          <w:szCs w:val="21"/>
          <w:highlight w:val="none"/>
        </w:rPr>
        <w:t>。</w:t>
      </w:r>
    </w:p>
    <w:p w14:paraId="2FFA5D01">
      <w:pPr>
        <w:pStyle w:val="33"/>
        <w:numPr>
          <w:ilvl w:val="0"/>
          <w:numId w:val="23"/>
        </w:numPr>
        <w:spacing w:before="312" w:beforeLines="100" w:line="360" w:lineRule="auto"/>
        <w:ind w:firstLineChars="0"/>
        <w:rPr>
          <w:rFonts w:asciiTheme="minorEastAsia" w:hAnsiTheme="minorEastAsia"/>
          <w:bCs/>
          <w:color w:val="auto"/>
          <w:szCs w:val="21"/>
          <w:highlight w:val="none"/>
        </w:rPr>
      </w:pPr>
      <w:r>
        <w:rPr>
          <w:rFonts w:hint="eastAsia" w:asciiTheme="minorEastAsia" w:hAnsiTheme="minorEastAsia"/>
          <w:b/>
          <w:bCs/>
          <w:color w:val="auto"/>
          <w:sz w:val="24"/>
          <w:szCs w:val="24"/>
          <w:highlight w:val="none"/>
        </w:rPr>
        <w:t>响应文件的编制</w:t>
      </w:r>
    </w:p>
    <w:p w14:paraId="32CEB92B">
      <w:pPr>
        <w:pStyle w:val="33"/>
        <w:numPr>
          <w:ilvl w:val="0"/>
          <w:numId w:val="24"/>
        </w:numPr>
        <w:spacing w:line="360" w:lineRule="auto"/>
        <w:ind w:firstLineChars="0"/>
        <w:rPr>
          <w:rFonts w:asciiTheme="minorEastAsia" w:hAnsiTheme="minorEastAsia"/>
          <w:b/>
          <w:color w:val="auto"/>
          <w:highlight w:val="none"/>
        </w:rPr>
      </w:pPr>
      <w:bookmarkStart w:id="24" w:name="_Toc357676120"/>
      <w:r>
        <w:rPr>
          <w:rFonts w:hint="eastAsia" w:asciiTheme="minorEastAsia" w:hAnsiTheme="minorEastAsia"/>
          <w:b/>
          <w:color w:val="auto"/>
          <w:highlight w:val="none"/>
        </w:rPr>
        <w:t>响应文件的构成</w:t>
      </w:r>
      <w:bookmarkEnd w:id="24"/>
    </w:p>
    <w:p w14:paraId="3FA27D3D">
      <w:pPr>
        <w:pStyle w:val="33"/>
        <w:numPr>
          <w:ilvl w:val="0"/>
          <w:numId w:val="30"/>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响应供应商编写的响应文件，编排顺序参见响应文件格式。</w:t>
      </w:r>
    </w:p>
    <w:p w14:paraId="57AB6619">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响应文件的编写</w:t>
      </w:r>
    </w:p>
    <w:p w14:paraId="6578BE39">
      <w:pPr>
        <w:pStyle w:val="33"/>
        <w:numPr>
          <w:ilvl w:val="0"/>
          <w:numId w:val="31"/>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响应供应商应完整、真实、准确地填写遴选文件中提供的响应函、报价一览表、明细报价表（如适用）以及遴选文件中规定的其它所有内容。</w:t>
      </w:r>
    </w:p>
    <w:p w14:paraId="6426752F">
      <w:pPr>
        <w:pStyle w:val="33"/>
        <w:numPr>
          <w:ilvl w:val="0"/>
          <w:numId w:val="31"/>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响应供应商应当对响应文件进行装订，对未经装订的响应文件可能发生的文件散落或缺损，由此造成的后果和责任由响应供应商承担。</w:t>
      </w:r>
    </w:p>
    <w:p w14:paraId="326A7C2B">
      <w:pPr>
        <w:pStyle w:val="33"/>
        <w:numPr>
          <w:ilvl w:val="0"/>
          <w:numId w:val="31"/>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响应供应商必须对响应文件所提供的全部资料的真实性承担法律责任，并无条件接受采购人对其中任何资料进行核实（核对原件）的要求。</w:t>
      </w:r>
    </w:p>
    <w:p w14:paraId="3A2A4D45">
      <w:pPr>
        <w:pStyle w:val="33"/>
        <w:numPr>
          <w:ilvl w:val="0"/>
          <w:numId w:val="31"/>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如果因为响应供应商的响应文件只填写和提供了本遴选文件要求的部分内容和附件，或没有提供遴选文件中所要求的全部资料及数据，由此造成的后果和责任由响应供应商承担。</w:t>
      </w:r>
    </w:p>
    <w:p w14:paraId="03E32D22">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报价</w:t>
      </w:r>
    </w:p>
    <w:p w14:paraId="3D471564">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响应供应商应按照“第二部分</w:t>
      </w:r>
      <w:r>
        <w:rPr>
          <w:rFonts w:hint="eastAsia" w:asciiTheme="minorEastAsia" w:hAnsiTheme="minorEastAsia"/>
          <w:bCs/>
          <w:color w:val="auto"/>
          <w:szCs w:val="21"/>
          <w:highlight w:val="none"/>
          <w:lang w:val="en-US" w:eastAsia="zh-CN"/>
        </w:rPr>
        <w:t xml:space="preserve">  </w:t>
      </w:r>
      <w:r>
        <w:rPr>
          <w:rFonts w:hint="eastAsia" w:asciiTheme="minorEastAsia" w:hAnsiTheme="minorEastAsia"/>
          <w:bCs/>
          <w:color w:val="auto"/>
          <w:szCs w:val="21"/>
          <w:highlight w:val="none"/>
        </w:rPr>
        <w:t>采购需求”中采购项目服务要求规定的内容、责任范围进行报价。并按《报价一览表》及《明细报价表》（如适用）的要求报出总价和分项价格。</w:t>
      </w:r>
    </w:p>
    <w:p w14:paraId="6B0C8554">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分项报价表内容应包含：</w:t>
      </w:r>
    </w:p>
    <w:p w14:paraId="5A63C5D9">
      <w:pPr>
        <w:pStyle w:val="33"/>
        <w:numPr>
          <w:ilvl w:val="2"/>
          <w:numId w:val="3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遴选文件要求全部货物及服务所需的费用；</w:t>
      </w:r>
    </w:p>
    <w:p w14:paraId="40AA0A0C">
      <w:pPr>
        <w:pStyle w:val="33"/>
        <w:numPr>
          <w:ilvl w:val="2"/>
          <w:numId w:val="3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报价包含履行合同所有相关内容所需的费用；</w:t>
      </w:r>
    </w:p>
    <w:p w14:paraId="56503DA2">
      <w:pPr>
        <w:pStyle w:val="33"/>
        <w:numPr>
          <w:ilvl w:val="2"/>
          <w:numId w:val="3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报价均应包含所有的税费；</w:t>
      </w:r>
    </w:p>
    <w:p w14:paraId="5F59506F">
      <w:pPr>
        <w:pStyle w:val="33"/>
        <w:numPr>
          <w:ilvl w:val="2"/>
          <w:numId w:val="3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其他一切隐含及不可预见的费用。</w:t>
      </w:r>
    </w:p>
    <w:p w14:paraId="006F9156">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报价为本项目内容的总价包干，报价即为合同价，不得在成交后提出任何增加费用要求，响应供应商在响应时应充分考虑相关风险性因素。</w:t>
      </w:r>
    </w:p>
    <w:p w14:paraId="53275001">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响应供应商在成交并签署合同后，服务期限内出现的任何遗漏，均由成交人负责，采购人将不再支付任何费用。</w:t>
      </w:r>
    </w:p>
    <w:p w14:paraId="2635264F">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响应供应商所报的价格在合同执行过程中是固定不变的，不得以任何理由予以变更。任何包含价格调整要求的响应被认为是非实质性响应而予以拒绝。</w:t>
      </w:r>
    </w:p>
    <w:p w14:paraId="600B71E0">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本项目不接受选择性报价，否则将被视为无效响应。</w:t>
      </w:r>
    </w:p>
    <w:p w14:paraId="321C7BA9">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
          <w:bCs/>
          <w:color w:val="auto"/>
          <w:spacing w:val="-6"/>
          <w:szCs w:val="21"/>
          <w:highlight w:val="none"/>
        </w:rPr>
        <w:t>响应供应商的报价高于采购预算或最高单价限价的，该响应供应商的响应文件将被视为非响应性报价作无效响应处理。</w:t>
      </w:r>
    </w:p>
    <w:p w14:paraId="09C0E1B5">
      <w:pPr>
        <w:pStyle w:val="33"/>
        <w:numPr>
          <w:ilvl w:val="0"/>
          <w:numId w:val="32"/>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成交人向采购代理机构交纳成交服务费，成交服务费不在报价中单列。</w:t>
      </w:r>
    </w:p>
    <w:p w14:paraId="479F9207">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响应有效期</w:t>
      </w:r>
    </w:p>
    <w:p w14:paraId="4FB1F600">
      <w:pPr>
        <w:pStyle w:val="33"/>
        <w:numPr>
          <w:ilvl w:val="0"/>
          <w:numId w:val="34"/>
        </w:numPr>
        <w:spacing w:line="360" w:lineRule="auto"/>
        <w:ind w:left="567" w:hanging="567" w:firstLineChars="0"/>
        <w:rPr>
          <w:rFonts w:asciiTheme="minorEastAsia" w:hAnsiTheme="minorEastAsia"/>
          <w:bCs/>
          <w:color w:val="auto"/>
          <w:spacing w:val="-2"/>
          <w:szCs w:val="21"/>
          <w:highlight w:val="none"/>
        </w:rPr>
      </w:pPr>
      <w:r>
        <w:rPr>
          <w:rFonts w:hint="eastAsia" w:asciiTheme="minorEastAsia" w:hAnsiTheme="minorEastAsia"/>
          <w:bCs/>
          <w:color w:val="auto"/>
          <w:spacing w:val="-2"/>
          <w:szCs w:val="21"/>
          <w:highlight w:val="none"/>
        </w:rPr>
        <w:t>响应</w:t>
      </w:r>
      <w:r>
        <w:rPr>
          <w:rFonts w:hint="eastAsia" w:asciiTheme="minorEastAsia" w:hAnsiTheme="minorEastAsia"/>
          <w:color w:val="auto"/>
          <w:highlight w:val="none"/>
        </w:rPr>
        <w:t>有效期自遴选文件规定的</w:t>
      </w:r>
      <w:r>
        <w:rPr>
          <w:rFonts w:hint="eastAsia" w:asciiTheme="minorEastAsia" w:hAnsiTheme="minorEastAsia"/>
          <w:bCs/>
          <w:color w:val="auto"/>
          <w:spacing w:val="-2"/>
          <w:szCs w:val="21"/>
          <w:highlight w:val="none"/>
        </w:rPr>
        <w:t>响应文件</w:t>
      </w:r>
      <w:r>
        <w:rPr>
          <w:rFonts w:hint="eastAsia" w:asciiTheme="minorEastAsia" w:hAnsiTheme="minorEastAsia"/>
          <w:color w:val="auto"/>
          <w:highlight w:val="none"/>
        </w:rPr>
        <w:t>递交截止时间起算</w:t>
      </w:r>
      <w:r>
        <w:rPr>
          <w:rFonts w:hint="eastAsia" w:asciiTheme="minorEastAsia" w:hAnsiTheme="minorEastAsia"/>
          <w:bCs/>
          <w:color w:val="auto"/>
          <w:spacing w:val="-2"/>
          <w:szCs w:val="21"/>
          <w:highlight w:val="none"/>
        </w:rPr>
        <w:t>。响应有效期</w:t>
      </w:r>
      <w:r>
        <w:rPr>
          <w:rFonts w:hint="eastAsia" w:asciiTheme="minorEastAsia" w:hAnsiTheme="minorEastAsia"/>
          <w:color w:val="auto"/>
          <w:highlight w:val="none"/>
        </w:rPr>
        <w:t>比规定时间短</w:t>
      </w:r>
      <w:r>
        <w:rPr>
          <w:rFonts w:hint="eastAsia" w:asciiTheme="minorEastAsia" w:hAnsiTheme="minorEastAsia"/>
          <w:bCs/>
          <w:color w:val="auto"/>
          <w:spacing w:val="-2"/>
          <w:szCs w:val="21"/>
          <w:highlight w:val="none"/>
        </w:rPr>
        <w:t>的响应将被视为非实质性响应，视为无效响应。</w:t>
      </w:r>
    </w:p>
    <w:p w14:paraId="79374792">
      <w:pPr>
        <w:pStyle w:val="33"/>
        <w:numPr>
          <w:ilvl w:val="0"/>
          <w:numId w:val="24"/>
        </w:numPr>
        <w:spacing w:before="312" w:beforeLines="100" w:line="360" w:lineRule="auto"/>
        <w:ind w:firstLineChars="0"/>
        <w:rPr>
          <w:rFonts w:asciiTheme="minorEastAsia" w:hAnsiTheme="minorEastAsia"/>
          <w:b/>
          <w:color w:val="auto"/>
          <w:highlight w:val="none"/>
        </w:rPr>
      </w:pPr>
      <w:bookmarkStart w:id="25" w:name="_Toc357676129"/>
      <w:r>
        <w:rPr>
          <w:rFonts w:hint="eastAsia" w:asciiTheme="minorEastAsia" w:hAnsiTheme="minorEastAsia"/>
          <w:b/>
          <w:color w:val="auto"/>
          <w:highlight w:val="none"/>
        </w:rPr>
        <w:t>响应文件的式样和签署</w:t>
      </w:r>
      <w:bookmarkEnd w:id="25"/>
    </w:p>
    <w:p w14:paraId="58C1A99E">
      <w:pPr>
        <w:pStyle w:val="33"/>
        <w:numPr>
          <w:ilvl w:val="0"/>
          <w:numId w:val="35"/>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文件的正本需打印或用不褪色墨水书写，响应文件要求签名的由法定代表人或经其正式授权的代表签字，响应文件要求盖章的需加盖响应供应商公章，副本可由正本复印而成，与正本具有同等法律效力。授权代表须将以书面形式出具的《法定代表人授权委托书》附在响应文件中。</w:t>
      </w:r>
    </w:p>
    <w:p w14:paraId="1894FCB9">
      <w:pPr>
        <w:pStyle w:val="33"/>
        <w:numPr>
          <w:ilvl w:val="0"/>
          <w:numId w:val="35"/>
        </w:numPr>
        <w:spacing w:line="360" w:lineRule="auto"/>
        <w:ind w:left="567" w:hanging="567" w:firstLineChars="0"/>
        <w:rPr>
          <w:rFonts w:asciiTheme="minorEastAsia" w:hAnsiTheme="minorEastAsia"/>
          <w:color w:val="auto"/>
          <w:highlight w:val="none"/>
        </w:rPr>
      </w:pPr>
      <w:r>
        <w:rPr>
          <w:rFonts w:hint="eastAsia" w:asciiTheme="minorEastAsia" w:hAnsiTheme="minorEastAsia"/>
          <w:bCs/>
          <w:color w:val="auto"/>
          <w:szCs w:val="21"/>
          <w:highlight w:val="none"/>
        </w:rPr>
        <w:t>响应文件中的任何重要的插字、涂改和增删，必须由法定代表人或经其正式授权的代表在旁边签署。</w:t>
      </w:r>
    </w:p>
    <w:p w14:paraId="26B01562">
      <w:pPr>
        <w:pStyle w:val="33"/>
        <w:numPr>
          <w:ilvl w:val="0"/>
          <w:numId w:val="23"/>
        </w:numPr>
        <w:spacing w:before="312" w:beforeLines="100" w:line="360" w:lineRule="auto"/>
        <w:ind w:firstLineChars="0"/>
        <w:rPr>
          <w:rFonts w:asciiTheme="minorEastAsia" w:hAnsiTheme="minorEastAsia"/>
          <w:b/>
          <w:bCs/>
          <w:color w:val="auto"/>
          <w:sz w:val="24"/>
          <w:szCs w:val="24"/>
          <w:highlight w:val="none"/>
        </w:rPr>
      </w:pPr>
      <w:r>
        <w:rPr>
          <w:rFonts w:hint="eastAsia" w:asciiTheme="minorEastAsia" w:hAnsiTheme="minorEastAsia"/>
          <w:b/>
          <w:bCs/>
          <w:color w:val="auto"/>
          <w:sz w:val="24"/>
          <w:szCs w:val="24"/>
          <w:highlight w:val="none"/>
        </w:rPr>
        <w:t>响应文件的递交</w:t>
      </w:r>
    </w:p>
    <w:p w14:paraId="4C3111B7">
      <w:pPr>
        <w:pStyle w:val="33"/>
        <w:numPr>
          <w:ilvl w:val="0"/>
          <w:numId w:val="24"/>
        </w:numPr>
        <w:spacing w:line="360" w:lineRule="auto"/>
        <w:ind w:firstLineChars="0"/>
        <w:rPr>
          <w:rFonts w:asciiTheme="minorEastAsia" w:hAnsiTheme="minorEastAsia"/>
          <w:b/>
          <w:color w:val="auto"/>
          <w:highlight w:val="none"/>
        </w:rPr>
      </w:pPr>
      <w:bookmarkStart w:id="26" w:name="_Toc357676131"/>
      <w:r>
        <w:rPr>
          <w:rFonts w:hint="eastAsia" w:asciiTheme="minorEastAsia" w:hAnsiTheme="minorEastAsia"/>
          <w:b/>
          <w:color w:val="auto"/>
          <w:highlight w:val="none"/>
        </w:rPr>
        <w:t>响应文件的装订、密封和标记</w:t>
      </w:r>
      <w:bookmarkEnd w:id="26"/>
    </w:p>
    <w:p w14:paraId="11816D67">
      <w:pPr>
        <w:pStyle w:val="33"/>
        <w:numPr>
          <w:ilvl w:val="0"/>
          <w:numId w:val="36"/>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响应供应商应当对响应文件进行装订（所有文件均不允许采用活动夹方式装订）。</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338"/>
        <w:gridCol w:w="1455"/>
        <w:gridCol w:w="5280"/>
      </w:tblGrid>
      <w:tr w14:paraId="7F114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6" w:type="pct"/>
            <w:vAlign w:val="center"/>
          </w:tcPr>
          <w:p w14:paraId="2D4ECCAE">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763" w:type="pct"/>
            <w:vAlign w:val="center"/>
          </w:tcPr>
          <w:p w14:paraId="430EF4E5">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文件名称</w:t>
            </w:r>
          </w:p>
        </w:tc>
        <w:tc>
          <w:tcPr>
            <w:tcW w:w="830" w:type="pct"/>
            <w:vAlign w:val="center"/>
          </w:tcPr>
          <w:p w14:paraId="2FD5CC2F">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装订</w:t>
            </w:r>
          </w:p>
        </w:tc>
        <w:tc>
          <w:tcPr>
            <w:tcW w:w="3011" w:type="pct"/>
            <w:vAlign w:val="center"/>
          </w:tcPr>
          <w:p w14:paraId="3806FC7E">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包装</w:t>
            </w:r>
          </w:p>
        </w:tc>
      </w:tr>
      <w:tr w14:paraId="6FA29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555C9F0D">
            <w:pPr>
              <w:spacing w:line="360" w:lineRule="auto"/>
              <w:jc w:val="center"/>
              <w:rPr>
                <w:rFonts w:asciiTheme="minorEastAsia" w:hAnsiTheme="minorEastAsia"/>
                <w:color w:val="auto"/>
                <w:szCs w:val="21"/>
                <w:highlight w:val="none"/>
              </w:rPr>
            </w:pPr>
            <w:r>
              <w:rPr>
                <w:rFonts w:asciiTheme="minorEastAsia" w:hAnsiTheme="minorEastAsia"/>
                <w:color w:val="auto"/>
                <w:szCs w:val="21"/>
                <w:highlight w:val="none"/>
              </w:rPr>
              <w:t>1</w:t>
            </w:r>
          </w:p>
        </w:tc>
        <w:tc>
          <w:tcPr>
            <w:tcW w:w="763" w:type="pct"/>
            <w:vAlign w:val="center"/>
          </w:tcPr>
          <w:p w14:paraId="5D4E945B">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响应文件</w:t>
            </w:r>
          </w:p>
        </w:tc>
        <w:tc>
          <w:tcPr>
            <w:tcW w:w="830" w:type="pct"/>
            <w:vAlign w:val="center"/>
          </w:tcPr>
          <w:p w14:paraId="2A9E50B6">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独立装订</w:t>
            </w:r>
          </w:p>
        </w:tc>
        <w:tc>
          <w:tcPr>
            <w:tcW w:w="3011" w:type="pct"/>
            <w:vAlign w:val="center"/>
          </w:tcPr>
          <w:p w14:paraId="168B0DF1">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正本、副本一起密封包装，其中正本一份、副本五份</w:t>
            </w:r>
          </w:p>
        </w:tc>
      </w:tr>
      <w:tr w14:paraId="592A5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4B704AE0">
            <w:pPr>
              <w:spacing w:line="360" w:lineRule="auto"/>
              <w:jc w:val="center"/>
              <w:rPr>
                <w:rFonts w:asciiTheme="minorEastAsia" w:hAnsiTheme="minorEastAsia"/>
                <w:color w:val="auto"/>
                <w:szCs w:val="21"/>
                <w:highlight w:val="none"/>
              </w:rPr>
            </w:pPr>
            <w:r>
              <w:rPr>
                <w:rFonts w:asciiTheme="minorEastAsia" w:hAnsiTheme="minorEastAsia"/>
                <w:color w:val="auto"/>
                <w:szCs w:val="21"/>
                <w:highlight w:val="none"/>
              </w:rPr>
              <w:t>2</w:t>
            </w:r>
          </w:p>
        </w:tc>
        <w:tc>
          <w:tcPr>
            <w:tcW w:w="763" w:type="pct"/>
            <w:vAlign w:val="center"/>
          </w:tcPr>
          <w:p w14:paraId="2DF55768">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响应信封</w:t>
            </w:r>
          </w:p>
        </w:tc>
        <w:tc>
          <w:tcPr>
            <w:tcW w:w="830" w:type="pct"/>
            <w:vAlign w:val="center"/>
          </w:tcPr>
          <w:p w14:paraId="3826F711">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独立装订</w:t>
            </w:r>
          </w:p>
        </w:tc>
        <w:tc>
          <w:tcPr>
            <w:tcW w:w="3011" w:type="pct"/>
            <w:vAlign w:val="center"/>
          </w:tcPr>
          <w:p w14:paraId="49E10930">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单独密封包装</w:t>
            </w:r>
          </w:p>
        </w:tc>
      </w:tr>
    </w:tbl>
    <w:p w14:paraId="477BE3C9">
      <w:pPr>
        <w:pStyle w:val="33"/>
        <w:numPr>
          <w:ilvl w:val="0"/>
          <w:numId w:val="36"/>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响应供应商应将响应函、报价一览表、明细报价表（如适用）、法定代表人身份证明书或法定代表人授权委托书一起密封提交，并在信封上标明“</w:t>
      </w:r>
      <w:r>
        <w:rPr>
          <w:rFonts w:hint="eastAsia" w:asciiTheme="minorEastAsia" w:hAnsiTheme="minorEastAsia"/>
          <w:bCs/>
          <w:color w:val="auto"/>
          <w:szCs w:val="21"/>
          <w:highlight w:val="none"/>
          <w:lang w:val="en-US" w:eastAsia="zh-CN"/>
        </w:rPr>
        <w:t>响应</w:t>
      </w:r>
      <w:r>
        <w:rPr>
          <w:rFonts w:hint="eastAsia" w:asciiTheme="minorEastAsia" w:hAnsiTheme="minorEastAsia"/>
          <w:bCs/>
          <w:color w:val="auto"/>
          <w:szCs w:val="21"/>
          <w:highlight w:val="none"/>
        </w:rPr>
        <w:t>信封”的字样。</w:t>
      </w:r>
    </w:p>
    <w:p w14:paraId="76DE6032">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响应文件包装密封</w:t>
      </w:r>
    </w:p>
    <w:p w14:paraId="4C1D579F">
      <w:pPr>
        <w:pStyle w:val="33"/>
        <w:numPr>
          <w:ilvl w:val="0"/>
          <w:numId w:val="37"/>
        </w:numPr>
        <w:tabs>
          <w:tab w:val="left" w:pos="567"/>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响应供应商应将响应文件密封包装；</w:t>
      </w:r>
    </w:p>
    <w:p w14:paraId="1CB75989">
      <w:pPr>
        <w:pStyle w:val="33"/>
        <w:numPr>
          <w:ilvl w:val="0"/>
          <w:numId w:val="37"/>
        </w:numPr>
        <w:tabs>
          <w:tab w:val="left" w:pos="567"/>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不足以造成响应文件可从外包装内散出而导致响应文件泄密的，不认定为响应文件未密封。</w:t>
      </w:r>
    </w:p>
    <w:p w14:paraId="40F2B064">
      <w:pPr>
        <w:pStyle w:val="33"/>
        <w:numPr>
          <w:ilvl w:val="0"/>
          <w:numId w:val="37"/>
        </w:numPr>
        <w:tabs>
          <w:tab w:val="left" w:pos="567"/>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包装封套均应注明：</w:t>
      </w:r>
    </w:p>
    <w:p w14:paraId="3965BB14">
      <w:pPr>
        <w:pStyle w:val="33"/>
        <w:spacing w:line="360" w:lineRule="auto"/>
        <w:ind w:left="567" w:firstLine="0" w:firstLineChars="0"/>
        <w:rPr>
          <w:rFonts w:asciiTheme="minorEastAsia" w:hAnsiTheme="minorEastAsia"/>
          <w:color w:val="auto"/>
          <w:szCs w:val="21"/>
          <w:highlight w:val="none"/>
          <w:u w:val="single"/>
        </w:rPr>
      </w:pPr>
      <w:r>
        <w:rPr>
          <w:rFonts w:hint="eastAsia" w:asciiTheme="minorEastAsia" w:hAnsiTheme="minorEastAsia"/>
          <w:bCs/>
          <w:color w:val="auto"/>
          <w:szCs w:val="21"/>
          <w:highlight w:val="none"/>
        </w:rPr>
        <w:t>收件人名称：</w:t>
      </w:r>
      <w:r>
        <w:rPr>
          <w:rFonts w:asciiTheme="minorEastAsia" w:hAnsiTheme="minorEastAsia"/>
          <w:color w:val="auto"/>
          <w:szCs w:val="21"/>
          <w:highlight w:val="none"/>
          <w:u w:val="single"/>
        </w:rPr>
        <w:t xml:space="preserve">广东智汇城市招标采购有限公司         </w:t>
      </w:r>
    </w:p>
    <w:p w14:paraId="0EC6C470">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color w:val="auto"/>
          <w:szCs w:val="21"/>
          <w:highlight w:val="none"/>
        </w:rPr>
        <w:t>响应供应商名称：</w:t>
      </w:r>
      <w:r>
        <w:rPr>
          <w:rFonts w:asciiTheme="minorEastAsia" w:hAnsiTheme="minorEastAsia"/>
          <w:color w:val="auto"/>
          <w:szCs w:val="21"/>
          <w:highlight w:val="none"/>
          <w:u w:val="single"/>
        </w:rPr>
        <w:t xml:space="preserve">                                 </w:t>
      </w:r>
    </w:p>
    <w:p w14:paraId="7A6AABD0">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项目名称：</w:t>
      </w:r>
      <w:r>
        <w:rPr>
          <w:rFonts w:asciiTheme="minorEastAsia" w:hAnsiTheme="minorEastAsia"/>
          <w:bCs/>
          <w:color w:val="auto"/>
          <w:szCs w:val="21"/>
          <w:highlight w:val="none"/>
          <w:u w:val="single"/>
        </w:rPr>
        <w:t xml:space="preserve">        （详见邀请函）         </w:t>
      </w:r>
    </w:p>
    <w:p w14:paraId="694E546E">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评选编号：</w:t>
      </w:r>
      <w:r>
        <w:rPr>
          <w:rFonts w:asciiTheme="minorEastAsia" w:hAnsiTheme="minorEastAsia"/>
          <w:bCs/>
          <w:color w:val="auto"/>
          <w:szCs w:val="21"/>
          <w:highlight w:val="none"/>
          <w:u w:val="single"/>
        </w:rPr>
        <w:t xml:space="preserve">        （详见邀请函）         </w:t>
      </w:r>
    </w:p>
    <w:p w14:paraId="7D09E230">
      <w:pPr>
        <w:pStyle w:val="33"/>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注明：“</w:t>
      </w:r>
      <w:r>
        <w:rPr>
          <w:rFonts w:hint="eastAsia" w:asciiTheme="minorEastAsia" w:hAnsiTheme="minorEastAsia"/>
          <w:bCs/>
          <w:color w:val="auto"/>
          <w:szCs w:val="21"/>
          <w:highlight w:val="none"/>
          <w:u w:val="single"/>
        </w:rPr>
        <w:t>于</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年</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月</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日北京时间</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u w:val="single"/>
        </w:rPr>
        <w:t xml:space="preserve"> </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rPr>
        <w:t>（详见邀请函）之前不得启封”的字样。</w:t>
      </w:r>
    </w:p>
    <w:p w14:paraId="7F3750A8">
      <w:pPr>
        <w:pStyle w:val="33"/>
        <w:numPr>
          <w:ilvl w:val="0"/>
          <w:numId w:val="37"/>
        </w:numPr>
        <w:tabs>
          <w:tab w:val="left" w:pos="567"/>
        </w:tabs>
        <w:spacing w:line="360" w:lineRule="auto"/>
        <w:ind w:left="567" w:hanging="567" w:firstLineChars="0"/>
        <w:rPr>
          <w:rFonts w:asciiTheme="minorEastAsia" w:hAnsiTheme="minorEastAsia"/>
          <w:bCs/>
          <w:color w:val="auto"/>
          <w:spacing w:val="-4"/>
          <w:szCs w:val="21"/>
          <w:highlight w:val="none"/>
        </w:rPr>
      </w:pPr>
      <w:r>
        <w:rPr>
          <w:rFonts w:hint="eastAsia" w:asciiTheme="minorEastAsia" w:hAnsiTheme="minorEastAsia"/>
          <w:bCs/>
          <w:color w:val="auto"/>
          <w:spacing w:val="-4"/>
          <w:szCs w:val="21"/>
          <w:highlight w:val="none"/>
        </w:rPr>
        <w:t>如果未按本须知上款要求加写标记和密封，采购代理机构对误投或提前启封概不负责。</w:t>
      </w:r>
    </w:p>
    <w:p w14:paraId="081E3BBD">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提交响应</w:t>
      </w:r>
      <w:r>
        <w:rPr>
          <w:rFonts w:asciiTheme="minorEastAsia" w:hAnsiTheme="minorEastAsia"/>
          <w:b/>
          <w:color w:val="auto"/>
          <w:highlight w:val="none"/>
        </w:rPr>
        <w:t>文件</w:t>
      </w:r>
      <w:r>
        <w:rPr>
          <w:rFonts w:hint="eastAsia" w:asciiTheme="minorEastAsia" w:hAnsiTheme="minorEastAsia"/>
          <w:b/>
          <w:color w:val="auto"/>
          <w:highlight w:val="none"/>
        </w:rPr>
        <w:t>截止期</w:t>
      </w:r>
    </w:p>
    <w:p w14:paraId="0AE67B22">
      <w:pPr>
        <w:pStyle w:val="33"/>
        <w:numPr>
          <w:ilvl w:val="0"/>
          <w:numId w:val="3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响应供应商应在不迟于</w:t>
      </w:r>
      <w:r>
        <w:rPr>
          <w:rFonts w:hint="eastAsia" w:asciiTheme="minorEastAsia" w:hAnsiTheme="minorEastAsia"/>
          <w:b/>
          <w:bCs/>
          <w:color w:val="auto"/>
          <w:szCs w:val="21"/>
          <w:highlight w:val="none"/>
          <w:u w:val="single"/>
        </w:rPr>
        <w:t>邀请函</w:t>
      </w:r>
      <w:r>
        <w:rPr>
          <w:rFonts w:hint="eastAsia" w:asciiTheme="minorEastAsia" w:hAnsiTheme="minorEastAsia"/>
          <w:bCs/>
          <w:color w:val="auto"/>
          <w:szCs w:val="21"/>
          <w:highlight w:val="none"/>
        </w:rPr>
        <w:t>中规定的截止日期和时间将响应文件递交至采购代理机构，递交地点应是</w:t>
      </w:r>
      <w:r>
        <w:rPr>
          <w:rFonts w:hint="eastAsia" w:asciiTheme="minorEastAsia" w:hAnsiTheme="minorEastAsia"/>
          <w:b/>
          <w:bCs/>
          <w:color w:val="auto"/>
          <w:szCs w:val="21"/>
          <w:highlight w:val="none"/>
          <w:u w:val="single"/>
        </w:rPr>
        <w:t>邀请函</w:t>
      </w:r>
      <w:r>
        <w:rPr>
          <w:rFonts w:hint="eastAsia" w:asciiTheme="minorEastAsia" w:hAnsiTheme="minorEastAsia"/>
          <w:bCs/>
          <w:color w:val="auto"/>
          <w:szCs w:val="21"/>
          <w:highlight w:val="none"/>
        </w:rPr>
        <w:t>中指明的地址。</w:t>
      </w:r>
    </w:p>
    <w:p w14:paraId="470E870A">
      <w:pPr>
        <w:pStyle w:val="33"/>
        <w:numPr>
          <w:ilvl w:val="0"/>
          <w:numId w:val="38"/>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采购代理机构将拒绝在规定的响应截止期后收到的任何响应文件。</w:t>
      </w:r>
    </w:p>
    <w:p w14:paraId="135F739C">
      <w:pPr>
        <w:pStyle w:val="33"/>
        <w:numPr>
          <w:ilvl w:val="0"/>
          <w:numId w:val="23"/>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开标与评审准则</w:t>
      </w:r>
    </w:p>
    <w:p w14:paraId="4FE2ED81">
      <w:pPr>
        <w:pStyle w:val="33"/>
        <w:numPr>
          <w:ilvl w:val="0"/>
          <w:numId w:val="24"/>
        </w:numPr>
        <w:spacing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开标</w:t>
      </w:r>
    </w:p>
    <w:p w14:paraId="4FBE52CB">
      <w:pPr>
        <w:pStyle w:val="33"/>
        <w:numPr>
          <w:ilvl w:val="0"/>
          <w:numId w:val="39"/>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采购代理机构按</w:t>
      </w:r>
      <w:r>
        <w:rPr>
          <w:rFonts w:hint="eastAsia" w:asciiTheme="minorEastAsia" w:hAnsiTheme="minorEastAsia"/>
          <w:b/>
          <w:bCs/>
          <w:color w:val="auto"/>
          <w:szCs w:val="21"/>
          <w:highlight w:val="none"/>
          <w:u w:val="single"/>
        </w:rPr>
        <w:t>邀请函</w:t>
      </w:r>
      <w:r>
        <w:rPr>
          <w:rFonts w:hint="eastAsia" w:asciiTheme="minorEastAsia" w:hAnsiTheme="minorEastAsia"/>
          <w:bCs/>
          <w:color w:val="auto"/>
          <w:szCs w:val="21"/>
          <w:highlight w:val="none"/>
        </w:rPr>
        <w:t>中规定的日期、时间和地点组织公开开标。开标时邀请所有响应供应商代表参加。参加开标的法定代表人或其授权代表携带有效身份证签名报到以证明其出席。</w:t>
      </w:r>
    </w:p>
    <w:p w14:paraId="537B02EC">
      <w:pPr>
        <w:pStyle w:val="33"/>
        <w:numPr>
          <w:ilvl w:val="0"/>
          <w:numId w:val="39"/>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响应供应商不足</w:t>
      </w:r>
      <w:r>
        <w:rPr>
          <w:rFonts w:asciiTheme="minorEastAsia" w:hAnsiTheme="minorEastAsia"/>
          <w:bCs/>
          <w:color w:val="auto"/>
          <w:szCs w:val="21"/>
          <w:highlight w:val="none"/>
        </w:rPr>
        <w:t>3家的，不得开标。</w:t>
      </w:r>
    </w:p>
    <w:p w14:paraId="312BF505">
      <w:pPr>
        <w:pStyle w:val="33"/>
        <w:numPr>
          <w:ilvl w:val="0"/>
          <w:numId w:val="39"/>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开标过程应当由采购人或者采购代理机构负责记录，由参加开标的各响应供应商代表和相关工作人员签字确认。</w:t>
      </w:r>
    </w:p>
    <w:p w14:paraId="7E63A01F">
      <w:pPr>
        <w:pStyle w:val="33"/>
        <w:numPr>
          <w:ilvl w:val="0"/>
          <w:numId w:val="39"/>
        </w:numPr>
        <w:tabs>
          <w:tab w:val="left" w:pos="709"/>
        </w:tabs>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响应供应商未参加开标的，视同认可开标结果。</w:t>
      </w:r>
    </w:p>
    <w:p w14:paraId="4F02C743">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评审委员会和评审方法</w:t>
      </w:r>
    </w:p>
    <w:p w14:paraId="38A334E0">
      <w:pPr>
        <w:pStyle w:val="33"/>
        <w:numPr>
          <w:ilvl w:val="0"/>
          <w:numId w:val="40"/>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评审由评审委员会负责。</w:t>
      </w:r>
    </w:p>
    <w:p w14:paraId="68303F8D">
      <w:pPr>
        <w:pStyle w:val="33"/>
        <w:numPr>
          <w:ilvl w:val="0"/>
          <w:numId w:val="40"/>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评审委员会由采购人代表组成，成员人数应为</w:t>
      </w:r>
      <w:r>
        <w:rPr>
          <w:rFonts w:asciiTheme="minorEastAsia" w:hAnsiTheme="minorEastAsia"/>
          <w:b/>
          <w:color w:val="auto"/>
          <w:szCs w:val="21"/>
          <w:highlight w:val="none"/>
          <w:u w:val="single"/>
        </w:rPr>
        <w:t>3</w:t>
      </w:r>
      <w:r>
        <w:rPr>
          <w:rFonts w:hint="eastAsia" w:asciiTheme="minorEastAsia" w:hAnsiTheme="minorEastAsia"/>
          <w:b/>
          <w:color w:val="auto"/>
          <w:szCs w:val="21"/>
          <w:highlight w:val="none"/>
          <w:u w:val="single"/>
        </w:rPr>
        <w:t>人</w:t>
      </w:r>
      <w:r>
        <w:rPr>
          <w:rFonts w:hint="eastAsia" w:asciiTheme="minorEastAsia" w:hAnsiTheme="minorEastAsia"/>
          <w:bCs/>
          <w:color w:val="auto"/>
          <w:szCs w:val="21"/>
          <w:highlight w:val="none"/>
        </w:rPr>
        <w:t>。</w:t>
      </w:r>
    </w:p>
    <w:p w14:paraId="1E02FDAF">
      <w:pPr>
        <w:pStyle w:val="33"/>
        <w:numPr>
          <w:ilvl w:val="0"/>
          <w:numId w:val="40"/>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评审委员会将按照遴选文件确定的评审方法进行评审。评审委员会对响应文件的评审分为符合性检查和商务评审、技术评审、价格评审。</w:t>
      </w:r>
    </w:p>
    <w:p w14:paraId="73CAE6E8">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响应文件的澄清</w:t>
      </w:r>
    </w:p>
    <w:p w14:paraId="4A09454C">
      <w:pPr>
        <w:spacing w:line="360" w:lineRule="auto"/>
        <w:rPr>
          <w:rFonts w:asciiTheme="minorEastAsia" w:hAnsiTheme="minorEastAsia"/>
          <w:bCs/>
          <w:color w:val="auto"/>
          <w:szCs w:val="21"/>
          <w:highlight w:val="none"/>
        </w:rPr>
      </w:pPr>
      <w:r>
        <w:rPr>
          <w:rFonts w:hint="eastAsia" w:asciiTheme="minorEastAsia" w:hAnsiTheme="minorEastAsia"/>
          <w:bCs/>
          <w:color w:val="auto"/>
          <w:szCs w:val="21"/>
          <w:highlight w:val="none"/>
        </w:rPr>
        <w:t>1</w:t>
      </w:r>
      <w:r>
        <w:rPr>
          <w:rFonts w:asciiTheme="minorEastAsia" w:hAnsiTheme="minorEastAsia"/>
          <w:bCs/>
          <w:color w:val="auto"/>
          <w:szCs w:val="21"/>
          <w:highlight w:val="none"/>
        </w:rPr>
        <w:t xml:space="preserve">8.1 </w:t>
      </w:r>
      <w:r>
        <w:rPr>
          <w:rFonts w:hint="eastAsia" w:asciiTheme="minorEastAsia" w:hAnsiTheme="minorEastAsia"/>
          <w:bCs/>
          <w:color w:val="auto"/>
          <w:szCs w:val="21"/>
          <w:highlight w:val="none"/>
        </w:rPr>
        <w:t>评审期间，对于响应文件中含义不明确、同类问题表述不一致或者有明显文字和计算错误的内容，评审委员会以书面的形式要求响应供应商作出必要的澄清、说明或者补正。</w:t>
      </w:r>
    </w:p>
    <w:p w14:paraId="60B4478E">
      <w:pPr>
        <w:spacing w:line="360" w:lineRule="auto"/>
        <w:rPr>
          <w:rFonts w:asciiTheme="minorEastAsia" w:hAnsiTheme="minorEastAsia"/>
          <w:bCs/>
          <w:color w:val="auto"/>
          <w:szCs w:val="21"/>
          <w:highlight w:val="none"/>
        </w:rPr>
      </w:pPr>
      <w:r>
        <w:rPr>
          <w:rFonts w:hint="eastAsia" w:asciiTheme="minorEastAsia" w:hAnsiTheme="minorEastAsia"/>
          <w:bCs/>
          <w:color w:val="auto"/>
          <w:szCs w:val="21"/>
          <w:highlight w:val="none"/>
        </w:rPr>
        <w:t>1</w:t>
      </w:r>
      <w:r>
        <w:rPr>
          <w:rFonts w:asciiTheme="minorEastAsia" w:hAnsiTheme="minorEastAsia"/>
          <w:bCs/>
          <w:color w:val="auto"/>
          <w:szCs w:val="21"/>
          <w:highlight w:val="none"/>
        </w:rPr>
        <w:t xml:space="preserve">8.2 </w:t>
      </w:r>
      <w:r>
        <w:rPr>
          <w:rFonts w:hint="eastAsia" w:asciiTheme="minorEastAsia" w:hAnsiTheme="minorEastAsia"/>
          <w:bCs/>
          <w:color w:val="auto"/>
          <w:szCs w:val="21"/>
          <w:highlight w:val="none"/>
        </w:rPr>
        <w:t>响应供应商的澄清、说明或者补正采用书面形式，并加盖公章，或者由法定代表人或其授权的代表签字。响应供应商的澄清、说明或者补正不得超出响应文件的范围或者改变响应文件的实质性内容。</w:t>
      </w:r>
    </w:p>
    <w:p w14:paraId="7F29EF58">
      <w:pPr>
        <w:spacing w:line="360" w:lineRule="auto"/>
        <w:rPr>
          <w:rFonts w:asciiTheme="minorEastAsia" w:hAnsiTheme="minorEastAsia"/>
          <w:bCs/>
          <w:color w:val="auto"/>
          <w:szCs w:val="21"/>
          <w:highlight w:val="none"/>
        </w:rPr>
      </w:pPr>
      <w:r>
        <w:rPr>
          <w:rFonts w:hint="eastAsia" w:asciiTheme="minorEastAsia" w:hAnsiTheme="minorEastAsia"/>
          <w:bCs/>
          <w:color w:val="auto"/>
          <w:szCs w:val="21"/>
          <w:highlight w:val="none"/>
        </w:rPr>
        <w:t>1</w:t>
      </w:r>
      <w:r>
        <w:rPr>
          <w:rFonts w:asciiTheme="minorEastAsia" w:hAnsiTheme="minorEastAsia"/>
          <w:bCs/>
          <w:color w:val="auto"/>
          <w:szCs w:val="21"/>
          <w:highlight w:val="none"/>
        </w:rPr>
        <w:t xml:space="preserve">8.3 </w:t>
      </w:r>
      <w:r>
        <w:rPr>
          <w:rFonts w:hint="eastAsia" w:asciiTheme="minorEastAsia" w:hAnsiTheme="minorEastAsia"/>
          <w:bCs/>
          <w:color w:val="auto"/>
          <w:szCs w:val="21"/>
          <w:highlight w:val="none"/>
        </w:rPr>
        <w:t>响应供应商的澄清文件是其响应文件的组成部分。</w:t>
      </w:r>
    </w:p>
    <w:p w14:paraId="06CFFE3B">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rPr>
        <w:t>询问、质疑</w:t>
      </w:r>
    </w:p>
    <w:p w14:paraId="7458C944">
      <w:pPr>
        <w:pStyle w:val="33"/>
        <w:numPr>
          <w:ilvl w:val="0"/>
          <w:numId w:val="41"/>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 xml:space="preserve"> 询问</w:t>
      </w:r>
    </w:p>
    <w:p w14:paraId="0D2E1983">
      <w:pPr>
        <w:pStyle w:val="33"/>
        <w:numPr>
          <w:ilvl w:val="2"/>
          <w:numId w:val="42"/>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响应供应商对政府采购活动事项有疑问的，可以向采购人或者采购代理机构提出询问，询问可以口头方式提出，也可以书面方式提出。</w:t>
      </w:r>
    </w:p>
    <w:p w14:paraId="3C9567F8">
      <w:pPr>
        <w:pStyle w:val="33"/>
        <w:numPr>
          <w:ilvl w:val="2"/>
          <w:numId w:val="42"/>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如采用书面方式提出询问，响应供应商为自然人的，询问函应当由本人签字；响应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AC26378">
      <w:pPr>
        <w:pStyle w:val="33"/>
        <w:numPr>
          <w:ilvl w:val="2"/>
          <w:numId w:val="42"/>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采购人或者采购代理机构在三个工作日内对响应供应商依法提出的询问作出答复。</w:t>
      </w:r>
    </w:p>
    <w:p w14:paraId="1E6ECC49">
      <w:pPr>
        <w:pStyle w:val="33"/>
        <w:numPr>
          <w:ilvl w:val="0"/>
          <w:numId w:val="41"/>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 xml:space="preserve"> 质疑</w:t>
      </w:r>
    </w:p>
    <w:p w14:paraId="1B9FD042">
      <w:pPr>
        <w:pStyle w:val="33"/>
        <w:numPr>
          <w:ilvl w:val="2"/>
          <w:numId w:val="43"/>
        </w:numPr>
        <w:spacing w:line="360" w:lineRule="auto"/>
        <w:ind w:firstLineChars="0"/>
        <w:rPr>
          <w:rFonts w:asciiTheme="minorEastAsia" w:hAnsiTheme="minorEastAsia"/>
          <w:bCs/>
          <w:color w:val="auto"/>
          <w:szCs w:val="21"/>
          <w:highlight w:val="none"/>
        </w:rPr>
      </w:pPr>
      <w:r>
        <w:rPr>
          <w:rFonts w:hint="eastAsia" w:cs="宋体" w:asciiTheme="minorEastAsia" w:hAnsiTheme="minorEastAsia"/>
          <w:color w:val="auto"/>
          <w:kern w:val="0"/>
          <w:szCs w:val="21"/>
          <w:highlight w:val="none"/>
        </w:rPr>
        <w:t>响应供应商认为遴选文件、采购过程、中标或者成交结果使自己的权益受到损害的，可以在知道或者应知其权益受到损害之日起7个工作日内，以书面形式向采购人、采购代理机构提出质疑。</w:t>
      </w:r>
    </w:p>
    <w:p w14:paraId="5D052F3E">
      <w:pPr>
        <w:pStyle w:val="33"/>
        <w:numPr>
          <w:ilvl w:val="2"/>
          <w:numId w:val="4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提出质疑的响应供应商应当是参与所质疑项目采购活动的响应供应商。</w:t>
      </w:r>
    </w:p>
    <w:p w14:paraId="2AF2515D">
      <w:pPr>
        <w:pStyle w:val="33"/>
        <w:numPr>
          <w:ilvl w:val="0"/>
          <w:numId w:val="41"/>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 xml:space="preserve"> 提交要求：</w:t>
      </w:r>
    </w:p>
    <w:p w14:paraId="2D282F95">
      <w:pPr>
        <w:pStyle w:val="33"/>
        <w:numPr>
          <w:ilvl w:val="2"/>
          <w:numId w:val="44"/>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以书面形式向采购人或者采购代理机构一次性提出针对同一采购程序环节的质疑。</w:t>
      </w:r>
    </w:p>
    <w:p w14:paraId="79B635F3">
      <w:pPr>
        <w:pStyle w:val="33"/>
        <w:numPr>
          <w:ilvl w:val="2"/>
          <w:numId w:val="44"/>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pacing w:val="-4"/>
          <w:szCs w:val="21"/>
          <w:highlight w:val="none"/>
        </w:rPr>
        <w:t>以联合体形式参加政府采购活动的，其质疑应当由组成联合体的所有响应供应商共同提出</w:t>
      </w:r>
      <w:r>
        <w:rPr>
          <w:rFonts w:hint="eastAsia" w:asciiTheme="minorEastAsia" w:hAnsiTheme="minorEastAsia"/>
          <w:bCs/>
          <w:color w:val="auto"/>
          <w:szCs w:val="21"/>
          <w:highlight w:val="none"/>
        </w:rPr>
        <w:t>。</w:t>
      </w:r>
    </w:p>
    <w:p w14:paraId="5E40AEC6">
      <w:pPr>
        <w:pStyle w:val="33"/>
        <w:numPr>
          <w:ilvl w:val="2"/>
          <w:numId w:val="44"/>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质疑函内容：应包括响应供应商的姓名或者名称、地址、邮编、联系人及联系电话；质疑项目的名称及编号；具体且明确的质疑事项和与质疑事项相关的请求；事实依据、必要的法律依据、提出质疑的日期。响应供应商为自然人的，质疑函应当由本人签字；响应供应商为法人或者其他组织的，应当由法定代表人、主要负责人或授权代表签字或者盖章，并加盖公章。响应响应供应商递交质疑函时非法定代表人亲自办理的需提供法定代表人授权委托书（应载明授权代表的姓名或者名称、代理事项、具体权限、期限和相关事项）及授权代表身份证复印件。</w:t>
      </w:r>
    </w:p>
    <w:p w14:paraId="727DD9BD">
      <w:pPr>
        <w:pStyle w:val="33"/>
        <w:numPr>
          <w:ilvl w:val="2"/>
          <w:numId w:val="44"/>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响应供应商捏造事实、提供虚假材料或者以非法手段取得证明材料不能作为质疑的证明材料。采购人或者采购代理机构在收到响应供应商的书面质疑后</w:t>
      </w:r>
      <w:r>
        <w:rPr>
          <w:rFonts w:asciiTheme="minorEastAsia" w:hAnsiTheme="minorEastAsia"/>
          <w:bCs/>
          <w:color w:val="auto"/>
          <w:szCs w:val="21"/>
          <w:highlight w:val="none"/>
        </w:rPr>
        <w:t>7个工作日内作出答复，并以书面形式通知质疑响应供应商和其他有关响应供应商，但答复内容不涉及商业秘密。质疑响应供应商须提供相关证明材料，包括但不限于权益受损害的情况说明及受损害的原因、证据内容等，并对质疑内容的真实性承担责任。</w:t>
      </w:r>
    </w:p>
    <w:p w14:paraId="61171282">
      <w:pPr>
        <w:pStyle w:val="33"/>
        <w:numPr>
          <w:ilvl w:val="2"/>
          <w:numId w:val="44"/>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采购人或采购代理机构接收以书面形式递交的质疑函，接收质疑函的联系人、联系方式和通讯地址：</w:t>
      </w:r>
    </w:p>
    <w:p w14:paraId="4D2DDFF7">
      <w:pPr>
        <w:rPr>
          <w:rFonts w:asciiTheme="minorEastAsia" w:hAnsiTheme="minorEastAsia"/>
          <w:color w:val="auto"/>
          <w:szCs w:val="21"/>
          <w:highlight w:val="none"/>
        </w:rPr>
      </w:pPr>
      <w:r>
        <w:rPr>
          <w:rFonts w:hint="eastAsia" w:asciiTheme="minorEastAsia" w:hAnsiTheme="minorEastAsia"/>
          <w:color w:val="auto"/>
          <w:szCs w:val="21"/>
          <w:highlight w:val="none"/>
        </w:rPr>
        <w:t>联</w:t>
      </w:r>
      <w:r>
        <w:rPr>
          <w:rFonts w:hint="eastAsia" w:asciiTheme="minorEastAsia" w:hAnsiTheme="minorEastAsia"/>
          <w:color w:val="auto"/>
          <w:szCs w:val="21"/>
          <w:highlight w:val="none"/>
          <w:lang w:val="en-US" w:eastAsia="zh-CN"/>
        </w:rPr>
        <w:t xml:space="preserve"> </w:t>
      </w:r>
      <w:r>
        <w:rPr>
          <w:rFonts w:hint="eastAsia" w:asciiTheme="minorEastAsia" w:hAnsiTheme="minorEastAsia"/>
          <w:color w:val="auto"/>
          <w:szCs w:val="21"/>
          <w:highlight w:val="none"/>
        </w:rPr>
        <w:t>系</w:t>
      </w:r>
      <w:r>
        <w:rPr>
          <w:rFonts w:hint="eastAsia" w:asciiTheme="minorEastAsia" w:hAnsiTheme="minorEastAsia"/>
          <w:color w:val="auto"/>
          <w:szCs w:val="21"/>
          <w:highlight w:val="none"/>
          <w:lang w:val="en-US" w:eastAsia="zh-CN"/>
        </w:rPr>
        <w:t xml:space="preserve"> </w:t>
      </w:r>
      <w:r>
        <w:rPr>
          <w:rFonts w:hint="eastAsia" w:asciiTheme="minorEastAsia" w:hAnsiTheme="minorEastAsia"/>
          <w:color w:val="auto"/>
          <w:szCs w:val="21"/>
          <w:highlight w:val="none"/>
        </w:rPr>
        <w:t>人：黄小姐</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联系电话：0769</w:t>
      </w:r>
      <w:r>
        <w:rPr>
          <w:rFonts w:hint="eastAsia" w:asciiTheme="minorEastAsia" w:hAnsiTheme="minorEastAsia"/>
          <w:color w:val="auto"/>
          <w:szCs w:val="21"/>
          <w:highlight w:val="none"/>
          <w:lang w:val="en-US" w:eastAsia="zh-CN"/>
        </w:rPr>
        <w:t>-</w:t>
      </w:r>
      <w:r>
        <w:rPr>
          <w:rFonts w:hint="eastAsia" w:asciiTheme="minorEastAsia" w:hAnsiTheme="minorEastAsia"/>
          <w:color w:val="auto"/>
          <w:szCs w:val="21"/>
          <w:highlight w:val="none"/>
        </w:rPr>
        <w:t>22367009</w:t>
      </w:r>
    </w:p>
    <w:p w14:paraId="73F5DF4B">
      <w:pPr>
        <w:spacing w:line="360" w:lineRule="auto"/>
        <w:rPr>
          <w:rFonts w:hint="eastAsia" w:asciiTheme="minorEastAsia" w:hAnsiTheme="minorEastAsia" w:eastAsiaTheme="minorEastAsia"/>
          <w:color w:val="auto"/>
          <w:szCs w:val="21"/>
          <w:highlight w:val="none"/>
          <w:lang w:eastAsia="zh-CN"/>
        </w:rPr>
      </w:pPr>
      <w:r>
        <w:rPr>
          <w:rFonts w:hint="eastAsia" w:asciiTheme="minorEastAsia" w:hAnsiTheme="minorEastAsia"/>
          <w:color w:val="auto"/>
          <w:szCs w:val="21"/>
          <w:highlight w:val="none"/>
        </w:rPr>
        <w:t>联系地址：</w:t>
      </w:r>
      <w:r>
        <w:rPr>
          <w:rFonts w:hint="eastAsia" w:asciiTheme="minorEastAsia" w:hAnsiTheme="minorEastAsia"/>
          <w:color w:val="auto"/>
          <w:szCs w:val="21"/>
          <w:highlight w:val="none"/>
          <w:lang w:eastAsia="zh-CN"/>
        </w:rPr>
        <w:t>东莞市南城街道雅园产业园区路5号1栋1楼</w:t>
      </w:r>
    </w:p>
    <w:p w14:paraId="3A8434E9">
      <w:pPr>
        <w:pStyle w:val="33"/>
        <w:numPr>
          <w:ilvl w:val="0"/>
          <w:numId w:val="24"/>
        </w:numPr>
        <w:ind w:firstLineChars="0"/>
        <w:rPr>
          <w:rFonts w:asciiTheme="minorEastAsia" w:hAnsiTheme="minorEastAsia"/>
          <w:b/>
          <w:color w:val="auto"/>
          <w:highlight w:val="none"/>
        </w:rPr>
      </w:pPr>
      <w:bookmarkStart w:id="27" w:name="_Toc357676148"/>
      <w:r>
        <w:rPr>
          <w:rFonts w:hint="eastAsia" w:asciiTheme="minorEastAsia" w:hAnsiTheme="minorEastAsia"/>
          <w:b/>
          <w:color w:val="auto"/>
          <w:highlight w:val="none"/>
        </w:rPr>
        <w:t>特别说明</w:t>
      </w:r>
    </w:p>
    <w:p w14:paraId="7CEEA170">
      <w:pPr>
        <w:pStyle w:val="33"/>
        <w:numPr>
          <w:ilvl w:val="0"/>
          <w:numId w:val="45"/>
        </w:numPr>
        <w:ind w:firstLineChars="0"/>
        <w:rPr>
          <w:rFonts w:asciiTheme="minorEastAsia" w:hAnsiTheme="minorEastAsia"/>
          <w:b/>
          <w:color w:val="auto"/>
          <w:highlight w:val="none"/>
        </w:rPr>
      </w:pPr>
      <w:r>
        <w:rPr>
          <w:rFonts w:hint="eastAsia" w:asciiTheme="minorEastAsia" w:hAnsiTheme="minorEastAsia"/>
          <w:b/>
          <w:bCs/>
          <w:color w:val="auto"/>
          <w:szCs w:val="21"/>
          <w:highlight w:val="none"/>
        </w:rPr>
        <w:t>有下列情形之一的，视为响应供应商串通投标，其投标无效：</w:t>
      </w:r>
    </w:p>
    <w:p w14:paraId="69B43AE0">
      <w:pPr>
        <w:pStyle w:val="33"/>
        <w:widowControl/>
        <w:numPr>
          <w:ilvl w:val="0"/>
          <w:numId w:val="46"/>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不同响应供应商的响应文件由同一单位或者个人编制；</w:t>
      </w:r>
    </w:p>
    <w:p w14:paraId="42438083">
      <w:pPr>
        <w:pStyle w:val="33"/>
        <w:widowControl/>
        <w:numPr>
          <w:ilvl w:val="0"/>
          <w:numId w:val="46"/>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不同响应供应商委托同一单位或者个人办理投标事宜；</w:t>
      </w:r>
    </w:p>
    <w:p w14:paraId="32A5F2F7">
      <w:pPr>
        <w:pStyle w:val="33"/>
        <w:widowControl/>
        <w:numPr>
          <w:ilvl w:val="0"/>
          <w:numId w:val="46"/>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不同响应供应商的响应文件载明的项目管理成员或者联系人员为同一人；</w:t>
      </w:r>
    </w:p>
    <w:p w14:paraId="2366AB40">
      <w:pPr>
        <w:pStyle w:val="33"/>
        <w:widowControl/>
        <w:numPr>
          <w:ilvl w:val="0"/>
          <w:numId w:val="46"/>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不同响应供应商的响应文件异常一致或者投标报价呈规律性差异；</w:t>
      </w:r>
    </w:p>
    <w:p w14:paraId="34C46E99">
      <w:pPr>
        <w:pStyle w:val="33"/>
        <w:widowControl/>
        <w:numPr>
          <w:ilvl w:val="0"/>
          <w:numId w:val="46"/>
        </w:numPr>
        <w:tabs>
          <w:tab w:val="left" w:pos="567"/>
        </w:tabs>
        <w:spacing w:line="360" w:lineRule="auto"/>
        <w:ind w:left="442" w:hanging="442" w:firstLineChars="0"/>
        <w:jc w:val="left"/>
        <w:rPr>
          <w:rFonts w:asciiTheme="minorEastAsia" w:hAnsiTheme="minorEastAsia"/>
          <w:color w:val="auto"/>
          <w:szCs w:val="21"/>
          <w:highlight w:val="none"/>
        </w:rPr>
      </w:pPr>
      <w:r>
        <w:rPr>
          <w:rFonts w:hint="eastAsia" w:asciiTheme="minorEastAsia" w:hAnsiTheme="minorEastAsia"/>
          <w:color w:val="auto"/>
          <w:szCs w:val="21"/>
          <w:highlight w:val="none"/>
        </w:rPr>
        <w:t>不同响应供应商的响应文件相互混装；</w:t>
      </w:r>
    </w:p>
    <w:p w14:paraId="6ED3ADD5">
      <w:pPr>
        <w:pStyle w:val="33"/>
        <w:numPr>
          <w:ilvl w:val="0"/>
          <w:numId w:val="45"/>
        </w:numPr>
        <w:spacing w:line="360" w:lineRule="auto"/>
        <w:ind w:left="442" w:hanging="442"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响应供应商存在下列情况之一的，投标无效：</w:t>
      </w:r>
    </w:p>
    <w:p w14:paraId="49C0C4CE">
      <w:pPr>
        <w:pStyle w:val="6"/>
        <w:numPr>
          <w:ilvl w:val="0"/>
          <w:numId w:val="47"/>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响文件未按遴选文件要求签署、盖章的；</w:t>
      </w:r>
    </w:p>
    <w:p w14:paraId="034AF991">
      <w:pPr>
        <w:pStyle w:val="6"/>
        <w:numPr>
          <w:ilvl w:val="0"/>
          <w:numId w:val="47"/>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不具备遴选文件中规定的资格要求的；</w:t>
      </w:r>
    </w:p>
    <w:p w14:paraId="6E54E446">
      <w:pPr>
        <w:pStyle w:val="6"/>
        <w:numPr>
          <w:ilvl w:val="0"/>
          <w:numId w:val="47"/>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报价超过遴选文件中规定的预算金额或者最高限价的；</w:t>
      </w:r>
    </w:p>
    <w:p w14:paraId="49C63EE7">
      <w:pPr>
        <w:pStyle w:val="6"/>
        <w:numPr>
          <w:ilvl w:val="0"/>
          <w:numId w:val="47"/>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响应文件含有采购人不能接受的附加条件的；</w:t>
      </w:r>
    </w:p>
    <w:p w14:paraId="5567FCDB">
      <w:pPr>
        <w:pStyle w:val="6"/>
        <w:numPr>
          <w:ilvl w:val="0"/>
          <w:numId w:val="47"/>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法律、法规和遴选文件规定的其他无效情形。</w:t>
      </w:r>
    </w:p>
    <w:p w14:paraId="115C4EB4">
      <w:pPr>
        <w:pStyle w:val="33"/>
        <w:numPr>
          <w:ilvl w:val="0"/>
          <w:numId w:val="45"/>
        </w:numPr>
        <w:spacing w:line="360" w:lineRule="auto"/>
        <w:ind w:left="442" w:hanging="442"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废标</w:t>
      </w:r>
    </w:p>
    <w:p w14:paraId="1D440D82">
      <w:pPr>
        <w:pStyle w:val="6"/>
        <w:numPr>
          <w:ilvl w:val="0"/>
          <w:numId w:val="48"/>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在遴选采购中，出现下列情形之一的，应予废标。</w:t>
      </w:r>
    </w:p>
    <w:p w14:paraId="56C6FDF4">
      <w:pPr>
        <w:pStyle w:val="6"/>
        <w:numPr>
          <w:ilvl w:val="0"/>
          <w:numId w:val="48"/>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符合专业条件的供应商或者对遴选文件作实质响应的供应商不足三家的；</w:t>
      </w:r>
    </w:p>
    <w:p w14:paraId="2B096FA7">
      <w:pPr>
        <w:pStyle w:val="6"/>
        <w:numPr>
          <w:ilvl w:val="0"/>
          <w:numId w:val="48"/>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出现影响采购公正的违法、违规行为的；</w:t>
      </w:r>
    </w:p>
    <w:p w14:paraId="240D36BB">
      <w:pPr>
        <w:pStyle w:val="6"/>
        <w:numPr>
          <w:ilvl w:val="0"/>
          <w:numId w:val="48"/>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响应供应商的报价均超过了采购预算，采购人不能支付的；</w:t>
      </w:r>
    </w:p>
    <w:p w14:paraId="29F96E57">
      <w:pPr>
        <w:pStyle w:val="6"/>
        <w:numPr>
          <w:ilvl w:val="0"/>
          <w:numId w:val="48"/>
        </w:numPr>
        <w:tabs>
          <w:tab w:val="left" w:pos="567"/>
        </w:tabs>
        <w:spacing w:line="360" w:lineRule="auto"/>
        <w:ind w:left="442" w:hanging="442"/>
        <w:rPr>
          <w:rFonts w:asciiTheme="minorEastAsia" w:hAnsiTheme="minorEastAsia"/>
          <w:color w:val="auto"/>
          <w:highlight w:val="none"/>
        </w:rPr>
      </w:pPr>
      <w:r>
        <w:rPr>
          <w:rFonts w:hint="eastAsia" w:asciiTheme="minorEastAsia" w:hAnsiTheme="minorEastAsia"/>
          <w:color w:val="auto"/>
          <w:highlight w:val="none"/>
        </w:rPr>
        <w:t>因重大变故，采购任务取消的。</w:t>
      </w:r>
    </w:p>
    <w:p w14:paraId="610AC13E">
      <w:pPr>
        <w:pStyle w:val="33"/>
        <w:numPr>
          <w:ilvl w:val="0"/>
          <w:numId w:val="24"/>
        </w:numPr>
        <w:spacing w:before="312" w:beforeLines="100" w:line="360" w:lineRule="auto"/>
        <w:ind w:firstLineChars="0"/>
        <w:rPr>
          <w:rFonts w:asciiTheme="minorEastAsia" w:hAnsiTheme="minorEastAsia"/>
          <w:b/>
          <w:color w:val="auto"/>
          <w:highlight w:val="none"/>
        </w:rPr>
      </w:pPr>
      <w:r>
        <w:rPr>
          <w:rFonts w:hint="eastAsia" w:asciiTheme="minorEastAsia" w:hAnsiTheme="minorEastAsia"/>
          <w:b/>
          <w:color w:val="auto"/>
          <w:highlight w:val="none"/>
          <w:lang w:val="en-US" w:eastAsia="zh-CN"/>
        </w:rPr>
        <w:t>采购</w:t>
      </w:r>
      <w:r>
        <w:rPr>
          <w:rFonts w:hint="eastAsia" w:asciiTheme="minorEastAsia" w:hAnsiTheme="minorEastAsia"/>
          <w:b/>
          <w:color w:val="auto"/>
          <w:highlight w:val="none"/>
        </w:rPr>
        <w:t>代理服务费</w:t>
      </w:r>
      <w:bookmarkEnd w:id="27"/>
    </w:p>
    <w:p w14:paraId="74A445DB">
      <w:pPr>
        <w:pStyle w:val="33"/>
        <w:numPr>
          <w:ilvl w:val="0"/>
          <w:numId w:val="49"/>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成交人应在领取《成交通知书》原件时向采购代理机构一次性支付</w:t>
      </w:r>
      <w:r>
        <w:rPr>
          <w:rFonts w:hint="eastAsia" w:asciiTheme="minorEastAsia" w:hAnsiTheme="minorEastAsia"/>
          <w:bCs/>
          <w:color w:val="auto"/>
          <w:szCs w:val="21"/>
          <w:highlight w:val="none"/>
          <w:lang w:val="en-US" w:eastAsia="zh-CN"/>
        </w:rPr>
        <w:t>采购</w:t>
      </w:r>
      <w:r>
        <w:rPr>
          <w:rFonts w:hint="eastAsia" w:asciiTheme="minorEastAsia" w:hAnsiTheme="minorEastAsia"/>
          <w:bCs/>
          <w:color w:val="auto"/>
          <w:szCs w:val="21"/>
          <w:highlight w:val="none"/>
        </w:rPr>
        <w:t>代理服务费</w:t>
      </w:r>
      <w:r>
        <w:rPr>
          <w:rFonts w:hint="eastAsia" w:asciiTheme="minorEastAsia" w:hAnsiTheme="minorEastAsia"/>
          <w:bCs/>
          <w:color w:val="auto"/>
          <w:szCs w:val="21"/>
          <w:highlight w:val="none"/>
          <w:lang w:eastAsia="zh-CN"/>
        </w:rPr>
        <w:t>：</w:t>
      </w:r>
      <w:r>
        <w:rPr>
          <w:rFonts w:hint="eastAsia" w:asciiTheme="minorEastAsia" w:hAnsiTheme="minorEastAsia"/>
          <w:bCs/>
          <w:color w:val="auto"/>
          <w:szCs w:val="21"/>
          <w:highlight w:val="none"/>
        </w:rPr>
        <w:t>人民币</w:t>
      </w:r>
      <w:r>
        <w:rPr>
          <w:rFonts w:hint="eastAsia" w:asciiTheme="minorEastAsia" w:hAnsiTheme="minorEastAsia"/>
          <w:bCs/>
          <w:color w:val="auto"/>
          <w:szCs w:val="21"/>
          <w:highlight w:val="none"/>
          <w:lang w:val="en-US" w:eastAsia="zh-CN"/>
        </w:rPr>
        <w:t>肆仟贰佰玖拾元整</w:t>
      </w:r>
      <w:r>
        <w:rPr>
          <w:rFonts w:hint="eastAsia" w:asciiTheme="minorEastAsia" w:hAnsiTheme="minorEastAsia"/>
          <w:bCs/>
          <w:color w:val="auto"/>
          <w:szCs w:val="21"/>
          <w:highlight w:val="none"/>
        </w:rPr>
        <w:t>（小写：</w:t>
      </w:r>
      <w:r>
        <w:rPr>
          <w:rFonts w:hint="eastAsia" w:asciiTheme="minorEastAsia" w:hAnsiTheme="minorEastAsia"/>
          <w:bCs/>
          <w:color w:val="auto"/>
          <w:szCs w:val="21"/>
          <w:highlight w:val="none"/>
          <w:lang w:val="en-US" w:eastAsia="zh-CN"/>
        </w:rPr>
        <w:t>¥4</w:t>
      </w:r>
      <w:r>
        <w:rPr>
          <w:rFonts w:hint="eastAsia" w:asciiTheme="minorEastAsia" w:hAnsiTheme="minorEastAsia"/>
          <w:bCs/>
          <w:color w:val="auto"/>
          <w:szCs w:val="21"/>
          <w:highlight w:val="none"/>
        </w:rPr>
        <w:t>,</w:t>
      </w:r>
      <w:r>
        <w:rPr>
          <w:rFonts w:hint="eastAsia" w:asciiTheme="minorEastAsia" w:hAnsiTheme="minorEastAsia"/>
          <w:bCs/>
          <w:color w:val="auto"/>
          <w:szCs w:val="21"/>
          <w:highlight w:val="none"/>
          <w:lang w:val="en-US" w:eastAsia="zh-CN"/>
        </w:rPr>
        <w:t>29</w:t>
      </w:r>
      <w:r>
        <w:rPr>
          <w:rFonts w:hint="eastAsia" w:asciiTheme="minorEastAsia" w:hAnsiTheme="minorEastAsia"/>
          <w:bCs/>
          <w:color w:val="auto"/>
          <w:szCs w:val="21"/>
          <w:highlight w:val="none"/>
        </w:rPr>
        <w:t>0.00元</w:t>
      </w:r>
      <w:r>
        <w:rPr>
          <w:rFonts w:asciiTheme="minorEastAsia" w:hAnsiTheme="minorEastAsia"/>
          <w:bCs/>
          <w:color w:val="auto"/>
          <w:szCs w:val="21"/>
          <w:highlight w:val="none"/>
        </w:rPr>
        <w:t>）</w:t>
      </w:r>
      <w:r>
        <w:rPr>
          <w:rFonts w:hint="eastAsia" w:asciiTheme="minorEastAsia" w:hAnsiTheme="minorEastAsia"/>
          <w:bCs/>
          <w:color w:val="auto"/>
          <w:szCs w:val="21"/>
          <w:highlight w:val="none"/>
        </w:rPr>
        <w:t>。</w:t>
      </w:r>
    </w:p>
    <w:p w14:paraId="5D18D6B2">
      <w:pPr>
        <w:pStyle w:val="33"/>
        <w:numPr>
          <w:ilvl w:val="0"/>
          <w:numId w:val="49"/>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lang w:val="en-US" w:eastAsia="zh-CN"/>
        </w:rPr>
        <w:t>采购</w:t>
      </w:r>
      <w:r>
        <w:rPr>
          <w:rFonts w:hint="eastAsia" w:asciiTheme="minorEastAsia" w:hAnsiTheme="minorEastAsia"/>
          <w:bCs/>
          <w:color w:val="auto"/>
          <w:szCs w:val="21"/>
          <w:highlight w:val="none"/>
        </w:rPr>
        <w:t>服务费只收现金、银行转账或电汇。</w:t>
      </w:r>
    </w:p>
    <w:p w14:paraId="1CF1597C">
      <w:pPr>
        <w:pStyle w:val="33"/>
        <w:numPr>
          <w:ilvl w:val="0"/>
          <w:numId w:val="49"/>
        </w:numPr>
        <w:spacing w:line="360" w:lineRule="auto"/>
        <w:ind w:left="567" w:hanging="567"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lang w:val="en-US" w:eastAsia="zh-CN"/>
        </w:rPr>
        <w:t>采购</w:t>
      </w:r>
      <w:r>
        <w:rPr>
          <w:rFonts w:asciiTheme="minorEastAsia" w:hAnsiTheme="minorEastAsia"/>
          <w:bCs/>
          <w:color w:val="auto"/>
          <w:szCs w:val="21"/>
          <w:highlight w:val="none"/>
        </w:rPr>
        <w:t>代理服务费收取</w:t>
      </w:r>
      <w:r>
        <w:rPr>
          <w:rFonts w:hint="eastAsia" w:asciiTheme="minorEastAsia" w:hAnsiTheme="minorEastAsia"/>
          <w:bCs/>
          <w:color w:val="auto"/>
          <w:szCs w:val="21"/>
          <w:highlight w:val="none"/>
        </w:rPr>
        <w:t>账户：</w:t>
      </w:r>
    </w:p>
    <w:p w14:paraId="7202B652">
      <w:pPr>
        <w:pStyle w:val="33"/>
        <w:spacing w:line="360" w:lineRule="auto"/>
        <w:ind w:firstLine="567" w:firstLineChars="270"/>
        <w:rPr>
          <w:rFonts w:asciiTheme="minorEastAsia" w:hAnsiTheme="minorEastAsia"/>
          <w:bCs/>
          <w:color w:val="auto"/>
          <w:szCs w:val="21"/>
          <w:highlight w:val="none"/>
        </w:rPr>
      </w:pPr>
      <w:r>
        <w:rPr>
          <w:rFonts w:hint="eastAsia" w:asciiTheme="minorEastAsia" w:hAnsiTheme="minorEastAsia"/>
          <w:bCs/>
          <w:color w:val="auto"/>
          <w:szCs w:val="21"/>
          <w:highlight w:val="none"/>
        </w:rPr>
        <w:t>收款单位名称：广东智汇城市招标采购有限公司东莞分公司</w:t>
      </w:r>
    </w:p>
    <w:p w14:paraId="6D19648B">
      <w:pPr>
        <w:pStyle w:val="33"/>
        <w:spacing w:line="360" w:lineRule="auto"/>
        <w:ind w:firstLine="567" w:firstLineChars="270"/>
        <w:rPr>
          <w:rFonts w:asciiTheme="minorEastAsia" w:hAnsiTheme="minorEastAsia"/>
          <w:bCs/>
          <w:color w:val="auto"/>
          <w:szCs w:val="21"/>
          <w:highlight w:val="none"/>
        </w:rPr>
      </w:pPr>
      <w:r>
        <w:rPr>
          <w:rFonts w:hint="eastAsia" w:asciiTheme="minorEastAsia" w:hAnsiTheme="minorEastAsia"/>
          <w:bCs/>
          <w:color w:val="auto"/>
          <w:szCs w:val="21"/>
          <w:highlight w:val="none"/>
        </w:rPr>
        <w:t>开户银行：中国光大银行股份有限公司东莞分行</w:t>
      </w:r>
    </w:p>
    <w:p w14:paraId="023312F9">
      <w:pPr>
        <w:pStyle w:val="33"/>
        <w:spacing w:line="360" w:lineRule="auto"/>
        <w:ind w:firstLine="567" w:firstLineChars="270"/>
        <w:rPr>
          <w:rFonts w:asciiTheme="minorEastAsia" w:hAnsiTheme="minorEastAsia"/>
          <w:bCs/>
          <w:color w:val="auto"/>
          <w:szCs w:val="21"/>
          <w:highlight w:val="none"/>
        </w:rPr>
      </w:pPr>
      <w:r>
        <w:rPr>
          <w:rFonts w:hint="eastAsia" w:asciiTheme="minorEastAsia" w:hAnsiTheme="minorEastAsia"/>
          <w:bCs/>
          <w:color w:val="auto"/>
          <w:szCs w:val="21"/>
          <w:highlight w:val="none"/>
        </w:rPr>
        <w:t>收款账号：38790188000286195</w:t>
      </w:r>
    </w:p>
    <w:p w14:paraId="7C6B9246">
      <w:pPr>
        <w:pStyle w:val="3"/>
        <w:keepNext w:val="0"/>
        <w:keepLines w:val="0"/>
        <w:pageBreakBefore/>
        <w:tabs>
          <w:tab w:val="left" w:pos="426"/>
          <w:tab w:val="left" w:pos="567"/>
        </w:tabs>
        <w:spacing w:line="360" w:lineRule="auto"/>
        <w:jc w:val="left"/>
        <w:rPr>
          <w:rStyle w:val="25"/>
          <w:rFonts w:asciiTheme="minorEastAsia" w:hAnsiTheme="minorEastAsia" w:eastAsiaTheme="minorEastAsia"/>
          <w:b/>
          <w:bCs/>
          <w:color w:val="auto"/>
          <w:spacing w:val="12"/>
          <w:sz w:val="21"/>
          <w:szCs w:val="21"/>
          <w:highlight w:val="none"/>
        </w:rPr>
      </w:pPr>
      <w:bookmarkStart w:id="28" w:name="_Toc515363625"/>
      <w:bookmarkStart w:id="29" w:name="_Toc515040753"/>
      <w:bookmarkStart w:id="30" w:name="_Toc138770009"/>
      <w:r>
        <w:rPr>
          <w:rStyle w:val="25"/>
          <w:rFonts w:hint="eastAsia" w:asciiTheme="minorEastAsia" w:hAnsiTheme="minorEastAsia" w:eastAsiaTheme="minorEastAsia"/>
          <w:b/>
          <w:bCs/>
          <w:color w:val="auto"/>
          <w:spacing w:val="12"/>
          <w:sz w:val="21"/>
          <w:szCs w:val="21"/>
          <w:highlight w:val="none"/>
        </w:rPr>
        <w:t>附件1  询问函格式</w:t>
      </w:r>
      <w:bookmarkEnd w:id="28"/>
      <w:bookmarkEnd w:id="29"/>
      <w:bookmarkEnd w:id="30"/>
    </w:p>
    <w:p w14:paraId="45D793FF">
      <w:pPr>
        <w:spacing w:before="312" w:beforeLines="100" w:after="312" w:afterLines="100"/>
        <w:jc w:val="center"/>
        <w:rPr>
          <w:rFonts w:cs="Times New Roman" w:asciiTheme="minorEastAsia" w:hAnsiTheme="minorEastAsia"/>
          <w:b/>
          <w:bCs/>
          <w:color w:val="auto"/>
          <w:spacing w:val="20"/>
          <w:sz w:val="28"/>
          <w:szCs w:val="28"/>
          <w:highlight w:val="none"/>
        </w:rPr>
      </w:pPr>
      <w:r>
        <w:rPr>
          <w:rFonts w:hint="eastAsia" w:cs="Times New Roman" w:asciiTheme="minorEastAsia" w:hAnsiTheme="minorEastAsia"/>
          <w:b/>
          <w:bCs/>
          <w:color w:val="auto"/>
          <w:spacing w:val="20"/>
          <w:sz w:val="28"/>
          <w:szCs w:val="28"/>
          <w:highlight w:val="none"/>
        </w:rPr>
        <w:t>询问函</w:t>
      </w:r>
    </w:p>
    <w:p w14:paraId="7A558542">
      <w:pPr>
        <w:widowControl/>
        <w:adjustRightInd w:val="0"/>
        <w:spacing w:after="156" w:afterLines="50" w:line="360" w:lineRule="auto"/>
        <w:rPr>
          <w:rFonts w:asciiTheme="minorEastAsia" w:hAnsiTheme="minorEastAsia"/>
          <w:color w:val="auto"/>
          <w:szCs w:val="21"/>
          <w:highlight w:val="none"/>
        </w:rPr>
      </w:pPr>
      <w:r>
        <w:rPr>
          <w:rFonts w:asciiTheme="minorEastAsia" w:hAnsiTheme="minorEastAsia"/>
          <w:color w:val="auto"/>
          <w:szCs w:val="21"/>
          <w:highlight w:val="none"/>
          <w:u w:val="single"/>
        </w:rPr>
        <w:t>广东智汇城市招标采购有限公司</w:t>
      </w:r>
      <w:r>
        <w:rPr>
          <w:rFonts w:hint="eastAsia" w:asciiTheme="minorEastAsia" w:hAnsiTheme="minorEastAsia"/>
          <w:color w:val="auto"/>
          <w:szCs w:val="21"/>
          <w:highlight w:val="none"/>
        </w:rPr>
        <w:t>：</w:t>
      </w:r>
    </w:p>
    <w:p w14:paraId="3DE63D32">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我单位已获取遴选文件并准备参与</w:t>
      </w:r>
      <w:r>
        <w:rPr>
          <w:rFonts w:asciiTheme="minorEastAsia" w:hAnsiTheme="minorEastAsia"/>
          <w:i/>
          <w:color w:val="auto"/>
          <w:szCs w:val="21"/>
          <w:highlight w:val="none"/>
          <w:u w:val="single"/>
        </w:rPr>
        <w:t xml:space="preserve">           </w:t>
      </w:r>
      <w:r>
        <w:rPr>
          <w:rFonts w:hint="eastAsia" w:asciiTheme="minorEastAsia" w:hAnsiTheme="minorEastAsia"/>
          <w:color w:val="auto"/>
          <w:szCs w:val="21"/>
          <w:highlight w:val="none"/>
        </w:rPr>
        <w:t>项目（评选编号</w:t>
      </w:r>
      <w:r>
        <w:rPr>
          <w:rFonts w:hint="eastAsia" w:asciiTheme="minorEastAsia" w:hAnsiTheme="minorEastAsia"/>
          <w:color w:val="auto"/>
          <w:szCs w:val="21"/>
          <w:highlight w:val="none"/>
          <w:u w:val="single"/>
        </w:rPr>
        <w:t>：</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）的响应（或报价）活动，现有以下几个内容（或条款）存在疑问（或无法理解），特提出询问。</w:t>
      </w:r>
    </w:p>
    <w:p w14:paraId="44C689B2">
      <w:pPr>
        <w:widowControl/>
        <w:tabs>
          <w:tab w:val="center" w:pos="5019"/>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一、</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（事项一）</w:t>
      </w:r>
      <w:r>
        <w:rPr>
          <w:rFonts w:asciiTheme="minorEastAsia" w:hAnsiTheme="minorEastAsia"/>
          <w:color w:val="auto"/>
          <w:szCs w:val="21"/>
          <w:highlight w:val="none"/>
        </w:rPr>
        <w:tab/>
      </w:r>
    </w:p>
    <w:p w14:paraId="0F9D4609">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r>
        <w:rPr>
          <w:rFonts w:asciiTheme="minorEastAsia" w:hAnsiTheme="minorEastAsia"/>
          <w:color w:val="auto"/>
          <w:szCs w:val="21"/>
          <w:highlight w:val="none"/>
        </w:rPr>
        <w:t>1）</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（问题或条款内容）</w:t>
      </w:r>
    </w:p>
    <w:p w14:paraId="1F948EFA">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r>
        <w:rPr>
          <w:rFonts w:asciiTheme="minorEastAsia" w:hAnsiTheme="minorEastAsia"/>
          <w:color w:val="auto"/>
          <w:szCs w:val="21"/>
          <w:highlight w:val="none"/>
        </w:rPr>
        <w:t>2）</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（说明疑问或无法理解原因）</w:t>
      </w:r>
    </w:p>
    <w:p w14:paraId="213DE025">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r>
        <w:rPr>
          <w:rFonts w:asciiTheme="minorEastAsia" w:hAnsiTheme="minorEastAsia"/>
          <w:color w:val="auto"/>
          <w:szCs w:val="21"/>
          <w:highlight w:val="none"/>
        </w:rPr>
        <w:t>3）</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（建议）</w:t>
      </w:r>
    </w:p>
    <w:p w14:paraId="5DCC9E51">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二、</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 xml:space="preserve"> （事项二）</w:t>
      </w:r>
    </w:p>
    <w:p w14:paraId="0DE27015">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w:t>
      </w:r>
    </w:p>
    <w:p w14:paraId="42F28343">
      <w:pPr>
        <w:widowControl/>
        <w:tabs>
          <w:tab w:val="left" w:pos="6300"/>
        </w:tabs>
        <w:adjustRightInd w:val="0"/>
        <w:spacing w:line="360" w:lineRule="auto"/>
        <w:ind w:firstLine="420" w:firstLineChars="200"/>
        <w:rPr>
          <w:rFonts w:asciiTheme="minorEastAsia" w:hAnsiTheme="minorEastAsia"/>
          <w:color w:val="auto"/>
          <w:szCs w:val="21"/>
          <w:highlight w:val="none"/>
        </w:rPr>
      </w:pPr>
      <w:r>
        <w:rPr>
          <w:rFonts w:hint="eastAsia" w:asciiTheme="minorEastAsia" w:hAnsiTheme="minorEastAsia"/>
          <w:color w:val="auto"/>
          <w:szCs w:val="21"/>
          <w:highlight w:val="none"/>
        </w:rPr>
        <w:t>随附相关证明材料如下：（目录）。</w:t>
      </w:r>
    </w:p>
    <w:p w14:paraId="6CA26C91">
      <w:pPr>
        <w:widowControl/>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询问人：（公章）</w:t>
      </w:r>
    </w:p>
    <w:p w14:paraId="2E2BDE9A">
      <w:pPr>
        <w:widowControl/>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法定代表人（授权代表）：</w:t>
      </w:r>
    </w:p>
    <w:p w14:paraId="64079162">
      <w:pPr>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地址</w:t>
      </w:r>
      <w:r>
        <w:rPr>
          <w:rFonts w:asciiTheme="minorEastAsia" w:hAnsiTheme="minorEastAsia"/>
          <w:color w:val="auto"/>
          <w:szCs w:val="21"/>
          <w:highlight w:val="none"/>
        </w:rPr>
        <w:t>/邮编：</w:t>
      </w:r>
    </w:p>
    <w:p w14:paraId="11615BD5">
      <w:pPr>
        <w:tabs>
          <w:tab w:val="left" w:pos="6300"/>
        </w:tabs>
        <w:adjustRightInd w:val="0"/>
        <w:spacing w:line="360" w:lineRule="auto"/>
        <w:ind w:firstLine="1260" w:firstLineChars="600"/>
        <w:rPr>
          <w:rFonts w:asciiTheme="minorEastAsia" w:hAnsiTheme="minorEastAsia"/>
          <w:color w:val="auto"/>
          <w:szCs w:val="21"/>
          <w:highlight w:val="none"/>
        </w:rPr>
      </w:pPr>
      <w:r>
        <w:rPr>
          <w:rFonts w:hint="eastAsia" w:asciiTheme="minorEastAsia" w:hAnsiTheme="minorEastAsia"/>
          <w:color w:val="auto"/>
          <w:szCs w:val="21"/>
          <w:highlight w:val="none"/>
        </w:rPr>
        <w:t>电话</w:t>
      </w:r>
      <w:r>
        <w:rPr>
          <w:rFonts w:asciiTheme="minorEastAsia" w:hAnsiTheme="minorEastAsia"/>
          <w:color w:val="auto"/>
          <w:szCs w:val="21"/>
          <w:highlight w:val="none"/>
        </w:rPr>
        <w:t>/传真：</w:t>
      </w:r>
    </w:p>
    <w:p w14:paraId="5F0CBE30">
      <w:pPr>
        <w:adjustRightInd w:val="0"/>
        <w:spacing w:before="624" w:beforeLines="200" w:line="360" w:lineRule="auto"/>
        <w:jc w:val="right"/>
        <w:rPr>
          <w:rFonts w:asciiTheme="minorEastAsia" w:hAnsiTheme="minorEastAsia"/>
          <w:color w:val="auto"/>
          <w:szCs w:val="21"/>
          <w:highlight w:val="none"/>
        </w:rPr>
      </w:pPr>
      <w:r>
        <w:rPr>
          <w:rFonts w:hint="eastAsia" w:asciiTheme="minorEastAsia" w:hAnsiTheme="minorEastAsia"/>
          <w:color w:val="auto"/>
          <w:szCs w:val="21"/>
          <w:highlight w:val="none"/>
        </w:rPr>
        <w:t>年</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月</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日</w:t>
      </w:r>
    </w:p>
    <w:p w14:paraId="06E9200B">
      <w:pPr>
        <w:snapToGrid w:val="0"/>
        <w:spacing w:line="360" w:lineRule="auto"/>
        <w:ind w:firstLine="422" w:firstLineChars="201"/>
        <w:rPr>
          <w:rFonts w:asciiTheme="minorEastAsia" w:hAnsiTheme="minorEastAsia"/>
          <w:color w:val="auto"/>
          <w:szCs w:val="21"/>
          <w:highlight w:val="none"/>
        </w:rPr>
      </w:pPr>
    </w:p>
    <w:p w14:paraId="387EE8FD">
      <w:pPr>
        <w:pStyle w:val="3"/>
        <w:keepNext w:val="0"/>
        <w:keepLines w:val="0"/>
        <w:pageBreakBefore/>
        <w:tabs>
          <w:tab w:val="left" w:pos="426"/>
          <w:tab w:val="left" w:pos="567"/>
        </w:tabs>
        <w:spacing w:line="360" w:lineRule="auto"/>
        <w:jc w:val="left"/>
        <w:rPr>
          <w:rStyle w:val="25"/>
          <w:rFonts w:asciiTheme="minorEastAsia" w:hAnsiTheme="minorEastAsia" w:eastAsiaTheme="minorEastAsia"/>
          <w:b/>
          <w:bCs w:val="0"/>
          <w:color w:val="auto"/>
          <w:spacing w:val="12"/>
          <w:sz w:val="21"/>
          <w:szCs w:val="21"/>
          <w:highlight w:val="none"/>
        </w:rPr>
      </w:pPr>
      <w:bookmarkStart w:id="31" w:name="_Toc138770010"/>
      <w:bookmarkStart w:id="32" w:name="_Toc515040754"/>
      <w:bookmarkStart w:id="33" w:name="_Toc515363626"/>
      <w:r>
        <w:rPr>
          <w:rStyle w:val="25"/>
          <w:rFonts w:hint="eastAsia" w:asciiTheme="minorEastAsia" w:hAnsiTheme="minorEastAsia" w:eastAsiaTheme="minorEastAsia"/>
          <w:b/>
          <w:bCs w:val="0"/>
          <w:color w:val="auto"/>
          <w:spacing w:val="12"/>
          <w:sz w:val="21"/>
          <w:szCs w:val="21"/>
          <w:highlight w:val="none"/>
        </w:rPr>
        <w:t>附件2  质疑函格式</w:t>
      </w:r>
      <w:bookmarkEnd w:id="31"/>
      <w:bookmarkEnd w:id="32"/>
      <w:bookmarkEnd w:id="33"/>
    </w:p>
    <w:p w14:paraId="77BD0514">
      <w:pPr>
        <w:spacing w:before="312" w:beforeLines="100" w:after="312" w:afterLines="100"/>
        <w:jc w:val="center"/>
        <w:rPr>
          <w:rFonts w:cs="Times New Roman" w:asciiTheme="minorEastAsia" w:hAnsiTheme="minorEastAsia"/>
          <w:b/>
          <w:color w:val="auto"/>
          <w:spacing w:val="20"/>
          <w:sz w:val="28"/>
          <w:szCs w:val="28"/>
          <w:highlight w:val="none"/>
        </w:rPr>
      </w:pPr>
      <w:r>
        <w:rPr>
          <w:rFonts w:hint="eastAsia" w:cs="Times New Roman" w:asciiTheme="minorEastAsia" w:hAnsiTheme="minorEastAsia"/>
          <w:b/>
          <w:color w:val="auto"/>
          <w:spacing w:val="20"/>
          <w:sz w:val="28"/>
          <w:szCs w:val="28"/>
          <w:highlight w:val="none"/>
        </w:rPr>
        <w:t>质疑函</w:t>
      </w:r>
    </w:p>
    <w:p w14:paraId="2978C1EF">
      <w:pPr>
        <w:adjustRightInd w:val="0"/>
        <w:snapToGrid w:val="0"/>
        <w:spacing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一、质疑响应供应商基本信息</w:t>
      </w:r>
    </w:p>
    <w:p w14:paraId="18B4B66F">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质疑响应供应商：</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67C7742C">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地址：</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邮编：</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69C0B07F">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联系人：</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联系电话：</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203FE349">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授权代表：</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4DFF379E">
      <w:pPr>
        <w:adjustRightInd w:val="0"/>
        <w:snapToGrid w:val="0"/>
        <w:spacing w:line="360" w:lineRule="auto"/>
        <w:rPr>
          <w:rFonts w:cs="仿宋" w:asciiTheme="minorEastAsia" w:hAnsiTheme="minorEastAsia"/>
          <w:b/>
          <w:color w:val="auto"/>
          <w:szCs w:val="21"/>
          <w:highlight w:val="none"/>
        </w:rPr>
      </w:pPr>
      <w:r>
        <w:rPr>
          <w:rFonts w:hint="eastAsia" w:cs="仿宋" w:asciiTheme="minorEastAsia" w:hAnsiTheme="minorEastAsia"/>
          <w:color w:val="auto"/>
          <w:szCs w:val="21"/>
          <w:highlight w:val="none"/>
        </w:rPr>
        <w:t>联系电话：</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530588E8">
      <w:pPr>
        <w:adjustRightInd w:val="0"/>
        <w:snapToGrid w:val="0"/>
        <w:spacing w:line="360" w:lineRule="auto"/>
        <w:rPr>
          <w:rFonts w:cs="仿宋" w:asciiTheme="minorEastAsia" w:hAnsiTheme="minorEastAsia"/>
          <w:b/>
          <w:color w:val="auto"/>
          <w:szCs w:val="21"/>
          <w:highlight w:val="none"/>
        </w:rPr>
      </w:pPr>
      <w:r>
        <w:rPr>
          <w:rFonts w:hint="eastAsia" w:cs="仿宋" w:asciiTheme="minorEastAsia" w:hAnsiTheme="minorEastAsia"/>
          <w:color w:val="auto"/>
          <w:szCs w:val="21"/>
          <w:highlight w:val="none"/>
        </w:rPr>
        <w:t>地   址：</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邮编：</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16620453">
      <w:pPr>
        <w:adjustRightInd w:val="0"/>
        <w:snapToGrid w:val="0"/>
        <w:spacing w:before="156" w:beforeLines="50"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 xml:space="preserve">二、质疑项目基本情况 </w:t>
      </w:r>
    </w:p>
    <w:p w14:paraId="494CA80A">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质疑项目的名称：</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1CD750D7">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质疑项目的编号：</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rPr>
        <w:t>包号：</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0B450D58">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采购人名称：</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731D9626">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遴选文件获取日期：</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51161DF3">
      <w:pPr>
        <w:adjustRightInd w:val="0"/>
        <w:snapToGrid w:val="0"/>
        <w:spacing w:before="156" w:beforeLines="50"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三、质疑事项具体内容</w:t>
      </w:r>
    </w:p>
    <w:p w14:paraId="5887CDB7">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质疑事项</w:t>
      </w:r>
      <w:r>
        <w:rPr>
          <w:rFonts w:cs="仿宋" w:asciiTheme="minorEastAsia" w:hAnsiTheme="minorEastAsia"/>
          <w:color w:val="auto"/>
          <w:szCs w:val="21"/>
          <w:highlight w:val="none"/>
        </w:rPr>
        <w:t>1：</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6CEBC889">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事实依据：</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2C790E8E">
      <w:pPr>
        <w:adjustRightInd w:val="0"/>
        <w:snapToGrid w:val="0"/>
        <w:spacing w:line="360" w:lineRule="auto"/>
        <w:rPr>
          <w:rFonts w:cs="仿宋" w:asciiTheme="minorEastAsia" w:hAnsiTheme="minorEastAsia"/>
          <w:color w:val="auto"/>
          <w:szCs w:val="21"/>
          <w:highlight w:val="none"/>
          <w:u w:val="single"/>
        </w:rPr>
      </w:pPr>
      <w:r>
        <w:rPr>
          <w:rFonts w:hint="eastAsia" w:cs="仿宋" w:asciiTheme="minorEastAsia" w:hAnsiTheme="minorEastAsia"/>
          <w:color w:val="auto"/>
          <w:szCs w:val="21"/>
          <w:highlight w:val="none"/>
        </w:rPr>
        <w:t>法律依据：</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3B302EE2">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质疑事项</w:t>
      </w:r>
      <w:r>
        <w:rPr>
          <w:rFonts w:cs="仿宋" w:asciiTheme="minorEastAsia" w:hAnsiTheme="minorEastAsia"/>
          <w:color w:val="auto"/>
          <w:szCs w:val="21"/>
          <w:highlight w:val="none"/>
        </w:rPr>
        <w:t>2</w:t>
      </w:r>
    </w:p>
    <w:p w14:paraId="42837103">
      <w:pPr>
        <w:adjustRightInd w:val="0"/>
        <w:snapToGrid w:val="0"/>
        <w:spacing w:line="360" w:lineRule="auto"/>
        <w:rPr>
          <w:rFonts w:cs="仿宋" w:asciiTheme="minorEastAsia" w:hAnsiTheme="minorEastAsia"/>
          <w:color w:val="auto"/>
          <w:szCs w:val="21"/>
          <w:highlight w:val="none"/>
        </w:rPr>
      </w:pPr>
      <w:r>
        <w:rPr>
          <w:rFonts w:hint="eastAsia" w:cs="仿宋" w:asciiTheme="minorEastAsia" w:hAnsiTheme="minorEastAsia"/>
          <w:color w:val="auto"/>
          <w:szCs w:val="21"/>
          <w:highlight w:val="none"/>
        </w:rPr>
        <w:t>……</w:t>
      </w:r>
    </w:p>
    <w:p w14:paraId="479362EC">
      <w:pPr>
        <w:adjustRightInd w:val="0"/>
        <w:snapToGrid w:val="0"/>
        <w:spacing w:line="360" w:lineRule="auto"/>
        <w:rPr>
          <w:rFonts w:cs="仿宋" w:asciiTheme="minorEastAsia" w:hAnsiTheme="minorEastAsia"/>
          <w:bCs/>
          <w:color w:val="auto"/>
          <w:szCs w:val="21"/>
          <w:highlight w:val="none"/>
        </w:rPr>
      </w:pPr>
      <w:r>
        <w:rPr>
          <w:rFonts w:hint="eastAsia" w:cs="仿宋" w:asciiTheme="minorEastAsia" w:hAnsiTheme="minorEastAsia"/>
          <w:bCs/>
          <w:color w:val="auto"/>
          <w:szCs w:val="21"/>
          <w:highlight w:val="none"/>
        </w:rPr>
        <w:t>四、与质疑事项相关的质疑请求</w:t>
      </w:r>
    </w:p>
    <w:p w14:paraId="7C46C19C">
      <w:pPr>
        <w:adjustRightInd w:val="0"/>
        <w:snapToGrid w:val="0"/>
        <w:spacing w:line="360" w:lineRule="auto"/>
        <w:rPr>
          <w:rFonts w:cs="仿宋" w:asciiTheme="minorEastAsia" w:hAnsiTheme="minorEastAsia"/>
          <w:color w:val="auto"/>
          <w:szCs w:val="21"/>
          <w:highlight w:val="none"/>
          <w:u w:val="dotted"/>
        </w:rPr>
      </w:pPr>
      <w:r>
        <w:rPr>
          <w:rFonts w:hint="eastAsia" w:cs="仿宋" w:asciiTheme="minorEastAsia" w:hAnsiTheme="minorEastAsia"/>
          <w:color w:val="auto"/>
          <w:szCs w:val="21"/>
          <w:highlight w:val="none"/>
        </w:rPr>
        <w:t>请求：</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r>
        <w:rPr>
          <w:rFonts w:cs="仿宋" w:asciiTheme="minorEastAsia" w:hAnsiTheme="minorEastAsia"/>
          <w:color w:val="auto"/>
          <w:szCs w:val="21"/>
          <w:highlight w:val="none"/>
          <w:u w:val="single"/>
        </w:rPr>
        <w:t xml:space="preserve">  </w:t>
      </w:r>
      <w:r>
        <w:rPr>
          <w:rFonts w:hint="eastAsia" w:cs="仿宋" w:asciiTheme="minorEastAsia" w:hAnsiTheme="minorEastAsia"/>
          <w:color w:val="auto"/>
          <w:szCs w:val="21"/>
          <w:highlight w:val="none"/>
          <w:u w:val="single"/>
        </w:rPr>
        <w:t xml:space="preserve">             </w:t>
      </w:r>
    </w:p>
    <w:p w14:paraId="417E819F">
      <w:pPr>
        <w:adjustRightInd w:val="0"/>
        <w:snapToGri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签字</w:t>
      </w:r>
      <w:r>
        <w:rPr>
          <w:rFonts w:asciiTheme="minorEastAsia" w:hAnsiTheme="minorEastAsia"/>
          <w:color w:val="auto"/>
          <w:szCs w:val="21"/>
          <w:highlight w:val="none"/>
        </w:rPr>
        <w:t xml:space="preserve">(签章)：                   公章：                      </w:t>
      </w:r>
    </w:p>
    <w:p w14:paraId="2D3F85A8">
      <w:pPr>
        <w:adjustRightInd w:val="0"/>
        <w:snapToGri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    期：</w:t>
      </w:r>
    </w:p>
    <w:p w14:paraId="78F75026">
      <w:pPr>
        <w:adjustRightInd w:val="0"/>
        <w:snapToGrid w:val="0"/>
        <w:spacing w:line="360" w:lineRule="auto"/>
        <w:rPr>
          <w:rFonts w:cs="仿宋" w:asciiTheme="minorEastAsia" w:hAnsiTheme="minorEastAsia"/>
          <w:color w:val="auto"/>
          <w:szCs w:val="21"/>
          <w:highlight w:val="none"/>
        </w:rPr>
      </w:pPr>
    </w:p>
    <w:p w14:paraId="42CAC501">
      <w:pPr>
        <w:adjustRightInd w:val="0"/>
        <w:snapToGrid w:val="0"/>
        <w:spacing w:line="360" w:lineRule="auto"/>
        <w:rPr>
          <w:rFonts w:asciiTheme="minorEastAsia" w:hAnsiTheme="minorEastAsia"/>
          <w:b/>
          <w:color w:val="auto"/>
          <w:szCs w:val="21"/>
          <w:highlight w:val="none"/>
        </w:rPr>
      </w:pPr>
      <w:r>
        <w:rPr>
          <w:rFonts w:hint="eastAsia" w:asciiTheme="minorEastAsia" w:hAnsiTheme="minorEastAsia"/>
          <w:b/>
          <w:color w:val="auto"/>
          <w:szCs w:val="21"/>
          <w:highlight w:val="none"/>
        </w:rPr>
        <w:t>质疑函制作说明：</w:t>
      </w:r>
    </w:p>
    <w:p w14:paraId="77F4934C">
      <w:pPr>
        <w:pStyle w:val="33"/>
        <w:widowControl/>
        <w:numPr>
          <w:ilvl w:val="0"/>
          <w:numId w:val="50"/>
        </w:numPr>
        <w:adjustRightInd w:val="0"/>
        <w:snapToGrid w:val="0"/>
        <w:spacing w:line="360" w:lineRule="auto"/>
        <w:ind w:firstLineChars="0"/>
        <w:jc w:val="left"/>
        <w:rPr>
          <w:rFonts w:asciiTheme="minorEastAsia" w:hAnsiTheme="minorEastAsia"/>
          <w:b/>
          <w:color w:val="auto"/>
          <w:szCs w:val="21"/>
          <w:highlight w:val="none"/>
        </w:rPr>
      </w:pPr>
      <w:r>
        <w:rPr>
          <w:rFonts w:asciiTheme="minorEastAsia" w:hAnsiTheme="minorEastAsia"/>
          <w:color w:val="auto"/>
          <w:szCs w:val="21"/>
          <w:highlight w:val="none"/>
        </w:rPr>
        <w:t>响应供应商提出质疑时，应提交质疑函和必要的证明材料。</w:t>
      </w:r>
    </w:p>
    <w:p w14:paraId="7CC3C5F0">
      <w:pPr>
        <w:pStyle w:val="33"/>
        <w:widowControl/>
        <w:numPr>
          <w:ilvl w:val="0"/>
          <w:numId w:val="50"/>
        </w:numPr>
        <w:adjustRightInd w:val="0"/>
        <w:snapToGrid w:val="0"/>
        <w:spacing w:line="360" w:lineRule="auto"/>
        <w:ind w:firstLineChars="0"/>
        <w:jc w:val="left"/>
        <w:rPr>
          <w:rFonts w:asciiTheme="minorEastAsia" w:hAnsiTheme="minorEastAsia"/>
          <w:b/>
          <w:color w:val="auto"/>
          <w:szCs w:val="21"/>
          <w:highlight w:val="none"/>
        </w:rPr>
      </w:pPr>
      <w:r>
        <w:rPr>
          <w:rFonts w:hint="eastAsia" w:asciiTheme="minorEastAsia" w:hAnsiTheme="minorEastAsia"/>
          <w:color w:val="auto"/>
          <w:szCs w:val="21"/>
          <w:highlight w:val="none"/>
        </w:rPr>
        <w:t>质疑函的质疑事项应具体、明确，并有必要的事实依据和法律依据。</w:t>
      </w:r>
    </w:p>
    <w:p w14:paraId="7D8D87C9">
      <w:pPr>
        <w:pStyle w:val="33"/>
        <w:widowControl/>
        <w:numPr>
          <w:ilvl w:val="0"/>
          <w:numId w:val="50"/>
        </w:numPr>
        <w:adjustRightInd w:val="0"/>
        <w:snapToGrid w:val="0"/>
        <w:spacing w:line="360" w:lineRule="auto"/>
        <w:ind w:firstLineChars="0"/>
        <w:jc w:val="left"/>
        <w:rPr>
          <w:rFonts w:asciiTheme="minorEastAsia" w:hAnsiTheme="minorEastAsia"/>
          <w:b/>
          <w:color w:val="auto"/>
          <w:szCs w:val="21"/>
          <w:highlight w:val="none"/>
        </w:rPr>
      </w:pPr>
      <w:r>
        <w:rPr>
          <w:rFonts w:hint="eastAsia" w:asciiTheme="minorEastAsia" w:hAnsiTheme="minorEastAsia"/>
          <w:color w:val="auto"/>
          <w:szCs w:val="21"/>
          <w:highlight w:val="none"/>
        </w:rPr>
        <w:t>质疑函的质疑请求应与质疑事项相关。</w:t>
      </w:r>
    </w:p>
    <w:p w14:paraId="399F371C">
      <w:pPr>
        <w:pStyle w:val="33"/>
        <w:widowControl/>
        <w:numPr>
          <w:ilvl w:val="0"/>
          <w:numId w:val="50"/>
        </w:numPr>
        <w:adjustRightInd w:val="0"/>
        <w:snapToGrid w:val="0"/>
        <w:spacing w:line="360" w:lineRule="auto"/>
        <w:ind w:firstLineChars="0"/>
        <w:jc w:val="left"/>
        <w:rPr>
          <w:rFonts w:asciiTheme="minorEastAsia" w:hAnsiTheme="minorEastAsia"/>
          <w:bCs/>
          <w:color w:val="auto"/>
          <w:szCs w:val="21"/>
          <w:highlight w:val="none"/>
        </w:rPr>
      </w:pPr>
      <w:r>
        <w:rPr>
          <w:rFonts w:hint="eastAsia" w:asciiTheme="minorEastAsia" w:hAnsiTheme="minorEastAsia"/>
          <w:color w:val="auto"/>
          <w:szCs w:val="21"/>
          <w:highlight w:val="none"/>
        </w:rPr>
        <w:t>质疑响应供应商为自然人的，质疑函应由本人签字；质疑响应供应商为法人或者其他组织的，质疑函应由法定代表人、主要负责人，或者其授权代表签字或者盖章，并加盖公章。</w:t>
      </w:r>
    </w:p>
    <w:p w14:paraId="2C120836">
      <w:pPr>
        <w:pStyle w:val="2"/>
        <w:keepNext w:val="0"/>
        <w:keepLines w:val="0"/>
        <w:pageBreakBefore/>
        <w:spacing w:line="360" w:lineRule="auto"/>
        <w:jc w:val="center"/>
        <w:rPr>
          <w:rFonts w:asciiTheme="minorEastAsia" w:hAnsiTheme="minorEastAsia"/>
          <w:color w:val="auto"/>
          <w:spacing w:val="20"/>
          <w:sz w:val="32"/>
          <w:szCs w:val="32"/>
          <w:highlight w:val="none"/>
        </w:rPr>
      </w:pPr>
      <w:bookmarkStart w:id="34" w:name="_Toc138770011"/>
      <w:bookmarkStart w:id="35" w:name="_Toc391627751"/>
      <w:bookmarkStart w:id="36" w:name="_Toc405313955"/>
      <w:r>
        <w:rPr>
          <w:rFonts w:hint="eastAsia" w:asciiTheme="minorEastAsia" w:hAnsiTheme="minorEastAsia"/>
          <w:color w:val="auto"/>
          <w:spacing w:val="20"/>
          <w:sz w:val="32"/>
          <w:szCs w:val="32"/>
          <w:highlight w:val="none"/>
        </w:rPr>
        <w:t>第四部分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评审方法、步骤、标准</w:t>
      </w:r>
      <w:bookmarkEnd w:id="34"/>
      <w:bookmarkEnd w:id="35"/>
      <w:bookmarkEnd w:id="36"/>
    </w:p>
    <w:p w14:paraId="4AD1CDB1">
      <w:pPr>
        <w:pStyle w:val="33"/>
        <w:numPr>
          <w:ilvl w:val="0"/>
          <w:numId w:val="51"/>
        </w:numPr>
        <w:spacing w:before="312" w:beforeLines="100" w:line="360" w:lineRule="auto"/>
        <w:ind w:firstLineChars="0"/>
        <w:rPr>
          <w:rFonts w:asciiTheme="minorEastAsia" w:hAnsiTheme="minorEastAsia"/>
          <w:b/>
          <w:bCs/>
          <w:color w:val="auto"/>
          <w:sz w:val="24"/>
          <w:szCs w:val="24"/>
          <w:highlight w:val="none"/>
        </w:rPr>
      </w:pPr>
      <w:r>
        <w:rPr>
          <w:rFonts w:hint="eastAsia" w:asciiTheme="minorEastAsia" w:hAnsiTheme="minorEastAsia"/>
          <w:b/>
          <w:bCs/>
          <w:color w:val="auto"/>
          <w:sz w:val="24"/>
          <w:szCs w:val="24"/>
          <w:highlight w:val="none"/>
        </w:rPr>
        <w:t>总则</w:t>
      </w:r>
    </w:p>
    <w:p w14:paraId="6DCCE37A">
      <w:pPr>
        <w:pStyle w:val="33"/>
        <w:numPr>
          <w:ilvl w:val="0"/>
          <w:numId w:val="52"/>
        </w:numPr>
        <w:spacing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评审委员会</w:t>
      </w:r>
    </w:p>
    <w:p w14:paraId="683FB9E7">
      <w:pPr>
        <w:pStyle w:val="33"/>
        <w:numPr>
          <w:ilvl w:val="1"/>
          <w:numId w:val="5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评审委员会负责具体评审事务，并独立履行下列职责：</w:t>
      </w:r>
    </w:p>
    <w:p w14:paraId="6FCBB30C">
      <w:pPr>
        <w:pStyle w:val="33"/>
        <w:widowControl/>
        <w:numPr>
          <w:ilvl w:val="2"/>
          <w:numId w:val="53"/>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审查、评价响应文件是否符合遴选文件的商务、技术等实质性要求；</w:t>
      </w:r>
    </w:p>
    <w:p w14:paraId="74A0D548">
      <w:pPr>
        <w:pStyle w:val="33"/>
        <w:widowControl/>
        <w:numPr>
          <w:ilvl w:val="2"/>
          <w:numId w:val="53"/>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要求响应供应商对响应文件有关事项作出澄清或者说明；</w:t>
      </w:r>
    </w:p>
    <w:p w14:paraId="59232A29">
      <w:pPr>
        <w:pStyle w:val="33"/>
        <w:widowControl/>
        <w:numPr>
          <w:ilvl w:val="2"/>
          <w:numId w:val="53"/>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对响应文件进行比较和评价；</w:t>
      </w:r>
    </w:p>
    <w:p w14:paraId="35153C3D">
      <w:pPr>
        <w:pStyle w:val="33"/>
        <w:widowControl/>
        <w:numPr>
          <w:ilvl w:val="2"/>
          <w:numId w:val="53"/>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确定</w:t>
      </w:r>
      <w:r>
        <w:rPr>
          <w:rFonts w:hint="eastAsia" w:cs="宋体" w:asciiTheme="minorEastAsia" w:hAnsiTheme="minorEastAsia"/>
          <w:color w:val="auto"/>
          <w:szCs w:val="21"/>
          <w:highlight w:val="none"/>
        </w:rPr>
        <w:t>成交</w:t>
      </w:r>
      <w:r>
        <w:rPr>
          <w:rFonts w:hint="eastAsia" w:cs="宋体" w:asciiTheme="minorEastAsia" w:hAnsiTheme="minorEastAsia"/>
          <w:color w:val="auto"/>
          <w:szCs w:val="21"/>
          <w:highlight w:val="none"/>
          <w:lang w:eastAsia="zh-TW"/>
        </w:rPr>
        <w:t>候选人名单；</w:t>
      </w:r>
    </w:p>
    <w:p w14:paraId="0AB4C5BB">
      <w:pPr>
        <w:pStyle w:val="33"/>
        <w:widowControl/>
        <w:numPr>
          <w:ilvl w:val="2"/>
          <w:numId w:val="53"/>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向采购人、采购代理机构或者有关部门报告评审中发现的违法行为。</w:t>
      </w:r>
    </w:p>
    <w:p w14:paraId="54125B0B">
      <w:pPr>
        <w:pStyle w:val="33"/>
        <w:widowControl/>
        <w:numPr>
          <w:ilvl w:val="1"/>
          <w:numId w:val="53"/>
        </w:numPr>
        <w:spacing w:line="360" w:lineRule="auto"/>
        <w:ind w:firstLineChars="0"/>
        <w:jc w:val="left"/>
        <w:rPr>
          <w:rFonts w:cs="宋体" w:asciiTheme="minorEastAsia" w:hAnsiTheme="minorEastAsia"/>
          <w:color w:val="auto"/>
          <w:szCs w:val="21"/>
          <w:highlight w:val="none"/>
          <w:lang w:eastAsia="zh-TW"/>
        </w:rPr>
      </w:pPr>
      <w:r>
        <w:rPr>
          <w:rFonts w:hint="eastAsia" w:cs="宋体" w:asciiTheme="minorEastAsia" w:hAnsiTheme="minorEastAsia"/>
          <w:color w:val="auto"/>
          <w:szCs w:val="21"/>
          <w:highlight w:val="none"/>
          <w:lang w:eastAsia="zh-TW"/>
        </w:rPr>
        <w:t>对于响应文件中含义不明确、同类问题表述不一致或者有明显文字和计算错误的内容，评审委员会应当以书面形式要求响应供应商作出必要的澄清、说明或者补正。</w:t>
      </w:r>
    </w:p>
    <w:p w14:paraId="5F3B931B">
      <w:pPr>
        <w:pStyle w:val="33"/>
        <w:numPr>
          <w:ilvl w:val="1"/>
          <w:numId w:val="53"/>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评审委员会成员对需要共同认定的事项存在争议的，应当按照少数服从多数的原则作出结论。持不同意见的评审委员会成员应当在评审报告上签署不同意见及理由，否则视为同意评审报告。</w:t>
      </w:r>
    </w:p>
    <w:p w14:paraId="0B87520C">
      <w:pPr>
        <w:pStyle w:val="33"/>
        <w:numPr>
          <w:ilvl w:val="0"/>
          <w:numId w:val="52"/>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评审方法</w:t>
      </w:r>
    </w:p>
    <w:p w14:paraId="616344AA">
      <w:pPr>
        <w:pStyle w:val="33"/>
        <w:numPr>
          <w:ilvl w:val="1"/>
          <w:numId w:val="54"/>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本项目按照</w:t>
      </w:r>
      <w:r>
        <w:rPr>
          <w:rFonts w:hint="eastAsia" w:asciiTheme="minorEastAsia" w:hAnsiTheme="minorEastAsia"/>
          <w:b/>
          <w:bCs/>
          <w:color w:val="auto"/>
          <w:szCs w:val="21"/>
          <w:highlight w:val="none"/>
          <w:u w:val="single"/>
        </w:rPr>
        <w:t>综合评分法</w:t>
      </w:r>
      <w:r>
        <w:rPr>
          <w:rFonts w:hint="eastAsia" w:asciiTheme="minorEastAsia" w:hAnsiTheme="minorEastAsia"/>
          <w:bCs/>
          <w:color w:val="auto"/>
          <w:szCs w:val="21"/>
          <w:highlight w:val="none"/>
        </w:rPr>
        <w:t>的评审方法进行评审。</w:t>
      </w:r>
    </w:p>
    <w:p w14:paraId="384E1157">
      <w:pPr>
        <w:pStyle w:val="33"/>
        <w:numPr>
          <w:ilvl w:val="1"/>
          <w:numId w:val="54"/>
        </w:numPr>
        <w:spacing w:line="360" w:lineRule="auto"/>
        <w:ind w:left="426" w:hanging="426"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综合评分法：是指响应文件满足遴选文件全部实质性要求，且按照评审因素的量化指标评审得分最高的响应供应商为成交候选人的评审方法。</w:t>
      </w:r>
    </w:p>
    <w:p w14:paraId="25FBF972">
      <w:pPr>
        <w:pStyle w:val="33"/>
        <w:numPr>
          <w:ilvl w:val="0"/>
          <w:numId w:val="55"/>
        </w:numPr>
        <w:tabs>
          <w:tab w:val="left" w:pos="567"/>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各项得分按四舍五入原则精确到小数点后两位。</w:t>
      </w:r>
    </w:p>
    <w:p w14:paraId="4E9D3ECA">
      <w:pPr>
        <w:pStyle w:val="33"/>
        <w:numPr>
          <w:ilvl w:val="0"/>
          <w:numId w:val="52"/>
        </w:numPr>
        <w:spacing w:before="312" w:beforeLines="100" w:line="360" w:lineRule="auto"/>
        <w:ind w:firstLineChars="0"/>
        <w:rPr>
          <w:rFonts w:asciiTheme="minorEastAsia" w:hAnsiTheme="minorEastAsia"/>
          <w:bCs/>
          <w:color w:val="auto"/>
          <w:szCs w:val="21"/>
          <w:highlight w:val="none"/>
        </w:rPr>
      </w:pPr>
      <w:r>
        <w:rPr>
          <w:rFonts w:hint="eastAsia" w:asciiTheme="minorEastAsia" w:hAnsiTheme="minorEastAsia"/>
          <w:b/>
          <w:bCs/>
          <w:color w:val="auto"/>
          <w:szCs w:val="21"/>
          <w:highlight w:val="none"/>
        </w:rPr>
        <w:t>评审步骤</w:t>
      </w:r>
    </w:p>
    <w:p w14:paraId="017EA3F4">
      <w:pPr>
        <w:pStyle w:val="33"/>
        <w:numPr>
          <w:ilvl w:val="1"/>
          <w:numId w:val="56"/>
        </w:numPr>
        <w:spacing w:line="360" w:lineRule="auto"/>
        <w:ind w:left="426" w:hanging="426" w:firstLineChars="0"/>
        <w:rPr>
          <w:rFonts w:asciiTheme="minorEastAsia" w:hAnsiTheme="minorEastAsia"/>
          <w:color w:val="auto"/>
          <w:highlight w:val="none"/>
        </w:rPr>
      </w:pPr>
      <w:r>
        <w:rPr>
          <w:rFonts w:hint="eastAsia" w:asciiTheme="minorEastAsia" w:hAnsiTheme="minorEastAsia"/>
          <w:bCs/>
          <w:color w:val="auto"/>
          <w:szCs w:val="21"/>
          <w:highlight w:val="none"/>
        </w:rPr>
        <w:t>综合评分法：</w:t>
      </w:r>
      <w:bookmarkStart w:id="37" w:name="_Hlk81181953"/>
      <w:bookmarkStart w:id="38" w:name="_Hlk81182166"/>
      <w:r>
        <w:rPr>
          <w:rFonts w:hint="eastAsia" w:asciiTheme="minorEastAsia" w:hAnsiTheme="minorEastAsia"/>
          <w:bCs/>
          <w:color w:val="auto"/>
          <w:szCs w:val="21"/>
          <w:highlight w:val="none"/>
        </w:rPr>
        <w:t>项目开标结束后，</w:t>
      </w:r>
      <w:r>
        <w:rPr>
          <w:rFonts w:hint="eastAsia" w:asciiTheme="minorEastAsia" w:hAnsiTheme="minorEastAsia"/>
          <w:color w:val="auto"/>
          <w:highlight w:val="none"/>
        </w:rPr>
        <w:t>由评审委员会对所有响应文件进行初步审查，只有通过初步审查才能进入详细的评审和价格评审，最后评审委员会出具评审报告</w:t>
      </w:r>
      <w:bookmarkEnd w:id="37"/>
      <w:bookmarkEnd w:id="38"/>
      <w:r>
        <w:rPr>
          <w:rFonts w:hint="eastAsia" w:asciiTheme="minorEastAsia" w:hAnsiTheme="minorEastAsia"/>
          <w:color w:val="auto"/>
          <w:highlight w:val="none"/>
        </w:rPr>
        <w:t>。</w:t>
      </w:r>
    </w:p>
    <w:p w14:paraId="72646F93">
      <w:pPr>
        <w:pStyle w:val="33"/>
        <w:numPr>
          <w:ilvl w:val="1"/>
          <w:numId w:val="56"/>
        </w:numPr>
        <w:spacing w:line="360" w:lineRule="auto"/>
        <w:ind w:left="426" w:hanging="426" w:firstLineChars="0"/>
        <w:rPr>
          <w:rFonts w:asciiTheme="minorEastAsia" w:hAnsiTheme="minorEastAsia"/>
          <w:color w:val="auto"/>
          <w:highlight w:val="none"/>
        </w:rPr>
      </w:pPr>
      <w:r>
        <w:rPr>
          <w:rFonts w:hint="eastAsia" w:asciiTheme="minorEastAsia" w:hAnsiTheme="minorEastAsia"/>
          <w:color w:val="auto"/>
          <w:highlight w:val="none"/>
        </w:rPr>
        <w:t>评审时，评审委员会各成员应当独立对每个响应供应商的响应文件进行评价，并汇总每个响应供应商的得分。</w:t>
      </w:r>
    </w:p>
    <w:p w14:paraId="1219537E">
      <w:pPr>
        <w:pStyle w:val="33"/>
        <w:numPr>
          <w:ilvl w:val="0"/>
          <w:numId w:val="51"/>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响应无效的情形</w:t>
      </w:r>
    </w:p>
    <w:p w14:paraId="70A4B5CD">
      <w:pPr>
        <w:pStyle w:val="33"/>
        <w:numPr>
          <w:ilvl w:val="0"/>
          <w:numId w:val="52"/>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详见</w:t>
      </w:r>
      <w:r>
        <w:rPr>
          <w:rFonts w:hint="eastAsia" w:asciiTheme="minorEastAsia" w:hAnsiTheme="minorEastAsia"/>
          <w:color w:val="auto"/>
          <w:highlight w:val="none"/>
        </w:rPr>
        <w:t>初步审查</w:t>
      </w:r>
      <w:r>
        <w:rPr>
          <w:rFonts w:hint="eastAsia" w:asciiTheme="minorEastAsia" w:hAnsiTheme="minorEastAsia"/>
          <w:bCs/>
          <w:color w:val="auto"/>
          <w:szCs w:val="21"/>
          <w:highlight w:val="none"/>
        </w:rPr>
        <w:t>和遴选文件其他响应无效条款。</w:t>
      </w:r>
    </w:p>
    <w:p w14:paraId="79DF800A">
      <w:pPr>
        <w:pStyle w:val="33"/>
        <w:numPr>
          <w:ilvl w:val="0"/>
          <w:numId w:val="51"/>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详细评审</w:t>
      </w:r>
    </w:p>
    <w:p w14:paraId="0E400888">
      <w:pPr>
        <w:pStyle w:val="33"/>
        <w:numPr>
          <w:ilvl w:val="0"/>
          <w:numId w:val="52"/>
        </w:numPr>
        <w:tabs>
          <w:tab w:val="left" w:pos="426"/>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评审委员会应当按照遴选文件中规定的评审方法和标准，对</w:t>
      </w:r>
      <w:r>
        <w:rPr>
          <w:rFonts w:hint="eastAsia" w:asciiTheme="minorEastAsia" w:hAnsiTheme="minorEastAsia"/>
          <w:color w:val="auto"/>
          <w:highlight w:val="none"/>
        </w:rPr>
        <w:t>初步审查</w:t>
      </w:r>
      <w:r>
        <w:rPr>
          <w:rFonts w:hint="eastAsia" w:asciiTheme="minorEastAsia" w:hAnsiTheme="minorEastAsia"/>
          <w:bCs/>
          <w:color w:val="auto"/>
          <w:szCs w:val="21"/>
          <w:highlight w:val="none"/>
        </w:rPr>
        <w:t>合格的响应文件进行商务和技术评估，综合比较与评价。</w:t>
      </w:r>
    </w:p>
    <w:p w14:paraId="4993F77D">
      <w:pPr>
        <w:pStyle w:val="33"/>
        <w:numPr>
          <w:ilvl w:val="0"/>
          <w:numId w:val="51"/>
        </w:numPr>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价格评审</w:t>
      </w:r>
    </w:p>
    <w:p w14:paraId="4C8A4516">
      <w:pPr>
        <w:pStyle w:val="33"/>
        <w:numPr>
          <w:ilvl w:val="0"/>
          <w:numId w:val="52"/>
        </w:numPr>
        <w:tabs>
          <w:tab w:val="left" w:pos="426"/>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响应文件报价出现前后不一致的，除遴选文件另有规定外，按照下列规定修正：</w:t>
      </w:r>
    </w:p>
    <w:p w14:paraId="6F892C30">
      <w:pPr>
        <w:pStyle w:val="33"/>
        <w:numPr>
          <w:ilvl w:val="1"/>
          <w:numId w:val="57"/>
        </w:numPr>
        <w:spacing w:line="360" w:lineRule="auto"/>
        <w:ind w:firstLineChars="0"/>
        <w:rPr>
          <w:rFonts w:asciiTheme="minorEastAsia" w:hAnsiTheme="minorEastAsia"/>
          <w:bCs/>
          <w:color w:val="auto"/>
          <w:szCs w:val="21"/>
          <w:highlight w:val="none"/>
        </w:rPr>
      </w:pPr>
      <w:r>
        <w:rPr>
          <w:rFonts w:hint="eastAsia" w:asciiTheme="minorEastAsia" w:hAnsiTheme="minorEastAsia"/>
          <w:color w:val="auto"/>
          <w:highlight w:val="none"/>
        </w:rPr>
        <w:t>响应文件中报价一览表内容与响应文件中相应内容不一致的，以报价一览表为准；</w:t>
      </w:r>
    </w:p>
    <w:p w14:paraId="7C712D69">
      <w:pPr>
        <w:pStyle w:val="33"/>
        <w:numPr>
          <w:ilvl w:val="1"/>
          <w:numId w:val="5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大写金额和小写金额不一致的，以大写金额为准；</w:t>
      </w:r>
    </w:p>
    <w:p w14:paraId="1CE81EA4">
      <w:pPr>
        <w:pStyle w:val="33"/>
        <w:numPr>
          <w:ilvl w:val="1"/>
          <w:numId w:val="5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单价金额小数点或者百分比有明显错位的，以报价一览表的总价为准，并修改单价；</w:t>
      </w:r>
    </w:p>
    <w:p w14:paraId="0FEC390C">
      <w:pPr>
        <w:pStyle w:val="33"/>
        <w:numPr>
          <w:ilvl w:val="1"/>
          <w:numId w:val="57"/>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总价金额与按单价汇总金额不一致的，以单价金额计算结果为准。</w:t>
      </w:r>
    </w:p>
    <w:p w14:paraId="74552F10">
      <w:pPr>
        <w:pStyle w:val="33"/>
        <w:tabs>
          <w:tab w:val="left" w:pos="426"/>
        </w:tabs>
        <w:spacing w:line="360" w:lineRule="auto"/>
        <w:ind w:left="567" w:firstLine="0"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同时出现两种以上不一致的，按照前款规定的顺序修正。修正后的报价经响应供应商确认后产生约束力，响应供应商不确认的，其响应无效。</w:t>
      </w:r>
    </w:p>
    <w:p w14:paraId="02FB7160">
      <w:pPr>
        <w:pStyle w:val="33"/>
        <w:numPr>
          <w:ilvl w:val="1"/>
          <w:numId w:val="57"/>
        </w:numPr>
        <w:spacing w:line="360" w:lineRule="auto"/>
        <w:ind w:firstLineChars="0"/>
        <w:rPr>
          <w:rFonts w:asciiTheme="minorEastAsia" w:hAnsiTheme="minorEastAsia"/>
          <w:bCs/>
          <w:color w:val="auto"/>
          <w:szCs w:val="21"/>
          <w:highlight w:val="none"/>
        </w:rPr>
      </w:pPr>
      <w:bookmarkStart w:id="39" w:name="_Hlk86745538"/>
      <w:r>
        <w:rPr>
          <w:rFonts w:hint="eastAsia" w:asciiTheme="minorEastAsia" w:hAnsiTheme="minorEastAsia"/>
          <w:bCs/>
          <w:color w:val="auto"/>
          <w:szCs w:val="21"/>
          <w:highlight w:val="none"/>
        </w:rPr>
        <w:t>响应文件中</w:t>
      </w:r>
      <w:bookmarkStart w:id="40" w:name="_Hlk81348653"/>
      <w:r>
        <w:rPr>
          <w:rFonts w:hint="eastAsia" w:asciiTheme="minorEastAsia" w:hAnsiTheme="minorEastAsia"/>
          <w:bCs/>
          <w:color w:val="auto"/>
          <w:szCs w:val="21"/>
          <w:highlight w:val="none"/>
        </w:rPr>
        <w:t>报价一览表、</w:t>
      </w:r>
      <w:r>
        <w:rPr>
          <w:rFonts w:hint="eastAsia" w:asciiTheme="minorEastAsia" w:hAnsiTheme="minorEastAsia"/>
          <w:color w:val="auto"/>
          <w:szCs w:val="21"/>
          <w:highlight w:val="none"/>
        </w:rPr>
        <w:t>明细报价表</w:t>
      </w:r>
      <w:r>
        <w:rPr>
          <w:rFonts w:hint="eastAsia" w:asciiTheme="minorEastAsia" w:hAnsiTheme="minorEastAsia"/>
          <w:bCs/>
          <w:color w:val="auto"/>
          <w:szCs w:val="21"/>
          <w:highlight w:val="none"/>
        </w:rPr>
        <w:t>内容</w:t>
      </w:r>
      <w:bookmarkEnd w:id="40"/>
      <w:r>
        <w:rPr>
          <w:rFonts w:hint="eastAsia" w:asciiTheme="minorEastAsia" w:hAnsiTheme="minorEastAsia"/>
          <w:bCs/>
          <w:color w:val="auto"/>
          <w:szCs w:val="21"/>
          <w:highlight w:val="none"/>
        </w:rPr>
        <w:t>与</w:t>
      </w:r>
      <w:r>
        <w:rPr>
          <w:rFonts w:hint="eastAsia" w:asciiTheme="minorEastAsia" w:hAnsiTheme="minorEastAsia"/>
          <w:bCs/>
          <w:color w:val="auto"/>
          <w:szCs w:val="21"/>
          <w:highlight w:val="none"/>
          <w:lang w:val="en-US" w:eastAsia="zh-CN"/>
        </w:rPr>
        <w:t>响应</w:t>
      </w:r>
      <w:r>
        <w:rPr>
          <w:rFonts w:hint="eastAsia" w:asciiTheme="minorEastAsia" w:hAnsiTheme="minorEastAsia"/>
          <w:bCs/>
          <w:color w:val="auto"/>
          <w:szCs w:val="21"/>
          <w:highlight w:val="none"/>
        </w:rPr>
        <w:t>信封中报价一览表（报价表、</w:t>
      </w:r>
      <w:r>
        <w:rPr>
          <w:rFonts w:hint="eastAsia" w:asciiTheme="minorEastAsia" w:hAnsiTheme="minorEastAsia"/>
          <w:color w:val="auto"/>
          <w:szCs w:val="21"/>
          <w:highlight w:val="none"/>
        </w:rPr>
        <w:t>明细报价表</w:t>
      </w:r>
      <w:r>
        <w:rPr>
          <w:rFonts w:hint="eastAsia" w:asciiTheme="minorEastAsia" w:hAnsiTheme="minorEastAsia"/>
          <w:bCs/>
          <w:color w:val="auto"/>
          <w:szCs w:val="21"/>
          <w:highlight w:val="none"/>
        </w:rPr>
        <w:t>内容不一致的，以响应信封中报价一览表、</w:t>
      </w:r>
      <w:r>
        <w:rPr>
          <w:rFonts w:hint="eastAsia" w:asciiTheme="minorEastAsia" w:hAnsiTheme="minorEastAsia"/>
          <w:color w:val="auto"/>
          <w:szCs w:val="21"/>
          <w:highlight w:val="none"/>
        </w:rPr>
        <w:t>明细报价表</w:t>
      </w:r>
      <w:r>
        <w:rPr>
          <w:rFonts w:hint="eastAsia" w:asciiTheme="minorEastAsia" w:hAnsiTheme="minorEastAsia"/>
          <w:bCs/>
          <w:color w:val="auto"/>
          <w:szCs w:val="21"/>
          <w:highlight w:val="none"/>
        </w:rPr>
        <w:t>内容为准。</w:t>
      </w:r>
    </w:p>
    <w:bookmarkEnd w:id="39"/>
    <w:p w14:paraId="03392D65">
      <w:pPr>
        <w:pStyle w:val="33"/>
        <w:numPr>
          <w:ilvl w:val="0"/>
          <w:numId w:val="52"/>
        </w:numPr>
        <w:tabs>
          <w:tab w:val="left" w:pos="426"/>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认为响应供应商的报价明显低于其他响应供应商的报价，有可能影响产品质量或者不能诚信履约的，应当要求其在评审现场合理的时间内提供书面说明，必要时提交相关证明材料；响应供应商不能证明其报价合理性的，评审委员会应当将其作为无效响应处理。</w:t>
      </w:r>
    </w:p>
    <w:p w14:paraId="438F340A">
      <w:pPr>
        <w:pStyle w:val="33"/>
        <w:numPr>
          <w:ilvl w:val="0"/>
          <w:numId w:val="52"/>
        </w:numPr>
        <w:tabs>
          <w:tab w:val="left" w:pos="426"/>
        </w:tabs>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价格评分</w:t>
      </w:r>
      <w:r>
        <w:rPr>
          <w:rFonts w:asciiTheme="minorEastAsia" w:hAnsiTheme="minorEastAsia"/>
          <w:b/>
          <w:bCs/>
          <w:color w:val="auto"/>
          <w:szCs w:val="21"/>
          <w:highlight w:val="none"/>
        </w:rPr>
        <w:t>权值分配（</w:t>
      </w:r>
      <w:r>
        <w:rPr>
          <w:rFonts w:hint="eastAsia" w:asciiTheme="minorEastAsia" w:hAnsiTheme="minorEastAsia"/>
          <w:b/>
          <w:bCs/>
          <w:color w:val="auto"/>
          <w:szCs w:val="21"/>
          <w:highlight w:val="none"/>
          <w:lang w:val="en-US" w:eastAsia="zh-CN"/>
        </w:rPr>
        <w:t>1</w:t>
      </w:r>
      <w:r>
        <w:rPr>
          <w:rFonts w:hint="eastAsia" w:asciiTheme="minorEastAsia" w:hAnsiTheme="minorEastAsia"/>
          <w:b/>
          <w:bCs/>
          <w:color w:val="auto"/>
          <w:szCs w:val="21"/>
          <w:highlight w:val="none"/>
        </w:rPr>
        <w:t>0</w:t>
      </w:r>
      <w:r>
        <w:rPr>
          <w:rFonts w:asciiTheme="minorEastAsia" w:hAnsiTheme="minorEastAsia"/>
          <w:b/>
          <w:bCs/>
          <w:color w:val="auto"/>
          <w:szCs w:val="21"/>
          <w:highlight w:val="none"/>
        </w:rPr>
        <w:t>%）</w:t>
      </w:r>
    </w:p>
    <w:p w14:paraId="67CC44E2">
      <w:pPr>
        <w:pStyle w:val="33"/>
        <w:numPr>
          <w:ilvl w:val="1"/>
          <w:numId w:val="58"/>
        </w:numPr>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价格分应当采用低价优先法计算，即满足遴选文件要求且价格最低的报价为评审基准价，其价格分为满分。其他响应供应商的价格分统一按照下列公式计算：</w:t>
      </w:r>
    </w:p>
    <w:p w14:paraId="227B81D2">
      <w:pPr>
        <w:pStyle w:val="33"/>
        <w:spacing w:line="360" w:lineRule="auto"/>
        <w:ind w:left="567" w:firstLine="0" w:firstLineChars="0"/>
        <w:jc w:val="left"/>
        <w:rPr>
          <w:rFonts w:asciiTheme="minorEastAsia" w:hAnsiTheme="minorEastAsia"/>
          <w:color w:val="auto"/>
          <w:highlight w:val="none"/>
        </w:rPr>
      </w:pPr>
      <w:r>
        <w:rPr>
          <w:rFonts w:hint="eastAsia" w:asciiTheme="minorEastAsia" w:hAnsiTheme="minorEastAsia"/>
          <w:bCs/>
          <w:color w:val="auto"/>
          <w:szCs w:val="21"/>
          <w:highlight w:val="none"/>
        </w:rPr>
        <w:t>响应供应商价格得分</w:t>
      </w:r>
      <w:r>
        <w:rPr>
          <w:rFonts w:asciiTheme="minorEastAsia" w:hAnsiTheme="minorEastAsia"/>
          <w:bCs/>
          <w:color w:val="auto"/>
          <w:szCs w:val="21"/>
          <w:highlight w:val="none"/>
        </w:rPr>
        <w:t>=(评</w:t>
      </w:r>
      <w:r>
        <w:rPr>
          <w:rFonts w:hint="eastAsia" w:asciiTheme="minorEastAsia" w:hAnsiTheme="minorEastAsia"/>
          <w:bCs/>
          <w:color w:val="auto"/>
          <w:szCs w:val="21"/>
          <w:highlight w:val="none"/>
        </w:rPr>
        <w:t>审</w:t>
      </w:r>
      <w:r>
        <w:rPr>
          <w:rFonts w:asciiTheme="minorEastAsia" w:hAnsiTheme="minorEastAsia"/>
          <w:bCs/>
          <w:color w:val="auto"/>
          <w:szCs w:val="21"/>
          <w:highlight w:val="none"/>
        </w:rPr>
        <w:t>基准价／</w:t>
      </w:r>
      <w:r>
        <w:rPr>
          <w:rFonts w:hint="eastAsia" w:asciiTheme="minorEastAsia" w:hAnsiTheme="minorEastAsia"/>
          <w:bCs/>
          <w:color w:val="auto"/>
          <w:szCs w:val="21"/>
          <w:highlight w:val="none"/>
        </w:rPr>
        <w:t>报价</w:t>
      </w:r>
      <w:r>
        <w:rPr>
          <w:rFonts w:asciiTheme="minorEastAsia" w:hAnsiTheme="minorEastAsia"/>
          <w:bCs/>
          <w:color w:val="auto"/>
          <w:szCs w:val="21"/>
          <w:highlight w:val="none"/>
        </w:rPr>
        <w:t>)×</w:t>
      </w:r>
      <w:r>
        <w:rPr>
          <w:rFonts w:hint="eastAsia" w:asciiTheme="minorEastAsia" w:hAnsiTheme="minorEastAsia"/>
          <w:color w:val="auto"/>
          <w:highlight w:val="none"/>
        </w:rPr>
        <w:t>价格权值</w:t>
      </w:r>
      <w:r>
        <w:rPr>
          <w:rFonts w:asciiTheme="minorEastAsia" w:hAnsiTheme="minorEastAsia"/>
          <w:bCs/>
          <w:color w:val="auto"/>
          <w:szCs w:val="21"/>
          <w:highlight w:val="none"/>
        </w:rPr>
        <w:t>×100</w:t>
      </w:r>
    </w:p>
    <w:p w14:paraId="77302875">
      <w:pPr>
        <w:pStyle w:val="33"/>
        <w:numPr>
          <w:ilvl w:val="0"/>
          <w:numId w:val="52"/>
        </w:numPr>
        <w:tabs>
          <w:tab w:val="left" w:pos="426"/>
        </w:tabs>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商务技术及价格评分权值分配</w:t>
      </w:r>
    </w:p>
    <w:tbl>
      <w:tblPr>
        <w:tblStyle w:val="22"/>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11"/>
        <w:gridCol w:w="1897"/>
        <w:gridCol w:w="1895"/>
        <w:gridCol w:w="1895"/>
        <w:gridCol w:w="1369"/>
      </w:tblGrid>
      <w:tr w14:paraId="7A617C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0D8D022C">
            <w:pPr>
              <w:jc w:val="center"/>
              <w:rPr>
                <w:rFonts w:asciiTheme="minorEastAsia" w:hAnsiTheme="minorEastAsia"/>
                <w:color w:val="auto"/>
                <w:highlight w:val="none"/>
              </w:rPr>
            </w:pPr>
            <w:r>
              <w:rPr>
                <w:rFonts w:hint="eastAsia" w:asciiTheme="minorEastAsia" w:hAnsiTheme="minorEastAsia"/>
                <w:color w:val="auto"/>
                <w:highlight w:val="none"/>
              </w:rPr>
              <w:t>评分项目</w:t>
            </w:r>
          </w:p>
        </w:tc>
        <w:tc>
          <w:tcPr>
            <w:tcW w:w="1082" w:type="pct"/>
            <w:vAlign w:val="center"/>
          </w:tcPr>
          <w:p w14:paraId="75991A96">
            <w:pPr>
              <w:jc w:val="center"/>
              <w:rPr>
                <w:rFonts w:asciiTheme="minorEastAsia" w:hAnsiTheme="minorEastAsia"/>
                <w:color w:val="auto"/>
                <w:highlight w:val="none"/>
              </w:rPr>
            </w:pPr>
            <w:r>
              <w:rPr>
                <w:rFonts w:hint="eastAsia" w:asciiTheme="minorEastAsia" w:hAnsiTheme="minorEastAsia"/>
                <w:color w:val="auto"/>
                <w:highlight w:val="none"/>
              </w:rPr>
              <w:t>价格部分</w:t>
            </w:r>
          </w:p>
        </w:tc>
        <w:tc>
          <w:tcPr>
            <w:tcW w:w="1081" w:type="pct"/>
            <w:vAlign w:val="center"/>
          </w:tcPr>
          <w:p w14:paraId="0D9DED13">
            <w:pPr>
              <w:jc w:val="center"/>
              <w:rPr>
                <w:rFonts w:asciiTheme="minorEastAsia" w:hAnsiTheme="minorEastAsia"/>
                <w:color w:val="auto"/>
                <w:highlight w:val="none"/>
              </w:rPr>
            </w:pPr>
            <w:r>
              <w:rPr>
                <w:rFonts w:hint="eastAsia" w:asciiTheme="minorEastAsia" w:hAnsiTheme="minorEastAsia"/>
                <w:color w:val="auto"/>
                <w:highlight w:val="none"/>
              </w:rPr>
              <w:t>商务部分</w:t>
            </w:r>
          </w:p>
        </w:tc>
        <w:tc>
          <w:tcPr>
            <w:tcW w:w="1081" w:type="pct"/>
            <w:vAlign w:val="center"/>
          </w:tcPr>
          <w:p w14:paraId="7E9C99B0">
            <w:pPr>
              <w:jc w:val="center"/>
              <w:rPr>
                <w:rFonts w:asciiTheme="minorEastAsia" w:hAnsiTheme="minorEastAsia"/>
                <w:color w:val="auto"/>
                <w:highlight w:val="none"/>
              </w:rPr>
            </w:pPr>
            <w:r>
              <w:rPr>
                <w:rFonts w:hint="eastAsia" w:asciiTheme="minorEastAsia" w:hAnsiTheme="minorEastAsia"/>
                <w:color w:val="auto"/>
                <w:highlight w:val="none"/>
              </w:rPr>
              <w:t>技术部分</w:t>
            </w:r>
          </w:p>
        </w:tc>
        <w:tc>
          <w:tcPr>
            <w:tcW w:w="780" w:type="pct"/>
            <w:vAlign w:val="center"/>
          </w:tcPr>
          <w:p w14:paraId="58C0E015">
            <w:pPr>
              <w:jc w:val="center"/>
              <w:rPr>
                <w:rFonts w:asciiTheme="minorEastAsia" w:hAnsiTheme="minorEastAsia"/>
                <w:color w:val="auto"/>
                <w:highlight w:val="none"/>
              </w:rPr>
            </w:pPr>
            <w:r>
              <w:rPr>
                <w:rFonts w:hint="eastAsia" w:asciiTheme="minorEastAsia" w:hAnsiTheme="minorEastAsia"/>
                <w:color w:val="auto"/>
                <w:highlight w:val="none"/>
              </w:rPr>
              <w:t>合计</w:t>
            </w:r>
          </w:p>
        </w:tc>
      </w:tr>
      <w:tr w14:paraId="22A0C5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6" w:type="pct"/>
            <w:vAlign w:val="center"/>
          </w:tcPr>
          <w:p w14:paraId="08E81E9C">
            <w:pPr>
              <w:jc w:val="center"/>
              <w:rPr>
                <w:rFonts w:asciiTheme="minorEastAsia" w:hAnsiTheme="minorEastAsia"/>
                <w:color w:val="auto"/>
                <w:highlight w:val="none"/>
              </w:rPr>
            </w:pPr>
            <w:r>
              <w:rPr>
                <w:rFonts w:hint="eastAsia" w:asciiTheme="minorEastAsia" w:hAnsiTheme="minorEastAsia"/>
                <w:color w:val="auto"/>
                <w:highlight w:val="none"/>
              </w:rPr>
              <w:t>权值</w:t>
            </w:r>
          </w:p>
        </w:tc>
        <w:tc>
          <w:tcPr>
            <w:tcW w:w="1082" w:type="pct"/>
            <w:vAlign w:val="center"/>
          </w:tcPr>
          <w:p w14:paraId="4BEAF042">
            <w:pPr>
              <w:jc w:val="center"/>
              <w:rPr>
                <w:rFonts w:asciiTheme="minorEastAsia" w:hAnsiTheme="minorEastAsia"/>
                <w:color w:val="auto"/>
                <w:highlight w:val="none"/>
              </w:rPr>
            </w:pPr>
            <w:r>
              <w:rPr>
                <w:rFonts w:hint="eastAsia" w:asciiTheme="minorEastAsia" w:hAnsiTheme="minorEastAsia"/>
                <w:color w:val="auto"/>
                <w:highlight w:val="none"/>
                <w:lang w:val="en-US" w:eastAsia="zh-CN"/>
              </w:rPr>
              <w:t>1</w:t>
            </w:r>
            <w:r>
              <w:rPr>
                <w:rFonts w:hint="eastAsia" w:asciiTheme="minorEastAsia" w:hAnsiTheme="minorEastAsia"/>
                <w:color w:val="auto"/>
                <w:highlight w:val="none"/>
              </w:rPr>
              <w:t>0%</w:t>
            </w:r>
          </w:p>
        </w:tc>
        <w:tc>
          <w:tcPr>
            <w:tcW w:w="1081" w:type="pct"/>
            <w:vAlign w:val="center"/>
          </w:tcPr>
          <w:p w14:paraId="0F0FE68D">
            <w:pPr>
              <w:jc w:val="center"/>
              <w:rPr>
                <w:rFonts w:asciiTheme="minorEastAsia" w:hAnsiTheme="minorEastAsia"/>
                <w:color w:val="auto"/>
                <w:highlight w:val="none"/>
              </w:rPr>
            </w:pPr>
            <w:r>
              <w:rPr>
                <w:rFonts w:hint="eastAsia" w:asciiTheme="minorEastAsia" w:hAnsiTheme="minorEastAsia"/>
                <w:color w:val="auto"/>
                <w:highlight w:val="none"/>
                <w:lang w:val="en-US" w:eastAsia="zh-CN"/>
              </w:rPr>
              <w:t>30</w:t>
            </w:r>
            <w:r>
              <w:rPr>
                <w:rFonts w:hint="eastAsia" w:asciiTheme="minorEastAsia" w:hAnsiTheme="minorEastAsia"/>
                <w:color w:val="auto"/>
                <w:highlight w:val="none"/>
              </w:rPr>
              <w:t>%</w:t>
            </w:r>
          </w:p>
        </w:tc>
        <w:tc>
          <w:tcPr>
            <w:tcW w:w="1081" w:type="pct"/>
            <w:vAlign w:val="center"/>
          </w:tcPr>
          <w:p w14:paraId="700C6924">
            <w:pPr>
              <w:jc w:val="center"/>
              <w:rPr>
                <w:rFonts w:asciiTheme="minorEastAsia" w:hAnsiTheme="minorEastAsia"/>
                <w:i/>
                <w:color w:val="auto"/>
                <w:highlight w:val="none"/>
              </w:rPr>
            </w:pPr>
            <w:r>
              <w:rPr>
                <w:rFonts w:hint="eastAsia" w:asciiTheme="minorEastAsia" w:hAnsiTheme="minorEastAsia"/>
                <w:color w:val="auto"/>
                <w:highlight w:val="none"/>
                <w:lang w:val="en-US" w:eastAsia="zh-CN"/>
              </w:rPr>
              <w:t>60</w:t>
            </w:r>
            <w:r>
              <w:rPr>
                <w:rFonts w:hint="eastAsia" w:asciiTheme="minorEastAsia" w:hAnsiTheme="minorEastAsia"/>
                <w:color w:val="auto"/>
                <w:highlight w:val="none"/>
              </w:rPr>
              <w:t>%</w:t>
            </w:r>
          </w:p>
        </w:tc>
        <w:tc>
          <w:tcPr>
            <w:tcW w:w="780" w:type="pct"/>
          </w:tcPr>
          <w:p w14:paraId="272A7394">
            <w:pPr>
              <w:jc w:val="center"/>
              <w:rPr>
                <w:rFonts w:asciiTheme="minorEastAsia" w:hAnsiTheme="minorEastAsia"/>
                <w:color w:val="auto"/>
                <w:highlight w:val="none"/>
              </w:rPr>
            </w:pPr>
            <w:r>
              <w:rPr>
                <w:rFonts w:asciiTheme="minorEastAsia" w:hAnsiTheme="minorEastAsia"/>
                <w:color w:val="auto"/>
                <w:highlight w:val="none"/>
              </w:rPr>
              <w:t>100</w:t>
            </w:r>
            <w:r>
              <w:rPr>
                <w:rFonts w:hint="eastAsia" w:asciiTheme="minorEastAsia" w:hAnsiTheme="minorEastAsia"/>
                <w:color w:val="auto"/>
                <w:highlight w:val="none"/>
              </w:rPr>
              <w:t>%</w:t>
            </w:r>
          </w:p>
        </w:tc>
      </w:tr>
    </w:tbl>
    <w:p w14:paraId="0CB2F28A">
      <w:pPr>
        <w:pStyle w:val="33"/>
        <w:numPr>
          <w:ilvl w:val="0"/>
          <w:numId w:val="59"/>
        </w:numPr>
        <w:spacing w:before="156" w:beforeLines="50"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综合得分＝商务得分＋技术得分＋价格得分</w:t>
      </w:r>
    </w:p>
    <w:p w14:paraId="480F4191">
      <w:pPr>
        <w:pStyle w:val="33"/>
        <w:numPr>
          <w:ilvl w:val="0"/>
          <w:numId w:val="52"/>
        </w:numPr>
        <w:tabs>
          <w:tab w:val="left" w:pos="426"/>
        </w:tabs>
        <w:spacing w:before="312" w:beforeLines="100" w:line="360" w:lineRule="auto"/>
        <w:ind w:firstLineChars="0"/>
        <w:rPr>
          <w:rFonts w:asciiTheme="minorEastAsia" w:hAnsiTheme="minorEastAsia"/>
          <w:b/>
          <w:bCs/>
          <w:color w:val="auto"/>
          <w:szCs w:val="21"/>
          <w:highlight w:val="none"/>
        </w:rPr>
      </w:pPr>
      <w:r>
        <w:rPr>
          <w:rFonts w:hint="eastAsia" w:asciiTheme="minorEastAsia" w:hAnsiTheme="minorEastAsia"/>
          <w:b/>
          <w:bCs/>
          <w:color w:val="auto"/>
          <w:szCs w:val="21"/>
          <w:highlight w:val="none"/>
        </w:rPr>
        <w:t>成交候选人</w:t>
      </w:r>
    </w:p>
    <w:p w14:paraId="0C5342AD">
      <w:pPr>
        <w:pStyle w:val="33"/>
        <w:numPr>
          <w:ilvl w:val="1"/>
          <w:numId w:val="60"/>
        </w:numPr>
        <w:tabs>
          <w:tab w:val="left" w:pos="567"/>
          <w:tab w:val="left" w:pos="709"/>
        </w:tabs>
        <w:spacing w:line="360" w:lineRule="auto"/>
        <w:ind w:firstLineChars="0"/>
        <w:rPr>
          <w:rFonts w:asciiTheme="minorEastAsia" w:hAnsiTheme="minorEastAsia"/>
          <w:bCs/>
          <w:color w:val="auto"/>
          <w:szCs w:val="21"/>
          <w:highlight w:val="none"/>
        </w:rPr>
      </w:pPr>
      <w:r>
        <w:rPr>
          <w:rFonts w:hint="eastAsia" w:asciiTheme="minorEastAsia" w:hAnsiTheme="minorEastAsia"/>
          <w:bCs/>
          <w:color w:val="auto"/>
          <w:szCs w:val="21"/>
          <w:highlight w:val="none"/>
        </w:rPr>
        <w:t>评审委员会出具评审报告，并排序推荐三名成交候选人。</w:t>
      </w:r>
    </w:p>
    <w:p w14:paraId="7131A902">
      <w:pPr>
        <w:pStyle w:val="33"/>
        <w:numPr>
          <w:ilvl w:val="1"/>
          <w:numId w:val="60"/>
        </w:numPr>
        <w:tabs>
          <w:tab w:val="left" w:pos="567"/>
          <w:tab w:val="left" w:pos="709"/>
        </w:tabs>
        <w:spacing w:line="360" w:lineRule="auto"/>
        <w:ind w:firstLineChars="0"/>
        <w:rPr>
          <w:rFonts w:asciiTheme="minorEastAsia" w:hAnsiTheme="minorEastAsia"/>
          <w:b/>
          <w:bCs/>
          <w:color w:val="auto"/>
          <w:highlight w:val="none"/>
        </w:rPr>
      </w:pPr>
      <w:r>
        <w:rPr>
          <w:rFonts w:hint="eastAsia" w:asciiTheme="minorEastAsia" w:hAnsiTheme="minorEastAsia"/>
          <w:bCs/>
          <w:color w:val="auto"/>
          <w:szCs w:val="21"/>
          <w:highlight w:val="none"/>
        </w:rPr>
        <w:t>采</w:t>
      </w:r>
      <w:r>
        <w:rPr>
          <w:rFonts w:asciiTheme="minorEastAsia" w:hAnsiTheme="minorEastAsia"/>
          <w:bCs/>
          <w:color w:val="auto"/>
          <w:szCs w:val="21"/>
          <w:highlight w:val="none"/>
        </w:rPr>
        <w:t>用综合评分法的，</w:t>
      </w:r>
      <w:r>
        <w:rPr>
          <w:rFonts w:hint="eastAsia" w:asciiTheme="minorEastAsia" w:hAnsiTheme="minorEastAsia"/>
          <w:bCs/>
          <w:color w:val="auto"/>
          <w:szCs w:val="21"/>
          <w:highlight w:val="none"/>
        </w:rPr>
        <w:t>评审结果</w:t>
      </w:r>
      <w:r>
        <w:rPr>
          <w:rFonts w:asciiTheme="minorEastAsia" w:hAnsiTheme="minorEastAsia"/>
          <w:bCs/>
          <w:color w:val="auto"/>
          <w:szCs w:val="21"/>
          <w:highlight w:val="none"/>
        </w:rPr>
        <w:t>按评审后得分由高到低的顺序排列。</w:t>
      </w:r>
      <w:r>
        <w:rPr>
          <w:rFonts w:hint="eastAsia" w:asciiTheme="minorEastAsia" w:hAnsiTheme="minorEastAsia"/>
          <w:bCs/>
          <w:color w:val="auto"/>
          <w:szCs w:val="21"/>
          <w:highlight w:val="none"/>
        </w:rPr>
        <w:t>综合</w:t>
      </w:r>
      <w:r>
        <w:rPr>
          <w:rFonts w:asciiTheme="minorEastAsia" w:hAnsiTheme="minorEastAsia"/>
          <w:bCs/>
          <w:color w:val="auto"/>
          <w:szCs w:val="21"/>
          <w:highlight w:val="none"/>
        </w:rPr>
        <w:t>得分相同的，按报价由低到高顺序排列</w:t>
      </w:r>
      <w:r>
        <w:rPr>
          <w:rFonts w:hint="eastAsia" w:asciiTheme="minorEastAsia" w:hAnsiTheme="minorEastAsia"/>
          <w:bCs/>
          <w:color w:val="auto"/>
          <w:szCs w:val="21"/>
          <w:highlight w:val="none"/>
        </w:rPr>
        <w:t>，以报价低的优先；报价也相等的，以技术得分高的优先；如果技术得分也相等，通过随机方式产生。</w:t>
      </w:r>
    </w:p>
    <w:p w14:paraId="192D9A7B">
      <w:pPr>
        <w:pStyle w:val="33"/>
        <w:numPr>
          <w:ilvl w:val="0"/>
          <w:numId w:val="61"/>
        </w:numPr>
        <w:spacing w:before="156" w:beforeLines="50" w:after="312" w:afterLines="100" w:line="360" w:lineRule="auto"/>
        <w:ind w:left="422" w:hanging="422" w:hangingChars="200"/>
        <w:rPr>
          <w:rFonts w:asciiTheme="minorEastAsia" w:hAnsiTheme="minorEastAsia"/>
          <w:b/>
          <w:bCs/>
          <w:color w:val="auto"/>
          <w:szCs w:val="21"/>
          <w:highlight w:val="none"/>
        </w:rPr>
      </w:pPr>
      <w:r>
        <w:rPr>
          <w:rFonts w:hint="eastAsia" w:asciiTheme="minorEastAsia" w:hAnsiTheme="minorEastAsia"/>
          <w:b/>
          <w:bCs/>
          <w:color w:val="auto"/>
          <w:szCs w:val="21"/>
          <w:highlight w:val="none"/>
        </w:rPr>
        <w:t>附表一</w:t>
      </w:r>
      <w:r>
        <w:rPr>
          <w:rFonts w:asciiTheme="minorEastAsia" w:hAnsiTheme="minorEastAsia"/>
          <w:b/>
          <w:bCs/>
          <w:color w:val="auto"/>
          <w:szCs w:val="21"/>
          <w:highlight w:val="none"/>
        </w:rPr>
        <w:t xml:space="preserve"> </w:t>
      </w:r>
      <w:bookmarkStart w:id="41" w:name="_Hlk79425582"/>
      <w:r>
        <w:rPr>
          <w:rFonts w:asciiTheme="minorEastAsia" w:hAnsiTheme="minorEastAsia"/>
          <w:b/>
          <w:bCs/>
          <w:color w:val="auto"/>
          <w:szCs w:val="21"/>
          <w:highlight w:val="none"/>
        </w:rPr>
        <w:t xml:space="preserve"> </w:t>
      </w:r>
      <w:bookmarkStart w:id="42" w:name="_Hlk80867805"/>
      <w:r>
        <w:rPr>
          <w:rFonts w:hint="eastAsia" w:asciiTheme="minorEastAsia" w:hAnsiTheme="minorEastAsia"/>
          <w:b/>
          <w:bCs/>
          <w:color w:val="auto"/>
          <w:szCs w:val="21"/>
          <w:highlight w:val="none"/>
        </w:rPr>
        <w:t>初步</w:t>
      </w:r>
      <w:r>
        <w:rPr>
          <w:rFonts w:asciiTheme="minorEastAsia" w:hAnsiTheme="minorEastAsia"/>
          <w:b/>
          <w:bCs/>
          <w:color w:val="auto"/>
          <w:szCs w:val="21"/>
          <w:highlight w:val="none"/>
        </w:rPr>
        <w:t>审查表</w:t>
      </w:r>
      <w:bookmarkEnd w:id="41"/>
      <w:bookmarkEnd w:id="42"/>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9"/>
        <w:gridCol w:w="8078"/>
      </w:tblGrid>
      <w:tr w14:paraId="2A7C6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393" w:type="pct"/>
            <w:vAlign w:val="center"/>
          </w:tcPr>
          <w:p w14:paraId="058C11C4">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4607" w:type="pct"/>
            <w:vAlign w:val="center"/>
          </w:tcPr>
          <w:p w14:paraId="69923EB4">
            <w:pPr>
              <w:spacing w:line="360" w:lineRule="auto"/>
              <w:jc w:val="center"/>
              <w:rPr>
                <w:rFonts w:cs="Times New Roman" w:asciiTheme="minorEastAsia" w:hAnsiTheme="minorEastAsia"/>
                <w:b/>
                <w:color w:val="auto"/>
                <w:szCs w:val="21"/>
                <w:highlight w:val="none"/>
              </w:rPr>
            </w:pPr>
            <w:r>
              <w:rPr>
                <w:rFonts w:hint="eastAsia" w:cs="Times New Roman" w:asciiTheme="minorEastAsia" w:hAnsiTheme="minorEastAsia"/>
                <w:b/>
                <w:color w:val="auto"/>
                <w:szCs w:val="21"/>
                <w:highlight w:val="none"/>
              </w:rPr>
              <w:t>评审内容</w:t>
            </w:r>
          </w:p>
        </w:tc>
      </w:tr>
      <w:tr w14:paraId="6EEE5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393" w:type="pct"/>
            <w:vAlign w:val="center"/>
          </w:tcPr>
          <w:p w14:paraId="01EAA1EB">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1</w:t>
            </w:r>
          </w:p>
        </w:tc>
        <w:tc>
          <w:tcPr>
            <w:tcW w:w="4607" w:type="pct"/>
            <w:vAlign w:val="center"/>
          </w:tcPr>
          <w:p w14:paraId="2152575D">
            <w:pPr>
              <w:spacing w:line="360" w:lineRule="auto"/>
              <w:jc w:val="left"/>
              <w:rPr>
                <w:rFonts w:cs="Times New Roman" w:asciiTheme="minorEastAsia" w:hAnsiTheme="minorEastAsia"/>
                <w:color w:val="auto"/>
                <w:szCs w:val="21"/>
                <w:highlight w:val="none"/>
              </w:rPr>
            </w:pPr>
            <w:r>
              <w:rPr>
                <w:rFonts w:hint="eastAsia" w:asciiTheme="minorEastAsia" w:hAnsiTheme="minorEastAsia"/>
                <w:color w:val="auto"/>
                <w:szCs w:val="21"/>
                <w:highlight w:val="none"/>
              </w:rPr>
              <w:t>响应供应商应具备《中华人民共和国政府采购法》第二十二条规定的条件</w:t>
            </w:r>
            <w:r>
              <w:rPr>
                <w:rFonts w:asciiTheme="minorEastAsia" w:hAnsiTheme="minorEastAsia"/>
                <w:color w:val="auto"/>
                <w:szCs w:val="21"/>
                <w:highlight w:val="none"/>
              </w:rPr>
              <w:t>(</w:t>
            </w:r>
            <w:r>
              <w:rPr>
                <w:rFonts w:hint="eastAsia" w:asciiTheme="minorEastAsia" w:hAnsiTheme="minorEastAsia"/>
                <w:color w:val="auto"/>
                <w:szCs w:val="21"/>
                <w:highlight w:val="none"/>
              </w:rPr>
              <w:t>详见第一章</w:t>
            </w:r>
            <w:r>
              <w:rPr>
                <w:rFonts w:asciiTheme="minorEastAsia" w:hAnsiTheme="minorEastAsia"/>
                <w:color w:val="auto"/>
                <w:szCs w:val="21"/>
                <w:highlight w:val="none"/>
              </w:rPr>
              <w:t xml:space="preserve"> 邀请函中申请人的资格要求）</w:t>
            </w:r>
            <w:r>
              <w:rPr>
                <w:rFonts w:hint="eastAsia" w:cs="Times New Roman" w:asciiTheme="minorEastAsia" w:hAnsiTheme="minorEastAsia"/>
                <w:color w:val="auto"/>
                <w:szCs w:val="21"/>
                <w:highlight w:val="none"/>
              </w:rPr>
              <w:t>。</w:t>
            </w:r>
          </w:p>
        </w:tc>
      </w:tr>
      <w:tr w14:paraId="483B4D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3" w:type="pct"/>
            <w:vAlign w:val="center"/>
          </w:tcPr>
          <w:p w14:paraId="4997624F">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2</w:t>
            </w:r>
          </w:p>
        </w:tc>
        <w:tc>
          <w:tcPr>
            <w:tcW w:w="4607" w:type="pct"/>
            <w:vAlign w:val="center"/>
          </w:tcPr>
          <w:p w14:paraId="4FA35687">
            <w:pPr>
              <w:spacing w:line="360" w:lineRule="auto"/>
              <w:jc w:val="left"/>
              <w:rPr>
                <w:rFonts w:cs="Times New Roman" w:asciiTheme="minorEastAsia" w:hAnsiTheme="minorEastAsia"/>
                <w:color w:val="auto"/>
                <w:szCs w:val="21"/>
                <w:highlight w:val="none"/>
              </w:rPr>
            </w:pPr>
            <w:r>
              <w:rPr>
                <w:rFonts w:hint="eastAsia" w:cs="Times New Roman" w:asciiTheme="minorEastAsia" w:hAnsiTheme="minorEastAsia"/>
                <w:color w:val="auto"/>
                <w:szCs w:val="21"/>
                <w:highlight w:val="none"/>
              </w:rPr>
              <w:t>法定代表人证明书及授权委托书（如适用）：已经盖章、签署，有效期涵盖投标有效期。法人授权委托证明。</w:t>
            </w:r>
            <w:r>
              <w:rPr>
                <w:rFonts w:cs="Times New Roman" w:asciiTheme="minorEastAsia" w:hAnsiTheme="minorEastAsia"/>
                <w:color w:val="auto"/>
                <w:szCs w:val="21"/>
                <w:highlight w:val="none"/>
              </w:rPr>
              <w:t>(</w:t>
            </w:r>
            <w:r>
              <w:rPr>
                <w:rFonts w:hint="eastAsia" w:cs="Times New Roman" w:asciiTheme="minorEastAsia" w:hAnsiTheme="minorEastAsia"/>
                <w:color w:val="auto"/>
                <w:szCs w:val="21"/>
                <w:highlight w:val="none"/>
              </w:rPr>
              <w:t>响应供应商代表为法定代表人的除外</w:t>
            </w:r>
            <w:r>
              <w:rPr>
                <w:rFonts w:cs="Times New Roman" w:asciiTheme="minorEastAsia" w:hAnsiTheme="minorEastAsia"/>
                <w:color w:val="auto"/>
                <w:szCs w:val="21"/>
                <w:highlight w:val="none"/>
              </w:rPr>
              <w:t>)</w:t>
            </w:r>
          </w:p>
        </w:tc>
      </w:tr>
      <w:tr w14:paraId="02684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393" w:type="pct"/>
            <w:vAlign w:val="center"/>
          </w:tcPr>
          <w:p w14:paraId="260A23BC">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3</w:t>
            </w:r>
          </w:p>
        </w:tc>
        <w:tc>
          <w:tcPr>
            <w:tcW w:w="4607" w:type="pct"/>
            <w:vAlign w:val="center"/>
          </w:tcPr>
          <w:p w14:paraId="6E09A0BC">
            <w:pPr>
              <w:spacing w:line="360" w:lineRule="auto"/>
              <w:jc w:val="left"/>
              <w:rPr>
                <w:rFonts w:cs="Times New Roman" w:asciiTheme="minorEastAsia" w:hAnsiTheme="minorEastAsia"/>
                <w:color w:val="auto"/>
                <w:szCs w:val="21"/>
                <w:highlight w:val="none"/>
              </w:rPr>
            </w:pPr>
            <w:r>
              <w:rPr>
                <w:rFonts w:hint="eastAsia" w:cs="Times New Roman" w:asciiTheme="minorEastAsia" w:hAnsiTheme="minorEastAsia"/>
                <w:color w:val="auto"/>
                <w:szCs w:val="21"/>
                <w:highlight w:val="none"/>
              </w:rPr>
              <w:t>响应函已提交并符合遴选文件要求的，且响应有效期不少于遴选文件中载明的投标有效期。</w:t>
            </w:r>
          </w:p>
        </w:tc>
      </w:tr>
      <w:tr w14:paraId="7D687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393" w:type="pct"/>
            <w:vAlign w:val="center"/>
          </w:tcPr>
          <w:p w14:paraId="75FB1FDD">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4</w:t>
            </w:r>
          </w:p>
        </w:tc>
        <w:tc>
          <w:tcPr>
            <w:tcW w:w="4607" w:type="pct"/>
            <w:vAlign w:val="center"/>
          </w:tcPr>
          <w:p w14:paraId="3E02684F">
            <w:pPr>
              <w:spacing w:line="360" w:lineRule="auto"/>
              <w:jc w:val="left"/>
              <w:rPr>
                <w:rFonts w:asciiTheme="minorEastAsia" w:hAnsiTheme="minorEastAsia"/>
                <w:color w:val="auto"/>
                <w:szCs w:val="21"/>
                <w:highlight w:val="none"/>
              </w:rPr>
            </w:pPr>
            <w:r>
              <w:rPr>
                <w:rFonts w:hint="eastAsia" w:cs="Times New Roman" w:asciiTheme="minorEastAsia" w:hAnsiTheme="minorEastAsia"/>
                <w:color w:val="auto"/>
                <w:szCs w:val="21"/>
                <w:highlight w:val="none"/>
              </w:rPr>
              <w:t>响应文件内容、签署、盖章：响应文件内容完整，无重大错漏，并已按遴选文件要求盖章、签署。</w:t>
            </w:r>
          </w:p>
        </w:tc>
      </w:tr>
      <w:tr w14:paraId="2E9C3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2B6C5D3D">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5</w:t>
            </w:r>
          </w:p>
        </w:tc>
        <w:tc>
          <w:tcPr>
            <w:tcW w:w="4607" w:type="pct"/>
            <w:vAlign w:val="center"/>
          </w:tcPr>
          <w:p w14:paraId="7741B3D1">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满足遴选文件实质性要求：已满足遴选文件实质性要求（含带★号的条款和指标）。</w:t>
            </w:r>
            <w:r>
              <w:rPr>
                <w:rFonts w:asciiTheme="minorEastAsia" w:hAnsiTheme="minorEastAsia"/>
                <w:bCs/>
                <w:color w:val="auto"/>
                <w:szCs w:val="21"/>
                <w:highlight w:val="none"/>
              </w:rPr>
              <w:t>(若本项目无★条款，此项通过)</w:t>
            </w:r>
          </w:p>
        </w:tc>
      </w:tr>
      <w:tr w14:paraId="0FCE3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3AFAE804">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6</w:t>
            </w:r>
          </w:p>
        </w:tc>
        <w:tc>
          <w:tcPr>
            <w:tcW w:w="4607" w:type="pct"/>
            <w:vAlign w:val="center"/>
          </w:tcPr>
          <w:p w14:paraId="46A3AA6F">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响应方案：如遴选文件不接受备选方案时，响应供应商提供的投标方案及报价方案固定；如遴选文件接受备选方案的，提交多于一个方案时已明确主选方案。</w:t>
            </w:r>
          </w:p>
        </w:tc>
      </w:tr>
      <w:tr w14:paraId="2CA58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75BAE85C">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7</w:t>
            </w:r>
          </w:p>
        </w:tc>
        <w:tc>
          <w:tcPr>
            <w:tcW w:w="4607" w:type="pct"/>
            <w:vAlign w:val="center"/>
          </w:tcPr>
          <w:p w14:paraId="1E70FE72">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响应报价：</w:t>
            </w:r>
          </w:p>
          <w:p w14:paraId="6FDE19FA">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响应报价（含单项报价，如有要求）确定且未超过遴选文件中相应的预算金额或者最高限价。</w:t>
            </w:r>
          </w:p>
          <w:p w14:paraId="36977F5C">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响应报价中对响应标的的主体、关键内容无漏项、缺项。</w:t>
            </w:r>
          </w:p>
          <w:p w14:paraId="6CFDC9DB">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如有，对评选小组按照遴选文件规定修正后的响应报价，响应供应商按规定书面确认。</w:t>
            </w:r>
          </w:p>
          <w:p w14:paraId="5F35C3CD">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如评选小组认为响应供应商的报价明显低于其他通过符合性审查响应供应商的报价，有可能影响项目质量或者不能诚信履约的，将要求其在评审现场合理的时间内提供书面说明，必要时提交相关证明材料。响应供应商能证明其报价合理性。</w:t>
            </w:r>
          </w:p>
        </w:tc>
      </w:tr>
      <w:tr w14:paraId="0034E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65943C62">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8</w:t>
            </w:r>
          </w:p>
        </w:tc>
        <w:tc>
          <w:tcPr>
            <w:tcW w:w="4607" w:type="pct"/>
            <w:vAlign w:val="center"/>
          </w:tcPr>
          <w:p w14:paraId="02DD55E5">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附加条件：响应文件未含有采购人不能接受的附加条件。</w:t>
            </w:r>
          </w:p>
        </w:tc>
      </w:tr>
      <w:tr w14:paraId="2E3ED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07A68AF2">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9</w:t>
            </w:r>
          </w:p>
        </w:tc>
        <w:tc>
          <w:tcPr>
            <w:tcW w:w="4607" w:type="pct"/>
            <w:vAlign w:val="center"/>
          </w:tcPr>
          <w:p w14:paraId="1B2D2706">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串通投标：未出现遴选文件所列的视为串通投标的情形。</w:t>
            </w:r>
          </w:p>
        </w:tc>
      </w:tr>
      <w:tr w14:paraId="2DB7BA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393" w:type="pct"/>
            <w:vAlign w:val="center"/>
          </w:tcPr>
          <w:p w14:paraId="3B7872BE">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10</w:t>
            </w:r>
          </w:p>
        </w:tc>
        <w:tc>
          <w:tcPr>
            <w:tcW w:w="4607" w:type="pct"/>
            <w:vAlign w:val="center"/>
          </w:tcPr>
          <w:p w14:paraId="16D6C66B">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无效情形：</w:t>
            </w:r>
          </w:p>
          <w:p w14:paraId="4886BB81">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1.未发现存在遴选文件中规定的其它无效条款情形。</w:t>
            </w:r>
          </w:p>
          <w:p w14:paraId="73D42C63">
            <w:pPr>
              <w:spacing w:line="360" w:lineRule="auto"/>
              <w:jc w:val="left"/>
              <w:rPr>
                <w:rFonts w:asciiTheme="minorEastAsia" w:hAnsiTheme="minorEastAsia"/>
                <w:bCs/>
                <w:color w:val="auto"/>
                <w:szCs w:val="21"/>
                <w:highlight w:val="none"/>
              </w:rPr>
            </w:pPr>
            <w:r>
              <w:rPr>
                <w:rFonts w:hint="eastAsia" w:asciiTheme="minorEastAsia" w:hAnsiTheme="minorEastAsia"/>
                <w:bCs/>
                <w:color w:val="auto"/>
                <w:szCs w:val="21"/>
                <w:highlight w:val="none"/>
              </w:rPr>
              <w:t>2.未发现存在法律、法规、规章规定的响应无效情形。</w:t>
            </w:r>
          </w:p>
        </w:tc>
      </w:tr>
    </w:tbl>
    <w:p w14:paraId="7C82D5EB">
      <w:pPr>
        <w:pStyle w:val="33"/>
        <w:keepNext w:val="0"/>
        <w:keepLines w:val="0"/>
        <w:pageBreakBefore w:val="0"/>
        <w:widowControl w:val="0"/>
        <w:numPr>
          <w:ilvl w:val="0"/>
          <w:numId w:val="62"/>
        </w:numPr>
        <w:kinsoku/>
        <w:wordWrap/>
        <w:overflowPunct/>
        <w:topLinePunct w:val="0"/>
        <w:autoSpaceDE/>
        <w:autoSpaceDN/>
        <w:bidi w:val="0"/>
        <w:adjustRightInd/>
        <w:snapToGrid/>
        <w:spacing w:before="157" w:beforeLines="50" w:line="360" w:lineRule="auto"/>
        <w:ind w:left="420" w:hanging="420" w:firstLineChars="0"/>
        <w:textAlignment w:val="auto"/>
        <w:rPr>
          <w:rFonts w:asciiTheme="minorEastAsia" w:hAnsiTheme="minorEastAsia"/>
          <w:b/>
          <w:bCs/>
          <w:color w:val="auto"/>
          <w:szCs w:val="21"/>
          <w:highlight w:val="none"/>
        </w:rPr>
      </w:pPr>
      <w:r>
        <w:rPr>
          <w:rFonts w:hint="eastAsia" w:asciiTheme="minorEastAsia" w:hAnsiTheme="minorEastAsia"/>
          <w:b/>
          <w:bCs/>
          <w:color w:val="auto"/>
          <w:szCs w:val="21"/>
          <w:highlight w:val="none"/>
        </w:rPr>
        <w:t>说明：</w:t>
      </w:r>
    </w:p>
    <w:p w14:paraId="42559799">
      <w:pPr>
        <w:spacing w:before="156" w:beforeLines="50" w:line="360" w:lineRule="auto"/>
        <w:ind w:firstLine="420" w:firstLineChars="200"/>
        <w:rPr>
          <w:rFonts w:asciiTheme="minorEastAsia" w:hAnsiTheme="minorEastAsia"/>
          <w:b/>
          <w:bCs/>
          <w:color w:val="auto"/>
          <w:szCs w:val="21"/>
          <w:highlight w:val="none"/>
        </w:rPr>
      </w:pPr>
      <w:r>
        <w:rPr>
          <w:rFonts w:hint="eastAsia" w:asciiTheme="minorEastAsia" w:hAnsiTheme="minorEastAsia"/>
          <w:color w:val="auto"/>
          <w:szCs w:val="21"/>
          <w:highlight w:val="none"/>
        </w:rPr>
        <w:t>响应供应商必须严格按照《初步审查表》的评审内容的要求如实提供证明材料并应加盖响应供应商公章，若响应供应人商不满足《初步审查表》中任何情形之一的，则其投标无效。</w:t>
      </w:r>
    </w:p>
    <w:p w14:paraId="68A5B2E7">
      <w:pPr>
        <w:pStyle w:val="33"/>
        <w:numPr>
          <w:ilvl w:val="0"/>
          <w:numId w:val="61"/>
        </w:numPr>
        <w:spacing w:before="312" w:beforeLines="100" w:after="312" w:afterLines="100" w:line="360" w:lineRule="auto"/>
        <w:ind w:left="422" w:hanging="422" w:hangingChars="200"/>
        <w:rPr>
          <w:rFonts w:asciiTheme="minorEastAsia" w:hAnsiTheme="minorEastAsia"/>
          <w:b/>
          <w:bCs/>
          <w:color w:val="auto"/>
          <w:szCs w:val="21"/>
          <w:highlight w:val="none"/>
        </w:rPr>
      </w:pPr>
      <w:bookmarkStart w:id="43" w:name="_Hlk137029869"/>
      <w:r>
        <w:rPr>
          <w:rFonts w:hint="eastAsia" w:asciiTheme="minorEastAsia" w:hAnsiTheme="minorEastAsia"/>
          <w:b/>
          <w:bCs/>
          <w:color w:val="auto"/>
          <w:szCs w:val="21"/>
          <w:highlight w:val="none"/>
        </w:rPr>
        <w:t>附表二</w:t>
      </w:r>
      <w:r>
        <w:rPr>
          <w:rFonts w:asciiTheme="minorEastAsia" w:hAnsiTheme="minorEastAsia"/>
          <w:b/>
          <w:bCs/>
          <w:color w:val="auto"/>
          <w:szCs w:val="21"/>
          <w:highlight w:val="none"/>
        </w:rPr>
        <w:t xml:space="preserve">  详细评审表</w:t>
      </w:r>
      <w:r>
        <w:rPr>
          <w:rFonts w:hint="eastAsia" w:asciiTheme="minorEastAsia" w:hAnsiTheme="minorEastAsia"/>
          <w:b/>
          <w:bCs/>
          <w:color w:val="auto"/>
          <w:szCs w:val="21"/>
          <w:highlight w:val="none"/>
        </w:rPr>
        <w:t>（含商务、技术</w:t>
      </w:r>
      <w:r>
        <w:rPr>
          <w:rFonts w:hint="eastAsia" w:asciiTheme="minorEastAsia" w:hAnsiTheme="minorEastAsia"/>
          <w:b/>
          <w:bCs/>
          <w:color w:val="auto"/>
          <w:szCs w:val="21"/>
          <w:highlight w:val="none"/>
          <w:lang w:eastAsia="zh-CN"/>
        </w:rPr>
        <w:t>、</w:t>
      </w:r>
      <w:r>
        <w:rPr>
          <w:rFonts w:hint="eastAsia" w:asciiTheme="minorEastAsia" w:hAnsiTheme="minorEastAsia"/>
          <w:b/>
          <w:bCs/>
          <w:color w:val="auto"/>
          <w:szCs w:val="21"/>
          <w:highlight w:val="none"/>
          <w:lang w:val="en-US" w:eastAsia="zh-CN"/>
        </w:rPr>
        <w:t>价格</w:t>
      </w:r>
      <w:r>
        <w:rPr>
          <w:rFonts w:hint="eastAsia" w:asciiTheme="minorEastAsia" w:hAnsiTheme="minorEastAsia"/>
          <w:b/>
          <w:bCs/>
          <w:color w:val="auto"/>
          <w:szCs w:val="21"/>
          <w:highlight w:val="none"/>
        </w:rPr>
        <w:t>评审细则）</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6"/>
        <w:gridCol w:w="9"/>
        <w:gridCol w:w="1201"/>
        <w:gridCol w:w="728"/>
        <w:gridCol w:w="6153"/>
      </w:tblGrid>
      <w:tr w14:paraId="6B442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37CD3E75">
            <w:pPr>
              <w:pStyle w:val="39"/>
              <w:spacing w:line="360" w:lineRule="auto"/>
              <w:ind w:firstLine="0" w:firstLineChars="0"/>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序号</w:t>
            </w:r>
          </w:p>
        </w:tc>
        <w:tc>
          <w:tcPr>
            <w:tcW w:w="690" w:type="pct"/>
            <w:gridSpan w:val="2"/>
            <w:vAlign w:val="center"/>
          </w:tcPr>
          <w:p w14:paraId="57E1CF9E">
            <w:pPr>
              <w:pStyle w:val="39"/>
              <w:spacing w:line="360" w:lineRule="auto"/>
              <w:ind w:firstLine="0" w:firstLineChars="0"/>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评分内容</w:t>
            </w:r>
          </w:p>
        </w:tc>
        <w:tc>
          <w:tcPr>
            <w:tcW w:w="415" w:type="pct"/>
            <w:vAlign w:val="center"/>
          </w:tcPr>
          <w:p w14:paraId="0CE6B452">
            <w:pPr>
              <w:pStyle w:val="39"/>
              <w:spacing w:line="360" w:lineRule="auto"/>
              <w:ind w:firstLine="0" w:firstLineChars="0"/>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分值</w:t>
            </w:r>
          </w:p>
        </w:tc>
        <w:tc>
          <w:tcPr>
            <w:tcW w:w="3509" w:type="pct"/>
            <w:vAlign w:val="center"/>
          </w:tcPr>
          <w:p w14:paraId="09A0720D">
            <w:pPr>
              <w:pStyle w:val="39"/>
              <w:spacing w:line="360" w:lineRule="auto"/>
              <w:ind w:firstLine="0" w:firstLineChars="0"/>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评审标准</w:t>
            </w:r>
          </w:p>
        </w:tc>
      </w:tr>
      <w:tr w14:paraId="101E6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2FE8C6C6">
            <w:pPr>
              <w:pStyle w:val="39"/>
              <w:spacing w:line="360" w:lineRule="auto"/>
              <w:ind w:firstLine="0" w:firstLineChars="0"/>
              <w:jc w:val="center"/>
              <w:rPr>
                <w:rFonts w:asciiTheme="minorEastAsia" w:hAnsiTheme="minorEastAsia" w:eastAsiaTheme="minorEastAsia"/>
                <w:b/>
                <w:color w:val="auto"/>
                <w:sz w:val="21"/>
                <w:szCs w:val="21"/>
                <w:highlight w:val="none"/>
              </w:rPr>
            </w:pPr>
            <w:r>
              <w:rPr>
                <w:rFonts w:hint="eastAsia" w:asciiTheme="minorEastAsia" w:hAnsiTheme="minorEastAsia" w:eastAsiaTheme="minorEastAsia"/>
                <w:b/>
                <w:color w:val="auto"/>
                <w:sz w:val="21"/>
                <w:szCs w:val="21"/>
                <w:highlight w:val="none"/>
              </w:rPr>
              <w:t>商务评审细则（</w:t>
            </w:r>
            <w:r>
              <w:rPr>
                <w:rFonts w:hint="eastAsia" w:asciiTheme="minorEastAsia" w:hAnsiTheme="minorEastAsia" w:eastAsiaTheme="minorEastAsia"/>
                <w:b/>
                <w:color w:val="auto"/>
                <w:sz w:val="21"/>
                <w:szCs w:val="21"/>
                <w:highlight w:val="none"/>
                <w:lang w:val="en-US" w:eastAsia="zh-CN"/>
              </w:rPr>
              <w:t>30</w:t>
            </w:r>
            <w:r>
              <w:rPr>
                <w:rFonts w:hint="eastAsia" w:asciiTheme="minorEastAsia" w:hAnsiTheme="minorEastAsia" w:eastAsiaTheme="minorEastAsia"/>
                <w:b/>
                <w:color w:val="auto"/>
                <w:sz w:val="21"/>
                <w:szCs w:val="21"/>
                <w:highlight w:val="none"/>
              </w:rPr>
              <w:t>分）</w:t>
            </w:r>
          </w:p>
        </w:tc>
      </w:tr>
      <w:tr w14:paraId="27394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7AA565BC">
            <w:pPr>
              <w:spacing w:before="31" w:beforeLines="10" w:line="360" w:lineRule="auto"/>
              <w:jc w:val="center"/>
              <w:rPr>
                <w:rFonts w:cs="黑体" w:asciiTheme="minorEastAsia" w:hAnsiTheme="minorEastAsia"/>
                <w:color w:val="auto"/>
                <w:szCs w:val="21"/>
                <w:highlight w:val="none"/>
              </w:rPr>
            </w:pPr>
            <w:r>
              <w:rPr>
                <w:rFonts w:hint="eastAsia" w:cs="黑体" w:asciiTheme="minorEastAsia" w:hAnsiTheme="minorEastAsia"/>
                <w:color w:val="auto"/>
                <w:szCs w:val="21"/>
                <w:highlight w:val="none"/>
              </w:rPr>
              <w:t>1</w:t>
            </w:r>
          </w:p>
        </w:tc>
        <w:tc>
          <w:tcPr>
            <w:tcW w:w="690" w:type="pct"/>
            <w:gridSpan w:val="2"/>
            <w:vAlign w:val="center"/>
          </w:tcPr>
          <w:p w14:paraId="363CE5E4">
            <w:pPr>
              <w:spacing w:before="31" w:beforeLines="10" w:after="30" w:line="440" w:lineRule="exact"/>
              <w:jc w:val="center"/>
              <w:rPr>
                <w:rFonts w:hint="default" w:cs="黑体" w:asciiTheme="minorEastAsia" w:hAnsiTheme="minorEastAsia" w:eastAsiaTheme="minorEastAsia"/>
                <w:bCs/>
                <w:color w:val="auto"/>
                <w:szCs w:val="21"/>
                <w:highlight w:val="none"/>
                <w:lang w:val="en-US" w:eastAsia="zh-CN"/>
              </w:rPr>
            </w:pPr>
            <w:r>
              <w:rPr>
                <w:rFonts w:hint="eastAsia" w:cs="Times New Roman" w:asciiTheme="minorEastAsia" w:hAnsiTheme="minorEastAsia"/>
                <w:bCs/>
                <w:color w:val="auto"/>
                <w:szCs w:val="21"/>
                <w:highlight w:val="none"/>
                <w:lang w:val="en-US" w:eastAsia="zh-CN"/>
              </w:rPr>
              <w:t>业绩情况</w:t>
            </w:r>
          </w:p>
        </w:tc>
        <w:tc>
          <w:tcPr>
            <w:tcW w:w="415" w:type="pct"/>
            <w:vAlign w:val="center"/>
          </w:tcPr>
          <w:p w14:paraId="594C3AC3">
            <w:pPr>
              <w:widowControl/>
              <w:spacing w:before="31" w:beforeLines="10" w:after="30" w:line="440" w:lineRule="exact"/>
              <w:jc w:val="center"/>
              <w:rPr>
                <w:rFonts w:cs="黑体" w:asciiTheme="minorEastAsia" w:hAnsiTheme="minorEastAsia"/>
                <w:bCs/>
                <w:color w:val="auto"/>
                <w:szCs w:val="21"/>
                <w:highlight w:val="none"/>
              </w:rPr>
            </w:pPr>
            <w:r>
              <w:rPr>
                <w:rFonts w:hint="eastAsia" w:cs="Times New Roman" w:asciiTheme="minorEastAsia" w:hAnsiTheme="minorEastAsia"/>
                <w:bCs/>
                <w:color w:val="auto"/>
                <w:szCs w:val="21"/>
                <w:highlight w:val="none"/>
                <w:lang w:val="en-US" w:eastAsia="zh-CN"/>
              </w:rPr>
              <w:t>18</w:t>
            </w:r>
            <w:r>
              <w:rPr>
                <w:rFonts w:hint="eastAsia" w:cs="Times New Roman" w:asciiTheme="minorEastAsia" w:hAnsiTheme="minorEastAsia"/>
                <w:bCs/>
                <w:color w:val="auto"/>
                <w:szCs w:val="21"/>
                <w:highlight w:val="none"/>
              </w:rPr>
              <w:t>分</w:t>
            </w:r>
          </w:p>
        </w:tc>
        <w:tc>
          <w:tcPr>
            <w:tcW w:w="3509" w:type="pct"/>
            <w:vAlign w:val="center"/>
          </w:tcPr>
          <w:p w14:paraId="57A7F1A3">
            <w:pPr>
              <w:spacing w:before="31" w:beforeLines="10" w:after="30" w:line="440" w:lineRule="exact"/>
              <w:jc w:val="left"/>
              <w:rPr>
                <w:rFonts w:hint="eastAsia" w:cs="Times New Roman" w:asciiTheme="minorEastAsia" w:hAnsiTheme="minorEastAsia"/>
                <w:bCs/>
                <w:color w:val="auto"/>
                <w:szCs w:val="21"/>
                <w:highlight w:val="none"/>
              </w:rPr>
            </w:pPr>
            <w:r>
              <w:rPr>
                <w:rFonts w:hint="eastAsia" w:cs="Times New Roman" w:asciiTheme="minorEastAsia" w:hAnsiTheme="minorEastAsia"/>
                <w:bCs/>
                <w:color w:val="auto"/>
                <w:szCs w:val="21"/>
                <w:highlight w:val="none"/>
                <w:lang w:val="en-US" w:eastAsia="zh-CN"/>
              </w:rPr>
              <w:t>根据</w:t>
            </w:r>
            <w:r>
              <w:rPr>
                <w:rFonts w:hint="eastAsia" w:cs="Times New Roman" w:asciiTheme="minorEastAsia" w:hAnsiTheme="minorEastAsia"/>
                <w:bCs/>
                <w:color w:val="auto"/>
                <w:szCs w:val="21"/>
                <w:highlight w:val="none"/>
              </w:rPr>
              <w:t>响应供应商</w:t>
            </w:r>
            <w:r>
              <w:rPr>
                <w:rFonts w:hint="eastAsia" w:cs="Times New Roman" w:asciiTheme="minorEastAsia" w:hAnsiTheme="minorEastAsia"/>
                <w:bCs/>
                <w:color w:val="auto"/>
                <w:szCs w:val="21"/>
                <w:highlight w:val="none"/>
                <w:lang w:val="en-US" w:eastAsia="zh-CN"/>
              </w:rPr>
              <w:t>2022年1月1日以来</w:t>
            </w:r>
            <w:r>
              <w:rPr>
                <w:rFonts w:hint="eastAsia" w:cs="Times New Roman" w:asciiTheme="minorEastAsia" w:hAnsiTheme="minorEastAsia"/>
                <w:bCs/>
                <w:color w:val="auto"/>
                <w:szCs w:val="21"/>
                <w:highlight w:val="none"/>
              </w:rPr>
              <w:t>具有</w:t>
            </w:r>
            <w:r>
              <w:rPr>
                <w:rFonts w:hint="eastAsia" w:cs="Times New Roman" w:asciiTheme="minorEastAsia" w:hAnsiTheme="minorEastAsia"/>
                <w:bCs/>
                <w:color w:val="auto"/>
                <w:szCs w:val="21"/>
                <w:highlight w:val="none"/>
                <w:lang w:val="en-US" w:eastAsia="zh-CN"/>
              </w:rPr>
              <w:t>的食材配送服务类</w:t>
            </w:r>
            <w:r>
              <w:rPr>
                <w:rFonts w:hint="eastAsia" w:cs="Times New Roman" w:asciiTheme="minorEastAsia" w:hAnsiTheme="minorEastAsia"/>
                <w:bCs/>
                <w:color w:val="auto"/>
                <w:szCs w:val="21"/>
                <w:highlight w:val="none"/>
              </w:rPr>
              <w:t>业绩</w:t>
            </w:r>
            <w:r>
              <w:rPr>
                <w:rFonts w:hint="eastAsia" w:cs="Times New Roman" w:asciiTheme="minorEastAsia" w:hAnsiTheme="minorEastAsia"/>
                <w:bCs/>
                <w:color w:val="auto"/>
                <w:szCs w:val="21"/>
                <w:highlight w:val="none"/>
                <w:lang w:val="en-US" w:eastAsia="zh-CN"/>
              </w:rPr>
              <w:t>进行评审</w:t>
            </w:r>
            <w:r>
              <w:rPr>
                <w:rFonts w:hint="eastAsia" w:cs="Times New Roman" w:asciiTheme="minorEastAsia" w:hAnsiTheme="minorEastAsia"/>
                <w:bCs/>
                <w:color w:val="auto"/>
                <w:szCs w:val="21"/>
                <w:highlight w:val="none"/>
                <w:lang w:eastAsia="zh-CN"/>
              </w:rPr>
              <w:t>：</w:t>
            </w:r>
            <w:r>
              <w:rPr>
                <w:rFonts w:hint="eastAsia" w:cs="Times New Roman" w:asciiTheme="minorEastAsia" w:hAnsiTheme="minorEastAsia"/>
                <w:bCs/>
                <w:color w:val="auto"/>
                <w:szCs w:val="21"/>
                <w:highlight w:val="none"/>
              </w:rPr>
              <w:t>每</w:t>
            </w:r>
            <w:r>
              <w:rPr>
                <w:rFonts w:hint="eastAsia" w:cs="Times New Roman" w:asciiTheme="minorEastAsia" w:hAnsiTheme="minorEastAsia"/>
                <w:bCs/>
                <w:color w:val="auto"/>
                <w:szCs w:val="21"/>
                <w:highlight w:val="none"/>
                <w:lang w:val="en-US" w:eastAsia="zh-CN"/>
              </w:rPr>
              <w:t>提供1个</w:t>
            </w:r>
            <w:r>
              <w:rPr>
                <w:rFonts w:hint="eastAsia" w:cs="Times New Roman" w:asciiTheme="minorEastAsia" w:hAnsiTheme="minorEastAsia"/>
                <w:bCs/>
                <w:color w:val="auto"/>
                <w:szCs w:val="21"/>
                <w:highlight w:val="none"/>
              </w:rPr>
              <w:t>得</w:t>
            </w:r>
            <w:r>
              <w:rPr>
                <w:rFonts w:hint="eastAsia" w:cs="Times New Roman" w:asciiTheme="minorEastAsia" w:hAnsiTheme="minorEastAsia"/>
                <w:bCs/>
                <w:color w:val="auto"/>
                <w:szCs w:val="21"/>
                <w:highlight w:val="none"/>
                <w:lang w:val="en-US" w:eastAsia="zh-CN"/>
              </w:rPr>
              <w:t>3</w:t>
            </w:r>
            <w:r>
              <w:rPr>
                <w:rFonts w:hint="eastAsia" w:cs="Times New Roman" w:asciiTheme="minorEastAsia" w:hAnsiTheme="minorEastAsia"/>
                <w:bCs/>
                <w:color w:val="auto"/>
                <w:szCs w:val="21"/>
                <w:highlight w:val="none"/>
              </w:rPr>
              <w:t>分，</w:t>
            </w:r>
            <w:r>
              <w:rPr>
                <w:rFonts w:hint="eastAsia" w:cs="Times New Roman" w:asciiTheme="minorEastAsia" w:hAnsiTheme="minorEastAsia"/>
                <w:bCs/>
                <w:color w:val="auto"/>
                <w:szCs w:val="21"/>
                <w:highlight w:val="none"/>
                <w:lang w:val="en-US" w:eastAsia="zh-CN"/>
              </w:rPr>
              <w:t>本项</w:t>
            </w:r>
            <w:r>
              <w:rPr>
                <w:rFonts w:hint="eastAsia" w:cs="Times New Roman" w:asciiTheme="minorEastAsia" w:hAnsiTheme="minorEastAsia"/>
                <w:bCs/>
                <w:color w:val="auto"/>
                <w:szCs w:val="21"/>
                <w:highlight w:val="none"/>
              </w:rPr>
              <w:t>最高得</w:t>
            </w:r>
            <w:r>
              <w:rPr>
                <w:rFonts w:hint="eastAsia" w:cs="Times New Roman" w:asciiTheme="minorEastAsia" w:hAnsiTheme="minorEastAsia"/>
                <w:bCs/>
                <w:color w:val="auto"/>
                <w:szCs w:val="21"/>
                <w:highlight w:val="none"/>
                <w:lang w:val="en-US" w:eastAsia="zh-CN"/>
              </w:rPr>
              <w:t>18</w:t>
            </w:r>
            <w:r>
              <w:rPr>
                <w:rFonts w:hint="eastAsia" w:cs="Times New Roman" w:asciiTheme="minorEastAsia" w:hAnsiTheme="minorEastAsia"/>
                <w:bCs/>
                <w:color w:val="auto"/>
                <w:szCs w:val="21"/>
                <w:highlight w:val="none"/>
              </w:rPr>
              <w:t>分。</w:t>
            </w:r>
          </w:p>
          <w:p w14:paraId="20B6FDF4">
            <w:pPr>
              <w:keepNext w:val="0"/>
              <w:keepLines w:val="0"/>
              <w:pageBreakBefore w:val="0"/>
              <w:widowControl w:val="0"/>
              <w:kinsoku/>
              <w:wordWrap/>
              <w:overflowPunct/>
              <w:topLinePunct w:val="0"/>
              <w:autoSpaceDE/>
              <w:autoSpaceDN/>
              <w:bidi w:val="0"/>
              <w:adjustRightInd/>
              <w:snapToGrid/>
              <w:spacing w:before="31" w:beforeLines="10" w:after="30" w:line="440" w:lineRule="exact"/>
              <w:ind w:left="422" w:hanging="422" w:hangingChars="200"/>
              <w:jc w:val="left"/>
              <w:textAlignment w:val="auto"/>
              <w:rPr>
                <w:rFonts w:cs="黑体" w:asciiTheme="minorEastAsia" w:hAnsiTheme="minorEastAsia"/>
                <w:b/>
                <w:bCs/>
                <w:color w:val="auto"/>
                <w:szCs w:val="21"/>
                <w:highlight w:val="none"/>
                <w:u w:val="single"/>
              </w:rPr>
            </w:pPr>
            <w:r>
              <w:rPr>
                <w:rFonts w:hint="eastAsia" w:cs="Times New Roman" w:asciiTheme="minorEastAsia" w:hAnsiTheme="minorEastAsia"/>
                <w:b/>
                <w:bCs/>
                <w:color w:val="auto"/>
                <w:szCs w:val="21"/>
                <w:highlight w:val="none"/>
                <w:u w:val="single"/>
              </w:rPr>
              <w:t>注：须提供合同复印件并加盖供应商公章。</w:t>
            </w:r>
          </w:p>
        </w:tc>
      </w:tr>
      <w:tr w14:paraId="31B59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62451E23">
            <w:pPr>
              <w:spacing w:before="31" w:beforeLines="10" w:line="360" w:lineRule="auto"/>
              <w:jc w:val="center"/>
              <w:rPr>
                <w:rFonts w:hint="eastAsia" w:cs="黑体" w:asciiTheme="minorEastAsia" w:hAnsiTheme="minorEastAsia" w:eastAsia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2</w:t>
            </w:r>
          </w:p>
        </w:tc>
        <w:tc>
          <w:tcPr>
            <w:tcW w:w="690" w:type="pct"/>
            <w:gridSpan w:val="2"/>
            <w:vAlign w:val="center"/>
          </w:tcPr>
          <w:p w14:paraId="393A1805">
            <w:pPr>
              <w:spacing w:before="31" w:beforeLines="10" w:line="360" w:lineRule="auto"/>
              <w:jc w:val="center"/>
              <w:rPr>
                <w:rFonts w:hint="default" w:cs="黑体" w:asciiTheme="minorEastAsia" w:hAnsi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食品安全责任保险</w:t>
            </w:r>
          </w:p>
        </w:tc>
        <w:tc>
          <w:tcPr>
            <w:tcW w:w="415" w:type="pct"/>
            <w:vAlign w:val="center"/>
          </w:tcPr>
          <w:p w14:paraId="23D84B45">
            <w:pPr>
              <w:spacing w:before="31" w:beforeLines="10" w:line="360" w:lineRule="auto"/>
              <w:jc w:val="center"/>
              <w:rPr>
                <w:rFonts w:hint="default" w:cs="黑体" w:asciiTheme="minorEastAsia" w:hAnsi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3分</w:t>
            </w:r>
          </w:p>
        </w:tc>
        <w:tc>
          <w:tcPr>
            <w:tcW w:w="3509" w:type="pct"/>
            <w:vAlign w:val="center"/>
          </w:tcPr>
          <w:p w14:paraId="591B363D">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hint="eastAsia" w:cs="Times New Roman" w:asciiTheme="minorEastAsia" w:hAnsiTheme="minorEastAsia"/>
                <w:b/>
                <w:bCs/>
                <w:color w:val="auto"/>
                <w:szCs w:val="21"/>
                <w:highlight w:val="none"/>
                <w:u w:val="none"/>
              </w:rPr>
            </w:pPr>
            <w:r>
              <w:rPr>
                <w:rFonts w:hint="eastAsia" w:cs="Times New Roman" w:asciiTheme="minorEastAsia" w:hAnsiTheme="minorEastAsia"/>
                <w:b/>
                <w:bCs/>
                <w:color w:val="auto"/>
                <w:szCs w:val="21"/>
                <w:highlight w:val="none"/>
                <w:u w:val="none"/>
              </w:rPr>
              <w:t>根据响应供应商承诺</w:t>
            </w:r>
            <w:r>
              <w:rPr>
                <w:rFonts w:hint="eastAsia" w:cs="Times New Roman" w:asciiTheme="minorEastAsia" w:hAnsiTheme="minorEastAsia"/>
                <w:b/>
                <w:bCs/>
                <w:color w:val="auto"/>
                <w:szCs w:val="21"/>
                <w:highlight w:val="none"/>
                <w:u w:val="none"/>
                <w:lang w:val="en-US" w:eastAsia="zh-CN"/>
              </w:rPr>
              <w:t>成交后为本项目单独</w:t>
            </w:r>
            <w:r>
              <w:rPr>
                <w:rFonts w:hint="eastAsia" w:cs="Times New Roman" w:asciiTheme="minorEastAsia" w:hAnsiTheme="minorEastAsia"/>
                <w:b/>
                <w:bCs/>
                <w:color w:val="auto"/>
                <w:szCs w:val="21"/>
                <w:highlight w:val="none"/>
                <w:u w:val="none"/>
              </w:rPr>
              <w:t>购买的食品安全责任险</w:t>
            </w:r>
            <w:r>
              <w:rPr>
                <w:rFonts w:hint="eastAsia" w:cs="Times New Roman" w:asciiTheme="minorEastAsia" w:hAnsiTheme="minorEastAsia"/>
                <w:b/>
                <w:bCs/>
                <w:color w:val="auto"/>
                <w:szCs w:val="21"/>
                <w:highlight w:val="none"/>
                <w:u w:val="none"/>
                <w:lang w:eastAsia="zh-CN"/>
              </w:rPr>
              <w:t>（</w:t>
            </w:r>
            <w:r>
              <w:rPr>
                <w:rFonts w:hint="eastAsia" w:cs="Times New Roman" w:asciiTheme="minorEastAsia" w:hAnsiTheme="minorEastAsia"/>
                <w:b/>
                <w:bCs/>
                <w:color w:val="auto"/>
                <w:szCs w:val="21"/>
                <w:highlight w:val="none"/>
                <w:u w:val="none"/>
                <w:lang w:val="en-US" w:eastAsia="zh-CN"/>
              </w:rPr>
              <w:t>保险期限须涵盖本项目服务期</w:t>
            </w:r>
            <w:r>
              <w:rPr>
                <w:rFonts w:hint="eastAsia" w:cs="Times New Roman" w:asciiTheme="minorEastAsia" w:hAnsiTheme="minorEastAsia"/>
                <w:b/>
                <w:bCs/>
                <w:color w:val="auto"/>
                <w:szCs w:val="21"/>
                <w:highlight w:val="none"/>
                <w:u w:val="none"/>
                <w:lang w:eastAsia="zh-CN"/>
              </w:rPr>
              <w:t>）</w:t>
            </w:r>
            <w:r>
              <w:rPr>
                <w:rFonts w:hint="eastAsia" w:cs="Times New Roman" w:asciiTheme="minorEastAsia" w:hAnsiTheme="minorEastAsia"/>
                <w:b/>
                <w:bCs/>
                <w:color w:val="auto"/>
                <w:szCs w:val="21"/>
                <w:highlight w:val="none"/>
                <w:u w:val="none"/>
              </w:rPr>
              <w:t>情况进行评审：</w:t>
            </w:r>
          </w:p>
          <w:p w14:paraId="648ECA7E">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hint="eastAsia" w:cs="Times New Roman" w:asciiTheme="minorEastAsia" w:hAnsiTheme="minorEastAsia"/>
                <w:b w:val="0"/>
                <w:bCs w:val="0"/>
                <w:color w:val="auto"/>
                <w:szCs w:val="21"/>
                <w:highlight w:val="none"/>
                <w:u w:val="none"/>
              </w:rPr>
            </w:pPr>
            <w:r>
              <w:rPr>
                <w:rFonts w:hint="eastAsia" w:cs="Times New Roman" w:asciiTheme="minorEastAsia" w:hAnsiTheme="minorEastAsia"/>
                <w:b w:val="0"/>
                <w:bCs w:val="0"/>
                <w:color w:val="auto"/>
                <w:szCs w:val="21"/>
                <w:highlight w:val="none"/>
                <w:u w:val="none"/>
              </w:rPr>
              <w:t>1</w:t>
            </w:r>
            <w:r>
              <w:rPr>
                <w:rFonts w:hint="eastAsia" w:cs="Times New Roman" w:asciiTheme="minorEastAsia" w:hAnsiTheme="minorEastAsia"/>
                <w:b w:val="0"/>
                <w:bCs w:val="0"/>
                <w:color w:val="auto"/>
                <w:szCs w:val="21"/>
                <w:highlight w:val="none"/>
                <w:u w:val="none"/>
                <w:lang w:eastAsia="zh-CN"/>
              </w:rPr>
              <w:t>、</w:t>
            </w:r>
            <w:r>
              <w:rPr>
                <w:rFonts w:hint="eastAsia" w:cs="Times New Roman" w:asciiTheme="minorEastAsia" w:hAnsiTheme="minorEastAsia"/>
                <w:b w:val="0"/>
                <w:bCs w:val="0"/>
                <w:color w:val="auto"/>
                <w:szCs w:val="21"/>
                <w:highlight w:val="none"/>
                <w:u w:val="none"/>
                <w:lang w:val="en-US" w:eastAsia="zh-CN"/>
              </w:rPr>
              <w:t>每</w:t>
            </w:r>
            <w:r>
              <w:rPr>
                <w:rFonts w:hint="eastAsia" w:cs="Times New Roman" w:asciiTheme="minorEastAsia" w:hAnsiTheme="minorEastAsia"/>
                <w:b w:val="0"/>
                <w:bCs w:val="0"/>
                <w:color w:val="auto"/>
                <w:szCs w:val="21"/>
                <w:highlight w:val="none"/>
                <w:u w:val="none"/>
              </w:rPr>
              <w:t>年总</w:t>
            </w:r>
            <w:r>
              <w:rPr>
                <w:rFonts w:hint="eastAsia" w:cs="Times New Roman" w:asciiTheme="minorEastAsia" w:hAnsiTheme="minorEastAsia"/>
                <w:b w:val="0"/>
                <w:bCs w:val="0"/>
                <w:color w:val="auto"/>
                <w:szCs w:val="21"/>
                <w:highlight w:val="none"/>
                <w:u w:val="none"/>
                <w:lang w:val="en-US" w:eastAsia="zh-CN"/>
              </w:rPr>
              <w:t>保险额度为</w:t>
            </w:r>
            <w:r>
              <w:rPr>
                <w:rFonts w:hint="eastAsia" w:cs="Times New Roman" w:asciiTheme="minorEastAsia" w:hAnsiTheme="minorEastAsia"/>
                <w:b w:val="0"/>
                <w:bCs w:val="0"/>
                <w:color w:val="auto"/>
                <w:szCs w:val="21"/>
                <w:highlight w:val="none"/>
                <w:u w:val="none"/>
              </w:rPr>
              <w:t>人民币1000万元（含）或以上的，得</w:t>
            </w:r>
            <w:r>
              <w:rPr>
                <w:rFonts w:hint="eastAsia" w:cs="Times New Roman" w:asciiTheme="minorEastAsia" w:hAnsiTheme="minorEastAsia"/>
                <w:b w:val="0"/>
                <w:bCs w:val="0"/>
                <w:color w:val="auto"/>
                <w:szCs w:val="21"/>
                <w:highlight w:val="none"/>
                <w:u w:val="none"/>
                <w:lang w:val="en-US" w:eastAsia="zh-CN"/>
              </w:rPr>
              <w:t>3</w:t>
            </w:r>
            <w:r>
              <w:rPr>
                <w:rFonts w:hint="eastAsia" w:cs="Times New Roman" w:asciiTheme="minorEastAsia" w:hAnsiTheme="minorEastAsia"/>
                <w:b w:val="0"/>
                <w:bCs w:val="0"/>
                <w:color w:val="auto"/>
                <w:szCs w:val="21"/>
                <w:highlight w:val="none"/>
                <w:u w:val="none"/>
              </w:rPr>
              <w:t>分；</w:t>
            </w:r>
          </w:p>
          <w:p w14:paraId="1340CCBD">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hint="eastAsia" w:cs="Times New Roman" w:asciiTheme="minorEastAsia" w:hAnsiTheme="minorEastAsia"/>
                <w:b w:val="0"/>
                <w:bCs w:val="0"/>
                <w:color w:val="auto"/>
                <w:szCs w:val="21"/>
                <w:highlight w:val="none"/>
                <w:u w:val="none"/>
                <w:lang w:val="en-US" w:eastAsia="zh-CN"/>
              </w:rPr>
            </w:pPr>
            <w:r>
              <w:rPr>
                <w:rFonts w:hint="eastAsia" w:cs="Times New Roman" w:asciiTheme="minorEastAsia" w:hAnsiTheme="minorEastAsia"/>
                <w:b w:val="0"/>
                <w:bCs w:val="0"/>
                <w:color w:val="auto"/>
                <w:szCs w:val="21"/>
                <w:highlight w:val="none"/>
                <w:u w:val="none"/>
                <w:lang w:val="en-US" w:eastAsia="zh-CN"/>
              </w:rPr>
              <w:t>2</w:t>
            </w:r>
            <w:r>
              <w:rPr>
                <w:rFonts w:hint="eastAsia" w:cs="Times New Roman" w:asciiTheme="minorEastAsia" w:hAnsiTheme="minorEastAsia"/>
                <w:b w:val="0"/>
                <w:bCs w:val="0"/>
                <w:color w:val="auto"/>
                <w:szCs w:val="21"/>
                <w:highlight w:val="none"/>
                <w:u w:val="none"/>
                <w:lang w:eastAsia="zh-CN"/>
              </w:rPr>
              <w:t>、</w:t>
            </w:r>
            <w:r>
              <w:rPr>
                <w:rFonts w:hint="eastAsia" w:cs="Times New Roman" w:asciiTheme="minorEastAsia" w:hAnsiTheme="minorEastAsia"/>
                <w:b w:val="0"/>
                <w:bCs w:val="0"/>
                <w:color w:val="auto"/>
                <w:szCs w:val="21"/>
                <w:highlight w:val="none"/>
                <w:u w:val="none"/>
                <w:lang w:val="en-US" w:eastAsia="zh-CN"/>
              </w:rPr>
              <w:t>每</w:t>
            </w:r>
            <w:r>
              <w:rPr>
                <w:rFonts w:hint="eastAsia" w:cs="Times New Roman" w:asciiTheme="minorEastAsia" w:hAnsiTheme="minorEastAsia"/>
                <w:b w:val="0"/>
                <w:bCs w:val="0"/>
                <w:color w:val="auto"/>
                <w:szCs w:val="21"/>
                <w:highlight w:val="none"/>
                <w:u w:val="none"/>
              </w:rPr>
              <w:t>年总</w:t>
            </w:r>
            <w:r>
              <w:rPr>
                <w:rFonts w:hint="eastAsia" w:cs="Times New Roman" w:asciiTheme="minorEastAsia" w:hAnsiTheme="minorEastAsia"/>
                <w:b w:val="0"/>
                <w:bCs w:val="0"/>
                <w:color w:val="auto"/>
                <w:szCs w:val="21"/>
                <w:highlight w:val="none"/>
                <w:u w:val="none"/>
                <w:lang w:val="en-US" w:eastAsia="zh-CN"/>
              </w:rPr>
              <w:t>保险额度为</w:t>
            </w:r>
            <w:r>
              <w:rPr>
                <w:rFonts w:hint="eastAsia" w:cs="Times New Roman" w:asciiTheme="minorEastAsia" w:hAnsiTheme="minorEastAsia"/>
                <w:b w:val="0"/>
                <w:bCs w:val="0"/>
                <w:color w:val="auto"/>
                <w:szCs w:val="21"/>
                <w:highlight w:val="none"/>
                <w:u w:val="none"/>
              </w:rPr>
              <w:t>人民币</w:t>
            </w:r>
            <w:r>
              <w:rPr>
                <w:rFonts w:hint="eastAsia" w:cs="Times New Roman" w:asciiTheme="minorEastAsia" w:hAnsiTheme="minorEastAsia"/>
                <w:b w:val="0"/>
                <w:bCs w:val="0"/>
                <w:color w:val="auto"/>
                <w:szCs w:val="21"/>
                <w:highlight w:val="none"/>
                <w:u w:val="none"/>
                <w:lang w:val="en-US" w:eastAsia="zh-CN"/>
              </w:rPr>
              <w:t>8</w:t>
            </w:r>
            <w:r>
              <w:rPr>
                <w:rFonts w:hint="eastAsia" w:cs="Times New Roman" w:asciiTheme="minorEastAsia" w:hAnsiTheme="minorEastAsia"/>
                <w:b w:val="0"/>
                <w:bCs w:val="0"/>
                <w:color w:val="auto"/>
                <w:szCs w:val="21"/>
                <w:highlight w:val="none"/>
                <w:u w:val="none"/>
              </w:rPr>
              <w:t>00万元（含）</w:t>
            </w:r>
            <w:r>
              <w:rPr>
                <w:rFonts w:hint="eastAsia" w:cs="Times New Roman" w:asciiTheme="minorEastAsia" w:hAnsiTheme="minorEastAsia"/>
                <w:b w:val="0"/>
                <w:bCs w:val="0"/>
                <w:color w:val="auto"/>
                <w:szCs w:val="21"/>
                <w:highlight w:val="none"/>
                <w:u w:val="none"/>
                <w:lang w:val="en-US" w:eastAsia="zh-CN"/>
              </w:rPr>
              <w:t>-1000</w:t>
            </w:r>
            <w:r>
              <w:rPr>
                <w:rFonts w:hint="eastAsia" w:cs="Times New Roman" w:asciiTheme="minorEastAsia" w:hAnsiTheme="minorEastAsia"/>
                <w:b w:val="0"/>
                <w:bCs w:val="0"/>
                <w:color w:val="auto"/>
                <w:szCs w:val="21"/>
                <w:highlight w:val="none"/>
                <w:u w:val="none"/>
              </w:rPr>
              <w:t>万元（不含）的，得</w:t>
            </w:r>
            <w:r>
              <w:rPr>
                <w:rFonts w:hint="eastAsia" w:cs="Times New Roman" w:asciiTheme="minorEastAsia" w:hAnsiTheme="minorEastAsia"/>
                <w:b w:val="0"/>
                <w:bCs w:val="0"/>
                <w:color w:val="auto"/>
                <w:szCs w:val="21"/>
                <w:highlight w:val="none"/>
                <w:u w:val="none"/>
                <w:lang w:val="en-US" w:eastAsia="zh-CN"/>
              </w:rPr>
              <w:t>2</w:t>
            </w:r>
            <w:r>
              <w:rPr>
                <w:rFonts w:hint="eastAsia" w:cs="Times New Roman" w:asciiTheme="minorEastAsia" w:hAnsiTheme="minorEastAsia"/>
                <w:b w:val="0"/>
                <w:bCs w:val="0"/>
                <w:color w:val="auto"/>
                <w:szCs w:val="21"/>
                <w:highlight w:val="none"/>
                <w:u w:val="none"/>
              </w:rPr>
              <w:t>分；</w:t>
            </w:r>
          </w:p>
          <w:p w14:paraId="12C99CD1">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hint="eastAsia" w:cs="Times New Roman" w:asciiTheme="minorEastAsia" w:hAnsiTheme="minorEastAsia"/>
                <w:b w:val="0"/>
                <w:bCs w:val="0"/>
                <w:color w:val="auto"/>
                <w:szCs w:val="21"/>
                <w:highlight w:val="none"/>
                <w:u w:val="none"/>
              </w:rPr>
            </w:pPr>
            <w:r>
              <w:rPr>
                <w:rFonts w:hint="eastAsia" w:cs="Times New Roman" w:asciiTheme="minorEastAsia" w:hAnsiTheme="minorEastAsia"/>
                <w:b w:val="0"/>
                <w:bCs w:val="0"/>
                <w:color w:val="auto"/>
                <w:szCs w:val="21"/>
                <w:highlight w:val="none"/>
                <w:u w:val="none"/>
                <w:lang w:val="en-US" w:eastAsia="zh-CN"/>
              </w:rPr>
              <w:t>3</w:t>
            </w:r>
            <w:r>
              <w:rPr>
                <w:rFonts w:hint="eastAsia" w:cs="Times New Roman" w:asciiTheme="minorEastAsia" w:hAnsiTheme="minorEastAsia"/>
                <w:b w:val="0"/>
                <w:bCs w:val="0"/>
                <w:color w:val="auto"/>
                <w:szCs w:val="21"/>
                <w:highlight w:val="none"/>
                <w:u w:val="none"/>
                <w:lang w:eastAsia="zh-CN"/>
              </w:rPr>
              <w:t>、</w:t>
            </w:r>
            <w:r>
              <w:rPr>
                <w:rFonts w:hint="eastAsia" w:cs="Times New Roman" w:asciiTheme="minorEastAsia" w:hAnsiTheme="minorEastAsia"/>
                <w:b w:val="0"/>
                <w:bCs w:val="0"/>
                <w:color w:val="auto"/>
                <w:szCs w:val="21"/>
                <w:highlight w:val="none"/>
                <w:u w:val="none"/>
                <w:lang w:val="en-US" w:eastAsia="zh-CN"/>
              </w:rPr>
              <w:t>每</w:t>
            </w:r>
            <w:r>
              <w:rPr>
                <w:rFonts w:hint="eastAsia" w:cs="Times New Roman" w:asciiTheme="minorEastAsia" w:hAnsiTheme="minorEastAsia"/>
                <w:b w:val="0"/>
                <w:bCs w:val="0"/>
                <w:color w:val="auto"/>
                <w:szCs w:val="21"/>
                <w:highlight w:val="none"/>
                <w:u w:val="none"/>
              </w:rPr>
              <w:t>年总</w:t>
            </w:r>
            <w:r>
              <w:rPr>
                <w:rFonts w:hint="eastAsia" w:cs="Times New Roman" w:asciiTheme="minorEastAsia" w:hAnsiTheme="minorEastAsia"/>
                <w:b w:val="0"/>
                <w:bCs w:val="0"/>
                <w:color w:val="auto"/>
                <w:szCs w:val="21"/>
                <w:highlight w:val="none"/>
                <w:u w:val="none"/>
                <w:lang w:val="en-US" w:eastAsia="zh-CN"/>
              </w:rPr>
              <w:t>保险额度为</w:t>
            </w:r>
            <w:r>
              <w:rPr>
                <w:rFonts w:hint="eastAsia" w:cs="Times New Roman" w:asciiTheme="minorEastAsia" w:hAnsiTheme="minorEastAsia"/>
                <w:b w:val="0"/>
                <w:bCs w:val="0"/>
                <w:color w:val="auto"/>
                <w:szCs w:val="21"/>
                <w:highlight w:val="none"/>
                <w:u w:val="none"/>
              </w:rPr>
              <w:t>人民币600万元（含）</w:t>
            </w:r>
            <w:r>
              <w:rPr>
                <w:rFonts w:hint="eastAsia" w:cs="Times New Roman" w:asciiTheme="minorEastAsia" w:hAnsiTheme="minorEastAsia"/>
                <w:b w:val="0"/>
                <w:bCs w:val="0"/>
                <w:color w:val="auto"/>
                <w:szCs w:val="21"/>
                <w:highlight w:val="none"/>
                <w:u w:val="none"/>
                <w:lang w:val="en-US" w:eastAsia="zh-CN"/>
              </w:rPr>
              <w:t>-800</w:t>
            </w:r>
            <w:r>
              <w:rPr>
                <w:rFonts w:hint="eastAsia" w:cs="Times New Roman" w:asciiTheme="minorEastAsia" w:hAnsiTheme="minorEastAsia"/>
                <w:b w:val="0"/>
                <w:bCs w:val="0"/>
                <w:color w:val="auto"/>
                <w:szCs w:val="21"/>
                <w:highlight w:val="none"/>
                <w:u w:val="none"/>
              </w:rPr>
              <w:t>万元（不含）的，得</w:t>
            </w:r>
            <w:r>
              <w:rPr>
                <w:rFonts w:hint="eastAsia" w:cs="Times New Roman" w:asciiTheme="minorEastAsia" w:hAnsiTheme="minorEastAsia"/>
                <w:b w:val="0"/>
                <w:bCs w:val="0"/>
                <w:color w:val="auto"/>
                <w:szCs w:val="21"/>
                <w:highlight w:val="none"/>
                <w:u w:val="none"/>
                <w:lang w:val="en-US" w:eastAsia="zh-CN"/>
              </w:rPr>
              <w:t>1</w:t>
            </w:r>
            <w:r>
              <w:rPr>
                <w:rFonts w:hint="eastAsia" w:cs="Times New Roman" w:asciiTheme="minorEastAsia" w:hAnsiTheme="minorEastAsia"/>
                <w:b w:val="0"/>
                <w:bCs w:val="0"/>
                <w:color w:val="auto"/>
                <w:szCs w:val="21"/>
                <w:highlight w:val="none"/>
                <w:u w:val="none"/>
              </w:rPr>
              <w:t>分；</w:t>
            </w:r>
          </w:p>
          <w:p w14:paraId="766270A2">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hint="eastAsia" w:cs="Times New Roman" w:asciiTheme="minorEastAsia" w:hAnsiTheme="minorEastAsia"/>
                <w:b w:val="0"/>
                <w:bCs w:val="0"/>
                <w:color w:val="auto"/>
                <w:szCs w:val="21"/>
                <w:highlight w:val="none"/>
                <w:u w:val="none"/>
              </w:rPr>
            </w:pPr>
            <w:r>
              <w:rPr>
                <w:rFonts w:hint="eastAsia" w:cs="Times New Roman" w:asciiTheme="minorEastAsia" w:hAnsiTheme="minorEastAsia"/>
                <w:b w:val="0"/>
                <w:bCs w:val="0"/>
                <w:color w:val="auto"/>
                <w:szCs w:val="21"/>
                <w:highlight w:val="none"/>
                <w:u w:val="none"/>
                <w:lang w:val="en-US" w:eastAsia="zh-CN"/>
              </w:rPr>
              <w:t>4</w:t>
            </w:r>
            <w:r>
              <w:rPr>
                <w:rFonts w:hint="eastAsia" w:cs="Times New Roman" w:asciiTheme="minorEastAsia" w:hAnsiTheme="minorEastAsia"/>
                <w:b w:val="0"/>
                <w:bCs w:val="0"/>
                <w:color w:val="auto"/>
                <w:szCs w:val="21"/>
                <w:highlight w:val="none"/>
                <w:u w:val="none"/>
                <w:lang w:eastAsia="zh-CN"/>
              </w:rPr>
              <w:t>、</w:t>
            </w:r>
            <w:r>
              <w:rPr>
                <w:rFonts w:hint="eastAsia" w:cs="Times New Roman" w:asciiTheme="minorEastAsia" w:hAnsiTheme="minorEastAsia"/>
                <w:b w:val="0"/>
                <w:bCs w:val="0"/>
                <w:color w:val="auto"/>
                <w:szCs w:val="21"/>
                <w:highlight w:val="none"/>
                <w:u w:val="none"/>
                <w:lang w:val="en-US" w:eastAsia="zh-CN"/>
              </w:rPr>
              <w:t>未提供</w:t>
            </w:r>
            <w:r>
              <w:rPr>
                <w:rFonts w:hint="eastAsia" w:cs="Times New Roman" w:asciiTheme="minorEastAsia" w:hAnsiTheme="minorEastAsia"/>
                <w:b w:val="0"/>
                <w:bCs w:val="0"/>
                <w:color w:val="auto"/>
                <w:szCs w:val="21"/>
                <w:highlight w:val="none"/>
                <w:u w:val="none"/>
              </w:rPr>
              <w:t>承诺或其它情况不得分。</w:t>
            </w:r>
          </w:p>
          <w:p w14:paraId="20FC18F1">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hint="default" w:cs="Times New Roman" w:asciiTheme="minorEastAsia" w:hAnsiTheme="minorEastAsia" w:eastAsiaTheme="minorEastAsia"/>
                <w:b/>
                <w:bCs/>
                <w:color w:val="auto"/>
                <w:szCs w:val="21"/>
                <w:highlight w:val="none"/>
                <w:u w:val="single"/>
                <w:lang w:val="en-US" w:eastAsia="zh-CN"/>
              </w:rPr>
            </w:pPr>
            <w:r>
              <w:rPr>
                <w:rFonts w:hint="eastAsia" w:cs="Times New Roman" w:asciiTheme="minorEastAsia" w:hAnsiTheme="minorEastAsia"/>
                <w:b/>
                <w:bCs/>
                <w:color w:val="auto"/>
                <w:szCs w:val="21"/>
                <w:highlight w:val="none"/>
                <w:u w:val="single"/>
              </w:rPr>
              <w:t>注：须提供承诺函加盖供应商公章</w:t>
            </w:r>
            <w:r>
              <w:rPr>
                <w:rFonts w:hint="eastAsia" w:cs="Times New Roman" w:asciiTheme="minorEastAsia" w:hAnsiTheme="minorEastAsia"/>
                <w:b/>
                <w:bCs/>
                <w:color w:val="auto"/>
                <w:szCs w:val="21"/>
                <w:highlight w:val="none"/>
                <w:u w:val="single"/>
                <w:lang w:eastAsia="zh-CN"/>
              </w:rPr>
              <w:t>，</w:t>
            </w:r>
            <w:r>
              <w:rPr>
                <w:rFonts w:hint="eastAsia" w:cs="Times New Roman" w:asciiTheme="minorEastAsia" w:hAnsiTheme="minorEastAsia"/>
                <w:b/>
                <w:bCs/>
                <w:color w:val="auto"/>
                <w:szCs w:val="21"/>
                <w:highlight w:val="none"/>
                <w:u w:val="single"/>
                <w:lang w:val="en-US" w:eastAsia="zh-CN"/>
              </w:rPr>
              <w:t>承诺函格式自拟。</w:t>
            </w:r>
          </w:p>
        </w:tc>
      </w:tr>
      <w:tr w14:paraId="6DC5D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210F11D7">
            <w:pPr>
              <w:spacing w:before="31" w:beforeLines="10" w:line="360" w:lineRule="auto"/>
              <w:jc w:val="center"/>
              <w:rPr>
                <w:rFonts w:hint="default" w:cs="黑体" w:asciiTheme="minorEastAsia" w:hAnsi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3</w:t>
            </w:r>
          </w:p>
        </w:tc>
        <w:tc>
          <w:tcPr>
            <w:tcW w:w="1210" w:type="dxa"/>
            <w:gridSpan w:val="2"/>
            <w:vAlign w:val="center"/>
          </w:tcPr>
          <w:p w14:paraId="5F4833C7">
            <w:pPr>
              <w:spacing w:before="31" w:beforeLines="10" w:line="360" w:lineRule="auto"/>
              <w:jc w:val="center"/>
              <w:rPr>
                <w:rFonts w:hint="eastAsia" w:cs="黑体" w:asciiTheme="minorEastAsia" w:hAnsi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拟投入本项目配送车辆情况</w:t>
            </w:r>
          </w:p>
        </w:tc>
        <w:tc>
          <w:tcPr>
            <w:tcW w:w="728" w:type="dxa"/>
            <w:vAlign w:val="center"/>
          </w:tcPr>
          <w:p w14:paraId="0268E2FB">
            <w:pPr>
              <w:spacing w:before="31" w:beforeLines="10" w:line="360" w:lineRule="auto"/>
              <w:jc w:val="center"/>
              <w:rPr>
                <w:rFonts w:hint="eastAsia" w:cs="黑体" w:asciiTheme="minorEastAsia" w:hAnsi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6</w:t>
            </w:r>
            <w:r>
              <w:rPr>
                <w:rFonts w:hint="eastAsia" w:cs="黑体" w:asciiTheme="minorEastAsia" w:hAnsiTheme="minorEastAsia"/>
                <w:bCs/>
                <w:color w:val="auto"/>
                <w:szCs w:val="21"/>
                <w:highlight w:val="none"/>
              </w:rPr>
              <w:t>分</w:t>
            </w:r>
          </w:p>
        </w:tc>
        <w:tc>
          <w:tcPr>
            <w:tcW w:w="6153" w:type="dxa"/>
            <w:vAlign w:val="center"/>
          </w:tcPr>
          <w:p w14:paraId="4E05615A">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hint="eastAsia" w:cs="Times New Roman" w:asciiTheme="minorEastAsia" w:hAnsiTheme="minorEastAsia"/>
                <w:bCs/>
                <w:color w:val="auto"/>
                <w:szCs w:val="21"/>
                <w:highlight w:val="none"/>
              </w:rPr>
            </w:pPr>
            <w:r>
              <w:rPr>
                <w:rFonts w:hint="eastAsia" w:cs="Times New Roman" w:asciiTheme="minorEastAsia" w:hAnsiTheme="minorEastAsia"/>
                <w:bCs/>
                <w:color w:val="auto"/>
                <w:szCs w:val="21"/>
                <w:highlight w:val="none"/>
              </w:rPr>
              <w:t>根据</w:t>
            </w:r>
            <w:r>
              <w:rPr>
                <w:rFonts w:hint="eastAsia" w:cs="Times New Roman" w:asciiTheme="minorEastAsia" w:hAnsiTheme="minorEastAsia"/>
                <w:bCs/>
                <w:color w:val="auto"/>
                <w:szCs w:val="21"/>
                <w:highlight w:val="none"/>
                <w:lang w:val="en-US" w:eastAsia="zh-CN"/>
              </w:rPr>
              <w:t>响应供应商</w:t>
            </w:r>
            <w:r>
              <w:rPr>
                <w:rFonts w:hint="eastAsia" w:cs="Times New Roman" w:asciiTheme="minorEastAsia" w:hAnsiTheme="minorEastAsia"/>
                <w:bCs/>
                <w:color w:val="auto"/>
                <w:szCs w:val="21"/>
                <w:highlight w:val="none"/>
              </w:rPr>
              <w:t>拟投入本项目的配送车辆情况进行评审</w:t>
            </w:r>
            <w:r>
              <w:rPr>
                <w:rFonts w:hint="eastAsia" w:cs="Times New Roman" w:asciiTheme="minorEastAsia" w:hAnsiTheme="minorEastAsia"/>
                <w:bCs/>
                <w:color w:val="auto"/>
                <w:szCs w:val="21"/>
                <w:highlight w:val="none"/>
                <w:lang w:eastAsia="zh-CN"/>
              </w:rPr>
              <w:t>，</w:t>
            </w:r>
            <w:r>
              <w:rPr>
                <w:rFonts w:hint="eastAsia" w:cs="Times New Roman" w:asciiTheme="minorEastAsia" w:hAnsiTheme="minorEastAsia"/>
                <w:bCs/>
                <w:color w:val="auto"/>
                <w:szCs w:val="21"/>
                <w:highlight w:val="none"/>
              </w:rPr>
              <w:t>每提供一辆冷链运输车的，得</w:t>
            </w:r>
            <w:r>
              <w:rPr>
                <w:rFonts w:hint="eastAsia" w:cs="Times New Roman" w:asciiTheme="minorEastAsia" w:hAnsiTheme="minorEastAsia"/>
                <w:bCs/>
                <w:color w:val="auto"/>
                <w:szCs w:val="21"/>
                <w:highlight w:val="none"/>
                <w:lang w:val="en-US" w:eastAsia="zh-CN"/>
              </w:rPr>
              <w:t>2</w:t>
            </w:r>
            <w:r>
              <w:rPr>
                <w:rFonts w:hint="eastAsia" w:cs="Times New Roman" w:asciiTheme="minorEastAsia" w:hAnsiTheme="minorEastAsia"/>
                <w:bCs/>
                <w:color w:val="auto"/>
                <w:szCs w:val="21"/>
                <w:highlight w:val="none"/>
              </w:rPr>
              <w:t>分，本项最高得</w:t>
            </w:r>
            <w:r>
              <w:rPr>
                <w:rFonts w:hint="eastAsia" w:cs="Times New Roman" w:asciiTheme="minorEastAsia" w:hAnsiTheme="minorEastAsia"/>
                <w:bCs/>
                <w:color w:val="auto"/>
                <w:szCs w:val="21"/>
                <w:highlight w:val="none"/>
                <w:lang w:val="en-US" w:eastAsia="zh-CN"/>
              </w:rPr>
              <w:t>6</w:t>
            </w:r>
            <w:r>
              <w:rPr>
                <w:rFonts w:hint="eastAsia" w:cs="Times New Roman" w:asciiTheme="minorEastAsia" w:hAnsiTheme="minorEastAsia"/>
                <w:bCs/>
                <w:color w:val="auto"/>
                <w:szCs w:val="21"/>
                <w:highlight w:val="none"/>
              </w:rPr>
              <w:t>分。</w:t>
            </w:r>
          </w:p>
          <w:p w14:paraId="451C2C62">
            <w:pPr>
              <w:keepNext w:val="0"/>
              <w:keepLines w:val="0"/>
              <w:pageBreakBefore w:val="0"/>
              <w:widowControl w:val="0"/>
              <w:kinsoku/>
              <w:wordWrap/>
              <w:overflowPunct/>
              <w:topLinePunct w:val="0"/>
              <w:autoSpaceDE/>
              <w:autoSpaceDN/>
              <w:bidi w:val="0"/>
              <w:adjustRightInd/>
              <w:snapToGrid/>
              <w:spacing w:before="31" w:beforeLines="10" w:line="360" w:lineRule="auto"/>
              <w:ind w:left="0" w:leftChars="0" w:firstLine="0" w:firstLineChars="0"/>
              <w:jc w:val="left"/>
              <w:textAlignment w:val="auto"/>
              <w:rPr>
                <w:rFonts w:hint="eastAsia" w:cs="Times New Roman" w:asciiTheme="minorEastAsia" w:hAnsiTheme="minorEastAsia"/>
                <w:b/>
                <w:bCs w:val="0"/>
                <w:color w:val="auto"/>
                <w:szCs w:val="21"/>
                <w:highlight w:val="none"/>
              </w:rPr>
            </w:pPr>
            <w:r>
              <w:rPr>
                <w:rFonts w:hint="eastAsia" w:cs="Times New Roman" w:asciiTheme="minorEastAsia" w:hAnsiTheme="minorEastAsia"/>
                <w:b/>
                <w:bCs w:val="0"/>
                <w:color w:val="auto"/>
                <w:szCs w:val="21"/>
                <w:highlight w:val="none"/>
                <w:u w:val="single"/>
              </w:rPr>
              <w:t>注：1.车辆为自有的，须提供：①所有人为</w:t>
            </w:r>
            <w:r>
              <w:rPr>
                <w:rFonts w:hint="eastAsia" w:cs="Times New Roman" w:asciiTheme="minorEastAsia" w:hAnsiTheme="minorEastAsia"/>
                <w:b/>
                <w:bCs w:val="0"/>
                <w:color w:val="auto"/>
                <w:szCs w:val="21"/>
                <w:highlight w:val="none"/>
                <w:u w:val="single"/>
                <w:lang w:val="en-US" w:eastAsia="zh-CN"/>
              </w:rPr>
              <w:t>供应商</w:t>
            </w:r>
            <w:r>
              <w:rPr>
                <w:rFonts w:hint="eastAsia" w:cs="Times New Roman" w:asciiTheme="minorEastAsia" w:hAnsiTheme="minorEastAsia"/>
                <w:b/>
                <w:bCs w:val="0"/>
                <w:color w:val="auto"/>
                <w:szCs w:val="21"/>
                <w:highlight w:val="none"/>
                <w:u w:val="single"/>
              </w:rPr>
              <w:t>的车辆行驶证复印件；②购车发票复印件；③车辆照片（照片能清晰体现车牌号</w:t>
            </w:r>
            <w:r>
              <w:rPr>
                <w:rFonts w:hint="eastAsia" w:cs="Times New Roman" w:asciiTheme="minorEastAsia" w:hAnsiTheme="minorEastAsia"/>
                <w:b/>
                <w:bCs w:val="0"/>
                <w:color w:val="auto"/>
                <w:szCs w:val="21"/>
                <w:highlight w:val="none"/>
                <w:u w:val="single"/>
                <w:lang w:val="en-US" w:eastAsia="zh-CN"/>
              </w:rPr>
              <w:t>及车辆</w:t>
            </w:r>
            <w:r>
              <w:rPr>
                <w:rFonts w:hint="eastAsia" w:cs="Times New Roman" w:asciiTheme="minorEastAsia" w:hAnsiTheme="minorEastAsia"/>
                <w:b/>
                <w:bCs w:val="0"/>
                <w:color w:val="auto"/>
                <w:szCs w:val="21"/>
                <w:highlight w:val="none"/>
                <w:u w:val="single"/>
              </w:rPr>
              <w:t>冷藏/冷冻功能）。上述材料均须加盖</w:t>
            </w:r>
            <w:r>
              <w:rPr>
                <w:rFonts w:hint="eastAsia" w:cs="Times New Roman" w:asciiTheme="minorEastAsia" w:hAnsiTheme="minorEastAsia"/>
                <w:b/>
                <w:bCs w:val="0"/>
                <w:color w:val="auto"/>
                <w:szCs w:val="21"/>
                <w:highlight w:val="none"/>
                <w:u w:val="single"/>
                <w:lang w:val="en-US" w:eastAsia="zh-CN"/>
              </w:rPr>
              <w:t>供应商</w:t>
            </w:r>
            <w:r>
              <w:rPr>
                <w:rFonts w:hint="eastAsia" w:cs="Times New Roman" w:asciiTheme="minorEastAsia" w:hAnsiTheme="minorEastAsia"/>
                <w:b/>
                <w:bCs w:val="0"/>
                <w:color w:val="auto"/>
                <w:szCs w:val="21"/>
                <w:highlight w:val="none"/>
                <w:u w:val="single"/>
              </w:rPr>
              <w:t>公章；2.车辆为租赁的，须提供：①车辆行驶证复印件；②车辆照片（照片能清晰体现车牌号</w:t>
            </w:r>
            <w:r>
              <w:rPr>
                <w:rFonts w:hint="eastAsia" w:cs="Times New Roman" w:asciiTheme="minorEastAsia" w:hAnsiTheme="minorEastAsia"/>
                <w:b/>
                <w:bCs w:val="0"/>
                <w:color w:val="auto"/>
                <w:szCs w:val="21"/>
                <w:highlight w:val="none"/>
                <w:u w:val="single"/>
                <w:lang w:val="en-US" w:eastAsia="zh-CN"/>
              </w:rPr>
              <w:t>及车辆</w:t>
            </w:r>
            <w:r>
              <w:rPr>
                <w:rFonts w:hint="eastAsia" w:cs="Times New Roman" w:asciiTheme="minorEastAsia" w:hAnsiTheme="minorEastAsia"/>
                <w:b/>
                <w:bCs w:val="0"/>
                <w:color w:val="auto"/>
                <w:szCs w:val="21"/>
                <w:highlight w:val="none"/>
                <w:u w:val="single"/>
              </w:rPr>
              <w:t>冷藏/冷冻功能）；③承租人为</w:t>
            </w:r>
            <w:r>
              <w:rPr>
                <w:rFonts w:hint="eastAsia" w:cs="Times New Roman" w:asciiTheme="minorEastAsia" w:hAnsiTheme="minorEastAsia"/>
                <w:b/>
                <w:bCs w:val="0"/>
                <w:color w:val="auto"/>
                <w:szCs w:val="21"/>
                <w:highlight w:val="none"/>
                <w:u w:val="single"/>
                <w:lang w:val="en-US" w:eastAsia="zh-CN"/>
              </w:rPr>
              <w:t>供应商</w:t>
            </w:r>
            <w:r>
              <w:rPr>
                <w:rFonts w:hint="eastAsia" w:cs="Times New Roman" w:asciiTheme="minorEastAsia" w:hAnsiTheme="minorEastAsia"/>
                <w:b/>
                <w:bCs w:val="0"/>
                <w:color w:val="auto"/>
                <w:szCs w:val="21"/>
                <w:highlight w:val="none"/>
                <w:u w:val="single"/>
              </w:rPr>
              <w:t>的车辆租赁合同。上述材料均须加盖</w:t>
            </w:r>
            <w:r>
              <w:rPr>
                <w:rFonts w:hint="eastAsia" w:cs="Times New Roman" w:asciiTheme="minorEastAsia" w:hAnsiTheme="minorEastAsia"/>
                <w:b/>
                <w:bCs w:val="0"/>
                <w:color w:val="auto"/>
                <w:szCs w:val="21"/>
                <w:highlight w:val="none"/>
                <w:u w:val="single"/>
                <w:lang w:val="en-US" w:eastAsia="zh-CN"/>
              </w:rPr>
              <w:t>供应商</w:t>
            </w:r>
            <w:r>
              <w:rPr>
                <w:rFonts w:hint="eastAsia" w:cs="Times New Roman" w:asciiTheme="minorEastAsia" w:hAnsiTheme="minorEastAsia"/>
                <w:b/>
                <w:bCs w:val="0"/>
                <w:color w:val="auto"/>
                <w:szCs w:val="21"/>
                <w:highlight w:val="none"/>
                <w:u w:val="single"/>
              </w:rPr>
              <w:t>公章；3.未提供对应材料或提供不全的不得分。</w:t>
            </w:r>
          </w:p>
        </w:tc>
      </w:tr>
      <w:tr w14:paraId="5B611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5A6A4834">
            <w:pPr>
              <w:spacing w:before="31" w:beforeLines="10" w:line="360" w:lineRule="auto"/>
              <w:jc w:val="center"/>
              <w:rPr>
                <w:rFonts w:hint="eastAsia" w:cs="黑体" w:asciiTheme="minorEastAsia" w:hAnsiTheme="minorEastAsia" w:eastAsiaTheme="minorEastAsia"/>
                <w:color w:val="auto"/>
                <w:szCs w:val="21"/>
                <w:highlight w:val="none"/>
                <w:lang w:eastAsia="zh-CN"/>
              </w:rPr>
            </w:pPr>
            <w:r>
              <w:rPr>
                <w:rFonts w:hint="eastAsia" w:cs="黑体" w:asciiTheme="minorEastAsia" w:hAnsiTheme="minorEastAsia"/>
                <w:color w:val="auto"/>
                <w:szCs w:val="21"/>
                <w:highlight w:val="none"/>
                <w:lang w:val="en-US" w:eastAsia="zh-CN"/>
              </w:rPr>
              <w:t>4</w:t>
            </w:r>
          </w:p>
        </w:tc>
        <w:tc>
          <w:tcPr>
            <w:tcW w:w="690" w:type="pct"/>
            <w:gridSpan w:val="2"/>
            <w:vAlign w:val="center"/>
          </w:tcPr>
          <w:p w14:paraId="3A60D738">
            <w:pPr>
              <w:spacing w:before="31" w:beforeLines="10" w:line="360" w:lineRule="auto"/>
              <w:jc w:val="center"/>
              <w:rPr>
                <w:rFonts w:hint="default" w:cs="黑体" w:asciiTheme="minorEastAsia" w:hAnsiTheme="minorEastAsia" w:eastAsia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售后服务响应时间承诺</w:t>
            </w:r>
          </w:p>
        </w:tc>
        <w:tc>
          <w:tcPr>
            <w:tcW w:w="415" w:type="pct"/>
            <w:vAlign w:val="center"/>
          </w:tcPr>
          <w:p w14:paraId="302D6180">
            <w:pPr>
              <w:spacing w:before="31" w:beforeLines="10" w:line="360" w:lineRule="auto"/>
              <w:jc w:val="center"/>
              <w:rPr>
                <w:rFonts w:hint="eastAsia" w:cs="黑体" w:asciiTheme="minorEastAsia" w:hAnsiTheme="minorEastAsia" w:eastAsia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3分</w:t>
            </w:r>
          </w:p>
        </w:tc>
        <w:tc>
          <w:tcPr>
            <w:tcW w:w="3509" w:type="pct"/>
            <w:vAlign w:val="center"/>
          </w:tcPr>
          <w:p w14:paraId="2E7D5711">
            <w:pPr>
              <w:keepNext w:val="0"/>
              <w:keepLines w:val="0"/>
              <w:pageBreakBefore w:val="0"/>
              <w:kinsoku/>
              <w:wordWrap/>
              <w:overflowPunct/>
              <w:topLinePunct w:val="0"/>
              <w:autoSpaceDE/>
              <w:autoSpaceDN/>
              <w:bidi w:val="0"/>
              <w:adjustRightInd/>
              <w:snapToGrid w:val="0"/>
              <w:spacing w:line="360" w:lineRule="auto"/>
              <w:textAlignment w:val="auto"/>
              <w:rPr>
                <w:rFonts w:hint="default" w:ascii="宋体" w:hAnsi="宋体" w:eastAsia="宋体" w:cs="宋体"/>
                <w:b/>
                <w:bCs w:val="0"/>
                <w:color w:val="auto"/>
                <w:szCs w:val="21"/>
                <w:highlight w:val="none"/>
                <w:u w:val="none"/>
                <w:lang w:val="en-US" w:eastAsia="zh-CN"/>
              </w:rPr>
            </w:pPr>
            <w:r>
              <w:rPr>
                <w:rFonts w:hint="eastAsia" w:ascii="宋体" w:hAnsi="宋体" w:eastAsia="宋体" w:cs="宋体"/>
                <w:b/>
                <w:bCs w:val="0"/>
                <w:color w:val="auto"/>
                <w:szCs w:val="21"/>
                <w:highlight w:val="none"/>
                <w:u w:val="none"/>
                <w:lang w:val="en-US" w:eastAsia="zh-CN"/>
              </w:rPr>
              <w:t>根据响应供应商</w:t>
            </w:r>
            <w:r>
              <w:rPr>
                <w:rFonts w:hint="eastAsia" w:ascii="宋体" w:hAnsi="宋体" w:cs="宋体"/>
                <w:b/>
                <w:bCs w:val="0"/>
                <w:color w:val="auto"/>
                <w:szCs w:val="21"/>
                <w:highlight w:val="none"/>
                <w:u w:val="none"/>
                <w:lang w:val="en-US" w:eastAsia="zh-CN"/>
              </w:rPr>
              <w:t>提供的售后服务响应时间承诺</w:t>
            </w:r>
            <w:r>
              <w:rPr>
                <w:rFonts w:hint="eastAsia" w:ascii="宋体" w:hAnsi="宋体" w:eastAsia="宋体" w:cs="宋体"/>
                <w:b/>
                <w:bCs w:val="0"/>
                <w:color w:val="auto"/>
                <w:szCs w:val="21"/>
                <w:highlight w:val="none"/>
                <w:u w:val="none"/>
                <w:lang w:val="en-US" w:eastAsia="zh-CN"/>
              </w:rPr>
              <w:t>进行评审：</w:t>
            </w:r>
          </w:p>
          <w:p w14:paraId="12CD1FE2">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lang w:val="en-US" w:eastAsia="zh-CN"/>
              </w:rPr>
              <w:t>1、供应商</w:t>
            </w:r>
            <w:r>
              <w:rPr>
                <w:rFonts w:hint="eastAsia" w:ascii="宋体" w:hAnsi="宋体" w:eastAsia="宋体" w:cs="宋体"/>
                <w:b w:val="0"/>
                <w:bCs/>
                <w:color w:val="auto"/>
                <w:szCs w:val="21"/>
                <w:highlight w:val="none"/>
                <w:u w:val="none"/>
              </w:rPr>
              <w:t>承诺在接到采购人通知后</w:t>
            </w:r>
            <w:r>
              <w:rPr>
                <w:rFonts w:hint="eastAsia" w:ascii="宋体" w:hAnsi="宋体" w:cs="宋体"/>
                <w:b w:val="0"/>
                <w:bCs/>
                <w:color w:val="auto"/>
                <w:szCs w:val="21"/>
                <w:highlight w:val="none"/>
                <w:u w:val="none"/>
                <w:lang w:val="en-US" w:eastAsia="zh-CN"/>
              </w:rPr>
              <w:t>30分钟内</w:t>
            </w:r>
            <w:r>
              <w:rPr>
                <w:rFonts w:hint="eastAsia" w:ascii="宋体" w:hAnsi="宋体" w:eastAsia="宋体" w:cs="宋体"/>
                <w:b w:val="0"/>
                <w:bCs/>
                <w:color w:val="auto"/>
                <w:szCs w:val="21"/>
                <w:highlight w:val="none"/>
                <w:u w:val="none"/>
              </w:rPr>
              <w:t>响应</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1小时</w:t>
            </w:r>
            <w:r>
              <w:rPr>
                <w:rFonts w:hint="eastAsia" w:ascii="宋体" w:hAnsi="宋体" w:eastAsia="宋体" w:cs="宋体"/>
                <w:b w:val="0"/>
                <w:bCs/>
                <w:color w:val="auto"/>
                <w:szCs w:val="21"/>
                <w:highlight w:val="none"/>
                <w:u w:val="none"/>
                <w:lang w:val="en-US" w:eastAsia="zh-CN"/>
              </w:rPr>
              <w:t>（含）</w:t>
            </w:r>
            <w:r>
              <w:rPr>
                <w:rFonts w:hint="eastAsia" w:ascii="宋体" w:hAnsi="宋体" w:eastAsia="宋体" w:cs="宋体"/>
                <w:b w:val="0"/>
                <w:bCs/>
                <w:color w:val="auto"/>
                <w:szCs w:val="21"/>
                <w:highlight w:val="none"/>
                <w:u w:val="none"/>
              </w:rPr>
              <w:t>内到达现场的，得</w:t>
            </w:r>
            <w:r>
              <w:rPr>
                <w:rFonts w:hint="eastAsia" w:ascii="宋体" w:hAnsi="宋体" w:cs="宋体"/>
                <w:b w:val="0"/>
                <w:bCs/>
                <w:color w:val="auto"/>
                <w:szCs w:val="21"/>
                <w:highlight w:val="none"/>
                <w:u w:val="none"/>
                <w:lang w:val="en-US" w:eastAsia="zh-CN"/>
              </w:rPr>
              <w:t>3</w:t>
            </w:r>
            <w:r>
              <w:rPr>
                <w:rFonts w:hint="eastAsia" w:ascii="宋体" w:hAnsi="宋体" w:eastAsia="宋体" w:cs="宋体"/>
                <w:b w:val="0"/>
                <w:bCs/>
                <w:color w:val="auto"/>
                <w:szCs w:val="21"/>
                <w:highlight w:val="none"/>
                <w:u w:val="none"/>
              </w:rPr>
              <w:t>分；</w:t>
            </w:r>
          </w:p>
          <w:p w14:paraId="6113785B">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rPr>
            </w:pPr>
            <w:r>
              <w:rPr>
                <w:rFonts w:hint="eastAsia" w:ascii="宋体" w:hAnsi="宋体" w:eastAsia="宋体" w:cs="宋体"/>
                <w:b w:val="0"/>
                <w:bCs/>
                <w:color w:val="auto"/>
                <w:szCs w:val="21"/>
                <w:highlight w:val="none"/>
                <w:u w:val="none"/>
                <w:lang w:val="en-US" w:eastAsia="zh-CN"/>
              </w:rPr>
              <w:t>2、供应商</w:t>
            </w:r>
            <w:r>
              <w:rPr>
                <w:rFonts w:hint="eastAsia" w:ascii="宋体" w:hAnsi="宋体" w:eastAsia="宋体" w:cs="宋体"/>
                <w:b w:val="0"/>
                <w:bCs/>
                <w:color w:val="auto"/>
                <w:szCs w:val="21"/>
                <w:highlight w:val="none"/>
                <w:u w:val="none"/>
              </w:rPr>
              <w:t>承诺在接到采购人通知后</w:t>
            </w:r>
            <w:r>
              <w:rPr>
                <w:rFonts w:hint="eastAsia" w:ascii="宋体" w:hAnsi="宋体" w:cs="宋体"/>
                <w:b w:val="0"/>
                <w:bCs/>
                <w:color w:val="auto"/>
                <w:szCs w:val="21"/>
                <w:highlight w:val="none"/>
                <w:u w:val="none"/>
                <w:lang w:val="en-US" w:eastAsia="zh-CN"/>
              </w:rPr>
              <w:t>30分钟内</w:t>
            </w:r>
            <w:r>
              <w:rPr>
                <w:rFonts w:hint="eastAsia" w:ascii="宋体" w:hAnsi="宋体" w:eastAsia="宋体" w:cs="宋体"/>
                <w:b w:val="0"/>
                <w:bCs/>
                <w:color w:val="auto"/>
                <w:szCs w:val="21"/>
                <w:highlight w:val="none"/>
                <w:u w:val="none"/>
              </w:rPr>
              <w:t>响应</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1小时</w:t>
            </w:r>
            <w:r>
              <w:rPr>
                <w:rFonts w:hint="eastAsia" w:ascii="宋体" w:hAnsi="宋体" w:eastAsia="宋体" w:cs="宋体"/>
                <w:b w:val="0"/>
                <w:bCs/>
                <w:color w:val="auto"/>
                <w:szCs w:val="21"/>
                <w:highlight w:val="none"/>
                <w:u w:val="none"/>
                <w:lang w:val="en-US" w:eastAsia="zh-CN"/>
              </w:rPr>
              <w:t>（不含）-2小时（含）</w:t>
            </w:r>
            <w:r>
              <w:rPr>
                <w:rFonts w:hint="eastAsia" w:ascii="宋体" w:hAnsi="宋体" w:eastAsia="宋体" w:cs="宋体"/>
                <w:b w:val="0"/>
                <w:bCs/>
                <w:color w:val="auto"/>
                <w:szCs w:val="21"/>
                <w:highlight w:val="none"/>
                <w:u w:val="none"/>
              </w:rPr>
              <w:t>内到达现场的，得</w:t>
            </w:r>
            <w:r>
              <w:rPr>
                <w:rFonts w:hint="eastAsia" w:ascii="宋体" w:hAnsi="宋体" w:cs="宋体"/>
                <w:b w:val="0"/>
                <w:bCs/>
                <w:color w:val="auto"/>
                <w:szCs w:val="21"/>
                <w:highlight w:val="none"/>
                <w:u w:val="none"/>
                <w:lang w:val="en-US" w:eastAsia="zh-CN"/>
              </w:rPr>
              <w:t>2</w:t>
            </w:r>
            <w:r>
              <w:rPr>
                <w:rFonts w:hint="eastAsia" w:ascii="宋体" w:hAnsi="宋体" w:eastAsia="宋体" w:cs="宋体"/>
                <w:b w:val="0"/>
                <w:bCs/>
                <w:color w:val="auto"/>
                <w:szCs w:val="21"/>
                <w:highlight w:val="none"/>
                <w:u w:val="none"/>
              </w:rPr>
              <w:t>分；</w:t>
            </w:r>
          </w:p>
          <w:p w14:paraId="4AA17F94">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lang w:eastAsia="zh-CN"/>
              </w:rPr>
            </w:pPr>
            <w:r>
              <w:rPr>
                <w:rFonts w:hint="eastAsia" w:ascii="宋体" w:hAnsi="宋体" w:eastAsia="宋体" w:cs="宋体"/>
                <w:b w:val="0"/>
                <w:bCs/>
                <w:color w:val="auto"/>
                <w:szCs w:val="21"/>
                <w:highlight w:val="none"/>
                <w:u w:val="none"/>
                <w:lang w:val="en-US" w:eastAsia="zh-CN"/>
              </w:rPr>
              <w:t>3、供应商</w:t>
            </w:r>
            <w:r>
              <w:rPr>
                <w:rFonts w:hint="eastAsia" w:ascii="宋体" w:hAnsi="宋体" w:eastAsia="宋体" w:cs="宋体"/>
                <w:b w:val="0"/>
                <w:bCs/>
                <w:color w:val="auto"/>
                <w:szCs w:val="21"/>
                <w:highlight w:val="none"/>
                <w:u w:val="none"/>
              </w:rPr>
              <w:t>承诺在接到采购人通知后</w:t>
            </w:r>
            <w:r>
              <w:rPr>
                <w:rFonts w:hint="eastAsia" w:ascii="宋体" w:hAnsi="宋体" w:cs="宋体"/>
                <w:b w:val="0"/>
                <w:bCs/>
                <w:color w:val="auto"/>
                <w:szCs w:val="21"/>
                <w:highlight w:val="none"/>
                <w:u w:val="none"/>
                <w:lang w:val="en-US" w:eastAsia="zh-CN"/>
              </w:rPr>
              <w:t>30分钟内</w:t>
            </w:r>
            <w:r>
              <w:rPr>
                <w:rFonts w:hint="eastAsia" w:ascii="宋体" w:hAnsi="宋体" w:eastAsia="宋体" w:cs="宋体"/>
                <w:b w:val="0"/>
                <w:bCs/>
                <w:color w:val="auto"/>
                <w:szCs w:val="21"/>
                <w:highlight w:val="none"/>
                <w:u w:val="none"/>
              </w:rPr>
              <w:t>响应</w:t>
            </w:r>
            <w:r>
              <w:rPr>
                <w:rFonts w:hint="eastAsia" w:ascii="宋体" w:hAnsi="宋体" w:eastAsia="宋体" w:cs="宋体"/>
                <w:b w:val="0"/>
                <w:bCs/>
                <w:color w:val="auto"/>
                <w:szCs w:val="21"/>
                <w:highlight w:val="none"/>
                <w:u w:val="none"/>
                <w:lang w:eastAsia="zh-CN"/>
              </w:rPr>
              <w:t>，</w:t>
            </w:r>
            <w:r>
              <w:rPr>
                <w:rFonts w:hint="eastAsia" w:ascii="宋体" w:hAnsi="宋体" w:cs="宋体"/>
                <w:b w:val="0"/>
                <w:bCs/>
                <w:color w:val="auto"/>
                <w:szCs w:val="21"/>
                <w:highlight w:val="none"/>
                <w:u w:val="none"/>
                <w:lang w:val="en-US" w:eastAsia="zh-CN"/>
              </w:rPr>
              <w:t>2小时</w:t>
            </w:r>
            <w:r>
              <w:rPr>
                <w:rFonts w:hint="eastAsia" w:ascii="宋体" w:hAnsi="宋体" w:eastAsia="宋体" w:cs="宋体"/>
                <w:b w:val="0"/>
                <w:bCs/>
                <w:color w:val="auto"/>
                <w:szCs w:val="21"/>
                <w:highlight w:val="none"/>
                <w:u w:val="none"/>
                <w:lang w:val="en-US" w:eastAsia="zh-CN"/>
              </w:rPr>
              <w:t>（不含）-3小时（含）</w:t>
            </w:r>
            <w:r>
              <w:rPr>
                <w:rFonts w:hint="eastAsia" w:ascii="宋体" w:hAnsi="宋体" w:eastAsia="宋体" w:cs="宋体"/>
                <w:b w:val="0"/>
                <w:bCs/>
                <w:color w:val="auto"/>
                <w:szCs w:val="21"/>
                <w:highlight w:val="none"/>
                <w:u w:val="none"/>
              </w:rPr>
              <w:t>内到达现场的，得</w:t>
            </w:r>
            <w:r>
              <w:rPr>
                <w:rFonts w:hint="eastAsia" w:ascii="宋体" w:hAnsi="宋体" w:eastAsia="宋体" w:cs="宋体"/>
                <w:b w:val="0"/>
                <w:bCs/>
                <w:color w:val="auto"/>
                <w:szCs w:val="21"/>
                <w:highlight w:val="none"/>
                <w:u w:val="none"/>
                <w:lang w:val="en-US" w:eastAsia="zh-CN"/>
              </w:rPr>
              <w:t>1</w:t>
            </w:r>
            <w:r>
              <w:rPr>
                <w:rFonts w:hint="eastAsia" w:ascii="宋体" w:hAnsi="宋体" w:eastAsia="宋体" w:cs="宋体"/>
                <w:b w:val="0"/>
                <w:bCs/>
                <w:color w:val="auto"/>
                <w:szCs w:val="21"/>
                <w:highlight w:val="none"/>
                <w:u w:val="none"/>
              </w:rPr>
              <w:t>分</w:t>
            </w:r>
            <w:r>
              <w:rPr>
                <w:rFonts w:hint="eastAsia" w:ascii="宋体" w:hAnsi="宋体" w:eastAsia="宋体" w:cs="宋体"/>
                <w:b w:val="0"/>
                <w:bCs/>
                <w:color w:val="auto"/>
                <w:szCs w:val="21"/>
                <w:highlight w:val="none"/>
                <w:u w:val="none"/>
                <w:lang w:eastAsia="zh-CN"/>
              </w:rPr>
              <w:t>；</w:t>
            </w:r>
          </w:p>
          <w:p w14:paraId="6C6BC6D7">
            <w:pPr>
              <w:keepNext w:val="0"/>
              <w:keepLines w:val="0"/>
              <w:pageBreakBefore w:val="0"/>
              <w:kinsoku/>
              <w:wordWrap/>
              <w:overflowPunct/>
              <w:topLinePunct w:val="0"/>
              <w:autoSpaceDE/>
              <w:autoSpaceDN/>
              <w:bidi w:val="0"/>
              <w:adjustRightInd/>
              <w:snapToGrid w:val="0"/>
              <w:spacing w:line="360" w:lineRule="auto"/>
              <w:textAlignment w:val="auto"/>
              <w:rPr>
                <w:rFonts w:hint="eastAsia" w:ascii="宋体" w:hAnsi="宋体" w:eastAsia="宋体" w:cs="宋体"/>
                <w:b w:val="0"/>
                <w:bCs/>
                <w:color w:val="auto"/>
                <w:szCs w:val="21"/>
                <w:highlight w:val="none"/>
                <w:u w:val="none"/>
                <w:lang w:val="en-US" w:eastAsia="zh-CN"/>
              </w:rPr>
            </w:pPr>
            <w:r>
              <w:rPr>
                <w:rFonts w:hint="eastAsia" w:ascii="宋体" w:hAnsi="宋体" w:eastAsia="宋体" w:cs="宋体"/>
                <w:b w:val="0"/>
                <w:bCs/>
                <w:color w:val="auto"/>
                <w:szCs w:val="21"/>
                <w:highlight w:val="none"/>
                <w:u w:val="none"/>
                <w:lang w:val="en-US" w:eastAsia="zh-CN"/>
              </w:rPr>
              <w:t>4、</w:t>
            </w:r>
            <w:r>
              <w:rPr>
                <w:rFonts w:hint="eastAsia" w:ascii="宋体" w:hAnsi="宋体" w:cs="宋体"/>
                <w:b w:val="0"/>
                <w:bCs/>
                <w:color w:val="auto"/>
                <w:szCs w:val="21"/>
                <w:highlight w:val="none"/>
                <w:u w:val="none"/>
                <w:lang w:val="en-US" w:eastAsia="zh-CN"/>
              </w:rPr>
              <w:t>未提供售后服务响应时间承诺或</w:t>
            </w:r>
            <w:r>
              <w:rPr>
                <w:rFonts w:hint="eastAsia" w:ascii="宋体" w:hAnsi="宋体" w:eastAsia="宋体" w:cs="宋体"/>
                <w:b w:val="0"/>
                <w:bCs/>
                <w:color w:val="auto"/>
                <w:szCs w:val="21"/>
                <w:highlight w:val="none"/>
                <w:u w:val="none"/>
              </w:rPr>
              <w:t>其他</w:t>
            </w:r>
            <w:r>
              <w:rPr>
                <w:rFonts w:hint="eastAsia" w:ascii="宋体" w:hAnsi="宋体" w:eastAsia="宋体" w:cs="宋体"/>
                <w:b w:val="0"/>
                <w:bCs/>
                <w:color w:val="auto"/>
                <w:szCs w:val="21"/>
                <w:highlight w:val="none"/>
                <w:u w:val="none"/>
                <w:lang w:val="en-US" w:eastAsia="zh-CN"/>
              </w:rPr>
              <w:t>情形的，</w:t>
            </w:r>
            <w:r>
              <w:rPr>
                <w:rFonts w:hint="eastAsia" w:ascii="宋体" w:hAnsi="宋体" w:eastAsia="宋体" w:cs="宋体"/>
                <w:b w:val="0"/>
                <w:bCs/>
                <w:color w:val="auto"/>
                <w:szCs w:val="21"/>
                <w:highlight w:val="none"/>
                <w:u w:val="none"/>
              </w:rPr>
              <w:t>得</w:t>
            </w:r>
            <w:r>
              <w:rPr>
                <w:rFonts w:hint="eastAsia" w:ascii="宋体" w:hAnsi="宋体" w:eastAsia="宋体" w:cs="宋体"/>
                <w:b w:val="0"/>
                <w:bCs/>
                <w:color w:val="auto"/>
                <w:szCs w:val="21"/>
                <w:highlight w:val="none"/>
                <w:u w:val="none"/>
                <w:lang w:val="en-US" w:eastAsia="zh-CN"/>
              </w:rPr>
              <w:t>0</w:t>
            </w:r>
            <w:r>
              <w:rPr>
                <w:rFonts w:hint="eastAsia" w:ascii="宋体" w:hAnsi="宋体" w:eastAsia="宋体" w:cs="宋体"/>
                <w:b w:val="0"/>
                <w:bCs/>
                <w:color w:val="auto"/>
                <w:szCs w:val="21"/>
                <w:highlight w:val="none"/>
                <w:u w:val="none"/>
              </w:rPr>
              <w:t>分</w:t>
            </w:r>
            <w:r>
              <w:rPr>
                <w:rFonts w:hint="eastAsia" w:ascii="宋体" w:hAnsi="宋体" w:eastAsia="宋体" w:cs="宋体"/>
                <w:b w:val="0"/>
                <w:bCs/>
                <w:color w:val="auto"/>
                <w:szCs w:val="21"/>
                <w:highlight w:val="none"/>
                <w:u w:val="none"/>
                <w:lang w:eastAsia="zh-CN"/>
              </w:rPr>
              <w:t>。</w:t>
            </w:r>
          </w:p>
          <w:p w14:paraId="07399D0B">
            <w:pPr>
              <w:keepNext w:val="0"/>
              <w:keepLines w:val="0"/>
              <w:pageBreakBefore w:val="0"/>
              <w:widowControl w:val="0"/>
              <w:kinsoku/>
              <w:wordWrap/>
              <w:overflowPunct/>
              <w:topLinePunct w:val="0"/>
              <w:autoSpaceDE/>
              <w:autoSpaceDN/>
              <w:bidi w:val="0"/>
              <w:adjustRightInd/>
              <w:snapToGrid/>
              <w:spacing w:before="31" w:beforeLines="10" w:line="360" w:lineRule="auto"/>
              <w:ind w:left="0" w:firstLine="0" w:firstLineChars="0"/>
              <w:jc w:val="left"/>
              <w:textAlignment w:val="auto"/>
              <w:rPr>
                <w:rFonts w:asciiTheme="minorEastAsia" w:hAnsiTheme="minorEastAsia"/>
                <w:b/>
                <w:color w:val="auto"/>
                <w:highlight w:val="none"/>
                <w:u w:val="single"/>
              </w:rPr>
            </w:pPr>
            <w:r>
              <w:rPr>
                <w:rFonts w:hint="eastAsia" w:ascii="宋体" w:hAnsi="宋体" w:eastAsia="宋体" w:cs="宋体"/>
                <w:b/>
                <w:color w:val="auto"/>
                <w:szCs w:val="21"/>
                <w:highlight w:val="none"/>
                <w:u w:val="single"/>
              </w:rPr>
              <w:t>注：须提供单独</w:t>
            </w:r>
            <w:r>
              <w:rPr>
                <w:rFonts w:hint="eastAsia" w:ascii="宋体" w:hAnsi="宋体" w:cs="宋体"/>
                <w:b/>
                <w:color w:val="auto"/>
                <w:szCs w:val="21"/>
                <w:highlight w:val="none"/>
                <w:u w:val="single"/>
                <w:lang w:val="en-US" w:eastAsia="zh-CN"/>
              </w:rPr>
              <w:t>的</w:t>
            </w:r>
            <w:r>
              <w:rPr>
                <w:rFonts w:hint="eastAsia" w:ascii="宋体" w:hAnsi="宋体" w:eastAsia="宋体" w:cs="宋体"/>
                <w:b/>
                <w:color w:val="auto"/>
                <w:szCs w:val="21"/>
                <w:highlight w:val="none"/>
                <w:u w:val="single"/>
              </w:rPr>
              <w:t>承诺书并加盖</w:t>
            </w:r>
            <w:r>
              <w:rPr>
                <w:rFonts w:hint="eastAsia" w:ascii="宋体" w:hAnsi="宋体" w:eastAsia="宋体" w:cs="宋体"/>
                <w:b/>
                <w:color w:val="auto"/>
                <w:szCs w:val="21"/>
                <w:highlight w:val="none"/>
                <w:u w:val="single"/>
                <w:lang w:val="en-US" w:eastAsia="zh-CN"/>
              </w:rPr>
              <w:t>供应商</w:t>
            </w:r>
            <w:r>
              <w:rPr>
                <w:rFonts w:hint="eastAsia" w:ascii="宋体" w:hAnsi="宋体" w:eastAsia="宋体" w:cs="宋体"/>
                <w:b/>
                <w:color w:val="auto"/>
                <w:szCs w:val="21"/>
                <w:highlight w:val="none"/>
                <w:u w:val="single"/>
              </w:rPr>
              <w:t>公章</w:t>
            </w:r>
            <w:r>
              <w:rPr>
                <w:rFonts w:hint="eastAsia" w:ascii="宋体" w:hAnsi="宋体" w:eastAsia="宋体" w:cs="宋体"/>
                <w:b/>
                <w:color w:val="auto"/>
                <w:szCs w:val="21"/>
                <w:highlight w:val="none"/>
                <w:u w:val="single"/>
                <w:lang w:eastAsia="zh-CN"/>
              </w:rPr>
              <w:t>，</w:t>
            </w:r>
            <w:r>
              <w:rPr>
                <w:rFonts w:hint="eastAsia" w:ascii="宋体" w:hAnsi="宋体" w:eastAsia="宋体" w:cs="宋体"/>
                <w:b/>
                <w:color w:val="auto"/>
                <w:szCs w:val="21"/>
                <w:highlight w:val="none"/>
                <w:u w:val="single"/>
                <w:lang w:val="en-US" w:eastAsia="zh-CN"/>
              </w:rPr>
              <w:t>承诺书格式自拟</w:t>
            </w:r>
            <w:r>
              <w:rPr>
                <w:rFonts w:hint="eastAsia" w:ascii="宋体" w:hAnsi="宋体" w:eastAsia="宋体" w:cs="宋体"/>
                <w:b/>
                <w:color w:val="auto"/>
                <w:szCs w:val="21"/>
                <w:highlight w:val="none"/>
                <w:u w:val="single"/>
              </w:rPr>
              <w:t>。</w:t>
            </w:r>
          </w:p>
        </w:tc>
      </w:tr>
      <w:tr w14:paraId="33566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2795A7E3">
            <w:pPr>
              <w:pStyle w:val="39"/>
              <w:spacing w:line="360" w:lineRule="auto"/>
              <w:ind w:firstLine="0" w:firstLineChars="0"/>
              <w:jc w:val="center"/>
              <w:rPr>
                <w:rFonts w:asciiTheme="minorEastAsia" w:hAnsiTheme="minorEastAsia" w:eastAsiaTheme="minorEastAsia"/>
                <w:color w:val="auto"/>
                <w:highlight w:val="none"/>
              </w:rPr>
            </w:pPr>
            <w:r>
              <w:rPr>
                <w:rFonts w:hint="eastAsia" w:asciiTheme="minorEastAsia" w:hAnsiTheme="minorEastAsia" w:eastAsiaTheme="minorEastAsia"/>
                <w:b/>
                <w:color w:val="auto"/>
                <w:sz w:val="21"/>
                <w:szCs w:val="21"/>
                <w:highlight w:val="none"/>
              </w:rPr>
              <w:t>技术评审细则（</w:t>
            </w:r>
            <w:r>
              <w:rPr>
                <w:rFonts w:hint="eastAsia" w:asciiTheme="minorEastAsia" w:hAnsiTheme="minorEastAsia" w:eastAsiaTheme="minorEastAsia"/>
                <w:b/>
                <w:color w:val="auto"/>
                <w:sz w:val="21"/>
                <w:szCs w:val="21"/>
                <w:highlight w:val="none"/>
                <w:lang w:val="en-US" w:eastAsia="zh-CN"/>
              </w:rPr>
              <w:t>60</w:t>
            </w:r>
            <w:r>
              <w:rPr>
                <w:rFonts w:hint="eastAsia" w:asciiTheme="minorEastAsia" w:hAnsiTheme="minorEastAsia" w:eastAsiaTheme="minorEastAsia"/>
                <w:b/>
                <w:color w:val="auto"/>
                <w:sz w:val="21"/>
                <w:szCs w:val="21"/>
                <w:highlight w:val="none"/>
              </w:rPr>
              <w:t>分）</w:t>
            </w:r>
          </w:p>
        </w:tc>
      </w:tr>
      <w:tr w14:paraId="75D50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1612B2B9">
            <w:pPr>
              <w:spacing w:before="31" w:beforeLines="10" w:line="360" w:lineRule="auto"/>
              <w:jc w:val="center"/>
              <w:rPr>
                <w:rFonts w:hint="eastAsia" w:cs="黑体" w:asciiTheme="minorEastAsia" w:hAnsiTheme="minorEastAsia" w:eastAsiaTheme="minorEastAsia"/>
                <w:color w:val="auto"/>
                <w:szCs w:val="21"/>
                <w:highlight w:val="none"/>
                <w:lang w:eastAsia="zh-CN"/>
              </w:rPr>
            </w:pPr>
            <w:r>
              <w:rPr>
                <w:rFonts w:hint="eastAsia" w:cs="黑体" w:asciiTheme="minorEastAsia" w:hAnsiTheme="minorEastAsia"/>
                <w:color w:val="auto"/>
                <w:szCs w:val="21"/>
                <w:highlight w:val="none"/>
                <w:lang w:val="en-US" w:eastAsia="zh-CN"/>
              </w:rPr>
              <w:t>1</w:t>
            </w:r>
          </w:p>
        </w:tc>
        <w:tc>
          <w:tcPr>
            <w:tcW w:w="690" w:type="pct"/>
            <w:gridSpan w:val="2"/>
            <w:vAlign w:val="center"/>
          </w:tcPr>
          <w:p w14:paraId="665F2212">
            <w:pPr>
              <w:spacing w:before="31" w:beforeLines="10" w:line="360" w:lineRule="auto"/>
              <w:jc w:val="center"/>
              <w:rPr>
                <w:rFonts w:cs="黑体" w:asciiTheme="minorEastAsia" w:hAnsiTheme="minorEastAsia"/>
                <w:bCs/>
                <w:color w:val="auto"/>
                <w:szCs w:val="21"/>
                <w:highlight w:val="none"/>
              </w:rPr>
            </w:pPr>
            <w:r>
              <w:rPr>
                <w:rFonts w:hint="eastAsia" w:cs="Times New Roman" w:asciiTheme="minorEastAsia" w:hAnsiTheme="minorEastAsia"/>
                <w:color w:val="auto"/>
                <w:kern w:val="0"/>
                <w:szCs w:val="21"/>
                <w:highlight w:val="none"/>
                <w:lang w:val="en-US" w:eastAsia="zh-CN"/>
              </w:rPr>
              <w:t>项目总体服务方案</w:t>
            </w:r>
          </w:p>
        </w:tc>
        <w:tc>
          <w:tcPr>
            <w:tcW w:w="415" w:type="pct"/>
            <w:vAlign w:val="center"/>
          </w:tcPr>
          <w:p w14:paraId="6AAAF596">
            <w:pPr>
              <w:spacing w:before="31" w:beforeLines="10" w:line="360" w:lineRule="auto"/>
              <w:jc w:val="center"/>
              <w:rPr>
                <w:rFonts w:cs="黑体" w:asciiTheme="minorEastAsia" w:hAnsiTheme="minorEastAsia"/>
                <w:bCs/>
                <w:color w:val="auto"/>
                <w:szCs w:val="21"/>
                <w:highlight w:val="none"/>
              </w:rPr>
            </w:pPr>
            <w:r>
              <w:rPr>
                <w:rFonts w:cs="黑体" w:asciiTheme="minorEastAsia" w:hAnsiTheme="minorEastAsia"/>
                <w:bCs/>
                <w:color w:val="auto"/>
                <w:szCs w:val="21"/>
                <w:highlight w:val="none"/>
              </w:rPr>
              <w:t>1</w:t>
            </w:r>
            <w:r>
              <w:rPr>
                <w:rFonts w:hint="eastAsia" w:cs="黑体" w:asciiTheme="minorEastAsia" w:hAnsiTheme="minorEastAsia"/>
                <w:bCs/>
                <w:color w:val="auto"/>
                <w:szCs w:val="21"/>
                <w:highlight w:val="none"/>
                <w:lang w:val="en-US" w:eastAsia="zh-CN"/>
              </w:rPr>
              <w:t>0</w:t>
            </w:r>
            <w:r>
              <w:rPr>
                <w:rFonts w:hint="eastAsia" w:cs="黑体" w:asciiTheme="minorEastAsia" w:hAnsiTheme="minorEastAsia"/>
                <w:bCs/>
                <w:color w:val="auto"/>
                <w:szCs w:val="21"/>
                <w:highlight w:val="none"/>
              </w:rPr>
              <w:t>分</w:t>
            </w:r>
          </w:p>
        </w:tc>
        <w:tc>
          <w:tcPr>
            <w:tcW w:w="3509" w:type="pct"/>
            <w:vAlign w:val="center"/>
          </w:tcPr>
          <w:p w14:paraId="3ECA66C2">
            <w:pPr>
              <w:spacing w:line="360" w:lineRule="auto"/>
              <w:jc w:val="left"/>
              <w:rPr>
                <w:rFonts w:hint="eastAsia" w:cs="Times New Roman" w:asciiTheme="minorEastAsia" w:hAnsiTheme="minorEastAsia"/>
                <w:b/>
                <w:bCs w:val="0"/>
                <w:color w:val="auto"/>
                <w:szCs w:val="21"/>
                <w:highlight w:val="none"/>
              </w:rPr>
            </w:pPr>
            <w:r>
              <w:rPr>
                <w:rFonts w:hint="eastAsia" w:cs="Times New Roman" w:asciiTheme="minorEastAsia" w:hAnsiTheme="minorEastAsia"/>
                <w:b/>
                <w:bCs w:val="0"/>
                <w:color w:val="auto"/>
                <w:szCs w:val="21"/>
                <w:highlight w:val="none"/>
              </w:rPr>
              <w:t>根据</w:t>
            </w:r>
            <w:r>
              <w:rPr>
                <w:rFonts w:hint="eastAsia" w:cs="Times New Roman" w:asciiTheme="minorEastAsia" w:hAnsiTheme="minorEastAsia"/>
                <w:b/>
                <w:bCs w:val="0"/>
                <w:color w:val="auto"/>
                <w:szCs w:val="21"/>
                <w:highlight w:val="none"/>
                <w:lang w:val="en-US" w:eastAsia="zh-CN"/>
              </w:rPr>
              <w:t>响应供应商为</w:t>
            </w:r>
            <w:r>
              <w:rPr>
                <w:rFonts w:hint="eastAsia" w:cs="Times New Roman" w:asciiTheme="minorEastAsia" w:hAnsiTheme="minorEastAsia"/>
                <w:b/>
                <w:bCs w:val="0"/>
                <w:color w:val="auto"/>
                <w:szCs w:val="21"/>
                <w:highlight w:val="none"/>
              </w:rPr>
              <w:t>本项目</w:t>
            </w:r>
            <w:r>
              <w:rPr>
                <w:rFonts w:hint="eastAsia" w:cs="Times New Roman" w:asciiTheme="minorEastAsia" w:hAnsiTheme="minorEastAsia"/>
                <w:b/>
                <w:bCs w:val="0"/>
                <w:color w:val="auto"/>
                <w:szCs w:val="21"/>
                <w:highlight w:val="none"/>
                <w:lang w:val="en-US" w:eastAsia="zh-CN"/>
              </w:rPr>
              <w:t>提供的总体服务方案</w:t>
            </w:r>
            <w:r>
              <w:rPr>
                <w:rFonts w:hint="eastAsia" w:cs="Times New Roman" w:asciiTheme="minorEastAsia" w:hAnsiTheme="minorEastAsia"/>
                <w:b/>
                <w:bCs w:val="0"/>
                <w:color w:val="auto"/>
                <w:szCs w:val="21"/>
                <w:highlight w:val="none"/>
              </w:rPr>
              <w:t>（包括</w:t>
            </w:r>
            <w:r>
              <w:rPr>
                <w:rFonts w:hint="eastAsia" w:cs="Times New Roman" w:asciiTheme="minorEastAsia" w:hAnsiTheme="minorEastAsia"/>
                <w:b/>
                <w:bCs w:val="0"/>
                <w:color w:val="auto"/>
                <w:szCs w:val="21"/>
                <w:highlight w:val="none"/>
                <w:lang w:val="en-US" w:eastAsia="zh-CN"/>
              </w:rPr>
              <w:t>总体履约计划</w:t>
            </w:r>
            <w:r>
              <w:rPr>
                <w:rFonts w:hint="eastAsia" w:cs="Times New Roman" w:asciiTheme="minorEastAsia" w:hAnsiTheme="minorEastAsia"/>
                <w:b/>
                <w:bCs w:val="0"/>
                <w:color w:val="auto"/>
                <w:szCs w:val="21"/>
                <w:highlight w:val="none"/>
              </w:rPr>
              <w:t>、</w:t>
            </w:r>
            <w:r>
              <w:rPr>
                <w:rFonts w:hint="eastAsia" w:cs="Times New Roman" w:asciiTheme="minorEastAsia" w:hAnsiTheme="minorEastAsia"/>
                <w:b/>
                <w:bCs w:val="0"/>
                <w:color w:val="auto"/>
                <w:szCs w:val="21"/>
                <w:highlight w:val="none"/>
                <w:lang w:val="en-US" w:eastAsia="zh-CN"/>
              </w:rPr>
              <w:t>服务团队架构</w:t>
            </w:r>
            <w:r>
              <w:rPr>
                <w:rFonts w:hint="eastAsia" w:cs="Times New Roman" w:asciiTheme="minorEastAsia" w:hAnsiTheme="minorEastAsia"/>
                <w:b/>
                <w:bCs w:val="0"/>
                <w:color w:val="auto"/>
                <w:szCs w:val="21"/>
                <w:highlight w:val="none"/>
                <w:lang w:eastAsia="zh-CN"/>
              </w:rPr>
              <w:t>、</w:t>
            </w:r>
            <w:r>
              <w:rPr>
                <w:rFonts w:hint="eastAsia" w:cs="Times New Roman" w:asciiTheme="minorEastAsia" w:hAnsiTheme="minorEastAsia"/>
                <w:b/>
                <w:bCs w:val="0"/>
                <w:color w:val="auto"/>
                <w:szCs w:val="21"/>
                <w:highlight w:val="none"/>
                <w:lang w:val="en-US" w:eastAsia="zh-CN"/>
              </w:rPr>
              <w:t>服务人员管理、考核奖惩制度等</w:t>
            </w:r>
            <w:r>
              <w:rPr>
                <w:rFonts w:hint="eastAsia" w:cs="Times New Roman" w:asciiTheme="minorEastAsia" w:hAnsiTheme="minorEastAsia"/>
                <w:b/>
                <w:bCs w:val="0"/>
                <w:color w:val="auto"/>
                <w:szCs w:val="21"/>
                <w:highlight w:val="none"/>
              </w:rPr>
              <w:t>）进行评审：</w:t>
            </w:r>
          </w:p>
          <w:p w14:paraId="3FEC87DE">
            <w:pPr>
              <w:spacing w:line="360" w:lineRule="auto"/>
              <w:rPr>
                <w:rFonts w:hint="default" w:cs="Times New Roman" w:asciiTheme="minorEastAsia" w:hAnsiTheme="minorEastAsia" w:eastAsiaTheme="minorEastAsia"/>
                <w:b w:val="0"/>
                <w:bCs/>
                <w:color w:val="auto"/>
                <w:szCs w:val="20"/>
                <w:highlight w:val="none"/>
                <w:lang w:val="en-US" w:eastAsia="zh-CN"/>
              </w:rPr>
            </w:pPr>
            <w:r>
              <w:rPr>
                <w:rFonts w:hint="eastAsia" w:cs="Times New Roman" w:asciiTheme="minorEastAsia" w:hAnsiTheme="minorEastAsia"/>
                <w:color w:val="auto"/>
                <w:szCs w:val="20"/>
                <w:highlight w:val="none"/>
                <w:lang w:val="en-US" w:eastAsia="zh-CN"/>
              </w:rPr>
              <w:t>评审要求：①总体履约计划科学且可行性强；②</w:t>
            </w:r>
            <w:r>
              <w:rPr>
                <w:rFonts w:hint="eastAsia" w:cs="Times New Roman" w:asciiTheme="minorEastAsia" w:hAnsiTheme="minorEastAsia"/>
                <w:b w:val="0"/>
                <w:bCs/>
                <w:color w:val="auto"/>
                <w:szCs w:val="21"/>
                <w:highlight w:val="none"/>
                <w:lang w:val="en-US" w:eastAsia="zh-CN"/>
              </w:rPr>
              <w:t>服务团队架构合理高效；③服务人员管理制度全面完善；④服务人员考核及奖惩制度清晰明确。</w:t>
            </w:r>
          </w:p>
          <w:p w14:paraId="427AE561">
            <w:pPr>
              <w:spacing w:line="360" w:lineRule="auto"/>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33681B5D">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64610EA4">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3DE63F30">
            <w:pPr>
              <w:spacing w:line="360" w:lineRule="auto"/>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1BD32B0C">
            <w:pPr>
              <w:spacing w:line="360" w:lineRule="auto"/>
              <w:rPr>
                <w:color w:val="auto"/>
                <w:highlight w:val="none"/>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2DB9D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078DDBDA">
            <w:pPr>
              <w:spacing w:before="31" w:beforeLines="10" w:line="360" w:lineRule="auto"/>
              <w:jc w:val="center"/>
              <w:rPr>
                <w:rFonts w:hint="eastAsia" w:cs="黑体" w:asciiTheme="minorEastAsia" w:hAnsiTheme="minorEastAsia" w:eastAsiaTheme="minorEastAsia"/>
                <w:color w:val="auto"/>
                <w:szCs w:val="21"/>
                <w:highlight w:val="none"/>
                <w:lang w:eastAsia="zh-CN"/>
              </w:rPr>
            </w:pPr>
            <w:r>
              <w:rPr>
                <w:rFonts w:hint="eastAsia" w:cs="黑体" w:asciiTheme="minorEastAsia" w:hAnsiTheme="minorEastAsia"/>
                <w:color w:val="auto"/>
                <w:szCs w:val="21"/>
                <w:highlight w:val="none"/>
                <w:lang w:val="en-US" w:eastAsia="zh-CN"/>
              </w:rPr>
              <w:t>2</w:t>
            </w:r>
          </w:p>
        </w:tc>
        <w:tc>
          <w:tcPr>
            <w:tcW w:w="690" w:type="pct"/>
            <w:gridSpan w:val="2"/>
            <w:vAlign w:val="center"/>
          </w:tcPr>
          <w:p w14:paraId="6837E008">
            <w:pPr>
              <w:widowControl/>
              <w:spacing w:line="360" w:lineRule="auto"/>
              <w:jc w:val="center"/>
              <w:rPr>
                <w:rFonts w:hint="default" w:cs="Times New Roman" w:asciiTheme="minorEastAsia" w:hAnsiTheme="minorEastAsia" w:eastAsiaTheme="minorEastAsia"/>
                <w:color w:val="auto"/>
                <w:kern w:val="0"/>
                <w:szCs w:val="21"/>
                <w:highlight w:val="none"/>
                <w:lang w:val="en-US" w:eastAsia="zh-CN"/>
              </w:rPr>
            </w:pPr>
            <w:r>
              <w:rPr>
                <w:rFonts w:hint="eastAsia" w:cs="Times New Roman" w:asciiTheme="minorEastAsia" w:hAnsiTheme="minorEastAsia"/>
                <w:color w:val="auto"/>
                <w:kern w:val="0"/>
                <w:szCs w:val="21"/>
                <w:highlight w:val="none"/>
                <w:lang w:val="en-US" w:eastAsia="zh-CN"/>
              </w:rPr>
              <w:t>食品安全质量保障方案</w:t>
            </w:r>
          </w:p>
        </w:tc>
        <w:tc>
          <w:tcPr>
            <w:tcW w:w="415" w:type="pct"/>
            <w:vAlign w:val="center"/>
          </w:tcPr>
          <w:p w14:paraId="429A88B2">
            <w:pPr>
              <w:spacing w:before="31" w:beforeLines="10" w:line="360" w:lineRule="auto"/>
              <w:jc w:val="center"/>
              <w:rPr>
                <w:rFonts w:cs="黑体" w:asciiTheme="minorEastAsia" w:hAnsiTheme="minorEastAsia"/>
                <w:bCs/>
                <w:color w:val="auto"/>
                <w:szCs w:val="21"/>
                <w:highlight w:val="none"/>
              </w:rPr>
            </w:pPr>
            <w:r>
              <w:rPr>
                <w:rFonts w:hint="eastAsia" w:cs="黑体" w:asciiTheme="minorEastAsia" w:hAnsiTheme="minorEastAsia"/>
                <w:bCs/>
                <w:color w:val="auto"/>
                <w:szCs w:val="21"/>
                <w:highlight w:val="none"/>
                <w:lang w:val="en-US" w:eastAsia="zh-CN"/>
              </w:rPr>
              <w:t>10</w:t>
            </w:r>
            <w:r>
              <w:rPr>
                <w:rFonts w:hint="eastAsia" w:cs="黑体" w:asciiTheme="minorEastAsia" w:hAnsiTheme="minorEastAsia"/>
                <w:bCs/>
                <w:color w:val="auto"/>
                <w:szCs w:val="21"/>
                <w:highlight w:val="none"/>
              </w:rPr>
              <w:t>分</w:t>
            </w:r>
          </w:p>
        </w:tc>
        <w:tc>
          <w:tcPr>
            <w:tcW w:w="3509" w:type="pct"/>
            <w:vAlign w:val="center"/>
          </w:tcPr>
          <w:p w14:paraId="7D815FD9">
            <w:pPr>
              <w:spacing w:line="360" w:lineRule="auto"/>
              <w:rPr>
                <w:rFonts w:hint="eastAsia" w:cs="Times New Roman" w:asciiTheme="minorEastAsia" w:hAnsiTheme="minorEastAsia"/>
                <w:b/>
                <w:bCs w:val="0"/>
                <w:color w:val="auto"/>
                <w:szCs w:val="21"/>
                <w:highlight w:val="none"/>
              </w:rPr>
            </w:pPr>
            <w:r>
              <w:rPr>
                <w:rFonts w:hint="eastAsia" w:cs="Times New Roman" w:asciiTheme="minorEastAsia" w:hAnsiTheme="minorEastAsia"/>
                <w:b/>
                <w:bCs w:val="0"/>
                <w:color w:val="auto"/>
                <w:szCs w:val="21"/>
                <w:highlight w:val="none"/>
              </w:rPr>
              <w:t>根据</w:t>
            </w:r>
            <w:r>
              <w:rPr>
                <w:rFonts w:hint="eastAsia" w:cs="Times New Roman" w:asciiTheme="minorEastAsia" w:hAnsiTheme="minorEastAsia"/>
                <w:b/>
                <w:bCs w:val="0"/>
                <w:color w:val="auto"/>
                <w:szCs w:val="21"/>
                <w:highlight w:val="none"/>
                <w:lang w:val="en-US" w:eastAsia="zh-CN"/>
              </w:rPr>
              <w:t>响应供应商为</w:t>
            </w:r>
            <w:r>
              <w:rPr>
                <w:rFonts w:hint="eastAsia" w:cs="Times New Roman" w:asciiTheme="minorEastAsia" w:hAnsiTheme="minorEastAsia"/>
                <w:b/>
                <w:bCs w:val="0"/>
                <w:color w:val="auto"/>
                <w:szCs w:val="21"/>
                <w:highlight w:val="none"/>
              </w:rPr>
              <w:t>本项目</w:t>
            </w:r>
            <w:r>
              <w:rPr>
                <w:rFonts w:hint="eastAsia" w:cs="Times New Roman" w:asciiTheme="minorEastAsia" w:hAnsiTheme="minorEastAsia"/>
                <w:b/>
                <w:bCs w:val="0"/>
                <w:color w:val="auto"/>
                <w:szCs w:val="21"/>
                <w:highlight w:val="none"/>
                <w:lang w:val="en-US" w:eastAsia="zh-CN"/>
              </w:rPr>
              <w:t>提供的食品安全质量保障方案</w:t>
            </w:r>
            <w:r>
              <w:rPr>
                <w:rFonts w:hint="eastAsia" w:cs="Times New Roman" w:asciiTheme="minorEastAsia" w:hAnsiTheme="minorEastAsia"/>
                <w:b/>
                <w:bCs w:val="0"/>
                <w:color w:val="auto"/>
                <w:szCs w:val="21"/>
                <w:highlight w:val="none"/>
              </w:rPr>
              <w:t>（包括</w:t>
            </w:r>
            <w:r>
              <w:rPr>
                <w:rFonts w:hint="eastAsia" w:cs="Times New Roman" w:asciiTheme="minorEastAsia" w:hAnsiTheme="minorEastAsia"/>
                <w:b/>
                <w:bCs w:val="0"/>
                <w:color w:val="auto"/>
                <w:szCs w:val="21"/>
                <w:highlight w:val="none"/>
                <w:lang w:val="en-US" w:eastAsia="zh-CN"/>
              </w:rPr>
              <w:t>食材溯源体系</w:t>
            </w:r>
            <w:r>
              <w:rPr>
                <w:rFonts w:hint="eastAsia" w:cs="Times New Roman" w:asciiTheme="minorEastAsia" w:hAnsiTheme="minorEastAsia"/>
                <w:b/>
                <w:bCs w:val="0"/>
                <w:color w:val="auto"/>
                <w:szCs w:val="21"/>
                <w:highlight w:val="none"/>
              </w:rPr>
              <w:t>、</w:t>
            </w:r>
            <w:r>
              <w:rPr>
                <w:rFonts w:hint="eastAsia" w:cs="Times New Roman" w:asciiTheme="minorEastAsia" w:hAnsiTheme="minorEastAsia"/>
                <w:b/>
                <w:bCs w:val="0"/>
                <w:color w:val="auto"/>
                <w:szCs w:val="21"/>
                <w:highlight w:val="none"/>
                <w:lang w:val="en-US" w:eastAsia="zh-CN"/>
              </w:rPr>
              <w:t>食材加工及存储的卫生和安全标准</w:t>
            </w:r>
            <w:r>
              <w:rPr>
                <w:rFonts w:hint="eastAsia" w:cs="Times New Roman" w:asciiTheme="minorEastAsia" w:hAnsiTheme="minorEastAsia"/>
                <w:b/>
                <w:bCs w:val="0"/>
                <w:color w:val="auto"/>
                <w:szCs w:val="21"/>
                <w:highlight w:val="none"/>
                <w:lang w:eastAsia="zh-CN"/>
              </w:rPr>
              <w:t>、</w:t>
            </w:r>
            <w:r>
              <w:rPr>
                <w:rFonts w:hint="eastAsia" w:cs="Times New Roman" w:asciiTheme="minorEastAsia" w:hAnsiTheme="minorEastAsia"/>
                <w:b/>
                <w:bCs w:val="0"/>
                <w:color w:val="auto"/>
                <w:szCs w:val="21"/>
                <w:highlight w:val="none"/>
                <w:lang w:val="en-US" w:eastAsia="zh-CN"/>
              </w:rPr>
              <w:t>食材配送各环节的服务标准、履约中的食品安全质量保障措施等</w:t>
            </w:r>
            <w:r>
              <w:rPr>
                <w:rFonts w:hint="eastAsia" w:cs="Times New Roman" w:asciiTheme="minorEastAsia" w:hAnsiTheme="minorEastAsia"/>
                <w:b/>
                <w:bCs w:val="0"/>
                <w:color w:val="auto"/>
                <w:szCs w:val="21"/>
                <w:highlight w:val="none"/>
              </w:rPr>
              <w:t>）进行评审：</w:t>
            </w:r>
          </w:p>
          <w:p w14:paraId="28CE8B19">
            <w:pPr>
              <w:spacing w:line="360" w:lineRule="auto"/>
              <w:rPr>
                <w:rFonts w:hint="default" w:cs="Times New Roman" w:asciiTheme="minorEastAsia" w:hAnsiTheme="minorEastAsia" w:eastAsiaTheme="minorEastAsia"/>
                <w:b w:val="0"/>
                <w:bCs/>
                <w:color w:val="auto"/>
                <w:szCs w:val="20"/>
                <w:highlight w:val="none"/>
                <w:lang w:val="en-US" w:eastAsia="zh-CN"/>
              </w:rPr>
            </w:pPr>
            <w:r>
              <w:rPr>
                <w:rFonts w:hint="eastAsia" w:cs="Times New Roman" w:asciiTheme="minorEastAsia" w:hAnsiTheme="minorEastAsia"/>
                <w:color w:val="auto"/>
                <w:szCs w:val="20"/>
                <w:highlight w:val="none"/>
                <w:lang w:val="en-US" w:eastAsia="zh-CN"/>
              </w:rPr>
              <w:t>评审要求：①</w:t>
            </w:r>
            <w:r>
              <w:rPr>
                <w:rFonts w:hint="eastAsia" w:cs="Times New Roman" w:asciiTheme="minorEastAsia" w:hAnsiTheme="minorEastAsia"/>
                <w:b w:val="0"/>
                <w:bCs/>
                <w:color w:val="auto"/>
                <w:szCs w:val="21"/>
                <w:highlight w:val="none"/>
                <w:lang w:val="en-US" w:eastAsia="zh-CN"/>
              </w:rPr>
              <w:t>食材溯源体系成熟</w:t>
            </w:r>
            <w:r>
              <w:rPr>
                <w:rFonts w:hint="eastAsia" w:cs="Times New Roman" w:asciiTheme="minorEastAsia" w:hAnsiTheme="minorEastAsia"/>
                <w:color w:val="auto"/>
                <w:szCs w:val="20"/>
                <w:highlight w:val="none"/>
                <w:lang w:val="en-US" w:eastAsia="zh-CN"/>
              </w:rPr>
              <w:t>完备</w:t>
            </w:r>
            <w:r>
              <w:rPr>
                <w:rFonts w:hint="eastAsia" w:cs="Times New Roman" w:asciiTheme="minorEastAsia" w:hAnsiTheme="minorEastAsia"/>
                <w:b w:val="0"/>
                <w:bCs/>
                <w:color w:val="auto"/>
                <w:szCs w:val="21"/>
                <w:highlight w:val="none"/>
                <w:lang w:val="en-US" w:eastAsia="zh-CN"/>
              </w:rPr>
              <w:t>；②食材加工及存储的卫生和安全标准符合国家、地方及行业相关标准；③食材配送各环节的服务标准全面且明确；④履约全流程均设计了切实可行的食品安全质量保障措施。</w:t>
            </w:r>
          </w:p>
          <w:p w14:paraId="3A272382">
            <w:pPr>
              <w:spacing w:line="360" w:lineRule="auto"/>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4934CCE4">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35CD73CB">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32F83B6E">
            <w:pPr>
              <w:spacing w:line="360" w:lineRule="auto"/>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0041C196">
            <w:pPr>
              <w:spacing w:before="31" w:beforeLines="10" w:line="360" w:lineRule="auto"/>
              <w:jc w:val="left"/>
              <w:rPr>
                <w:rFonts w:cs="黑体" w:asciiTheme="minorEastAsia" w:hAnsiTheme="minorEastAsia"/>
                <w:bCs/>
                <w:color w:val="auto"/>
                <w:szCs w:val="21"/>
                <w:highlight w:val="none"/>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1A872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6" w:type="dxa"/>
            <w:vAlign w:val="center"/>
          </w:tcPr>
          <w:p w14:paraId="4C80FE64">
            <w:pPr>
              <w:spacing w:before="31" w:beforeLines="10" w:line="360" w:lineRule="auto"/>
              <w:jc w:val="center"/>
              <w:rPr>
                <w:rFonts w:hint="default" w:cs="黑体" w:asciiTheme="minorEastAsia" w:hAnsiTheme="minorEastAsia" w:eastAsia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3</w:t>
            </w:r>
          </w:p>
        </w:tc>
        <w:tc>
          <w:tcPr>
            <w:tcW w:w="1210" w:type="dxa"/>
            <w:gridSpan w:val="2"/>
            <w:vAlign w:val="center"/>
          </w:tcPr>
          <w:p w14:paraId="0BAC2324">
            <w:pPr>
              <w:spacing w:before="31" w:beforeLines="10" w:line="360" w:lineRule="auto"/>
              <w:jc w:val="center"/>
              <w:rPr>
                <w:rFonts w:hint="default" w:cs="黑体" w:asciiTheme="minorEastAsia" w:hAnsiTheme="minorEastAsia" w:eastAsia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配送服务方案</w:t>
            </w:r>
          </w:p>
        </w:tc>
        <w:tc>
          <w:tcPr>
            <w:tcW w:w="728" w:type="dxa"/>
            <w:vAlign w:val="center"/>
          </w:tcPr>
          <w:p w14:paraId="65CCC343">
            <w:pPr>
              <w:spacing w:before="31" w:beforeLines="10" w:line="360" w:lineRule="auto"/>
              <w:jc w:val="center"/>
              <w:rPr>
                <w:rFonts w:cs="黑体" w:asciiTheme="minorEastAsia" w:hAnsiTheme="minorEastAsia"/>
                <w:bCs/>
                <w:color w:val="auto"/>
                <w:szCs w:val="21"/>
                <w:highlight w:val="none"/>
              </w:rPr>
            </w:pPr>
            <w:r>
              <w:rPr>
                <w:rFonts w:cs="黑体" w:asciiTheme="minorEastAsia" w:hAnsiTheme="minorEastAsia"/>
                <w:bCs/>
                <w:color w:val="auto"/>
                <w:szCs w:val="21"/>
                <w:highlight w:val="none"/>
              </w:rPr>
              <w:t>10</w:t>
            </w:r>
            <w:r>
              <w:rPr>
                <w:rFonts w:hint="eastAsia" w:cs="黑体" w:asciiTheme="minorEastAsia" w:hAnsiTheme="minorEastAsia"/>
                <w:bCs/>
                <w:color w:val="auto"/>
                <w:szCs w:val="21"/>
                <w:highlight w:val="none"/>
              </w:rPr>
              <w:t>分</w:t>
            </w:r>
          </w:p>
        </w:tc>
        <w:tc>
          <w:tcPr>
            <w:tcW w:w="6153" w:type="dxa"/>
            <w:vAlign w:val="center"/>
          </w:tcPr>
          <w:p w14:paraId="6532BDA2">
            <w:pPr>
              <w:spacing w:before="31" w:beforeLines="10" w:line="360" w:lineRule="auto"/>
              <w:jc w:val="left"/>
              <w:rPr>
                <w:rFonts w:hint="eastAsia" w:cs="黑体" w:asciiTheme="minorEastAsia" w:hAnsiTheme="minorEastAsia"/>
                <w:b/>
                <w:bCs w:val="0"/>
                <w:color w:val="auto"/>
                <w:szCs w:val="21"/>
                <w:highlight w:val="none"/>
              </w:rPr>
            </w:pPr>
            <w:r>
              <w:rPr>
                <w:rFonts w:hint="eastAsia" w:cs="Times New Roman" w:asciiTheme="minorEastAsia" w:hAnsiTheme="minorEastAsia"/>
                <w:b/>
                <w:bCs w:val="0"/>
                <w:color w:val="auto"/>
                <w:szCs w:val="21"/>
                <w:highlight w:val="none"/>
              </w:rPr>
              <w:t>根据</w:t>
            </w:r>
            <w:r>
              <w:rPr>
                <w:rFonts w:hint="eastAsia" w:cs="Times New Roman" w:asciiTheme="minorEastAsia" w:hAnsiTheme="minorEastAsia"/>
                <w:b/>
                <w:bCs w:val="0"/>
                <w:color w:val="auto"/>
                <w:szCs w:val="21"/>
                <w:highlight w:val="none"/>
                <w:lang w:val="en-US" w:eastAsia="zh-CN"/>
              </w:rPr>
              <w:t>响应供应商为</w:t>
            </w:r>
            <w:r>
              <w:rPr>
                <w:rFonts w:hint="eastAsia" w:cs="Times New Roman" w:asciiTheme="minorEastAsia" w:hAnsiTheme="minorEastAsia"/>
                <w:b/>
                <w:bCs w:val="0"/>
                <w:color w:val="auto"/>
                <w:szCs w:val="21"/>
                <w:highlight w:val="none"/>
              </w:rPr>
              <w:t>本项目</w:t>
            </w:r>
            <w:r>
              <w:rPr>
                <w:rFonts w:hint="eastAsia" w:cs="Times New Roman" w:asciiTheme="minorEastAsia" w:hAnsiTheme="minorEastAsia"/>
                <w:b/>
                <w:bCs w:val="0"/>
                <w:color w:val="auto"/>
                <w:szCs w:val="21"/>
                <w:highlight w:val="none"/>
                <w:lang w:val="en-US" w:eastAsia="zh-CN"/>
              </w:rPr>
              <w:t>提供的</w:t>
            </w:r>
            <w:r>
              <w:rPr>
                <w:rFonts w:hint="eastAsia" w:cs="黑体" w:asciiTheme="minorEastAsia" w:hAnsiTheme="minorEastAsia"/>
                <w:b/>
                <w:bCs w:val="0"/>
                <w:color w:val="auto"/>
                <w:szCs w:val="21"/>
                <w:highlight w:val="none"/>
                <w:lang w:val="en-US" w:eastAsia="zh-CN"/>
              </w:rPr>
              <w:t>配送服务方案</w:t>
            </w:r>
            <w:r>
              <w:rPr>
                <w:rFonts w:hint="eastAsia" w:cs="黑体" w:asciiTheme="minorEastAsia" w:hAnsiTheme="minorEastAsia"/>
                <w:b/>
                <w:bCs w:val="0"/>
                <w:color w:val="auto"/>
                <w:szCs w:val="21"/>
                <w:highlight w:val="none"/>
              </w:rPr>
              <w:t>（包括</w:t>
            </w:r>
            <w:r>
              <w:rPr>
                <w:rFonts w:hint="eastAsia" w:cs="黑体" w:asciiTheme="minorEastAsia" w:hAnsiTheme="minorEastAsia"/>
                <w:b/>
                <w:bCs w:val="0"/>
                <w:color w:val="auto"/>
                <w:szCs w:val="21"/>
                <w:highlight w:val="none"/>
                <w:lang w:val="en-US" w:eastAsia="zh-CN"/>
              </w:rPr>
              <w:t>配送时效、配送车辆管理、配送人员岗位职责、食材装卸规定等</w:t>
            </w:r>
            <w:r>
              <w:rPr>
                <w:rFonts w:hint="eastAsia" w:cs="黑体" w:asciiTheme="minorEastAsia" w:hAnsiTheme="minorEastAsia"/>
                <w:b/>
                <w:bCs w:val="0"/>
                <w:color w:val="auto"/>
                <w:szCs w:val="21"/>
                <w:highlight w:val="none"/>
              </w:rPr>
              <w:t>）进行评审：</w:t>
            </w:r>
          </w:p>
          <w:p w14:paraId="4D9BABD7">
            <w:pPr>
              <w:spacing w:before="31" w:beforeLines="10" w:line="360" w:lineRule="auto"/>
              <w:jc w:val="left"/>
              <w:rPr>
                <w:rFonts w:hint="eastAsia" w:cs="黑体" w:asciiTheme="minorEastAsia" w:hAnsiTheme="minorEastAsia" w:eastAsiaTheme="minorEastAsia"/>
                <w:bCs/>
                <w:color w:val="auto"/>
                <w:szCs w:val="21"/>
                <w:highlight w:val="none"/>
                <w:lang w:eastAsia="zh-CN"/>
              </w:rPr>
            </w:pPr>
            <w:r>
              <w:rPr>
                <w:rFonts w:hint="eastAsia" w:cs="Times New Roman" w:asciiTheme="minorEastAsia" w:hAnsiTheme="minorEastAsia"/>
                <w:color w:val="auto"/>
                <w:szCs w:val="20"/>
                <w:highlight w:val="none"/>
                <w:lang w:val="en-US" w:eastAsia="zh-CN"/>
              </w:rPr>
              <w:t>评审要求：</w:t>
            </w:r>
            <w:r>
              <w:rPr>
                <w:rFonts w:hint="eastAsia" w:cs="黑体" w:asciiTheme="minorEastAsia" w:hAnsiTheme="minorEastAsia"/>
                <w:bCs/>
                <w:color w:val="auto"/>
                <w:szCs w:val="21"/>
                <w:highlight w:val="none"/>
                <w:lang w:val="en-US" w:eastAsia="zh-CN"/>
              </w:rPr>
              <w:t>①</w:t>
            </w:r>
            <w:r>
              <w:rPr>
                <w:rFonts w:hint="eastAsia" w:cs="黑体" w:asciiTheme="minorEastAsia" w:hAnsiTheme="minorEastAsia"/>
                <w:bCs/>
                <w:color w:val="auto"/>
                <w:szCs w:val="21"/>
                <w:highlight w:val="none"/>
              </w:rPr>
              <w:t>配送</w:t>
            </w:r>
            <w:r>
              <w:rPr>
                <w:rFonts w:hint="eastAsia" w:cs="黑体" w:asciiTheme="minorEastAsia" w:hAnsiTheme="minorEastAsia"/>
                <w:bCs/>
                <w:color w:val="auto"/>
                <w:szCs w:val="21"/>
                <w:highlight w:val="none"/>
                <w:lang w:val="en-US" w:eastAsia="zh-CN"/>
              </w:rPr>
              <w:t>服务</w:t>
            </w:r>
            <w:r>
              <w:rPr>
                <w:rFonts w:hint="eastAsia" w:cs="黑体" w:asciiTheme="minorEastAsia" w:hAnsiTheme="minorEastAsia"/>
                <w:bCs/>
                <w:color w:val="auto"/>
                <w:szCs w:val="21"/>
                <w:highlight w:val="none"/>
              </w:rPr>
              <w:t>时效</w:t>
            </w:r>
            <w:r>
              <w:rPr>
                <w:rFonts w:hint="eastAsia" w:cs="黑体" w:asciiTheme="minorEastAsia" w:hAnsiTheme="minorEastAsia"/>
                <w:bCs/>
                <w:color w:val="auto"/>
                <w:szCs w:val="21"/>
                <w:highlight w:val="none"/>
                <w:lang w:val="en-US" w:eastAsia="zh-CN"/>
              </w:rPr>
              <w:t>性强；②</w:t>
            </w:r>
            <w:r>
              <w:rPr>
                <w:rFonts w:hint="eastAsia" w:cs="黑体" w:asciiTheme="minorEastAsia" w:hAnsiTheme="minorEastAsia"/>
                <w:bCs/>
                <w:color w:val="auto"/>
                <w:szCs w:val="21"/>
                <w:highlight w:val="none"/>
              </w:rPr>
              <w:t>配送车辆管理</w:t>
            </w:r>
            <w:r>
              <w:rPr>
                <w:rFonts w:hint="eastAsia" w:cs="黑体" w:asciiTheme="minorEastAsia" w:hAnsiTheme="minorEastAsia"/>
                <w:bCs/>
                <w:color w:val="auto"/>
                <w:szCs w:val="21"/>
                <w:highlight w:val="none"/>
                <w:lang w:val="en-US" w:eastAsia="zh-CN"/>
              </w:rPr>
              <w:t>全面，能保正车辆的干净整洁；③</w:t>
            </w:r>
            <w:r>
              <w:rPr>
                <w:rFonts w:hint="eastAsia" w:cs="黑体" w:asciiTheme="minorEastAsia" w:hAnsiTheme="minorEastAsia"/>
                <w:bCs/>
                <w:color w:val="auto"/>
                <w:szCs w:val="21"/>
                <w:highlight w:val="none"/>
              </w:rPr>
              <w:t>配送人员岗位职责</w:t>
            </w:r>
            <w:r>
              <w:rPr>
                <w:rFonts w:hint="eastAsia" w:cs="黑体" w:asciiTheme="minorEastAsia" w:hAnsiTheme="minorEastAsia"/>
                <w:bCs/>
                <w:color w:val="auto"/>
                <w:szCs w:val="21"/>
                <w:highlight w:val="none"/>
                <w:lang w:val="en-US" w:eastAsia="zh-CN"/>
              </w:rPr>
              <w:t>明确合理；④食材装卸工作卫生、高效</w:t>
            </w:r>
            <w:r>
              <w:rPr>
                <w:rFonts w:hint="eastAsia" w:cs="黑体" w:asciiTheme="minorEastAsia" w:hAnsiTheme="minorEastAsia"/>
                <w:bCs/>
                <w:color w:val="auto"/>
                <w:szCs w:val="21"/>
                <w:highlight w:val="none"/>
                <w:lang w:eastAsia="zh-CN"/>
              </w:rPr>
              <w:t>。</w:t>
            </w:r>
          </w:p>
          <w:p w14:paraId="2F841781">
            <w:pPr>
              <w:spacing w:line="360" w:lineRule="auto"/>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624A1DE0">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1361FAED">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63225549">
            <w:pPr>
              <w:spacing w:line="360" w:lineRule="auto"/>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625A3621">
            <w:pPr>
              <w:spacing w:before="31" w:beforeLines="10" w:line="360" w:lineRule="auto"/>
              <w:jc w:val="left"/>
              <w:rPr>
                <w:rFonts w:cs="黑体" w:asciiTheme="minorEastAsia" w:hAnsiTheme="minorEastAsia"/>
                <w:bCs/>
                <w:color w:val="auto"/>
                <w:szCs w:val="21"/>
                <w:highlight w:val="none"/>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25827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6" w:type="dxa"/>
            <w:vAlign w:val="center"/>
          </w:tcPr>
          <w:p w14:paraId="44197D12">
            <w:pPr>
              <w:spacing w:before="31" w:beforeLines="10" w:line="360" w:lineRule="auto"/>
              <w:jc w:val="center"/>
              <w:rPr>
                <w:rFonts w:hint="default" w:cs="黑体" w:asciiTheme="minorEastAsia" w:hAnsi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4</w:t>
            </w:r>
          </w:p>
        </w:tc>
        <w:tc>
          <w:tcPr>
            <w:tcW w:w="1210" w:type="dxa"/>
            <w:gridSpan w:val="2"/>
            <w:vAlign w:val="center"/>
          </w:tcPr>
          <w:p w14:paraId="76167DC5">
            <w:pPr>
              <w:spacing w:before="31" w:beforeLines="10" w:line="360" w:lineRule="auto"/>
              <w:jc w:val="center"/>
              <w:rPr>
                <w:rFonts w:hint="default" w:cs="Times New Roman" w:asciiTheme="minorEastAsia" w:hAnsiTheme="minorEastAsia"/>
                <w:color w:val="auto"/>
                <w:szCs w:val="21"/>
                <w:highlight w:val="none"/>
                <w:lang w:val="en-US" w:eastAsia="zh-CN"/>
              </w:rPr>
            </w:pPr>
            <w:r>
              <w:rPr>
                <w:rFonts w:hint="eastAsia" w:cs="Times New Roman" w:asciiTheme="minorEastAsia" w:hAnsiTheme="minorEastAsia"/>
                <w:color w:val="auto"/>
                <w:szCs w:val="21"/>
                <w:highlight w:val="none"/>
                <w:lang w:val="en-US" w:eastAsia="zh-CN"/>
              </w:rPr>
              <w:t>履约验收方案</w:t>
            </w:r>
          </w:p>
        </w:tc>
        <w:tc>
          <w:tcPr>
            <w:tcW w:w="728" w:type="dxa"/>
            <w:vAlign w:val="center"/>
          </w:tcPr>
          <w:p w14:paraId="183A09B4">
            <w:pPr>
              <w:spacing w:before="31" w:beforeLines="10" w:line="360" w:lineRule="auto"/>
              <w:jc w:val="center"/>
              <w:rPr>
                <w:rFonts w:hint="eastAsia" w:cs="黑体" w:asciiTheme="minorEastAsia" w:hAnsiTheme="minorEastAsia"/>
                <w:bCs/>
                <w:color w:val="auto"/>
                <w:szCs w:val="21"/>
                <w:highlight w:val="none"/>
                <w:lang w:val="en-US" w:eastAsia="zh-CN"/>
              </w:rPr>
            </w:pPr>
            <w:r>
              <w:rPr>
                <w:rFonts w:cs="黑体" w:asciiTheme="minorEastAsia" w:hAnsiTheme="minorEastAsia"/>
                <w:bCs/>
                <w:color w:val="auto"/>
                <w:szCs w:val="21"/>
                <w:highlight w:val="none"/>
              </w:rPr>
              <w:t>10</w:t>
            </w:r>
            <w:r>
              <w:rPr>
                <w:rFonts w:hint="eastAsia" w:cs="黑体" w:asciiTheme="minorEastAsia" w:hAnsiTheme="minorEastAsia"/>
                <w:bCs/>
                <w:color w:val="auto"/>
                <w:szCs w:val="21"/>
                <w:highlight w:val="none"/>
              </w:rPr>
              <w:t>分</w:t>
            </w:r>
          </w:p>
        </w:tc>
        <w:tc>
          <w:tcPr>
            <w:tcW w:w="6153" w:type="dxa"/>
            <w:vAlign w:val="center"/>
          </w:tcPr>
          <w:p w14:paraId="074B2070">
            <w:pPr>
              <w:spacing w:before="31" w:beforeLines="10" w:line="360" w:lineRule="auto"/>
              <w:jc w:val="left"/>
              <w:rPr>
                <w:rFonts w:hint="eastAsia" w:cs="黑体" w:asciiTheme="minorEastAsia" w:hAnsiTheme="minorEastAsia"/>
                <w:b/>
                <w:bCs w:val="0"/>
                <w:color w:val="auto"/>
                <w:szCs w:val="21"/>
                <w:highlight w:val="none"/>
              </w:rPr>
            </w:pPr>
            <w:r>
              <w:rPr>
                <w:rFonts w:hint="eastAsia" w:cs="Times New Roman" w:asciiTheme="minorEastAsia" w:hAnsiTheme="minorEastAsia"/>
                <w:b/>
                <w:bCs w:val="0"/>
                <w:color w:val="auto"/>
                <w:szCs w:val="21"/>
                <w:highlight w:val="none"/>
              </w:rPr>
              <w:t>根据</w:t>
            </w:r>
            <w:r>
              <w:rPr>
                <w:rFonts w:hint="eastAsia" w:cs="Times New Roman" w:asciiTheme="minorEastAsia" w:hAnsiTheme="minorEastAsia"/>
                <w:b/>
                <w:bCs w:val="0"/>
                <w:color w:val="auto"/>
                <w:szCs w:val="21"/>
                <w:highlight w:val="none"/>
                <w:lang w:val="en-US" w:eastAsia="zh-CN"/>
              </w:rPr>
              <w:t>响应供应商为</w:t>
            </w:r>
            <w:r>
              <w:rPr>
                <w:rFonts w:hint="eastAsia" w:cs="Times New Roman" w:asciiTheme="minorEastAsia" w:hAnsiTheme="minorEastAsia"/>
                <w:b/>
                <w:bCs w:val="0"/>
                <w:color w:val="auto"/>
                <w:szCs w:val="21"/>
                <w:highlight w:val="none"/>
              </w:rPr>
              <w:t>本项目</w:t>
            </w:r>
            <w:r>
              <w:rPr>
                <w:rFonts w:hint="eastAsia" w:cs="Times New Roman" w:asciiTheme="minorEastAsia" w:hAnsiTheme="minorEastAsia"/>
                <w:b/>
                <w:bCs w:val="0"/>
                <w:color w:val="auto"/>
                <w:szCs w:val="21"/>
                <w:highlight w:val="none"/>
                <w:lang w:val="en-US" w:eastAsia="zh-CN"/>
              </w:rPr>
              <w:t>提供的</w:t>
            </w:r>
            <w:r>
              <w:rPr>
                <w:rFonts w:hint="eastAsia" w:cs="黑体" w:asciiTheme="minorEastAsia" w:hAnsiTheme="minorEastAsia"/>
                <w:b/>
                <w:bCs w:val="0"/>
                <w:color w:val="auto"/>
                <w:szCs w:val="21"/>
                <w:highlight w:val="none"/>
                <w:lang w:val="en-US" w:eastAsia="zh-CN"/>
              </w:rPr>
              <w:t>履约验收方案</w:t>
            </w:r>
            <w:r>
              <w:rPr>
                <w:rFonts w:hint="eastAsia" w:cs="黑体" w:asciiTheme="minorEastAsia" w:hAnsiTheme="minorEastAsia"/>
                <w:b/>
                <w:bCs w:val="0"/>
                <w:color w:val="auto"/>
                <w:szCs w:val="21"/>
                <w:highlight w:val="none"/>
              </w:rPr>
              <w:t>（包括</w:t>
            </w:r>
            <w:r>
              <w:rPr>
                <w:rFonts w:hint="eastAsia" w:cs="黑体" w:asciiTheme="minorEastAsia" w:hAnsiTheme="minorEastAsia"/>
                <w:b/>
                <w:bCs w:val="0"/>
                <w:color w:val="auto"/>
                <w:szCs w:val="21"/>
                <w:highlight w:val="none"/>
                <w:lang w:val="en-US" w:eastAsia="zh-CN"/>
              </w:rPr>
              <w:t>验收小组成员、验收内容、验收流程、验收标准等</w:t>
            </w:r>
            <w:r>
              <w:rPr>
                <w:rFonts w:hint="eastAsia" w:cs="黑体" w:asciiTheme="minorEastAsia" w:hAnsiTheme="minorEastAsia"/>
                <w:b/>
                <w:bCs w:val="0"/>
                <w:color w:val="auto"/>
                <w:szCs w:val="21"/>
                <w:highlight w:val="none"/>
              </w:rPr>
              <w:t>）进行评审：</w:t>
            </w:r>
          </w:p>
          <w:p w14:paraId="5E2A165E">
            <w:pPr>
              <w:spacing w:before="31" w:beforeLines="10" w:line="360" w:lineRule="auto"/>
              <w:jc w:val="left"/>
              <w:rPr>
                <w:rFonts w:hint="eastAsia" w:cs="黑体" w:asciiTheme="minorEastAsia" w:hAnsiTheme="minorEastAsia" w:eastAsiaTheme="minorEastAsia"/>
                <w:bCs/>
                <w:color w:val="auto"/>
                <w:szCs w:val="21"/>
                <w:highlight w:val="none"/>
                <w:lang w:eastAsia="zh-CN"/>
              </w:rPr>
            </w:pPr>
            <w:r>
              <w:rPr>
                <w:rFonts w:hint="eastAsia" w:cs="Times New Roman" w:asciiTheme="minorEastAsia" w:hAnsiTheme="minorEastAsia"/>
                <w:color w:val="auto"/>
                <w:szCs w:val="20"/>
                <w:highlight w:val="none"/>
                <w:lang w:val="en-US" w:eastAsia="zh-CN"/>
              </w:rPr>
              <w:t>评审要求：</w:t>
            </w:r>
            <w:r>
              <w:rPr>
                <w:rFonts w:hint="eastAsia" w:cs="黑体" w:asciiTheme="minorEastAsia" w:hAnsiTheme="minorEastAsia"/>
                <w:bCs/>
                <w:color w:val="auto"/>
                <w:szCs w:val="21"/>
                <w:highlight w:val="none"/>
                <w:lang w:val="en-US" w:eastAsia="zh-CN"/>
              </w:rPr>
              <w:t>①验收小组成员经验丰富，构成合理；②验收内容全面，包含本项目采购需求的各项要求；③验收流程流畅科学；④验收标准符合</w:t>
            </w:r>
            <w:r>
              <w:rPr>
                <w:rFonts w:hint="eastAsia" w:cs="Times New Roman" w:asciiTheme="minorEastAsia" w:hAnsiTheme="minorEastAsia"/>
                <w:b w:val="0"/>
                <w:bCs/>
                <w:color w:val="auto"/>
                <w:szCs w:val="21"/>
                <w:highlight w:val="none"/>
                <w:lang w:val="en-US" w:eastAsia="zh-CN"/>
              </w:rPr>
              <w:t>国家、地方及行业相关标准</w:t>
            </w:r>
            <w:r>
              <w:rPr>
                <w:rFonts w:hint="eastAsia" w:cs="黑体" w:asciiTheme="minorEastAsia" w:hAnsiTheme="minorEastAsia"/>
                <w:bCs/>
                <w:color w:val="auto"/>
                <w:szCs w:val="21"/>
                <w:highlight w:val="none"/>
                <w:lang w:eastAsia="zh-CN"/>
              </w:rPr>
              <w:t>。</w:t>
            </w:r>
          </w:p>
          <w:p w14:paraId="640FF81B">
            <w:pPr>
              <w:spacing w:line="360" w:lineRule="auto"/>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79057154">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47353814">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4A77C3A5">
            <w:pPr>
              <w:spacing w:line="360" w:lineRule="auto"/>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7D4F34F3">
            <w:pPr>
              <w:spacing w:before="31" w:beforeLines="10" w:line="360" w:lineRule="auto"/>
              <w:jc w:val="left"/>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74D7AC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76" w:type="dxa"/>
            <w:vAlign w:val="center"/>
          </w:tcPr>
          <w:p w14:paraId="682E74E9">
            <w:pPr>
              <w:spacing w:before="31" w:beforeLines="10" w:line="360" w:lineRule="auto"/>
              <w:jc w:val="center"/>
              <w:rPr>
                <w:rFonts w:hint="eastAsia" w:cs="黑体" w:asciiTheme="minorEastAsia" w:hAnsi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5</w:t>
            </w:r>
          </w:p>
        </w:tc>
        <w:tc>
          <w:tcPr>
            <w:tcW w:w="1210" w:type="dxa"/>
            <w:gridSpan w:val="2"/>
            <w:vAlign w:val="center"/>
          </w:tcPr>
          <w:p w14:paraId="55DB1372">
            <w:pPr>
              <w:spacing w:before="31" w:beforeLines="10" w:line="360" w:lineRule="auto"/>
              <w:jc w:val="center"/>
              <w:rPr>
                <w:rFonts w:hint="eastAsia" w:cs="Times New Roman" w:asciiTheme="minorEastAsia" w:hAnsiTheme="minorEastAsia"/>
                <w:color w:val="auto"/>
                <w:szCs w:val="21"/>
                <w:highlight w:val="none"/>
                <w:lang w:val="en-US" w:eastAsia="zh-CN"/>
              </w:rPr>
            </w:pPr>
            <w:r>
              <w:rPr>
                <w:rFonts w:hint="eastAsia" w:cs="Times New Roman" w:asciiTheme="minorEastAsia" w:hAnsiTheme="minorEastAsia"/>
                <w:color w:val="auto"/>
                <w:szCs w:val="21"/>
                <w:highlight w:val="none"/>
                <w:lang w:val="en-US" w:eastAsia="zh-CN"/>
              </w:rPr>
              <w:t>售后服务方案</w:t>
            </w:r>
          </w:p>
        </w:tc>
        <w:tc>
          <w:tcPr>
            <w:tcW w:w="728" w:type="dxa"/>
            <w:vAlign w:val="center"/>
          </w:tcPr>
          <w:p w14:paraId="034F9CF4">
            <w:pPr>
              <w:spacing w:before="31" w:beforeLines="10" w:line="360" w:lineRule="auto"/>
              <w:jc w:val="center"/>
              <w:rPr>
                <w:rFonts w:hint="default" w:cs="黑体" w:asciiTheme="minorEastAsia" w:hAnsiTheme="minorEastAsia"/>
                <w:bCs/>
                <w:color w:val="auto"/>
                <w:szCs w:val="21"/>
                <w:highlight w:val="none"/>
                <w:lang w:val="en-US" w:eastAsia="zh-CN"/>
              </w:rPr>
            </w:pPr>
            <w:r>
              <w:rPr>
                <w:rFonts w:hint="eastAsia" w:cs="黑体" w:asciiTheme="minorEastAsia" w:hAnsiTheme="minorEastAsia"/>
                <w:bCs/>
                <w:color w:val="auto"/>
                <w:szCs w:val="21"/>
                <w:highlight w:val="none"/>
                <w:lang w:val="en-US" w:eastAsia="zh-CN"/>
              </w:rPr>
              <w:t>10分</w:t>
            </w:r>
          </w:p>
        </w:tc>
        <w:tc>
          <w:tcPr>
            <w:tcW w:w="6153" w:type="dxa"/>
            <w:vAlign w:val="center"/>
          </w:tcPr>
          <w:p w14:paraId="22279FC6">
            <w:pPr>
              <w:spacing w:before="31" w:beforeLines="10" w:line="360" w:lineRule="auto"/>
              <w:jc w:val="left"/>
              <w:rPr>
                <w:rFonts w:hint="eastAsia" w:cs="黑体" w:asciiTheme="minorEastAsia" w:hAnsiTheme="minorEastAsia"/>
                <w:b/>
                <w:bCs w:val="0"/>
                <w:color w:val="auto"/>
                <w:szCs w:val="21"/>
                <w:highlight w:val="none"/>
              </w:rPr>
            </w:pPr>
            <w:r>
              <w:rPr>
                <w:rFonts w:hint="eastAsia" w:cs="Times New Roman" w:asciiTheme="minorEastAsia" w:hAnsiTheme="minorEastAsia"/>
                <w:b/>
                <w:bCs w:val="0"/>
                <w:color w:val="auto"/>
                <w:szCs w:val="21"/>
                <w:highlight w:val="none"/>
              </w:rPr>
              <w:t>根据</w:t>
            </w:r>
            <w:r>
              <w:rPr>
                <w:rFonts w:hint="eastAsia" w:cs="Times New Roman" w:asciiTheme="minorEastAsia" w:hAnsiTheme="minorEastAsia"/>
                <w:b/>
                <w:bCs w:val="0"/>
                <w:color w:val="auto"/>
                <w:szCs w:val="21"/>
                <w:highlight w:val="none"/>
                <w:lang w:val="en-US" w:eastAsia="zh-CN"/>
              </w:rPr>
              <w:t>响应供应商为</w:t>
            </w:r>
            <w:r>
              <w:rPr>
                <w:rFonts w:hint="eastAsia" w:cs="Times New Roman" w:asciiTheme="minorEastAsia" w:hAnsiTheme="minorEastAsia"/>
                <w:b/>
                <w:bCs w:val="0"/>
                <w:color w:val="auto"/>
                <w:szCs w:val="21"/>
                <w:highlight w:val="none"/>
              </w:rPr>
              <w:t>本项目</w:t>
            </w:r>
            <w:r>
              <w:rPr>
                <w:rFonts w:hint="eastAsia" w:cs="Times New Roman" w:asciiTheme="minorEastAsia" w:hAnsiTheme="minorEastAsia"/>
                <w:b/>
                <w:bCs w:val="0"/>
                <w:color w:val="auto"/>
                <w:szCs w:val="21"/>
                <w:highlight w:val="none"/>
                <w:lang w:val="en-US" w:eastAsia="zh-CN"/>
              </w:rPr>
              <w:t>提供的</w:t>
            </w:r>
            <w:r>
              <w:rPr>
                <w:rFonts w:hint="eastAsia" w:cs="黑体" w:asciiTheme="minorEastAsia" w:hAnsiTheme="minorEastAsia"/>
                <w:b/>
                <w:bCs w:val="0"/>
                <w:color w:val="auto"/>
                <w:szCs w:val="21"/>
                <w:highlight w:val="none"/>
                <w:lang w:val="en-US" w:eastAsia="zh-CN"/>
              </w:rPr>
              <w:t>售后服务方案</w:t>
            </w:r>
            <w:r>
              <w:rPr>
                <w:rFonts w:hint="eastAsia" w:cs="黑体" w:asciiTheme="minorEastAsia" w:hAnsiTheme="minorEastAsia"/>
                <w:b/>
                <w:bCs w:val="0"/>
                <w:color w:val="auto"/>
                <w:szCs w:val="21"/>
                <w:highlight w:val="none"/>
              </w:rPr>
              <w:t>（包括</w:t>
            </w:r>
            <w:r>
              <w:rPr>
                <w:rFonts w:hint="eastAsia" w:cs="黑体" w:asciiTheme="minorEastAsia" w:hAnsiTheme="minorEastAsia"/>
                <w:b/>
                <w:bCs w:val="0"/>
                <w:color w:val="auto"/>
                <w:szCs w:val="21"/>
                <w:highlight w:val="none"/>
                <w:lang w:val="en-US" w:eastAsia="zh-CN"/>
              </w:rPr>
              <w:t>售后服务标准、售后服务响应承诺、售后服务团队架构、货品质量问题退换服务承诺规定等</w:t>
            </w:r>
            <w:r>
              <w:rPr>
                <w:rFonts w:hint="eastAsia" w:cs="黑体" w:asciiTheme="minorEastAsia" w:hAnsiTheme="minorEastAsia"/>
                <w:b/>
                <w:bCs w:val="0"/>
                <w:color w:val="auto"/>
                <w:szCs w:val="21"/>
                <w:highlight w:val="none"/>
              </w:rPr>
              <w:t>）进行评审：</w:t>
            </w:r>
          </w:p>
          <w:p w14:paraId="3D5CB14E">
            <w:pPr>
              <w:spacing w:before="31" w:beforeLines="10" w:line="360" w:lineRule="auto"/>
              <w:jc w:val="left"/>
              <w:rPr>
                <w:rFonts w:hint="eastAsia" w:cs="黑体" w:asciiTheme="minorEastAsia" w:hAnsiTheme="minorEastAsia"/>
                <w:b/>
                <w:bCs w:val="0"/>
                <w:color w:val="auto"/>
                <w:szCs w:val="21"/>
                <w:highlight w:val="none"/>
              </w:rPr>
            </w:pPr>
            <w:r>
              <w:rPr>
                <w:rFonts w:hint="eastAsia" w:cs="Times New Roman" w:asciiTheme="minorEastAsia" w:hAnsiTheme="minorEastAsia"/>
                <w:color w:val="auto"/>
                <w:szCs w:val="20"/>
                <w:highlight w:val="none"/>
                <w:lang w:val="en-US" w:eastAsia="zh-CN"/>
              </w:rPr>
              <w:t>评审要求：</w:t>
            </w:r>
            <w:r>
              <w:rPr>
                <w:rFonts w:hint="eastAsia" w:cs="黑体" w:asciiTheme="minorEastAsia" w:hAnsiTheme="minorEastAsia"/>
                <w:bCs/>
                <w:color w:val="auto"/>
                <w:szCs w:val="21"/>
                <w:highlight w:val="none"/>
                <w:lang w:val="en-US" w:eastAsia="zh-CN"/>
              </w:rPr>
              <w:t>①售后服务标准明确且可行性强；②</w:t>
            </w:r>
            <w:r>
              <w:rPr>
                <w:rFonts w:hint="eastAsia" w:cs="黑体" w:asciiTheme="minorEastAsia" w:hAnsiTheme="minorEastAsia"/>
                <w:bCs/>
                <w:color w:val="auto"/>
                <w:szCs w:val="21"/>
                <w:highlight w:val="none"/>
              </w:rPr>
              <w:t>售后服务响应承诺</w:t>
            </w:r>
            <w:r>
              <w:rPr>
                <w:rFonts w:hint="eastAsia" w:cs="黑体" w:asciiTheme="minorEastAsia" w:hAnsiTheme="minorEastAsia"/>
                <w:bCs/>
                <w:color w:val="auto"/>
                <w:szCs w:val="21"/>
                <w:highlight w:val="none"/>
                <w:lang w:val="en-US" w:eastAsia="zh-CN"/>
              </w:rPr>
              <w:t>全面、完备；③</w:t>
            </w:r>
            <w:r>
              <w:rPr>
                <w:rFonts w:hint="eastAsia" w:cs="黑体" w:asciiTheme="minorEastAsia" w:hAnsiTheme="minorEastAsia"/>
                <w:bCs/>
                <w:color w:val="auto"/>
                <w:szCs w:val="21"/>
                <w:highlight w:val="none"/>
              </w:rPr>
              <w:t>售后服务团队架构</w:t>
            </w:r>
            <w:r>
              <w:rPr>
                <w:rFonts w:hint="eastAsia" w:cs="黑体" w:asciiTheme="minorEastAsia" w:hAnsiTheme="minorEastAsia"/>
                <w:bCs/>
                <w:color w:val="auto"/>
                <w:szCs w:val="21"/>
                <w:highlight w:val="none"/>
                <w:lang w:val="en-US" w:eastAsia="zh-CN"/>
              </w:rPr>
              <w:t>严谨、人员充足；④货品质量问题退换服务方案高效、可行</w:t>
            </w:r>
            <w:r>
              <w:rPr>
                <w:rFonts w:hint="eastAsia" w:cs="黑体" w:asciiTheme="minorEastAsia" w:hAnsiTheme="minorEastAsia"/>
                <w:bCs/>
                <w:color w:val="auto"/>
                <w:szCs w:val="21"/>
                <w:highlight w:val="none"/>
                <w:lang w:eastAsia="zh-CN"/>
              </w:rPr>
              <w:t>。</w:t>
            </w:r>
          </w:p>
          <w:p w14:paraId="7358BF29">
            <w:pPr>
              <w:spacing w:line="360" w:lineRule="auto"/>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3B14B704">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1E4FCDE3">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1E8E7C82">
            <w:pPr>
              <w:spacing w:line="360" w:lineRule="auto"/>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0862C3F7">
            <w:pPr>
              <w:spacing w:before="31" w:beforeLines="10" w:after="30" w:line="440" w:lineRule="exact"/>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3B80B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85" w:type="pct"/>
            <w:vAlign w:val="center"/>
          </w:tcPr>
          <w:p w14:paraId="0C577212">
            <w:pPr>
              <w:spacing w:before="31" w:beforeLines="10" w:line="360" w:lineRule="auto"/>
              <w:jc w:val="center"/>
              <w:rPr>
                <w:rFonts w:hint="eastAsia" w:cs="黑体" w:asciiTheme="minorEastAsia" w:hAnsiTheme="minorEastAsia" w:eastAsiaTheme="minorEastAsia"/>
                <w:color w:val="auto"/>
                <w:szCs w:val="21"/>
                <w:highlight w:val="none"/>
                <w:lang w:eastAsia="zh-CN"/>
              </w:rPr>
            </w:pPr>
            <w:r>
              <w:rPr>
                <w:rFonts w:hint="eastAsia" w:cs="黑体" w:asciiTheme="minorEastAsia" w:hAnsiTheme="minorEastAsia"/>
                <w:color w:val="auto"/>
                <w:szCs w:val="21"/>
                <w:highlight w:val="none"/>
                <w:lang w:val="en-US" w:eastAsia="zh-CN"/>
              </w:rPr>
              <w:t>6</w:t>
            </w:r>
          </w:p>
        </w:tc>
        <w:tc>
          <w:tcPr>
            <w:tcW w:w="690" w:type="pct"/>
            <w:gridSpan w:val="2"/>
            <w:vAlign w:val="center"/>
          </w:tcPr>
          <w:p w14:paraId="11BFD6B0">
            <w:pPr>
              <w:spacing w:before="31" w:beforeLines="10" w:line="360" w:lineRule="auto"/>
              <w:jc w:val="center"/>
              <w:rPr>
                <w:rFonts w:hint="default" w:cs="黑体" w:asciiTheme="minorEastAsia" w:hAnsiTheme="minorEastAsia" w:eastAsiaTheme="minorEastAsia"/>
                <w:bCs/>
                <w:color w:val="auto"/>
                <w:szCs w:val="21"/>
                <w:highlight w:val="none"/>
                <w:lang w:val="en-US" w:eastAsia="zh-CN"/>
              </w:rPr>
            </w:pPr>
            <w:r>
              <w:rPr>
                <w:rFonts w:hint="eastAsia" w:cs="Times New Roman" w:asciiTheme="minorEastAsia" w:hAnsiTheme="minorEastAsia"/>
                <w:color w:val="auto"/>
                <w:szCs w:val="21"/>
                <w:highlight w:val="none"/>
                <w:lang w:val="en-US" w:eastAsia="zh-CN"/>
              </w:rPr>
              <w:t>应急预案</w:t>
            </w:r>
          </w:p>
        </w:tc>
        <w:tc>
          <w:tcPr>
            <w:tcW w:w="415" w:type="pct"/>
            <w:vAlign w:val="center"/>
          </w:tcPr>
          <w:p w14:paraId="079BCF9E">
            <w:pPr>
              <w:spacing w:before="31" w:beforeLines="10" w:line="360" w:lineRule="auto"/>
              <w:jc w:val="center"/>
              <w:rPr>
                <w:rFonts w:cs="黑体" w:asciiTheme="minorEastAsia" w:hAnsiTheme="minorEastAsia"/>
                <w:bCs/>
                <w:color w:val="auto"/>
                <w:szCs w:val="21"/>
                <w:highlight w:val="none"/>
              </w:rPr>
            </w:pPr>
            <w:r>
              <w:rPr>
                <w:rFonts w:hint="eastAsia" w:cs="黑体" w:asciiTheme="minorEastAsia" w:hAnsiTheme="minorEastAsia"/>
                <w:bCs/>
                <w:color w:val="auto"/>
                <w:szCs w:val="21"/>
                <w:highlight w:val="none"/>
                <w:lang w:val="en-US" w:eastAsia="zh-CN"/>
              </w:rPr>
              <w:t>10</w:t>
            </w:r>
            <w:r>
              <w:rPr>
                <w:rFonts w:hint="eastAsia" w:cs="黑体" w:asciiTheme="minorEastAsia" w:hAnsiTheme="minorEastAsia"/>
                <w:bCs/>
                <w:color w:val="auto"/>
                <w:szCs w:val="21"/>
                <w:highlight w:val="none"/>
              </w:rPr>
              <w:t>分</w:t>
            </w:r>
          </w:p>
        </w:tc>
        <w:tc>
          <w:tcPr>
            <w:tcW w:w="3509" w:type="pct"/>
            <w:vAlign w:val="center"/>
          </w:tcPr>
          <w:p w14:paraId="419CE818">
            <w:pPr>
              <w:spacing w:before="31" w:beforeLines="10" w:after="30" w:line="440" w:lineRule="exact"/>
              <w:rPr>
                <w:rFonts w:hint="eastAsia" w:cs="黑体" w:asciiTheme="minorEastAsia" w:hAnsiTheme="minorEastAsia"/>
                <w:b/>
                <w:bCs w:val="0"/>
                <w:color w:val="auto"/>
                <w:szCs w:val="21"/>
                <w:highlight w:val="none"/>
                <w:lang w:val="en-US" w:eastAsia="zh-CN"/>
              </w:rPr>
            </w:pPr>
            <w:r>
              <w:rPr>
                <w:rFonts w:hint="eastAsia" w:cs="黑体" w:asciiTheme="minorEastAsia" w:hAnsiTheme="minorEastAsia"/>
                <w:b/>
                <w:bCs w:val="0"/>
                <w:color w:val="auto"/>
                <w:szCs w:val="21"/>
                <w:highlight w:val="none"/>
                <w:lang w:val="en-US" w:eastAsia="zh-CN"/>
              </w:rPr>
              <w:t>根据响应供应商针对本项目提供的应急预案（包括食材短缺、配送困难、采购人临时采购需求、人员工伤或劳务纠纷等）进行评审：</w:t>
            </w:r>
          </w:p>
          <w:p w14:paraId="40617394">
            <w:pPr>
              <w:spacing w:before="31" w:beforeLines="10" w:line="360" w:lineRule="auto"/>
              <w:jc w:val="left"/>
              <w:rPr>
                <w:rFonts w:hint="default" w:cs="黑体" w:asciiTheme="minorEastAsia" w:hAnsiTheme="minorEastAsia"/>
                <w:bCs/>
                <w:color w:val="auto"/>
                <w:szCs w:val="21"/>
                <w:highlight w:val="none"/>
                <w:lang w:val="en-US" w:eastAsia="zh-CN"/>
              </w:rPr>
            </w:pPr>
            <w:r>
              <w:rPr>
                <w:rFonts w:hint="eastAsia" w:cs="Times New Roman" w:asciiTheme="minorEastAsia" w:hAnsiTheme="minorEastAsia"/>
                <w:color w:val="auto"/>
                <w:szCs w:val="20"/>
                <w:highlight w:val="none"/>
                <w:lang w:val="en-US" w:eastAsia="zh-CN"/>
              </w:rPr>
              <w:t>评审要求：</w:t>
            </w:r>
            <w:r>
              <w:rPr>
                <w:rFonts w:hint="eastAsia" w:cs="黑体" w:asciiTheme="minorEastAsia" w:hAnsiTheme="minorEastAsia"/>
                <w:bCs/>
                <w:color w:val="auto"/>
                <w:szCs w:val="21"/>
                <w:highlight w:val="none"/>
                <w:lang w:val="en-US" w:eastAsia="zh-CN"/>
              </w:rPr>
              <w:t>①有丰富的备用食材供货合作单位；②配送渠道和计划丰富多样；③面对采购人临时采购需求响应迅速，配送及时；④具有有效的人员工伤或劳务纠纷预防措施。</w:t>
            </w:r>
          </w:p>
          <w:p w14:paraId="688238BE">
            <w:pPr>
              <w:spacing w:line="360" w:lineRule="auto"/>
              <w:rPr>
                <w:rFonts w:hint="default" w:cs="Times New Roman" w:asciiTheme="minorEastAsia" w:hAnsiTheme="minorEastAsia"/>
                <w:color w:val="auto"/>
                <w:szCs w:val="20"/>
                <w:highlight w:val="none"/>
                <w:lang w:val="en-US" w:eastAsia="zh-CN"/>
              </w:rPr>
            </w:pPr>
            <w:r>
              <w:rPr>
                <w:rFonts w:hint="eastAsia" w:cs="Times New Roman" w:asciiTheme="minorEastAsia" w:hAnsiTheme="minorEastAsia"/>
                <w:color w:val="auto"/>
                <w:szCs w:val="20"/>
                <w:highlight w:val="none"/>
                <w:lang w:val="en-US" w:eastAsia="zh-CN"/>
              </w:rPr>
              <w:t>1、评审要求中①-④项内容全部满足，且响应情况优于或满足采购需求的</w:t>
            </w:r>
            <w:r>
              <w:rPr>
                <w:rFonts w:hint="eastAsia" w:cs="Times New Roman" w:asciiTheme="minorEastAsia" w:hAnsiTheme="minorEastAsia"/>
                <w:b w:val="0"/>
                <w:bCs/>
                <w:color w:val="auto"/>
                <w:szCs w:val="21"/>
                <w:highlight w:val="none"/>
                <w:lang w:val="en-US" w:eastAsia="zh-CN"/>
              </w:rPr>
              <w:t>，得10分；</w:t>
            </w:r>
          </w:p>
          <w:p w14:paraId="32AE5ED5">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color w:val="auto"/>
                <w:szCs w:val="20"/>
                <w:highlight w:val="none"/>
                <w:lang w:val="en-US" w:eastAsia="zh-CN"/>
              </w:rPr>
              <w:t>2、评审要求中①-④项内容有3项满足，且响应情况基本满足采购需求的</w:t>
            </w:r>
            <w:r>
              <w:rPr>
                <w:rFonts w:hint="eastAsia" w:cs="Times New Roman" w:asciiTheme="minorEastAsia" w:hAnsiTheme="minorEastAsia"/>
                <w:b w:val="0"/>
                <w:bCs/>
                <w:color w:val="auto"/>
                <w:szCs w:val="21"/>
                <w:highlight w:val="none"/>
                <w:lang w:val="en-US" w:eastAsia="zh-CN"/>
              </w:rPr>
              <w:t>，得7分；</w:t>
            </w:r>
          </w:p>
          <w:p w14:paraId="57DE4019">
            <w:pPr>
              <w:spacing w:line="360" w:lineRule="auto"/>
              <w:rPr>
                <w:rFonts w:hint="eastAsia"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3、</w:t>
            </w:r>
            <w:r>
              <w:rPr>
                <w:rFonts w:hint="eastAsia" w:cs="Times New Roman" w:asciiTheme="minorEastAsia" w:hAnsiTheme="minorEastAsia"/>
                <w:color w:val="auto"/>
                <w:szCs w:val="20"/>
                <w:highlight w:val="none"/>
                <w:lang w:val="en-US" w:eastAsia="zh-CN"/>
              </w:rPr>
              <w:t>评审要求中①-④项内容有2项满足，且响应情况基本满足采购需求的</w:t>
            </w:r>
            <w:r>
              <w:rPr>
                <w:rFonts w:hint="eastAsia" w:cs="Times New Roman" w:asciiTheme="minorEastAsia" w:hAnsiTheme="minorEastAsia"/>
                <w:b w:val="0"/>
                <w:bCs/>
                <w:color w:val="auto"/>
                <w:szCs w:val="21"/>
                <w:highlight w:val="none"/>
                <w:lang w:val="en-US" w:eastAsia="zh-CN"/>
              </w:rPr>
              <w:t>，得4分；</w:t>
            </w:r>
          </w:p>
          <w:p w14:paraId="3872B6A7">
            <w:pPr>
              <w:spacing w:line="360" w:lineRule="auto"/>
              <w:rPr>
                <w:rFonts w:hint="default" w:cs="Times New Roman" w:asciiTheme="minorEastAsia" w:hAnsiTheme="minorEastAsia"/>
                <w:b w:val="0"/>
                <w:bCs/>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4、</w:t>
            </w:r>
            <w:r>
              <w:rPr>
                <w:rFonts w:hint="eastAsia" w:cs="Times New Roman" w:asciiTheme="minorEastAsia" w:hAnsiTheme="minorEastAsia"/>
                <w:color w:val="auto"/>
                <w:szCs w:val="20"/>
                <w:highlight w:val="none"/>
                <w:lang w:val="en-US" w:eastAsia="zh-CN"/>
              </w:rPr>
              <w:t>评审要求中①-④项内容有1项满足，且响应情况部分满足采购需求的</w:t>
            </w:r>
            <w:r>
              <w:rPr>
                <w:rFonts w:hint="eastAsia" w:cs="Times New Roman" w:asciiTheme="minorEastAsia" w:hAnsiTheme="minorEastAsia"/>
                <w:b w:val="0"/>
                <w:bCs/>
                <w:color w:val="auto"/>
                <w:szCs w:val="21"/>
                <w:highlight w:val="none"/>
                <w:lang w:val="en-US" w:eastAsia="zh-CN"/>
              </w:rPr>
              <w:t>，得1分；</w:t>
            </w:r>
          </w:p>
          <w:p w14:paraId="21344EFE">
            <w:pPr>
              <w:spacing w:before="31" w:beforeLines="10" w:after="30" w:line="440" w:lineRule="exact"/>
              <w:rPr>
                <w:rFonts w:hint="eastAsia" w:cs="黑体" w:asciiTheme="minorEastAsia" w:hAnsiTheme="minorEastAsia"/>
                <w:b/>
                <w:bCs w:val="0"/>
                <w:color w:val="auto"/>
                <w:szCs w:val="21"/>
                <w:highlight w:val="none"/>
                <w:lang w:val="en-US" w:eastAsia="zh-CN"/>
              </w:rPr>
            </w:pPr>
            <w:r>
              <w:rPr>
                <w:rFonts w:hint="eastAsia" w:cs="Times New Roman" w:asciiTheme="minorEastAsia" w:hAnsiTheme="minorEastAsia"/>
                <w:b w:val="0"/>
                <w:bCs/>
                <w:color w:val="auto"/>
                <w:szCs w:val="21"/>
                <w:highlight w:val="none"/>
                <w:lang w:val="en-US" w:eastAsia="zh-CN"/>
              </w:rPr>
              <w:t>5、未提供相关方案或其他情形的，得0分。</w:t>
            </w:r>
          </w:p>
        </w:tc>
      </w:tr>
      <w:tr w14:paraId="0D9795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5"/>
            <w:vAlign w:val="center"/>
          </w:tcPr>
          <w:p w14:paraId="4ABC505C">
            <w:pPr>
              <w:spacing w:before="31" w:beforeLines="10" w:after="30" w:line="440" w:lineRule="exact"/>
              <w:jc w:val="center"/>
              <w:rPr>
                <w:rFonts w:hint="eastAsia" w:cs="Times New Roman" w:asciiTheme="minorEastAsia" w:hAnsiTheme="minorEastAsia"/>
                <w:b w:val="0"/>
                <w:bCs/>
                <w:color w:val="auto"/>
                <w:szCs w:val="21"/>
                <w:highlight w:val="none"/>
                <w:lang w:val="en-US" w:eastAsia="zh-CN"/>
              </w:rPr>
            </w:pPr>
            <w:r>
              <w:rPr>
                <w:rFonts w:hint="eastAsia" w:asciiTheme="minorEastAsia" w:hAnsiTheme="minorEastAsia"/>
                <w:b/>
                <w:color w:val="auto"/>
                <w:sz w:val="21"/>
                <w:szCs w:val="21"/>
                <w:highlight w:val="none"/>
                <w:lang w:val="en-US" w:eastAsia="zh-CN"/>
              </w:rPr>
              <w:t>价格</w:t>
            </w:r>
            <w:r>
              <w:rPr>
                <w:rFonts w:hint="eastAsia" w:asciiTheme="minorEastAsia" w:hAnsiTheme="minorEastAsia" w:eastAsiaTheme="minorEastAsia"/>
                <w:b/>
                <w:color w:val="auto"/>
                <w:sz w:val="21"/>
                <w:szCs w:val="21"/>
                <w:highlight w:val="none"/>
              </w:rPr>
              <w:t>评审细则（</w:t>
            </w:r>
            <w:r>
              <w:rPr>
                <w:rFonts w:hint="eastAsia" w:asciiTheme="minorEastAsia" w:hAnsiTheme="minorEastAsia"/>
                <w:b/>
                <w:color w:val="auto"/>
                <w:sz w:val="21"/>
                <w:szCs w:val="21"/>
                <w:highlight w:val="none"/>
                <w:lang w:val="en-US" w:eastAsia="zh-CN"/>
              </w:rPr>
              <w:t>10</w:t>
            </w:r>
            <w:r>
              <w:rPr>
                <w:rFonts w:hint="eastAsia" w:asciiTheme="minorEastAsia" w:hAnsiTheme="minorEastAsia" w:eastAsiaTheme="minorEastAsia"/>
                <w:b/>
                <w:color w:val="auto"/>
                <w:sz w:val="21"/>
                <w:szCs w:val="21"/>
                <w:highlight w:val="none"/>
              </w:rPr>
              <w:t>分）</w:t>
            </w:r>
          </w:p>
        </w:tc>
      </w:tr>
      <w:tr w14:paraId="02FEA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90" w:type="pct"/>
            <w:gridSpan w:val="2"/>
            <w:vAlign w:val="center"/>
          </w:tcPr>
          <w:p w14:paraId="7319F928">
            <w:pPr>
              <w:spacing w:before="31" w:beforeLines="10" w:line="360" w:lineRule="auto"/>
              <w:jc w:val="center"/>
              <w:rPr>
                <w:rFonts w:hint="default" w:cs="黑体" w:asciiTheme="minorEastAsia" w:hAnsi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1</w:t>
            </w:r>
          </w:p>
        </w:tc>
        <w:tc>
          <w:tcPr>
            <w:tcW w:w="684" w:type="pct"/>
            <w:vAlign w:val="center"/>
          </w:tcPr>
          <w:p w14:paraId="654B72A3">
            <w:pPr>
              <w:spacing w:before="31" w:beforeLines="10" w:line="360" w:lineRule="auto"/>
              <w:jc w:val="center"/>
              <w:rPr>
                <w:rFonts w:hint="default" w:cs="黑体" w:asciiTheme="minorEastAsia" w:hAnsi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价格评审</w:t>
            </w:r>
          </w:p>
        </w:tc>
        <w:tc>
          <w:tcPr>
            <w:tcW w:w="415" w:type="pct"/>
            <w:vAlign w:val="center"/>
          </w:tcPr>
          <w:p w14:paraId="33FD5520">
            <w:pPr>
              <w:spacing w:before="31" w:beforeLines="10" w:line="360" w:lineRule="auto"/>
              <w:jc w:val="center"/>
              <w:rPr>
                <w:rFonts w:hint="default" w:cs="黑体" w:asciiTheme="minorEastAsia" w:hAnsiTheme="minorEastAsia"/>
                <w:color w:val="auto"/>
                <w:szCs w:val="21"/>
                <w:highlight w:val="none"/>
                <w:lang w:val="en-US" w:eastAsia="zh-CN"/>
              </w:rPr>
            </w:pPr>
            <w:r>
              <w:rPr>
                <w:rFonts w:hint="eastAsia" w:cs="黑体" w:asciiTheme="minorEastAsia" w:hAnsiTheme="minorEastAsia"/>
                <w:color w:val="auto"/>
                <w:szCs w:val="21"/>
                <w:highlight w:val="none"/>
                <w:lang w:val="en-US" w:eastAsia="zh-CN"/>
              </w:rPr>
              <w:t>10分</w:t>
            </w:r>
          </w:p>
        </w:tc>
        <w:tc>
          <w:tcPr>
            <w:tcW w:w="3509" w:type="pct"/>
            <w:vAlign w:val="center"/>
          </w:tcPr>
          <w:p w14:paraId="63C8B7EA">
            <w:pPr>
              <w:spacing w:before="31" w:beforeLines="10" w:after="30" w:line="440" w:lineRule="exact"/>
              <w:jc w:val="left"/>
              <w:rPr>
                <w:rFonts w:hint="eastAsia" w:asciiTheme="minorEastAsia" w:hAnsiTheme="minorEastAsia"/>
                <w:b w:val="0"/>
                <w:bCs/>
                <w:color w:val="auto"/>
                <w:sz w:val="21"/>
                <w:szCs w:val="21"/>
                <w:highlight w:val="none"/>
                <w:lang w:val="en-US" w:eastAsia="zh-CN"/>
              </w:rPr>
            </w:pPr>
            <w:r>
              <w:rPr>
                <w:rFonts w:hint="eastAsia" w:asciiTheme="minorEastAsia" w:hAnsiTheme="minorEastAsia"/>
                <w:b w:val="0"/>
                <w:bCs/>
                <w:color w:val="auto"/>
                <w:sz w:val="21"/>
                <w:szCs w:val="21"/>
                <w:highlight w:val="none"/>
                <w:lang w:val="en-US" w:eastAsia="zh-CN"/>
              </w:rPr>
              <w:t>价格分应当采用低价优先法计算，即满足遴选文件要求且价格最低的报价为评审基准价，其价格分为满分。其他响应供应商的价格分统一按照下列公式计算：</w:t>
            </w:r>
          </w:p>
          <w:p w14:paraId="18010252">
            <w:pPr>
              <w:spacing w:before="31" w:beforeLines="10" w:after="30" w:line="440" w:lineRule="exact"/>
              <w:jc w:val="left"/>
              <w:rPr>
                <w:rFonts w:hint="eastAsia" w:asciiTheme="minorEastAsia" w:hAnsiTheme="minorEastAsia"/>
                <w:b/>
                <w:color w:val="auto"/>
                <w:sz w:val="21"/>
                <w:szCs w:val="21"/>
                <w:highlight w:val="none"/>
                <w:lang w:val="en-US" w:eastAsia="zh-CN"/>
              </w:rPr>
            </w:pPr>
            <w:r>
              <w:rPr>
                <w:rFonts w:hint="eastAsia" w:asciiTheme="minorEastAsia" w:hAnsiTheme="minorEastAsia"/>
                <w:b w:val="0"/>
                <w:bCs/>
                <w:color w:val="auto"/>
                <w:sz w:val="21"/>
                <w:szCs w:val="21"/>
                <w:highlight w:val="none"/>
                <w:lang w:val="en-US" w:eastAsia="zh-CN"/>
              </w:rPr>
              <w:t>响应供应商价格得分=(评审基准价／报价)×价格权值×100</w:t>
            </w:r>
          </w:p>
        </w:tc>
      </w:tr>
      <w:bookmarkEnd w:id="43"/>
    </w:tbl>
    <w:p w14:paraId="6C1FDD7C">
      <w:pPr>
        <w:pStyle w:val="2"/>
        <w:keepNext w:val="0"/>
        <w:keepLines w:val="0"/>
        <w:pageBreakBefore/>
        <w:spacing w:line="360" w:lineRule="auto"/>
        <w:jc w:val="center"/>
        <w:rPr>
          <w:rFonts w:asciiTheme="minorEastAsia" w:hAnsiTheme="minorEastAsia"/>
          <w:color w:val="auto"/>
          <w:spacing w:val="20"/>
          <w:sz w:val="32"/>
          <w:szCs w:val="32"/>
          <w:highlight w:val="none"/>
        </w:rPr>
      </w:pPr>
      <w:bookmarkStart w:id="44" w:name="_Toc405313956"/>
      <w:bookmarkStart w:id="45" w:name="_Toc391627752"/>
      <w:bookmarkStart w:id="46" w:name="_Toc138770012"/>
      <w:r>
        <w:rPr>
          <w:rFonts w:hint="eastAsia" w:asciiTheme="minorEastAsia" w:hAnsiTheme="minorEastAsia"/>
          <w:color w:val="auto"/>
          <w:spacing w:val="20"/>
          <w:sz w:val="32"/>
          <w:szCs w:val="32"/>
          <w:highlight w:val="none"/>
        </w:rPr>
        <w:t>第五部分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合同书格式</w:t>
      </w:r>
      <w:bookmarkEnd w:id="44"/>
      <w:bookmarkEnd w:id="45"/>
      <w:bookmarkEnd w:id="46"/>
    </w:p>
    <w:p w14:paraId="1D80DCAE">
      <w:pPr>
        <w:spacing w:line="360" w:lineRule="auto"/>
        <w:jc w:val="center"/>
        <w:rPr>
          <w:rFonts w:asciiTheme="minorEastAsia" w:hAnsiTheme="minorEastAsia"/>
          <w:b/>
          <w:color w:val="auto"/>
          <w:sz w:val="50"/>
          <w:szCs w:val="50"/>
          <w:highlight w:val="none"/>
        </w:rPr>
      </w:pPr>
    </w:p>
    <w:p w14:paraId="739EB1C9">
      <w:pPr>
        <w:spacing w:line="360" w:lineRule="auto"/>
        <w:jc w:val="center"/>
        <w:rPr>
          <w:rFonts w:hint="eastAsia" w:asciiTheme="minorEastAsia" w:hAnsiTheme="minorEastAsia" w:eastAsiaTheme="minorEastAsia"/>
          <w:b/>
          <w:color w:val="auto"/>
          <w:sz w:val="50"/>
          <w:szCs w:val="50"/>
          <w:highlight w:val="none"/>
          <w:lang w:eastAsia="zh-CN"/>
        </w:rPr>
      </w:pPr>
      <w:r>
        <w:rPr>
          <w:rFonts w:hint="eastAsia" w:asciiTheme="minorEastAsia" w:hAnsiTheme="minorEastAsia"/>
          <w:b/>
          <w:color w:val="auto"/>
          <w:sz w:val="50"/>
          <w:szCs w:val="50"/>
          <w:highlight w:val="none"/>
          <w:lang w:eastAsia="zh-CN"/>
        </w:rPr>
        <w:t>东莞市消防救援支队2025年战勤保障中心食材配送服务项目</w:t>
      </w:r>
    </w:p>
    <w:p w14:paraId="2A175D2A">
      <w:pPr>
        <w:spacing w:before="1092" w:beforeLines="350" w:after="468" w:afterLines="150" w:line="360" w:lineRule="auto"/>
        <w:jc w:val="center"/>
        <w:rPr>
          <w:rFonts w:asciiTheme="minorEastAsia" w:hAnsiTheme="minorEastAsia"/>
          <w:b/>
          <w:bCs/>
          <w:color w:val="auto"/>
          <w:spacing w:val="60"/>
          <w:sz w:val="52"/>
          <w:szCs w:val="52"/>
          <w:highlight w:val="none"/>
        </w:rPr>
      </w:pPr>
      <w:r>
        <w:rPr>
          <w:rFonts w:hint="eastAsia" w:asciiTheme="minorEastAsia" w:hAnsiTheme="minorEastAsia"/>
          <w:b/>
          <w:bCs/>
          <w:color w:val="auto"/>
          <w:spacing w:val="60"/>
          <w:sz w:val="52"/>
          <w:szCs w:val="52"/>
          <w:highlight w:val="none"/>
        </w:rPr>
        <w:t>合同文件</w:t>
      </w:r>
    </w:p>
    <w:p w14:paraId="5D5DD286">
      <w:pPr>
        <w:spacing w:line="360" w:lineRule="auto"/>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（合同编号：</w:t>
      </w:r>
      <w:r>
        <w:rPr>
          <w:rFonts w:asciiTheme="minorEastAsia" w:hAnsiTheme="minorEastAsia"/>
          <w:b/>
          <w:bCs/>
          <w:color w:val="auto"/>
          <w:szCs w:val="21"/>
          <w:highlight w:val="none"/>
          <w:u w:val="single"/>
        </w:rPr>
        <w:t xml:space="preserve">         </w:t>
      </w:r>
      <w:r>
        <w:rPr>
          <w:rFonts w:hint="eastAsia" w:asciiTheme="minorEastAsia" w:hAnsiTheme="minorEastAsia"/>
          <w:b/>
          <w:bCs/>
          <w:color w:val="auto"/>
          <w:szCs w:val="21"/>
          <w:highlight w:val="none"/>
        </w:rPr>
        <w:t>）</w:t>
      </w:r>
    </w:p>
    <w:p w14:paraId="73623658">
      <w:pPr>
        <w:spacing w:line="360" w:lineRule="auto"/>
        <w:rPr>
          <w:rFonts w:asciiTheme="minorEastAsia" w:hAnsiTheme="minorEastAsia"/>
          <w:b/>
          <w:bCs/>
          <w:color w:val="auto"/>
          <w:szCs w:val="21"/>
          <w:highlight w:val="none"/>
        </w:rPr>
      </w:pPr>
    </w:p>
    <w:p w14:paraId="19CBBBBE">
      <w:pPr>
        <w:spacing w:line="360" w:lineRule="auto"/>
        <w:rPr>
          <w:rFonts w:asciiTheme="minorEastAsia" w:hAnsiTheme="minorEastAsia"/>
          <w:b/>
          <w:bCs/>
          <w:color w:val="auto"/>
          <w:szCs w:val="21"/>
          <w:highlight w:val="none"/>
        </w:rPr>
      </w:pPr>
    </w:p>
    <w:p w14:paraId="37EE1F8C">
      <w:pPr>
        <w:spacing w:line="360" w:lineRule="auto"/>
        <w:rPr>
          <w:rFonts w:asciiTheme="minorEastAsia" w:hAnsiTheme="minorEastAsia"/>
          <w:b/>
          <w:bCs/>
          <w:color w:val="auto"/>
          <w:szCs w:val="21"/>
          <w:highlight w:val="none"/>
        </w:rPr>
      </w:pPr>
    </w:p>
    <w:p w14:paraId="453D0830">
      <w:pPr>
        <w:spacing w:line="360" w:lineRule="auto"/>
        <w:rPr>
          <w:rFonts w:asciiTheme="minorEastAsia" w:hAnsiTheme="minorEastAsia"/>
          <w:b/>
          <w:bCs/>
          <w:color w:val="auto"/>
          <w:szCs w:val="21"/>
          <w:highlight w:val="none"/>
        </w:rPr>
      </w:pPr>
    </w:p>
    <w:p w14:paraId="516FFA78">
      <w:pPr>
        <w:spacing w:line="360" w:lineRule="auto"/>
        <w:rPr>
          <w:rFonts w:asciiTheme="minorEastAsia" w:hAnsiTheme="minorEastAsia"/>
          <w:b/>
          <w:bCs/>
          <w:color w:val="auto"/>
          <w:szCs w:val="21"/>
          <w:highlight w:val="none"/>
        </w:rPr>
      </w:pPr>
    </w:p>
    <w:tbl>
      <w:tblPr>
        <w:tblStyle w:val="23"/>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9"/>
        <w:gridCol w:w="4961"/>
      </w:tblGrid>
      <w:tr w14:paraId="778F87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0" w:hRule="atLeast"/>
          <w:jc w:val="center"/>
        </w:trPr>
        <w:tc>
          <w:tcPr>
            <w:tcW w:w="2349" w:type="dxa"/>
          </w:tcPr>
          <w:p w14:paraId="4FE8B00D">
            <w:pPr>
              <w:spacing w:line="360" w:lineRule="auto"/>
              <w:rPr>
                <w:rFonts w:asciiTheme="minorEastAsia" w:hAnsiTheme="minorEastAsia"/>
                <w:b/>
                <w:bCs/>
                <w:color w:val="auto"/>
                <w:sz w:val="28"/>
                <w:szCs w:val="28"/>
                <w:highlight w:val="none"/>
              </w:rPr>
            </w:pPr>
            <w:r>
              <w:rPr>
                <w:rFonts w:hint="eastAsia" w:asciiTheme="minorEastAsia" w:hAnsiTheme="minorEastAsia"/>
                <w:b/>
                <w:bCs/>
                <w:color w:val="auto"/>
                <w:sz w:val="28"/>
                <w:szCs w:val="28"/>
                <w:highlight w:val="none"/>
              </w:rPr>
              <w:t>甲方（采购人）：</w:t>
            </w:r>
          </w:p>
        </w:tc>
        <w:tc>
          <w:tcPr>
            <w:tcW w:w="4961" w:type="dxa"/>
          </w:tcPr>
          <w:p w14:paraId="2CB6B020">
            <w:pPr>
              <w:spacing w:line="360" w:lineRule="auto"/>
              <w:rPr>
                <w:rFonts w:asciiTheme="minorEastAsia" w:hAnsiTheme="minorEastAsia"/>
                <w:b/>
                <w:bCs/>
                <w:color w:val="auto"/>
                <w:sz w:val="28"/>
                <w:szCs w:val="28"/>
                <w:highlight w:val="none"/>
                <w:u w:val="single"/>
              </w:rPr>
            </w:pPr>
            <w:r>
              <w:rPr>
                <w:rFonts w:asciiTheme="minorEastAsia" w:hAnsiTheme="minorEastAsia"/>
                <w:b/>
                <w:bCs/>
                <w:color w:val="auto"/>
                <w:sz w:val="28"/>
                <w:szCs w:val="28"/>
                <w:highlight w:val="none"/>
                <w:u w:val="single"/>
              </w:rPr>
              <w:t xml:space="preserve">       </w:t>
            </w:r>
            <w:r>
              <w:rPr>
                <w:rFonts w:hint="eastAsia" w:asciiTheme="minorEastAsia" w:hAnsiTheme="minorEastAsia"/>
                <w:b/>
                <w:bCs/>
                <w:color w:val="auto"/>
                <w:sz w:val="28"/>
                <w:szCs w:val="28"/>
                <w:highlight w:val="none"/>
                <w:u w:val="single"/>
              </w:rPr>
              <w:t>东莞市消防救援支队</w:t>
            </w:r>
            <w:r>
              <w:rPr>
                <w:rFonts w:asciiTheme="minorEastAsia" w:hAnsiTheme="minorEastAsia"/>
                <w:b/>
                <w:bCs/>
                <w:color w:val="auto"/>
                <w:sz w:val="28"/>
                <w:szCs w:val="28"/>
                <w:highlight w:val="none"/>
                <w:u w:val="single"/>
              </w:rPr>
              <w:t xml:space="preserve">                </w:t>
            </w:r>
          </w:p>
        </w:tc>
      </w:tr>
      <w:tr w14:paraId="35196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jc w:val="center"/>
        </w:trPr>
        <w:tc>
          <w:tcPr>
            <w:tcW w:w="2349" w:type="dxa"/>
          </w:tcPr>
          <w:p w14:paraId="584C4016">
            <w:pPr>
              <w:spacing w:line="360" w:lineRule="auto"/>
              <w:rPr>
                <w:rFonts w:asciiTheme="minorEastAsia" w:hAnsiTheme="minorEastAsia"/>
                <w:b/>
                <w:bCs/>
                <w:color w:val="auto"/>
                <w:sz w:val="28"/>
                <w:szCs w:val="28"/>
                <w:highlight w:val="none"/>
              </w:rPr>
            </w:pPr>
            <w:r>
              <w:rPr>
                <w:rFonts w:hint="eastAsia" w:asciiTheme="minorEastAsia" w:hAnsiTheme="minorEastAsia"/>
                <w:b/>
                <w:bCs/>
                <w:color w:val="auto"/>
                <w:sz w:val="28"/>
                <w:szCs w:val="28"/>
                <w:highlight w:val="none"/>
              </w:rPr>
              <w:t>乙方（成交人）：</w:t>
            </w:r>
          </w:p>
        </w:tc>
        <w:tc>
          <w:tcPr>
            <w:tcW w:w="4961" w:type="dxa"/>
          </w:tcPr>
          <w:p w14:paraId="004368D5">
            <w:pPr>
              <w:spacing w:line="360" w:lineRule="auto"/>
              <w:rPr>
                <w:rFonts w:asciiTheme="minorEastAsia" w:hAnsiTheme="minorEastAsia"/>
                <w:b/>
                <w:bCs/>
                <w:color w:val="auto"/>
                <w:sz w:val="28"/>
                <w:szCs w:val="28"/>
                <w:highlight w:val="none"/>
                <w:u w:val="single"/>
              </w:rPr>
            </w:pPr>
            <w:r>
              <w:rPr>
                <w:rFonts w:asciiTheme="minorEastAsia" w:hAnsiTheme="minorEastAsia"/>
                <w:b/>
                <w:bCs/>
                <w:color w:val="auto"/>
                <w:sz w:val="28"/>
                <w:szCs w:val="28"/>
                <w:highlight w:val="none"/>
                <w:u w:val="single"/>
              </w:rPr>
              <w:t xml:space="preserve">                                            </w:t>
            </w:r>
          </w:p>
        </w:tc>
      </w:tr>
      <w:tr w14:paraId="1DBCB2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6" w:hRule="atLeast"/>
          <w:jc w:val="center"/>
        </w:trPr>
        <w:tc>
          <w:tcPr>
            <w:tcW w:w="2349" w:type="dxa"/>
          </w:tcPr>
          <w:p w14:paraId="2AD94DBE">
            <w:pPr>
              <w:spacing w:line="360" w:lineRule="auto"/>
              <w:rPr>
                <w:rFonts w:asciiTheme="minorEastAsia" w:hAnsiTheme="minorEastAsia"/>
                <w:b/>
                <w:bCs/>
                <w:color w:val="auto"/>
                <w:spacing w:val="9"/>
                <w:sz w:val="28"/>
                <w:szCs w:val="28"/>
                <w:highlight w:val="none"/>
              </w:rPr>
            </w:pPr>
            <w:r>
              <w:rPr>
                <w:rFonts w:hint="eastAsia" w:asciiTheme="minorEastAsia" w:hAnsiTheme="minorEastAsia"/>
                <w:b/>
                <w:bCs/>
                <w:color w:val="auto"/>
                <w:spacing w:val="9"/>
                <w:sz w:val="28"/>
                <w:szCs w:val="28"/>
                <w:highlight w:val="none"/>
              </w:rPr>
              <w:t>协议签订时间：</w:t>
            </w:r>
          </w:p>
        </w:tc>
        <w:tc>
          <w:tcPr>
            <w:tcW w:w="4961" w:type="dxa"/>
          </w:tcPr>
          <w:p w14:paraId="6D883741">
            <w:pPr>
              <w:spacing w:line="360" w:lineRule="auto"/>
              <w:rPr>
                <w:rFonts w:asciiTheme="minorEastAsia" w:hAnsiTheme="minorEastAsia"/>
                <w:b/>
                <w:bCs/>
                <w:color w:val="auto"/>
                <w:sz w:val="28"/>
                <w:szCs w:val="28"/>
                <w:highlight w:val="none"/>
                <w:u w:val="single"/>
              </w:rPr>
            </w:pPr>
            <w:r>
              <w:rPr>
                <w:rFonts w:asciiTheme="minorEastAsia" w:hAnsiTheme="minorEastAsia"/>
                <w:b/>
                <w:bCs/>
                <w:color w:val="auto"/>
                <w:sz w:val="28"/>
                <w:szCs w:val="28"/>
                <w:highlight w:val="none"/>
                <w:u w:val="single"/>
              </w:rPr>
              <w:t xml:space="preserve">                                            </w:t>
            </w:r>
          </w:p>
        </w:tc>
      </w:tr>
    </w:tbl>
    <w:p w14:paraId="6B198689">
      <w:pPr>
        <w:spacing w:line="360" w:lineRule="auto"/>
        <w:rPr>
          <w:rFonts w:asciiTheme="minorEastAsia" w:hAnsiTheme="minorEastAsia"/>
          <w:b/>
          <w:bCs/>
          <w:color w:val="auto"/>
          <w:szCs w:val="21"/>
          <w:highlight w:val="none"/>
        </w:rPr>
      </w:pPr>
    </w:p>
    <w:p w14:paraId="4D4B1707">
      <w:pPr>
        <w:spacing w:line="360" w:lineRule="auto"/>
        <w:rPr>
          <w:rFonts w:asciiTheme="minorEastAsia" w:hAnsiTheme="minorEastAsia"/>
          <w:b/>
          <w:bCs/>
          <w:color w:val="auto"/>
          <w:szCs w:val="21"/>
          <w:highlight w:val="none"/>
        </w:rPr>
      </w:pPr>
    </w:p>
    <w:p w14:paraId="54BF38B0">
      <w:pPr>
        <w:tabs>
          <w:tab w:val="left" w:pos="720"/>
        </w:tabs>
        <w:spacing w:line="360" w:lineRule="auto"/>
        <w:jc w:val="center"/>
        <w:rPr>
          <w:rFonts w:asciiTheme="minorEastAsia" w:hAnsiTheme="minorEastAsia"/>
          <w:color w:val="auto"/>
          <w:spacing w:val="20"/>
          <w:sz w:val="28"/>
          <w:szCs w:val="28"/>
          <w:highlight w:val="none"/>
        </w:rPr>
      </w:pPr>
      <w:r>
        <w:rPr>
          <w:rFonts w:hint="eastAsia" w:asciiTheme="minorEastAsia" w:hAnsiTheme="minorEastAsia"/>
          <w:color w:val="auto"/>
          <w:spacing w:val="20"/>
          <w:sz w:val="28"/>
          <w:szCs w:val="28"/>
          <w:highlight w:val="none"/>
        </w:rPr>
        <w:t>二〇二</w:t>
      </w:r>
      <w:r>
        <w:rPr>
          <w:rFonts w:hint="eastAsia" w:asciiTheme="minorEastAsia" w:hAnsiTheme="minorEastAsia"/>
          <w:color w:val="auto"/>
          <w:spacing w:val="20"/>
          <w:sz w:val="28"/>
          <w:szCs w:val="28"/>
          <w:highlight w:val="none"/>
          <w:lang w:val="en-US" w:eastAsia="zh-CN"/>
        </w:rPr>
        <w:t>五</w:t>
      </w:r>
      <w:r>
        <w:rPr>
          <w:rFonts w:hint="eastAsia" w:asciiTheme="minorEastAsia" w:hAnsiTheme="minorEastAsia"/>
          <w:color w:val="auto"/>
          <w:spacing w:val="20"/>
          <w:sz w:val="28"/>
          <w:szCs w:val="28"/>
          <w:highlight w:val="none"/>
        </w:rPr>
        <w:t>年</w:t>
      </w:r>
      <w:r>
        <w:rPr>
          <w:rFonts w:asciiTheme="minorEastAsia" w:hAnsiTheme="minorEastAsia"/>
          <w:color w:val="auto"/>
          <w:spacing w:val="20"/>
          <w:sz w:val="28"/>
          <w:szCs w:val="28"/>
          <w:highlight w:val="none"/>
          <w:u w:val="single"/>
        </w:rPr>
        <w:t xml:space="preserve">   </w:t>
      </w:r>
      <w:r>
        <w:rPr>
          <w:rFonts w:hint="eastAsia" w:asciiTheme="minorEastAsia" w:hAnsiTheme="minorEastAsia"/>
          <w:color w:val="auto"/>
          <w:spacing w:val="20"/>
          <w:sz w:val="28"/>
          <w:szCs w:val="28"/>
          <w:highlight w:val="none"/>
        </w:rPr>
        <w:t>月于东莞</w:t>
      </w:r>
    </w:p>
    <w:p w14:paraId="46EEAD46">
      <w:pPr>
        <w:widowControl/>
        <w:jc w:val="left"/>
        <w:rPr>
          <w:rFonts w:asciiTheme="minorEastAsia" w:hAnsiTheme="minorEastAsia"/>
          <w:color w:val="auto"/>
          <w:szCs w:val="21"/>
          <w:highlight w:val="none"/>
        </w:rPr>
      </w:pPr>
      <w:r>
        <w:rPr>
          <w:rFonts w:asciiTheme="minorEastAsia" w:hAnsiTheme="minorEastAsia"/>
          <w:color w:val="auto"/>
          <w:szCs w:val="21"/>
          <w:highlight w:val="none"/>
        </w:rPr>
        <w:br w:type="page"/>
      </w:r>
    </w:p>
    <w:p w14:paraId="7854F0AE">
      <w:pPr>
        <w:keepNext w:val="0"/>
        <w:keepLines/>
        <w:pageBreakBefore w:val="0"/>
        <w:widowControl w:val="0"/>
        <w:kinsoku/>
        <w:wordWrap/>
        <w:overflowPunct/>
        <w:topLinePunct w:val="0"/>
        <w:bidi w:val="0"/>
        <w:snapToGrid w:val="0"/>
        <w:spacing w:line="360" w:lineRule="auto"/>
        <w:textAlignment w:val="auto"/>
        <w:rPr>
          <w:rFonts w:hint="default" w:ascii="宋体" w:hAnsi="宋体" w:eastAsia="宋体"/>
          <w:color w:val="auto"/>
          <w:szCs w:val="21"/>
          <w:highlight w:val="none"/>
          <w:lang w:val="en-US" w:eastAsia="zh-CN"/>
        </w:rPr>
      </w:pPr>
      <w:bookmarkStart w:id="47" w:name="_Toc138770013"/>
      <w:bookmarkStart w:id="48" w:name="_Toc391627753"/>
      <w:bookmarkStart w:id="49" w:name="_Toc405313957"/>
      <w:r>
        <w:rPr>
          <w:rFonts w:hint="eastAsia" w:ascii="宋体" w:hAnsi="宋体" w:eastAsia="宋体"/>
          <w:color w:val="auto"/>
          <w:szCs w:val="21"/>
          <w:highlight w:val="none"/>
        </w:rPr>
        <w:t>甲方（采购人）：</w:t>
      </w:r>
      <w:r>
        <w:rPr>
          <w:rFonts w:hint="eastAsia" w:ascii="宋体" w:hAnsi="宋体" w:eastAsia="宋体"/>
          <w:color w:val="auto"/>
          <w:szCs w:val="21"/>
          <w:highlight w:val="none"/>
          <w:u w:val="single"/>
          <w:lang w:val="en-US" w:eastAsia="zh-CN"/>
        </w:rPr>
        <w:t xml:space="preserve">                  </w:t>
      </w:r>
    </w:p>
    <w:p w14:paraId="6DA243B6">
      <w:pPr>
        <w:keepNext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w:t>
      </w:r>
      <w:r>
        <w:rPr>
          <w:rFonts w:hint="eastAsia" w:ascii="宋体" w:hAnsi="宋体" w:eastAsia="宋体"/>
          <w:color w:val="auto"/>
          <w:szCs w:val="21"/>
          <w:highlight w:val="none"/>
          <w:lang w:val="en-US" w:eastAsia="zh-CN"/>
        </w:rPr>
        <w:t>成交</w:t>
      </w:r>
      <w:r>
        <w:rPr>
          <w:rFonts w:hint="eastAsia" w:ascii="宋体" w:hAnsi="宋体" w:eastAsia="宋体"/>
          <w:color w:val="auto"/>
          <w:szCs w:val="21"/>
          <w:highlight w:val="none"/>
        </w:rPr>
        <w:t>人）：</w:t>
      </w:r>
      <w:r>
        <w:rPr>
          <w:rFonts w:hint="eastAsia" w:ascii="宋体" w:hAnsi="宋体" w:eastAsia="宋体"/>
          <w:color w:val="auto"/>
          <w:szCs w:val="21"/>
          <w:highlight w:val="none"/>
          <w:u w:val="single"/>
        </w:rPr>
        <w:t xml:space="preserve">                  </w:t>
      </w:r>
    </w:p>
    <w:p w14:paraId="050C8ABE">
      <w:pPr>
        <w:keepNext w:val="0"/>
        <w:pageBreakBefore w:val="0"/>
        <w:widowControl w:val="0"/>
        <w:kinsoku/>
        <w:wordWrap/>
        <w:overflowPunct/>
        <w:topLinePunct w:val="0"/>
        <w:bidi w:val="0"/>
        <w:snapToGrid w:val="0"/>
        <w:spacing w:line="360" w:lineRule="auto"/>
        <w:ind w:firstLine="420" w:firstLineChars="200"/>
        <w:textAlignment w:val="auto"/>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50" w:name="_Hlk90988984"/>
      <w:r>
        <w:rPr>
          <w:rFonts w:hint="eastAsia" w:ascii="宋体" w:hAnsi="宋体" w:eastAsia="宋体" w:cs="Times New Roman"/>
          <w:color w:val="auto"/>
          <w:szCs w:val="21"/>
          <w:highlight w:val="none"/>
        </w:rPr>
        <w:t>《中华人民共和国民法典</w:t>
      </w:r>
      <w:bookmarkEnd w:id="50"/>
      <w:r>
        <w:rPr>
          <w:rFonts w:hint="eastAsia" w:ascii="宋体" w:hAnsi="宋体" w:eastAsia="宋体" w:cs="Times New Roman"/>
          <w:color w:val="auto"/>
          <w:szCs w:val="21"/>
          <w:highlight w:val="none"/>
        </w:rPr>
        <w:t>》及</w:t>
      </w:r>
      <w:r>
        <w:rPr>
          <w:rFonts w:hint="eastAsia" w:ascii="宋体" w:hAnsi="宋体" w:eastAsia="宋体" w:cs="Times New Roman"/>
          <w:color w:val="auto"/>
          <w:szCs w:val="21"/>
          <w:highlight w:val="none"/>
          <w:lang w:val="en-US" w:eastAsia="zh-CN"/>
        </w:rPr>
        <w:t>遴选</w:t>
      </w:r>
      <w:r>
        <w:rPr>
          <w:rFonts w:hint="eastAsia" w:ascii="宋体" w:hAnsi="宋体" w:eastAsia="宋体" w:cs="Times New Roman"/>
          <w:color w:val="auto"/>
          <w:szCs w:val="21"/>
          <w:highlight w:val="none"/>
        </w:rPr>
        <w:t>文件、</w:t>
      </w:r>
      <w:r>
        <w:rPr>
          <w:rFonts w:hint="eastAsia" w:ascii="宋体" w:hAnsi="宋体" w:eastAsia="宋体" w:cs="Times New Roman"/>
          <w:color w:val="auto"/>
          <w:szCs w:val="21"/>
          <w:highlight w:val="none"/>
          <w:lang w:val="en-US" w:eastAsia="zh-CN"/>
        </w:rPr>
        <w:t>成交</w:t>
      </w:r>
      <w:r>
        <w:rPr>
          <w:rFonts w:hint="eastAsia" w:ascii="宋体" w:hAnsi="宋体" w:eastAsia="宋体" w:cs="Times New Roman"/>
          <w:color w:val="auto"/>
          <w:szCs w:val="21"/>
          <w:highlight w:val="none"/>
        </w:rPr>
        <w:t>通知书等相关资料的要求，经双方协商一致，签订本合同，共同遵守如下条款</w:t>
      </w:r>
      <w:r>
        <w:rPr>
          <w:rFonts w:hint="eastAsia" w:ascii="宋体" w:hAnsi="宋体" w:eastAsia="宋体"/>
          <w:color w:val="auto"/>
          <w:szCs w:val="21"/>
          <w:highlight w:val="none"/>
        </w:rPr>
        <w:t>。</w:t>
      </w:r>
    </w:p>
    <w:p w14:paraId="4D33449C">
      <w:pPr>
        <w:pStyle w:val="33"/>
        <w:keepNext w:val="0"/>
        <w:pageBreakBefore w:val="0"/>
        <w:widowControl w:val="0"/>
        <w:numPr>
          <w:ilvl w:val="0"/>
          <w:numId w:val="63"/>
        </w:numPr>
        <w:kinsoku/>
        <w:wordWrap/>
        <w:overflowPunct/>
        <w:topLinePunct w:val="0"/>
        <w:bidi w:val="0"/>
        <w:snapToGrid w:val="0"/>
        <w:spacing w:line="360" w:lineRule="auto"/>
        <w:ind w:firstLineChars="0"/>
        <w:textAlignment w:val="auto"/>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33"/>
        <w:keepNext w:val="0"/>
        <w:pageBreakBefore w:val="0"/>
        <w:widowControl w:val="0"/>
        <w:numPr>
          <w:ilvl w:val="0"/>
          <w:numId w:val="64"/>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eastAsia="zh-CN"/>
        </w:rPr>
        <w:t>东莞市消防救援支队2025年战勤保障中心食材配送服务项目</w:t>
      </w:r>
    </w:p>
    <w:p w14:paraId="094315CF">
      <w:pPr>
        <w:pStyle w:val="33"/>
        <w:keepNext w:val="0"/>
        <w:pageBreakBefore w:val="0"/>
        <w:widowControl w:val="0"/>
        <w:numPr>
          <w:ilvl w:val="0"/>
          <w:numId w:val="64"/>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评选</w:t>
      </w:r>
      <w:r>
        <w:rPr>
          <w:rFonts w:hint="eastAsia" w:ascii="宋体" w:hAnsi="宋体" w:eastAsia="宋体"/>
          <w:color w:val="auto"/>
          <w:szCs w:val="21"/>
          <w:highlight w:val="none"/>
        </w:rPr>
        <w:t>编号：</w:t>
      </w:r>
      <w:r>
        <w:rPr>
          <w:rFonts w:hint="eastAsia" w:ascii="宋体" w:hAnsi="宋体" w:eastAsia="宋体"/>
          <w:color w:val="auto"/>
          <w:szCs w:val="21"/>
          <w:highlight w:val="none"/>
          <w:u w:val="single"/>
          <w:lang w:eastAsia="zh-CN"/>
        </w:rPr>
        <w:t>ZHDGZC2025028</w:t>
      </w:r>
    </w:p>
    <w:p w14:paraId="55AA2717">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项目概况</w:t>
      </w:r>
    </w:p>
    <w:p w14:paraId="1FA5E351">
      <w:pPr>
        <w:numPr>
          <w:ilvl w:val="0"/>
          <w:numId w:val="65"/>
        </w:numPr>
        <w:autoSpaceDE w:val="0"/>
        <w:autoSpaceDN w:val="0"/>
        <w:adjustRightInd w:val="0"/>
        <w:snapToGrid w:val="0"/>
        <w:spacing w:line="360" w:lineRule="auto"/>
        <w:contextualSpacing/>
        <w:jc w:val="left"/>
        <w:rPr>
          <w:rFonts w:ascii="宋体" w:hAnsi="宋体" w:eastAsiaTheme="minorEastAsia"/>
          <w:b w:val="0"/>
          <w:bCs/>
          <w:color w:val="auto"/>
          <w:spacing w:val="0"/>
          <w:sz w:val="21"/>
          <w:szCs w:val="21"/>
          <w:highlight w:val="none"/>
        </w:rPr>
      </w:pPr>
      <w:r>
        <w:rPr>
          <w:rFonts w:hint="eastAsia" w:ascii="宋体" w:hAnsi="宋体" w:eastAsiaTheme="minorEastAsia"/>
          <w:b w:val="0"/>
          <w:bCs/>
          <w:color w:val="auto"/>
          <w:spacing w:val="0"/>
          <w:sz w:val="21"/>
          <w:szCs w:val="21"/>
          <w:highlight w:val="none"/>
        </w:rPr>
        <w:t>东莞市消防救援支队通过遴选采购方式</w:t>
      </w:r>
      <w:r>
        <w:rPr>
          <w:rFonts w:hint="eastAsia" w:ascii="宋体" w:hAnsi="宋体"/>
          <w:b w:val="0"/>
          <w:bCs/>
          <w:color w:val="auto"/>
          <w:spacing w:val="0"/>
          <w:sz w:val="21"/>
          <w:szCs w:val="21"/>
          <w:highlight w:val="none"/>
          <w:lang w:val="en-US" w:eastAsia="zh-CN"/>
        </w:rPr>
        <w:t>确定乙方</w:t>
      </w:r>
      <w:r>
        <w:rPr>
          <w:rFonts w:hint="eastAsia" w:ascii="宋体" w:hAnsi="宋体" w:eastAsiaTheme="minorEastAsia"/>
          <w:b w:val="0"/>
          <w:bCs/>
          <w:color w:val="auto"/>
          <w:spacing w:val="0"/>
          <w:sz w:val="21"/>
          <w:szCs w:val="21"/>
          <w:highlight w:val="none"/>
        </w:rPr>
        <w:t>为战勤保障中心饭堂及东莞市沙田码头消防救援站（下称分站）提供食材配送服务（包括但不限于①蔬菜类；②水产类；③鸭猪牛羊肉类；④禽蛋类；⑤米面麦主食类；⑥副食调料类等货物，供应食材以战勤保障中心与分站下单为准），战勤保障中心饭堂及分站食材配送服务费由东莞市消防救援支队和分站分别按月据实结算。</w:t>
      </w:r>
    </w:p>
    <w:p w14:paraId="2003C903">
      <w:pPr>
        <w:numPr>
          <w:ilvl w:val="0"/>
          <w:numId w:val="65"/>
        </w:numPr>
        <w:autoSpaceDE w:val="0"/>
        <w:autoSpaceDN w:val="0"/>
        <w:adjustRightInd w:val="0"/>
        <w:snapToGrid w:val="0"/>
        <w:spacing w:line="360" w:lineRule="auto"/>
        <w:contextualSpacing/>
        <w:jc w:val="left"/>
        <w:rPr>
          <w:rFonts w:ascii="宋体" w:hAnsi="宋体" w:eastAsiaTheme="minorEastAsia"/>
          <w:b w:val="0"/>
          <w:bCs/>
          <w:color w:val="auto"/>
          <w:spacing w:val="0"/>
          <w:sz w:val="21"/>
          <w:szCs w:val="21"/>
          <w:highlight w:val="none"/>
        </w:rPr>
      </w:pPr>
      <w:r>
        <w:rPr>
          <w:rFonts w:hint="eastAsia" w:ascii="宋体" w:hAnsi="宋体"/>
          <w:b w:val="0"/>
          <w:bCs/>
          <w:color w:val="auto"/>
          <w:spacing w:val="0"/>
          <w:sz w:val="21"/>
          <w:szCs w:val="21"/>
          <w:highlight w:val="none"/>
          <w:lang w:val="en-US" w:eastAsia="zh-CN"/>
        </w:rPr>
        <w:t>服务地点：东莞市内甲方指定地点。</w:t>
      </w:r>
    </w:p>
    <w:p w14:paraId="309CB5E3">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总体要求</w:t>
      </w:r>
    </w:p>
    <w:p w14:paraId="06FA96FE">
      <w:pPr>
        <w:numPr>
          <w:ilvl w:val="0"/>
          <w:numId w:val="66"/>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甲方权利和义务</w:t>
      </w:r>
    </w:p>
    <w:p w14:paraId="567F335D">
      <w:pPr>
        <w:numPr>
          <w:ilvl w:val="0"/>
          <w:numId w:val="67"/>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甲方有权随时检查乙方的服务履行情况，并向乙方提出修改。</w:t>
      </w:r>
    </w:p>
    <w:p w14:paraId="68E24D40">
      <w:pPr>
        <w:numPr>
          <w:ilvl w:val="0"/>
          <w:numId w:val="67"/>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当发生服务违约时，则甲方有权按约定在支付乙方合同款项中进行扣款。</w:t>
      </w:r>
    </w:p>
    <w:p w14:paraId="4CBA819E">
      <w:pPr>
        <w:numPr>
          <w:ilvl w:val="0"/>
          <w:numId w:val="67"/>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在乙方提供服务时，如对甲方的设备造成了损坏，甲方有权要求乙方赔偿。</w:t>
      </w:r>
    </w:p>
    <w:p w14:paraId="2A0B5D6C">
      <w:pPr>
        <w:numPr>
          <w:ilvl w:val="0"/>
          <w:numId w:val="67"/>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甲方应按合同规定向乙方支付服务费用。</w:t>
      </w:r>
    </w:p>
    <w:p w14:paraId="110BB59B">
      <w:pPr>
        <w:numPr>
          <w:ilvl w:val="0"/>
          <w:numId w:val="66"/>
        </w:numPr>
        <w:autoSpaceDE w:val="0"/>
        <w:autoSpaceDN w:val="0"/>
        <w:adjustRightInd w:val="0"/>
        <w:snapToGrid w:val="0"/>
        <w:spacing w:line="360" w:lineRule="auto"/>
        <w:contextualSpacing/>
        <w:jc w:val="left"/>
        <w:rPr>
          <w:rFonts w:ascii="宋体" w:hAnsi="宋体"/>
          <w:color w:val="auto"/>
          <w:szCs w:val="21"/>
          <w:highlight w:val="none"/>
        </w:rPr>
      </w:pPr>
      <w:r>
        <w:rPr>
          <w:rFonts w:hint="eastAsia" w:ascii="宋体" w:hAnsi="宋体"/>
          <w:color w:val="auto"/>
          <w:szCs w:val="21"/>
          <w:highlight w:val="none"/>
        </w:rPr>
        <w:t>乙方权利和义务</w:t>
      </w:r>
    </w:p>
    <w:p w14:paraId="0942A5B9">
      <w:pPr>
        <w:numPr>
          <w:ilvl w:val="0"/>
          <w:numId w:val="68"/>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乙方应按</w:t>
      </w:r>
      <w:r>
        <w:rPr>
          <w:rFonts w:hint="eastAsia" w:ascii="宋体" w:hAnsi="宋体" w:eastAsia="宋体" w:cs="Times New Roman"/>
          <w:color w:val="auto"/>
          <w:szCs w:val="21"/>
          <w:highlight w:val="none"/>
          <w:lang w:val="en-US" w:eastAsia="zh-CN"/>
        </w:rPr>
        <w:t>遴选</w:t>
      </w:r>
      <w:r>
        <w:rPr>
          <w:rFonts w:hint="eastAsia" w:ascii="宋体" w:hAnsi="宋体" w:eastAsia="宋体" w:cs="Times New Roman"/>
          <w:color w:val="auto"/>
          <w:szCs w:val="21"/>
          <w:highlight w:val="none"/>
        </w:rPr>
        <w:t>文件</w:t>
      </w:r>
      <w:r>
        <w:rPr>
          <w:rFonts w:hint="eastAsia" w:ascii="宋体" w:hAnsi="宋体"/>
          <w:color w:val="auto"/>
          <w:szCs w:val="21"/>
          <w:highlight w:val="none"/>
        </w:rPr>
        <w:t>的要求和响应文件的承诺进行服务，发生任何服务的变更均须向甲方提出交书面报审报告。</w:t>
      </w:r>
    </w:p>
    <w:p w14:paraId="5CDC5657">
      <w:pPr>
        <w:numPr>
          <w:ilvl w:val="0"/>
          <w:numId w:val="68"/>
        </w:numPr>
        <w:tabs>
          <w:tab w:val="left" w:pos="108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乙方有权要求甲方按时支付服务费用。如甲方不按时支付乙方有权要求甲方支付滞纳金。但服务费得支付应以符合东莞市财政局的相关规定为前提。</w:t>
      </w:r>
    </w:p>
    <w:p w14:paraId="5C1C1E1F">
      <w:pPr>
        <w:numPr>
          <w:ilvl w:val="0"/>
          <w:numId w:val="63"/>
        </w:numPr>
        <w:snapToGrid w:val="0"/>
        <w:spacing w:line="360" w:lineRule="auto"/>
        <w:contextualSpacing/>
        <w:rPr>
          <w:rFonts w:hint="eastAsia" w:ascii="宋体" w:hAnsi="宋体"/>
          <w:b/>
          <w:color w:val="auto"/>
          <w:spacing w:val="20"/>
          <w:szCs w:val="21"/>
          <w:highlight w:val="none"/>
        </w:rPr>
      </w:pPr>
      <w:r>
        <w:rPr>
          <w:rFonts w:hint="eastAsia" w:ascii="宋体" w:hAnsi="宋体"/>
          <w:b/>
          <w:color w:val="auto"/>
          <w:spacing w:val="20"/>
          <w:szCs w:val="21"/>
          <w:highlight w:val="none"/>
          <w:lang w:val="en-US" w:eastAsia="zh-CN"/>
        </w:rPr>
        <w:t>基本服务要求</w:t>
      </w:r>
    </w:p>
    <w:p w14:paraId="46AD271B">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蔬菜类经粗加工后用胶筐包装运输（可用率在97%以上），所有食材符合国家食品卫生标准，不得直接接触地面，且要确保新鲜、色泽好、无异物。水菜类务必抽样检测，确保农药残留量符合食品安全国家标准 食品生产通用卫生规范（GB 14881-2013）。</w:t>
      </w:r>
    </w:p>
    <w:p w14:paraId="5D975B24">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提供的鲜肉类、禽类、水产类、冻品类等肉类需保证每日新鲜，提供的鲜肉类、禽类须为市级或以上行政主管部门准予设立的定点屠宰厂（场）经检疫和肉品品质检验合格的产品，具有由定点屠宰厂（场）加盖验讫印章并出具《畜产品检验证明》或《动物检疫合格证明》，所有产品可以追溯。</w:t>
      </w:r>
    </w:p>
    <w:p w14:paraId="6359A51F">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乙方应保证所提供的鲜肉类、禽类、水产类、冻品类等的多样性和季节性，以保证食材新鲜感。</w:t>
      </w:r>
    </w:p>
    <w:p w14:paraId="7F48E1A0">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粮油、副食、调料由正规厂家生产、供货。</w:t>
      </w:r>
    </w:p>
    <w:p w14:paraId="6029DBF5">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货物有包装的，货物的包装须完整清洁（无损、无污、无皱），甲方有权拒收包装不整齐、已拆封的商品。</w:t>
      </w:r>
    </w:p>
    <w:p w14:paraId="6D8B4F1B">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甲方发现商品出现损坏（包括表面损坏），或出现水渍、串味、受潮等导致货物性质改变的，乙方须无条件退货或更换商品。</w:t>
      </w:r>
    </w:p>
    <w:p w14:paraId="1FC52E5D">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食品溯源要求：食品供应链必须明确，所有食品的来源必须清晰，来源应当是受到地方政府部门监管的流通市场或具有相关资质的厂家生产，食品生产企业必须获得《食品生产许可证》，生产食品的源头与乙方要有固定的合法的供应关系。</w:t>
      </w:r>
    </w:p>
    <w:p w14:paraId="347C4CA9">
      <w:pPr>
        <w:pStyle w:val="33"/>
        <w:keepNext w:val="0"/>
        <w:keepLines w:val="0"/>
        <w:pageBreakBefore w:val="0"/>
        <w:widowControl w:val="0"/>
        <w:numPr>
          <w:ilvl w:val="0"/>
          <w:numId w:val="69"/>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lang w:val="en-US" w:eastAsia="zh-CN"/>
        </w:rPr>
      </w:pPr>
      <w:r>
        <w:rPr>
          <w:rFonts w:hint="eastAsia" w:ascii="宋体" w:hAnsi="宋体" w:eastAsia="宋体" w:cs="宋体"/>
          <w:iCs/>
          <w:color w:val="auto"/>
          <w:sz w:val="21"/>
          <w:szCs w:val="21"/>
          <w:highlight w:val="none"/>
          <w:lang w:val="en-US" w:eastAsia="zh-CN"/>
        </w:rPr>
        <w:t>乙方应保存与甲方的采购合同及送货单据、销售发票备查。货物由乙方向第三方采购的，还需保存：①与生产企业的销售合同；②生产企业的送货单和销售发票。</w:t>
      </w:r>
    </w:p>
    <w:p w14:paraId="0911D949">
      <w:pPr>
        <w:numPr>
          <w:ilvl w:val="0"/>
          <w:numId w:val="63"/>
        </w:numPr>
        <w:snapToGrid w:val="0"/>
        <w:spacing w:line="360" w:lineRule="auto"/>
        <w:contextualSpacing/>
        <w:rPr>
          <w:rFonts w:hint="eastAsia" w:ascii="宋体" w:hAnsi="宋体"/>
          <w:b/>
          <w:color w:val="auto"/>
          <w:spacing w:val="20"/>
          <w:szCs w:val="21"/>
          <w:highlight w:val="none"/>
          <w:lang w:val="en-US" w:eastAsia="zh-CN"/>
        </w:rPr>
      </w:pPr>
      <w:r>
        <w:rPr>
          <w:rFonts w:hint="eastAsia" w:ascii="宋体" w:hAnsi="宋体"/>
          <w:b/>
          <w:color w:val="auto"/>
          <w:spacing w:val="20"/>
          <w:szCs w:val="21"/>
          <w:highlight w:val="none"/>
          <w:lang w:val="en-US" w:eastAsia="zh-CN"/>
        </w:rPr>
        <w:t>质量、数量和包装要求</w:t>
      </w:r>
    </w:p>
    <w:p w14:paraId="00EA7C45">
      <w:pPr>
        <w:pStyle w:val="33"/>
        <w:keepNext w:val="0"/>
        <w:keepLines w:val="0"/>
        <w:pageBreakBefore w:val="0"/>
        <w:widowControl w:val="0"/>
        <w:numPr>
          <w:ilvl w:val="0"/>
          <w:numId w:val="7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质量要求：</w:t>
      </w:r>
      <w:r>
        <w:rPr>
          <w:rFonts w:hint="eastAsia" w:ascii="宋体" w:hAnsi="宋体" w:eastAsia="宋体" w:cs="宋体"/>
          <w:bCs/>
          <w:color w:val="auto"/>
          <w:szCs w:val="21"/>
          <w:highlight w:val="none"/>
          <w:lang w:eastAsia="zh-CN"/>
        </w:rPr>
        <w:t>乙方</w:t>
      </w:r>
      <w:r>
        <w:rPr>
          <w:rFonts w:hint="eastAsia" w:ascii="宋体" w:hAnsi="宋体" w:eastAsia="宋体" w:cs="宋体"/>
          <w:bCs/>
          <w:color w:val="auto"/>
          <w:szCs w:val="21"/>
          <w:highlight w:val="none"/>
        </w:rPr>
        <w:t>必须遵守国家规定的《中华人民共和国食品安全法》《农产品质量安全法》等法律和行政法规的规定，提供的货品必须符合国家有关卫生标准，保质、保量、保鲜，严禁配送假冒、变质、过期的农副产品。对于验收不合格的货品，</w:t>
      </w:r>
      <w:r>
        <w:rPr>
          <w:rFonts w:hint="eastAsia" w:ascii="宋体" w:hAnsi="宋体" w:eastAsia="宋体" w:cs="宋体"/>
          <w:bCs/>
          <w:color w:val="auto"/>
          <w:szCs w:val="21"/>
          <w:highlight w:val="none"/>
          <w:lang w:eastAsia="zh-CN"/>
        </w:rPr>
        <w:t>乙方</w:t>
      </w:r>
      <w:r>
        <w:rPr>
          <w:rFonts w:hint="eastAsia" w:ascii="宋体" w:hAnsi="宋体" w:eastAsia="宋体" w:cs="宋体"/>
          <w:bCs/>
          <w:color w:val="auto"/>
          <w:szCs w:val="21"/>
          <w:highlight w:val="none"/>
        </w:rPr>
        <w:t>必须无条件包退包换。具体要求如下：</w:t>
      </w:r>
    </w:p>
    <w:p w14:paraId="6D36D65C">
      <w:pPr>
        <w:pStyle w:val="33"/>
        <w:keepNext w:val="0"/>
        <w:keepLines w:val="0"/>
        <w:pageBreakBefore w:val="0"/>
        <w:widowControl w:val="0"/>
        <w:numPr>
          <w:ilvl w:val="0"/>
          <w:numId w:val="7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冻品类为一级以上的优质品，有生产厂家、生产日期和保质期。</w:t>
      </w:r>
    </w:p>
    <w:p w14:paraId="0A93C0AF">
      <w:pPr>
        <w:pStyle w:val="33"/>
        <w:keepNext w:val="0"/>
        <w:keepLines w:val="0"/>
        <w:pageBreakBefore w:val="0"/>
        <w:widowControl w:val="0"/>
        <w:numPr>
          <w:ilvl w:val="0"/>
          <w:numId w:val="7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水产类须鲜活（利用率不低于95%）。</w:t>
      </w:r>
    </w:p>
    <w:p w14:paraId="053CD068">
      <w:pPr>
        <w:pStyle w:val="33"/>
        <w:keepNext w:val="0"/>
        <w:keepLines w:val="0"/>
        <w:pageBreakBefore w:val="0"/>
        <w:widowControl w:val="0"/>
        <w:numPr>
          <w:ilvl w:val="0"/>
          <w:numId w:val="7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鲜肉类、禽类全部来源于正规肉联厂，保证为当日新鲜肉，并提供政府检疫部门出示的检疫合格证明（鲜肉类利用率不低于98%）。</w:t>
      </w:r>
    </w:p>
    <w:p w14:paraId="67018157">
      <w:pPr>
        <w:pStyle w:val="33"/>
        <w:keepNext w:val="0"/>
        <w:keepLines w:val="0"/>
        <w:pageBreakBefore w:val="0"/>
        <w:widowControl w:val="0"/>
        <w:numPr>
          <w:ilvl w:val="0"/>
          <w:numId w:val="7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畜、禽货物须符合《食品安全国家标准 鲜（冻）畜、禽产品》（GB 2707-2016），水产品须符合《食品安全国家标准 鲜、冻动物性水产品》（GB 2733-2015）的要求。</w:t>
      </w:r>
    </w:p>
    <w:p w14:paraId="463E6BD6">
      <w:pPr>
        <w:pStyle w:val="33"/>
        <w:keepNext w:val="0"/>
        <w:keepLines w:val="0"/>
        <w:pageBreakBefore w:val="0"/>
        <w:widowControl w:val="0"/>
        <w:numPr>
          <w:ilvl w:val="0"/>
          <w:numId w:val="7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对于不符合</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质量要求的品种可无偿退货或换货，如换货</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须在</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规定的时间内把合格的货物送到目的地。</w:t>
      </w:r>
    </w:p>
    <w:p w14:paraId="3EECC0AD">
      <w:pPr>
        <w:pStyle w:val="33"/>
        <w:keepNext w:val="0"/>
        <w:keepLines w:val="0"/>
        <w:pageBreakBefore w:val="0"/>
        <w:widowControl w:val="0"/>
        <w:numPr>
          <w:ilvl w:val="0"/>
          <w:numId w:val="71"/>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如双方对质量有争议，需将货物送至</w:t>
      </w:r>
      <w:r>
        <w:rPr>
          <w:rFonts w:hint="eastAsia" w:ascii="宋体" w:hAnsi="宋体" w:eastAsia="宋体" w:cs="宋体"/>
          <w:iCs/>
          <w:color w:val="auto"/>
          <w:szCs w:val="21"/>
          <w:highlight w:val="none"/>
        </w:rPr>
        <w:t>广东省东莞市质量监督检测中</w:t>
      </w:r>
      <w:r>
        <w:rPr>
          <w:rFonts w:hint="eastAsia" w:ascii="宋体" w:hAnsi="宋体" w:eastAsia="宋体" w:cs="宋体"/>
          <w:color w:val="auto"/>
          <w:sz w:val="21"/>
          <w:szCs w:val="21"/>
          <w:highlight w:val="none"/>
        </w:rPr>
        <w:t>的，检测费用由</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支付，</w:t>
      </w:r>
      <w:r>
        <w:rPr>
          <w:rFonts w:hint="eastAsia" w:ascii="宋体" w:hAnsi="宋体" w:eastAsia="宋体" w:cs="宋体"/>
          <w:color w:val="auto"/>
          <w:sz w:val="21"/>
          <w:szCs w:val="21"/>
          <w:highlight w:val="none"/>
          <w:lang w:val="en-US" w:eastAsia="zh-CN"/>
        </w:rPr>
        <w:t>检测不合格的，</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将该批次货物退货，</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需重新配送合格货物。</w:t>
      </w:r>
    </w:p>
    <w:p w14:paraId="2905BA27">
      <w:pPr>
        <w:pStyle w:val="33"/>
        <w:keepNext w:val="0"/>
        <w:keepLines w:val="0"/>
        <w:pageBreakBefore w:val="0"/>
        <w:widowControl w:val="0"/>
        <w:numPr>
          <w:ilvl w:val="0"/>
          <w:numId w:val="7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数量要求</w:t>
      </w:r>
    </w:p>
    <w:p w14:paraId="1F25B163">
      <w:pPr>
        <w:pStyle w:val="33"/>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应保证斤、两的准确性。</w:t>
      </w:r>
    </w:p>
    <w:p w14:paraId="77231BB9">
      <w:pPr>
        <w:pStyle w:val="33"/>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以</w:t>
      </w:r>
      <w:r>
        <w:rPr>
          <w:rFonts w:hint="eastAsia" w:ascii="宋体" w:hAnsi="宋体" w:eastAsia="宋体" w:cs="宋体"/>
          <w:color w:val="auto"/>
          <w:sz w:val="21"/>
          <w:szCs w:val="21"/>
          <w:highlight w:val="none"/>
          <w:lang w:eastAsia="zh-CN"/>
        </w:rPr>
        <w:t>甲方</w:t>
      </w:r>
      <w:r>
        <w:rPr>
          <w:rFonts w:hint="eastAsia" w:ascii="宋体" w:hAnsi="宋体" w:eastAsia="宋体" w:cs="宋体"/>
          <w:color w:val="auto"/>
          <w:sz w:val="21"/>
          <w:szCs w:val="21"/>
          <w:highlight w:val="none"/>
        </w:rPr>
        <w:t>的验收数量为准，</w:t>
      </w:r>
      <w:r>
        <w:rPr>
          <w:rFonts w:hint="eastAsia" w:ascii="宋体" w:hAnsi="宋体" w:eastAsia="宋体" w:cs="宋体"/>
          <w:color w:val="auto"/>
          <w:sz w:val="21"/>
          <w:szCs w:val="21"/>
          <w:highlight w:val="none"/>
          <w:lang w:eastAsia="zh-CN"/>
        </w:rPr>
        <w:t>乙方</w:t>
      </w:r>
      <w:r>
        <w:rPr>
          <w:rFonts w:hint="eastAsia" w:ascii="宋体" w:hAnsi="宋体" w:eastAsia="宋体" w:cs="宋体"/>
          <w:color w:val="auto"/>
          <w:sz w:val="21"/>
          <w:szCs w:val="21"/>
          <w:highlight w:val="none"/>
        </w:rPr>
        <w:t>每次随货携带一式两联的送货清单，食品经双方验收后须签字确认。</w:t>
      </w:r>
    </w:p>
    <w:p w14:paraId="3252B8DC">
      <w:pPr>
        <w:pStyle w:val="33"/>
        <w:keepNext w:val="0"/>
        <w:keepLines w:val="0"/>
        <w:pageBreakBefore w:val="0"/>
        <w:widowControl w:val="0"/>
        <w:numPr>
          <w:ilvl w:val="0"/>
          <w:numId w:val="72"/>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送货清单双方各持一份，全部作为收货与货款结算的凭证。</w:t>
      </w:r>
    </w:p>
    <w:p w14:paraId="546D2208">
      <w:pPr>
        <w:pStyle w:val="33"/>
        <w:keepNext w:val="0"/>
        <w:keepLines w:val="0"/>
        <w:pageBreakBefore w:val="0"/>
        <w:widowControl w:val="0"/>
        <w:numPr>
          <w:ilvl w:val="0"/>
          <w:numId w:val="7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包装要求</w:t>
      </w:r>
    </w:p>
    <w:p w14:paraId="2D2BBABC">
      <w:pPr>
        <w:pStyle w:val="33"/>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包装应清洁、卫生，无破漏；标签须标明产品名称、净含量、生产商名称和地址、生产日期、保质期、产品标准号等内容；剩余保质期不得少于原保质期的</w:t>
      </w:r>
      <w:r>
        <w:rPr>
          <w:rFonts w:hint="eastAsia" w:ascii="宋体" w:hAnsi="宋体" w:eastAsia="宋体" w:cs="宋体"/>
          <w:color w:val="auto"/>
          <w:sz w:val="21"/>
          <w:szCs w:val="21"/>
          <w:highlight w:val="none"/>
          <w:lang w:val="en-US" w:eastAsia="zh-CN"/>
        </w:rPr>
        <w:t>80%</w:t>
      </w:r>
      <w:r>
        <w:rPr>
          <w:rFonts w:hint="eastAsia" w:ascii="宋体" w:hAnsi="宋体" w:eastAsia="宋体" w:cs="宋体"/>
          <w:color w:val="auto"/>
          <w:sz w:val="21"/>
          <w:szCs w:val="21"/>
          <w:highlight w:val="none"/>
        </w:rPr>
        <w:t>。</w:t>
      </w:r>
    </w:p>
    <w:p w14:paraId="337FD552">
      <w:pPr>
        <w:pStyle w:val="33"/>
        <w:keepNext w:val="0"/>
        <w:keepLines w:val="0"/>
        <w:pageBreakBefore w:val="0"/>
        <w:widowControl w:val="0"/>
        <w:numPr>
          <w:ilvl w:val="0"/>
          <w:numId w:val="70"/>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highlight w:val="none"/>
        </w:rPr>
        <w:t>食品溯源</w:t>
      </w:r>
      <w:r>
        <w:rPr>
          <w:rFonts w:hint="eastAsia" w:ascii="宋体" w:hAnsi="宋体" w:eastAsia="宋体" w:cs="宋体"/>
          <w:color w:val="auto"/>
          <w:sz w:val="21"/>
          <w:szCs w:val="21"/>
          <w:highlight w:val="none"/>
          <w:lang w:val="en-US" w:eastAsia="zh-CN"/>
        </w:rPr>
        <w:t>要求</w:t>
      </w:r>
    </w:p>
    <w:p w14:paraId="758811B0">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食品供应链必须明确，所有食品的来源必须清晰，来源应当是受到地方政府部门监管的流通市场或具有相关资质的供应商，中标人与食材供应商要有固定的合法的供应关系。</w:t>
      </w:r>
    </w:p>
    <w:p w14:paraId="416E0207">
      <w:pPr>
        <w:pStyle w:val="33"/>
        <w:keepNext w:val="0"/>
        <w:keepLines w:val="0"/>
        <w:pageBreakBefore w:val="0"/>
        <w:widowControl w:val="0"/>
        <w:numPr>
          <w:ilvl w:val="0"/>
          <w:numId w:val="18"/>
        </w:numPr>
        <w:kinsoku/>
        <w:wordWrap/>
        <w:overflowPunct/>
        <w:topLinePunct w:val="0"/>
        <w:autoSpaceDE/>
        <w:autoSpaceDN/>
        <w:bidi w:val="0"/>
        <w:adjustRightInd/>
        <w:snapToGrid w:val="0"/>
        <w:spacing w:line="360" w:lineRule="auto"/>
        <w:ind w:left="425" w:leftChars="0" w:hanging="425" w:firstLineChars="0"/>
        <w:contextualSpacing/>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中标人应保存以下资料备查：①食材购销合同（或协议）；②相关的送货单和销售发票；③与采购人的采购合同及送货单据、销售发票。</w:t>
      </w:r>
    </w:p>
    <w:p w14:paraId="139DB801">
      <w:pPr>
        <w:numPr>
          <w:ilvl w:val="0"/>
          <w:numId w:val="63"/>
        </w:numPr>
        <w:snapToGrid w:val="0"/>
        <w:spacing w:line="360" w:lineRule="auto"/>
        <w:contextualSpacing/>
        <w:rPr>
          <w:rFonts w:hint="eastAsia" w:ascii="宋体" w:hAnsi="宋体"/>
          <w:b/>
          <w:color w:val="auto"/>
          <w:spacing w:val="20"/>
          <w:szCs w:val="21"/>
          <w:highlight w:val="none"/>
          <w:lang w:val="en-US" w:eastAsia="zh-CN"/>
        </w:rPr>
      </w:pPr>
      <w:r>
        <w:rPr>
          <w:rFonts w:hint="eastAsia" w:ascii="宋体" w:hAnsi="宋体"/>
          <w:b/>
          <w:color w:val="auto"/>
          <w:spacing w:val="20"/>
          <w:szCs w:val="21"/>
          <w:highlight w:val="none"/>
          <w:lang w:val="en-US" w:eastAsia="zh-CN"/>
        </w:rPr>
        <w:t>配送服务要求</w:t>
      </w:r>
    </w:p>
    <w:p w14:paraId="58C1E718">
      <w:pPr>
        <w:pStyle w:val="33"/>
        <w:keepNext w:val="0"/>
        <w:keepLines w:val="0"/>
        <w:pageBreakBefore w:val="0"/>
        <w:widowControl w:val="0"/>
        <w:numPr>
          <w:ilvl w:val="0"/>
          <w:numId w:val="7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应当在甲方规定时间（每天8：30）前送货到甲方指定地点以备查验；根据甲方实际情况，按照与甲方的约定，在规定的时间内将预定的货物如数送到指定地点。除发生客观不可抗力的情况外，乙方不得推迟送货。如因特殊原因确需延迟送货的，须提前知会甲方并征得甲方同意，由于乙方延迟造成甲方利益受损的，甲方有权要求乙方赔偿。甲方如遇特殊情况需推迟或取消送货，应提前至少24小时通知乙方。</w:t>
      </w:r>
    </w:p>
    <w:p w14:paraId="42F2A3C6">
      <w:pPr>
        <w:pStyle w:val="33"/>
        <w:keepNext w:val="0"/>
        <w:keepLines w:val="0"/>
        <w:pageBreakBefore w:val="0"/>
        <w:widowControl w:val="0"/>
        <w:numPr>
          <w:ilvl w:val="0"/>
          <w:numId w:val="7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肉类一般每天每个食堂送货1次；蔬菜类一般每天每个食堂送货1次，甲方在前一天12：00前确认采购订单。每次订单不论数量多少，乙方都必须按甲方要求配送。对于临时性采购订单，乙方须积极配合，按照甲方要求按时、按质、按量将货品配送到指定地点。</w:t>
      </w:r>
    </w:p>
    <w:p w14:paraId="4D76E63F">
      <w:pPr>
        <w:pStyle w:val="33"/>
        <w:keepNext w:val="0"/>
        <w:keepLines w:val="0"/>
        <w:pageBreakBefore w:val="0"/>
        <w:widowControl w:val="0"/>
        <w:numPr>
          <w:ilvl w:val="0"/>
          <w:numId w:val="7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负责货品配送前的仓储，甲方不提供仓库。整个配送运输过程应科学合理，配送车辆管理良好，必须采用符合卫生要求的专用冷藏、冷冻载具运输，保持清洁和定期消毒，车厢内无不良气味、异味，应当有必要的保温设备并在整个运输过程中保持安全的冷藏、冷冻温度。货物到达目的地时外包装箱干爽，无软化现象。在甲方签收之前，货物的所有权和风险属于乙方，货物发生遗失、损坏由乙方负责。</w:t>
      </w:r>
    </w:p>
    <w:p w14:paraId="47EA10A4">
      <w:pPr>
        <w:pStyle w:val="33"/>
        <w:keepNext w:val="0"/>
        <w:keepLines w:val="0"/>
        <w:pageBreakBefore w:val="0"/>
        <w:widowControl w:val="0"/>
        <w:numPr>
          <w:ilvl w:val="0"/>
          <w:numId w:val="7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须严格按照甲方的订单配送货品，不得随意增减数量或改变品种。如因市场流通问题确实需要变更供货内容的，乙方应在得知情况的同时书面告知甲方并征得甲方同意后方可变更，否则，甲方有权拒收，由此产生的一切损失和费用由乙方承担。</w:t>
      </w:r>
    </w:p>
    <w:p w14:paraId="16CBF728">
      <w:pPr>
        <w:pStyle w:val="33"/>
        <w:keepNext w:val="0"/>
        <w:keepLines w:val="0"/>
        <w:pageBreakBefore w:val="0"/>
        <w:widowControl w:val="0"/>
        <w:numPr>
          <w:ilvl w:val="0"/>
          <w:numId w:val="7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无论甲方所采购的食品原材料数量多少，乙方应无条件为甲方送货。</w:t>
      </w:r>
    </w:p>
    <w:p w14:paraId="4669A53A">
      <w:pPr>
        <w:pStyle w:val="33"/>
        <w:keepNext w:val="0"/>
        <w:keepLines w:val="0"/>
        <w:pageBreakBefore w:val="0"/>
        <w:widowControl w:val="0"/>
        <w:numPr>
          <w:ilvl w:val="0"/>
          <w:numId w:val="7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乙方应明确配送人员岗位职责，且必须是固定专人长期送货，不得指派来路不明的临时人员送货，如需更换配送人员，需经得甲方同意后方可更换。</w:t>
      </w:r>
    </w:p>
    <w:p w14:paraId="5DB46B7B">
      <w:pPr>
        <w:pStyle w:val="33"/>
        <w:keepNext w:val="0"/>
        <w:keepLines w:val="0"/>
        <w:pageBreakBefore w:val="0"/>
        <w:widowControl w:val="0"/>
        <w:numPr>
          <w:ilvl w:val="0"/>
          <w:numId w:val="73"/>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食材装车及卸货应轻拿轻放，降低货损。</w:t>
      </w:r>
    </w:p>
    <w:p w14:paraId="06285CE0">
      <w:pPr>
        <w:numPr>
          <w:ilvl w:val="0"/>
          <w:numId w:val="63"/>
        </w:numPr>
        <w:snapToGrid w:val="0"/>
        <w:spacing w:line="360" w:lineRule="auto"/>
        <w:contextualSpacing/>
        <w:rPr>
          <w:rFonts w:hint="eastAsia" w:ascii="宋体" w:hAnsi="宋体"/>
          <w:b/>
          <w:color w:val="auto"/>
          <w:spacing w:val="20"/>
          <w:szCs w:val="21"/>
          <w:highlight w:val="none"/>
          <w:lang w:val="en-US" w:eastAsia="zh-CN"/>
        </w:rPr>
      </w:pPr>
      <w:r>
        <w:rPr>
          <w:rFonts w:hint="default" w:ascii="宋体" w:hAnsi="宋体"/>
          <w:b/>
          <w:color w:val="auto"/>
          <w:spacing w:val="20"/>
          <w:szCs w:val="21"/>
          <w:highlight w:val="none"/>
          <w:lang w:val="en-US" w:eastAsia="zh-CN"/>
        </w:rPr>
        <w:t>合同的解</w:t>
      </w:r>
      <w:r>
        <w:rPr>
          <w:rFonts w:hint="eastAsia" w:ascii="宋体" w:hAnsi="宋体"/>
          <w:b/>
          <w:color w:val="auto"/>
          <w:spacing w:val="20"/>
          <w:szCs w:val="21"/>
          <w:highlight w:val="none"/>
          <w:lang w:val="en-US" w:eastAsia="zh-CN"/>
        </w:rPr>
        <w:t>除</w:t>
      </w:r>
    </w:p>
    <w:p w14:paraId="64684F5E">
      <w:pPr>
        <w:pStyle w:val="33"/>
        <w:keepNext w:val="0"/>
        <w:keepLines w:val="0"/>
        <w:pageBreakBefore w:val="0"/>
        <w:widowControl w:val="0"/>
        <w:numPr>
          <w:ilvl w:val="0"/>
          <w:numId w:val="7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乙方存在以下违约行为的，甲方有权解除合同、取消乙方供货资格，</w:t>
      </w:r>
      <w:r>
        <w:rPr>
          <w:rFonts w:hint="default" w:ascii="宋体" w:hAnsi="宋体" w:eastAsia="宋体" w:cs="宋体"/>
          <w:bCs/>
          <w:color w:val="auto"/>
          <w:sz w:val="21"/>
          <w:szCs w:val="21"/>
          <w:highlight w:val="none"/>
          <w:lang w:val="en-US" w:eastAsia="zh-CN"/>
        </w:rPr>
        <w:t>由此给甲方造成损失的</w:t>
      </w:r>
      <w:r>
        <w:rPr>
          <w:rFonts w:hint="eastAsia" w:ascii="宋体" w:hAnsi="宋体" w:eastAsia="宋体" w:cs="宋体"/>
          <w:bCs/>
          <w:color w:val="auto"/>
          <w:sz w:val="21"/>
          <w:szCs w:val="21"/>
          <w:highlight w:val="none"/>
          <w:lang w:val="en-US" w:eastAsia="zh-CN"/>
        </w:rPr>
        <w:t>，乙方需承担赔偿责任。</w:t>
      </w:r>
    </w:p>
    <w:p w14:paraId="734CA55F">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在收到订货要求后，在承诺的供货时间内不能供货的；</w:t>
      </w:r>
    </w:p>
    <w:p w14:paraId="1156B6B0">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货物质量验收不合格，退货数量超过50%（含本数）的；</w:t>
      </w:r>
    </w:p>
    <w:p w14:paraId="2F051703">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提供虚假检验报告等相关票证；</w:t>
      </w:r>
    </w:p>
    <w:p w14:paraId="7635F16A">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在包装、运输、装卸等环节不符合食品安全要求；</w:t>
      </w:r>
    </w:p>
    <w:p w14:paraId="524E6A32">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食品溯源管理制度不落实，进货查验记录不全；</w:t>
      </w:r>
    </w:p>
    <w:p w14:paraId="65E2EA25">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送货专员在甲方单位活动但不遵守甲方单位各项规章制度或做出有损甲方形象和利益的事情的；</w:t>
      </w:r>
    </w:p>
    <w:p w14:paraId="2FFEB0FF">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乙方提供过期、变质的、有毒食品的，未按甲方要求无条件退货或换货；</w:t>
      </w:r>
    </w:p>
    <w:p w14:paraId="1B11E5B8">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乙方未经甲方书面同意将本合同项下权利、义务进行转包、分包；</w:t>
      </w:r>
    </w:p>
    <w:p w14:paraId="3AA194E1">
      <w:pPr>
        <w:keepNext w:val="0"/>
        <w:keepLines w:val="0"/>
        <w:pageBreakBefore w:val="0"/>
        <w:widowControl w:val="0"/>
        <w:numPr>
          <w:ilvl w:val="0"/>
          <w:numId w:val="75"/>
        </w:numPr>
        <w:tabs>
          <w:tab w:val="left" w:pos="426"/>
        </w:tabs>
        <w:kinsoku/>
        <w:wordWrap/>
        <w:overflowPunct/>
        <w:topLinePunct w:val="0"/>
        <w:autoSpaceDE/>
        <w:autoSpaceDN/>
        <w:bidi w:val="0"/>
        <w:adjustRightInd/>
        <w:snapToGrid w:val="0"/>
        <w:spacing w:line="360" w:lineRule="auto"/>
        <w:ind w:left="425" w:leftChars="0" w:hanging="425" w:firstLineChars="0"/>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其他违反合同的行为，且拒不整改。</w:t>
      </w:r>
    </w:p>
    <w:p w14:paraId="6A30D52F">
      <w:pPr>
        <w:pStyle w:val="33"/>
        <w:keepNext w:val="0"/>
        <w:keepLines w:val="0"/>
        <w:pageBreakBefore w:val="0"/>
        <w:widowControl w:val="0"/>
        <w:numPr>
          <w:ilvl w:val="0"/>
          <w:numId w:val="7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乙方提供过期、变质的、有毒食品的，一经发现，除按甲方要求无条件退货或换货外，乙方需承担当次供应食品货款2倍的违约金（违约金由甲方在供货结算款内扣除），甲方视情节对本项目合同享有单方解约权。</w:t>
      </w:r>
    </w:p>
    <w:p w14:paraId="594FAD0D">
      <w:pPr>
        <w:pStyle w:val="33"/>
        <w:keepNext w:val="0"/>
        <w:keepLines w:val="0"/>
        <w:pageBreakBefore w:val="0"/>
        <w:widowControl w:val="0"/>
        <w:numPr>
          <w:ilvl w:val="0"/>
          <w:numId w:val="7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若乙方提供有毒食品，造成食品安全事故的，经</w:t>
      </w:r>
      <w:r>
        <w:rPr>
          <w:rFonts w:hint="eastAsia" w:ascii="宋体" w:hAnsi="宋体" w:eastAsia="宋体" w:cs="宋体"/>
          <w:iCs/>
          <w:color w:val="auto"/>
          <w:szCs w:val="21"/>
          <w:highlight w:val="none"/>
        </w:rPr>
        <w:t>广东省东莞市质量监督检测中心</w:t>
      </w:r>
      <w:r>
        <w:rPr>
          <w:rFonts w:hint="eastAsia" w:ascii="宋体" w:hAnsi="宋体" w:eastAsia="宋体" w:cs="宋体"/>
          <w:bCs/>
          <w:color w:val="auto"/>
          <w:sz w:val="21"/>
          <w:szCs w:val="21"/>
          <w:highlight w:val="none"/>
          <w:lang w:val="en-US" w:eastAsia="zh-CN"/>
        </w:rPr>
        <w:t>或主管部门鉴定原因后，如确实为乙方提供的食品问题，乙方须负担全数的医药费，甲方将取消该乙方的供货资格并解除合同，乙方同时承担相应的民事及刑事法律责任。</w:t>
      </w:r>
    </w:p>
    <w:p w14:paraId="27C78B4D">
      <w:pPr>
        <w:pStyle w:val="33"/>
        <w:keepNext w:val="0"/>
        <w:keepLines w:val="0"/>
        <w:pageBreakBefore w:val="0"/>
        <w:widowControl w:val="0"/>
        <w:numPr>
          <w:ilvl w:val="0"/>
          <w:numId w:val="7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由于乙方的原因（包括但不限经营亏损、人员变动等因素），导致双方签订的合同终止，乙方因此而遭受的损失，将由乙方独立承担，甲方对此不负任何责任，也不作任何赔偿。</w:t>
      </w:r>
    </w:p>
    <w:p w14:paraId="1AED06D0">
      <w:pPr>
        <w:pStyle w:val="33"/>
        <w:keepNext w:val="0"/>
        <w:keepLines w:val="0"/>
        <w:pageBreakBefore w:val="0"/>
        <w:widowControl w:val="0"/>
        <w:numPr>
          <w:ilvl w:val="0"/>
          <w:numId w:val="74"/>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合作期间，任何一方不得无故单方面终止合同，如单方面需终止合同，需经双方协商一致，并至少提前一个月以书面形式通知对方，否则违约方需向守约方赔偿支付上月食材货款三倍金额的违约金。</w:t>
      </w:r>
    </w:p>
    <w:p w14:paraId="19DD0EC9">
      <w:pPr>
        <w:numPr>
          <w:ilvl w:val="0"/>
          <w:numId w:val="63"/>
        </w:numPr>
        <w:snapToGrid w:val="0"/>
        <w:spacing w:line="360" w:lineRule="auto"/>
        <w:contextualSpacing/>
        <w:rPr>
          <w:rFonts w:hint="eastAsia" w:ascii="宋体" w:hAnsi="宋体"/>
          <w:b/>
          <w:color w:val="auto"/>
          <w:spacing w:val="20"/>
          <w:szCs w:val="21"/>
          <w:highlight w:val="none"/>
          <w:lang w:val="en-US" w:eastAsia="zh-CN"/>
        </w:rPr>
      </w:pPr>
      <w:r>
        <w:rPr>
          <w:rFonts w:hint="eastAsia" w:ascii="宋体" w:hAnsi="宋体"/>
          <w:b/>
          <w:color w:val="auto"/>
          <w:spacing w:val="20"/>
          <w:szCs w:val="21"/>
          <w:highlight w:val="none"/>
          <w:lang w:val="en-US" w:eastAsia="zh-CN"/>
        </w:rPr>
        <w:t>其他服务要求</w:t>
      </w:r>
    </w:p>
    <w:p w14:paraId="63D0AC8E">
      <w:pPr>
        <w:pStyle w:val="33"/>
        <w:keepNext w:val="0"/>
        <w:keepLines w:val="0"/>
        <w:pageBreakBefore w:val="0"/>
        <w:widowControl w:val="0"/>
        <w:numPr>
          <w:ilvl w:val="0"/>
          <w:numId w:val="76"/>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乙方需为本项目拟定总体服务方案，包括履约计划、服务团队架构、服务人员管理、考核奖惩制度等，乙方应针对本项目采购需求要求，提出科学可行的服务计划，服务团队人员充足，同类项目经验丰富，针对服务人员工作情况有行之有效的管理及考核奖惩制度。</w:t>
      </w:r>
    </w:p>
    <w:p w14:paraId="35D88912">
      <w:pPr>
        <w:pStyle w:val="33"/>
        <w:keepNext w:val="0"/>
        <w:keepLines w:val="0"/>
        <w:pageBreakBefore w:val="0"/>
        <w:widowControl w:val="0"/>
        <w:numPr>
          <w:ilvl w:val="0"/>
          <w:numId w:val="76"/>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针对本项目涉及食材，乙方应具备完善的溯源体系，确保食材来源及去向均可查，发现问题做到及时召回，避免食品安全问题出现，防止问题恶化、影响扩大。</w:t>
      </w:r>
    </w:p>
    <w:p w14:paraId="2936F342">
      <w:pPr>
        <w:pStyle w:val="33"/>
        <w:keepNext w:val="0"/>
        <w:keepLines w:val="0"/>
        <w:pageBreakBefore w:val="0"/>
        <w:widowControl w:val="0"/>
        <w:numPr>
          <w:ilvl w:val="0"/>
          <w:numId w:val="76"/>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乙方在食材配送服务中应执行符合国家、地方及行业相关标准的生产、加工、存储、运输标准和指定，做好履约中的食品安全质量保障工作。</w:t>
      </w:r>
    </w:p>
    <w:p w14:paraId="5ABFDF78">
      <w:pPr>
        <w:pStyle w:val="33"/>
        <w:keepNext w:val="0"/>
        <w:keepLines w:val="0"/>
        <w:pageBreakBefore w:val="0"/>
        <w:widowControl w:val="0"/>
        <w:numPr>
          <w:ilvl w:val="0"/>
          <w:numId w:val="76"/>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乙方需为本项目组织专门的售后服务团队，负责解答、解决甲方在项目履约过程中遇到的问题，如需乙方前往现场处理的，乙方应在接到甲方要求后</w:t>
      </w:r>
      <w:r>
        <w:rPr>
          <w:rFonts w:hint="eastAsia" w:asciiTheme="minorEastAsia" w:hAnsiTheme="minorEastAsia"/>
          <w:color w:val="auto"/>
          <w:highlight w:val="none"/>
          <w:u w:val="single"/>
          <w:lang w:val="en-US" w:eastAsia="zh-CN"/>
        </w:rPr>
        <w:t xml:space="preserve">   </w:t>
      </w:r>
      <w:r>
        <w:rPr>
          <w:rFonts w:hint="eastAsia" w:asciiTheme="minorEastAsia" w:hAnsiTheme="minorEastAsia"/>
          <w:color w:val="auto"/>
          <w:highlight w:val="none"/>
          <w:lang w:val="en-US" w:eastAsia="zh-CN"/>
        </w:rPr>
        <w:t>小时内到达甲方指定地点，乙方须对货品质量问题应迅速响应，尽快完成召回、退换工作。</w:t>
      </w:r>
    </w:p>
    <w:p w14:paraId="0F0FFE19">
      <w:pPr>
        <w:pStyle w:val="33"/>
        <w:keepNext w:val="0"/>
        <w:keepLines w:val="0"/>
        <w:pageBreakBefore w:val="0"/>
        <w:widowControl w:val="0"/>
        <w:numPr>
          <w:ilvl w:val="0"/>
          <w:numId w:val="76"/>
        </w:numPr>
        <w:kinsoku/>
        <w:wordWrap/>
        <w:overflowPunct/>
        <w:topLinePunct w:val="0"/>
        <w:autoSpaceDE/>
        <w:autoSpaceDN/>
        <w:bidi w:val="0"/>
        <w:adjustRightInd/>
        <w:snapToGrid w:val="0"/>
        <w:spacing w:line="360" w:lineRule="auto"/>
        <w:ind w:left="315" w:leftChars="0" w:hanging="315" w:hangingChars="150"/>
        <w:contextualSpacing/>
        <w:textAlignment w:val="auto"/>
        <w:rPr>
          <w:rFonts w:asciiTheme="minorEastAsia" w:hAnsiTheme="minorEastAsia"/>
          <w:color w:val="auto"/>
          <w:highlight w:val="none"/>
        </w:rPr>
      </w:pPr>
      <w:r>
        <w:rPr>
          <w:rFonts w:hint="eastAsia" w:asciiTheme="minorEastAsia" w:hAnsiTheme="minorEastAsia"/>
          <w:color w:val="auto"/>
          <w:highlight w:val="none"/>
          <w:lang w:val="en-US" w:eastAsia="zh-CN"/>
        </w:rPr>
        <w:t>乙方应全面预判</w:t>
      </w:r>
      <w:r>
        <w:rPr>
          <w:rFonts w:hint="eastAsia" w:asciiTheme="minorEastAsia" w:hAnsiTheme="minorEastAsia"/>
          <w:color w:val="auto"/>
          <w:highlight w:val="none"/>
        </w:rPr>
        <w:t>食材仓储、分拣、配送中可能出现的突发情况（包括但不限于：突发停电、台风、暴雨、火灾等导致的仓储、分拣、配送困难或食材短缺；突发车辆故障、交通事故、临时封路等导致的配送困难等情形</w:t>
      </w:r>
      <w:r>
        <w:rPr>
          <w:rFonts w:hint="eastAsia" w:asciiTheme="minorEastAsia" w:hAnsiTheme="minorEastAsia"/>
          <w:color w:val="auto"/>
          <w:highlight w:val="none"/>
          <w:lang w:val="en-US" w:eastAsia="zh-CN"/>
        </w:rPr>
        <w:t>、甲方临时紧急采购等</w:t>
      </w:r>
      <w:r>
        <w:rPr>
          <w:rFonts w:hint="eastAsia" w:asciiTheme="minorEastAsia" w:hAnsiTheme="minorEastAsia"/>
          <w:color w:val="auto"/>
          <w:highlight w:val="none"/>
        </w:rPr>
        <w:t>）</w:t>
      </w:r>
      <w:r>
        <w:rPr>
          <w:rFonts w:hint="eastAsia" w:asciiTheme="minorEastAsia" w:hAnsiTheme="minorEastAsia"/>
          <w:color w:val="auto"/>
          <w:highlight w:val="none"/>
          <w:lang w:val="en-US" w:eastAsia="zh-CN"/>
        </w:rPr>
        <w:t>及服务人员可能出现的工伤和劳务纠纷事件。针对上述情况，</w:t>
      </w:r>
      <w:r>
        <w:rPr>
          <w:rFonts w:hint="eastAsia" w:asciiTheme="minorEastAsia" w:hAnsiTheme="minorEastAsia"/>
          <w:color w:val="auto"/>
          <w:highlight w:val="none"/>
        </w:rPr>
        <w:t>制定</w:t>
      </w:r>
      <w:r>
        <w:rPr>
          <w:rFonts w:hint="eastAsia" w:asciiTheme="minorEastAsia" w:hAnsiTheme="minorEastAsia"/>
          <w:color w:val="auto"/>
          <w:highlight w:val="none"/>
          <w:lang w:val="en-US" w:eastAsia="zh-CN"/>
        </w:rPr>
        <w:t>相应的预防和</w:t>
      </w:r>
      <w:r>
        <w:rPr>
          <w:rFonts w:hint="eastAsia" w:asciiTheme="minorEastAsia" w:hAnsiTheme="minorEastAsia"/>
          <w:color w:val="auto"/>
          <w:highlight w:val="none"/>
        </w:rPr>
        <w:t>应急处置措施</w:t>
      </w:r>
      <w:r>
        <w:rPr>
          <w:rFonts w:hint="eastAsia" w:asciiTheme="minorEastAsia" w:hAnsiTheme="minorEastAsia"/>
          <w:color w:val="auto"/>
          <w:highlight w:val="none"/>
          <w:lang w:eastAsia="zh-CN"/>
        </w:rPr>
        <w:t>。</w:t>
      </w:r>
    </w:p>
    <w:p w14:paraId="0A27DB9E">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政策响应要求</w:t>
      </w:r>
    </w:p>
    <w:p w14:paraId="08D2B381">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Theme="minorEastAsia"/>
          <w:b w:val="0"/>
          <w:bCs/>
          <w:color w:val="auto"/>
          <w:spacing w:val="0"/>
          <w:sz w:val="21"/>
          <w:szCs w:val="21"/>
          <w:highlight w:val="none"/>
        </w:rPr>
      </w:pPr>
      <w:r>
        <w:rPr>
          <w:rFonts w:hint="eastAsia" w:ascii="宋体" w:hAnsi="宋体"/>
          <w:b w:val="0"/>
          <w:bCs/>
          <w:color w:val="auto"/>
          <w:spacing w:val="0"/>
          <w:sz w:val="21"/>
          <w:szCs w:val="21"/>
          <w:highlight w:val="none"/>
          <w:lang w:eastAsia="zh-CN"/>
        </w:rPr>
        <w:t>甲方</w:t>
      </w:r>
      <w:r>
        <w:rPr>
          <w:rFonts w:hint="eastAsia" w:ascii="宋体" w:hAnsi="宋体" w:eastAsiaTheme="minorEastAsia"/>
          <w:b w:val="0"/>
          <w:bCs/>
          <w:color w:val="auto"/>
          <w:spacing w:val="0"/>
          <w:sz w:val="21"/>
          <w:szCs w:val="21"/>
          <w:highlight w:val="none"/>
        </w:rPr>
        <w:t>对应急食材及政府脱贫农副产品采购有自主权，</w:t>
      </w:r>
      <w:r>
        <w:rPr>
          <w:rFonts w:hint="eastAsia" w:ascii="宋体" w:hAnsi="宋体"/>
          <w:b w:val="0"/>
          <w:bCs/>
          <w:color w:val="auto"/>
          <w:spacing w:val="0"/>
          <w:sz w:val="21"/>
          <w:szCs w:val="21"/>
          <w:highlight w:val="none"/>
          <w:lang w:eastAsia="zh-CN"/>
        </w:rPr>
        <w:t>甲方</w:t>
      </w:r>
      <w:r>
        <w:rPr>
          <w:rFonts w:hint="eastAsia" w:ascii="宋体" w:hAnsi="宋体" w:eastAsiaTheme="minorEastAsia"/>
          <w:b w:val="0"/>
          <w:bCs/>
          <w:color w:val="auto"/>
          <w:spacing w:val="0"/>
          <w:sz w:val="21"/>
          <w:szCs w:val="21"/>
          <w:highlight w:val="none"/>
        </w:rPr>
        <w:t>有权直接采购，不受</w:t>
      </w:r>
      <w:r>
        <w:rPr>
          <w:rFonts w:hint="eastAsia" w:ascii="宋体" w:hAnsi="宋体"/>
          <w:b w:val="0"/>
          <w:bCs/>
          <w:color w:val="auto"/>
          <w:spacing w:val="0"/>
          <w:sz w:val="21"/>
          <w:szCs w:val="21"/>
          <w:highlight w:val="none"/>
          <w:lang w:eastAsia="zh-CN"/>
        </w:rPr>
        <w:t>乙方</w:t>
      </w:r>
      <w:r>
        <w:rPr>
          <w:rFonts w:hint="eastAsia" w:ascii="宋体" w:hAnsi="宋体" w:eastAsiaTheme="minorEastAsia"/>
          <w:b w:val="0"/>
          <w:bCs/>
          <w:color w:val="auto"/>
          <w:spacing w:val="0"/>
          <w:sz w:val="21"/>
          <w:szCs w:val="21"/>
          <w:highlight w:val="none"/>
        </w:rPr>
        <w:t>和本项目制约。为贯彻落实党中央国务院和广东省委、省政府关于打赢脱贫攻坚战的有关决策部署，</w:t>
      </w:r>
      <w:r>
        <w:rPr>
          <w:rFonts w:hint="eastAsia" w:ascii="宋体" w:hAnsi="宋体"/>
          <w:b w:val="0"/>
          <w:bCs/>
          <w:color w:val="auto"/>
          <w:spacing w:val="0"/>
          <w:sz w:val="21"/>
          <w:szCs w:val="21"/>
          <w:highlight w:val="none"/>
          <w:lang w:eastAsia="zh-CN"/>
        </w:rPr>
        <w:t>乙方</w:t>
      </w:r>
      <w:r>
        <w:rPr>
          <w:rFonts w:hint="eastAsia" w:ascii="宋体" w:hAnsi="宋体" w:eastAsiaTheme="minorEastAsia"/>
          <w:b w:val="0"/>
          <w:bCs/>
          <w:color w:val="auto"/>
          <w:spacing w:val="0"/>
          <w:sz w:val="21"/>
          <w:szCs w:val="21"/>
          <w:highlight w:val="none"/>
        </w:rPr>
        <w:t>需配合</w:t>
      </w:r>
      <w:r>
        <w:rPr>
          <w:rFonts w:hint="eastAsia" w:ascii="宋体" w:hAnsi="宋体"/>
          <w:b w:val="0"/>
          <w:bCs/>
          <w:color w:val="auto"/>
          <w:spacing w:val="0"/>
          <w:sz w:val="21"/>
          <w:szCs w:val="21"/>
          <w:highlight w:val="none"/>
          <w:lang w:eastAsia="zh-CN"/>
        </w:rPr>
        <w:t>甲方</w:t>
      </w:r>
      <w:r>
        <w:rPr>
          <w:rFonts w:hint="eastAsia" w:ascii="宋体" w:hAnsi="宋体" w:eastAsiaTheme="minorEastAsia"/>
          <w:b w:val="0"/>
          <w:bCs/>
          <w:color w:val="auto"/>
          <w:spacing w:val="0"/>
          <w:sz w:val="21"/>
          <w:szCs w:val="21"/>
          <w:highlight w:val="none"/>
        </w:rPr>
        <w:t>要求，落实政府采购贫困地区农副产品的相关政策要求，在本项目服务期内，通过“国家贫困地区农副产品网络销售平台”或“广东省政府采购扶贫馆平台”等政府部门认可的平台采购部分既定预留份额的食材，</w:t>
      </w:r>
      <w:r>
        <w:rPr>
          <w:rFonts w:hint="eastAsia" w:ascii="宋体" w:hAnsi="宋体"/>
          <w:b w:val="0"/>
          <w:bCs/>
          <w:color w:val="auto"/>
          <w:spacing w:val="0"/>
          <w:sz w:val="21"/>
          <w:szCs w:val="21"/>
          <w:highlight w:val="none"/>
          <w:lang w:eastAsia="zh-CN"/>
        </w:rPr>
        <w:t>乙方</w:t>
      </w:r>
      <w:r>
        <w:rPr>
          <w:rFonts w:hint="eastAsia" w:ascii="宋体" w:hAnsi="宋体" w:eastAsiaTheme="minorEastAsia"/>
          <w:b w:val="0"/>
          <w:bCs/>
          <w:color w:val="auto"/>
          <w:spacing w:val="0"/>
          <w:sz w:val="21"/>
          <w:szCs w:val="21"/>
          <w:highlight w:val="none"/>
        </w:rPr>
        <w:t>不得提出异议。</w:t>
      </w:r>
    </w:p>
    <w:p w14:paraId="0BE920EC">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价格</w:t>
      </w:r>
    </w:p>
    <w:p w14:paraId="09A0C4FF">
      <w:pPr>
        <w:numPr>
          <w:ilvl w:val="0"/>
          <w:numId w:val="7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合同总价：大写：人民币</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元整（小写：￥</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元）</w:t>
      </w:r>
    </w:p>
    <w:p w14:paraId="74F74068">
      <w:pPr>
        <w:numPr>
          <w:ilvl w:val="0"/>
          <w:numId w:val="77"/>
        </w:numPr>
        <w:snapToGrid w:val="0"/>
        <w:spacing w:line="360" w:lineRule="auto"/>
        <w:contextualSpacing/>
        <w:rPr>
          <w:rFonts w:ascii="宋体" w:hAnsi="宋体"/>
          <w:color w:val="auto"/>
          <w:szCs w:val="21"/>
          <w:highlight w:val="none"/>
          <w:u w:val="none"/>
        </w:rPr>
      </w:pPr>
      <w:r>
        <w:rPr>
          <w:rFonts w:hint="eastAsia" w:ascii="宋体" w:hAnsi="宋体"/>
          <w:color w:val="auto"/>
          <w:szCs w:val="21"/>
          <w:highlight w:val="none"/>
          <w:lang w:val="en-US" w:eastAsia="zh-CN"/>
        </w:rPr>
        <w:t>折扣率：大写：百分之</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（小写：</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lang w:val="en-US" w:eastAsia="zh-CN"/>
        </w:rPr>
        <w:t>%）</w:t>
      </w:r>
    </w:p>
    <w:p w14:paraId="77B21425">
      <w:pPr>
        <w:numPr>
          <w:ilvl w:val="0"/>
          <w:numId w:val="77"/>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lang w:val="en-US" w:eastAsia="zh-CN"/>
        </w:rPr>
        <w:t>合同价款</w:t>
      </w:r>
      <w:r>
        <w:rPr>
          <w:rFonts w:hint="eastAsia" w:ascii="宋体" w:hAnsi="宋体"/>
          <w:color w:val="auto"/>
          <w:szCs w:val="21"/>
          <w:highlight w:val="none"/>
        </w:rPr>
        <w:t>包含完成本次项目所有服务内容的费用，包括但不限于购货或自产养种植成本、包装配送运输、保险、装卸服务、粗加工、退换、雇员费用、质保期售后服务、全额含税发票及合同实施过程中的应预见和不可预见费用等，以及完成合同规定责任和义务、达到合同目的的一切费用。</w:t>
      </w:r>
    </w:p>
    <w:p w14:paraId="2E98D5E2">
      <w:pPr>
        <w:keepNext w:val="0"/>
        <w:keepLines w:val="0"/>
        <w:pageBreakBefore w:val="0"/>
        <w:widowControl w:val="0"/>
        <w:numPr>
          <w:ilvl w:val="0"/>
          <w:numId w:val="77"/>
        </w:numPr>
        <w:kinsoku/>
        <w:wordWrap w:val="0"/>
        <w:overflowPunct/>
        <w:topLinePunct w:val="0"/>
        <w:autoSpaceDE/>
        <w:autoSpaceDN/>
        <w:bidi w:val="0"/>
        <w:adjustRightInd/>
        <w:snapToGrid w:val="0"/>
        <w:spacing w:line="360" w:lineRule="auto"/>
        <w:ind w:left="420" w:hanging="420"/>
        <w:contextualSpacing/>
        <w:textAlignment w:val="auto"/>
        <w:rPr>
          <w:rFonts w:ascii="宋体" w:hAnsi="宋体"/>
          <w:color w:val="auto"/>
          <w:szCs w:val="21"/>
          <w:highlight w:val="none"/>
        </w:rPr>
      </w:pPr>
      <w:r>
        <w:rPr>
          <w:rFonts w:hint="eastAsia" w:ascii="宋体" w:hAnsi="宋体"/>
          <w:color w:val="auto"/>
          <w:szCs w:val="21"/>
          <w:highlight w:val="none"/>
        </w:rPr>
        <w:t>基准价确定：（1）原则上在东莞市发展和改革局价格管理专栏（http://dgdp.dg.gov.cn/jggl/index.html）中《东莞市菜篮子价格监测表》有价格的货物，取《东莞市菜篮子价格监测表》公布的农贸市场平均零售价格为基准价，</w:t>
      </w:r>
      <w:r>
        <w:rPr>
          <w:rFonts w:hint="eastAsia" w:ascii="宋体" w:hAnsi="宋体"/>
          <w:color w:val="auto"/>
          <w:szCs w:val="21"/>
          <w:highlight w:val="none"/>
          <w:lang w:val="en-US" w:eastAsia="zh-CN"/>
        </w:rPr>
        <w:t>乙方</w:t>
      </w:r>
      <w:r>
        <w:rPr>
          <w:rFonts w:hint="eastAsia" w:ascii="宋体" w:hAnsi="宋体"/>
          <w:color w:val="auto"/>
          <w:szCs w:val="21"/>
          <w:highlight w:val="none"/>
        </w:rPr>
        <w:t>须于东莞市发展和改革局网站最新价格挂出后第二天向</w:t>
      </w:r>
      <w:r>
        <w:rPr>
          <w:rFonts w:hint="eastAsia" w:ascii="宋体" w:hAnsi="宋体"/>
          <w:color w:val="auto"/>
          <w:szCs w:val="21"/>
          <w:highlight w:val="none"/>
          <w:lang w:val="en-US" w:eastAsia="zh-CN"/>
        </w:rPr>
        <w:t>甲方</w:t>
      </w:r>
      <w:r>
        <w:rPr>
          <w:rFonts w:hint="eastAsia" w:ascii="宋体" w:hAnsi="宋体"/>
          <w:color w:val="auto"/>
          <w:szCs w:val="21"/>
          <w:highlight w:val="none"/>
        </w:rPr>
        <w:t>提供最新一期的价格表，</w:t>
      </w:r>
      <w:r>
        <w:rPr>
          <w:rFonts w:hint="eastAsia" w:ascii="宋体" w:hAnsi="宋体"/>
          <w:color w:val="auto"/>
          <w:szCs w:val="21"/>
          <w:highlight w:val="none"/>
          <w:lang w:val="en-US" w:eastAsia="zh-CN"/>
        </w:rPr>
        <w:t>甲方</w:t>
      </w:r>
      <w:r>
        <w:rPr>
          <w:rFonts w:hint="eastAsia" w:ascii="宋体" w:hAnsi="宋体"/>
          <w:color w:val="auto"/>
          <w:szCs w:val="21"/>
          <w:highlight w:val="none"/>
        </w:rPr>
        <w:t>原则上每隔一个月调整一次价格，每次调整价格经</w:t>
      </w:r>
      <w:r>
        <w:rPr>
          <w:rFonts w:hint="eastAsia" w:ascii="宋体" w:hAnsi="宋体"/>
          <w:color w:val="auto"/>
          <w:szCs w:val="21"/>
          <w:highlight w:val="none"/>
          <w:lang w:val="en-US" w:eastAsia="zh-CN"/>
        </w:rPr>
        <w:t>甲方</w:t>
      </w:r>
      <w:r>
        <w:rPr>
          <w:rFonts w:hint="eastAsia" w:ascii="宋体" w:hAnsi="宋体"/>
          <w:color w:val="auto"/>
          <w:szCs w:val="21"/>
          <w:highlight w:val="none"/>
        </w:rPr>
        <w:t>确认后方可开始执行；（2）《东莞市菜篮子价格监测表》无</w:t>
      </w:r>
      <w:r>
        <w:rPr>
          <w:rFonts w:hint="eastAsia" w:ascii="宋体" w:hAnsi="宋体"/>
          <w:color w:val="auto"/>
          <w:szCs w:val="21"/>
          <w:highlight w:val="none"/>
          <w:lang w:val="en-US" w:eastAsia="zh-CN"/>
        </w:rPr>
        <w:t>甲方</w:t>
      </w:r>
      <w:r>
        <w:rPr>
          <w:rFonts w:hint="eastAsia" w:ascii="宋体" w:hAnsi="宋体"/>
          <w:color w:val="auto"/>
          <w:szCs w:val="21"/>
          <w:highlight w:val="none"/>
        </w:rPr>
        <w:t>所需货品的，则由</w:t>
      </w:r>
      <w:r>
        <w:rPr>
          <w:rFonts w:hint="eastAsia" w:ascii="宋体" w:hAnsi="宋体"/>
          <w:color w:val="auto"/>
          <w:szCs w:val="21"/>
          <w:highlight w:val="none"/>
          <w:lang w:val="en-US" w:eastAsia="zh-CN"/>
        </w:rPr>
        <w:t>甲乙</w:t>
      </w:r>
      <w:r>
        <w:rPr>
          <w:rFonts w:hint="eastAsia" w:ascii="宋体" w:hAnsi="宋体"/>
          <w:color w:val="auto"/>
          <w:szCs w:val="21"/>
          <w:highlight w:val="none"/>
        </w:rPr>
        <w:t>双方共同按就近原则确认周边三个市场或商超作为参考，以其同类产品价格的平均价作为基准价（即基准价=就近市场（商超）平均价=3个市场抽样价格之和÷3，计算结果四舍五入保留两位小数）。</w:t>
      </w:r>
    </w:p>
    <w:p w14:paraId="2F8F2A37">
      <w:pPr>
        <w:keepNext w:val="0"/>
        <w:keepLines w:val="0"/>
        <w:pageBreakBefore w:val="0"/>
        <w:widowControl w:val="0"/>
        <w:numPr>
          <w:ilvl w:val="0"/>
          <w:numId w:val="77"/>
        </w:numPr>
        <w:kinsoku/>
        <w:wordWrap w:val="0"/>
        <w:overflowPunct/>
        <w:topLinePunct w:val="0"/>
        <w:autoSpaceDE/>
        <w:autoSpaceDN/>
        <w:bidi w:val="0"/>
        <w:adjustRightInd/>
        <w:snapToGrid w:val="0"/>
        <w:spacing w:line="360" w:lineRule="auto"/>
        <w:ind w:left="420" w:hanging="420"/>
        <w:contextualSpacing/>
        <w:textAlignment w:val="auto"/>
        <w:rPr>
          <w:rFonts w:ascii="宋体" w:hAnsi="宋体"/>
          <w:color w:val="auto"/>
          <w:szCs w:val="21"/>
          <w:highlight w:val="none"/>
        </w:rPr>
      </w:pPr>
      <w:r>
        <w:rPr>
          <w:rFonts w:hint="eastAsia" w:ascii="宋体" w:hAnsi="宋体"/>
          <w:color w:val="auto"/>
          <w:szCs w:val="21"/>
          <w:highlight w:val="none"/>
        </w:rPr>
        <w:t>结算价格确定：结算价格=基准价×折扣率（例：当基准价为10.00元，折扣率为97.00%时，结算价格=10.00元×97.00%=9.70元）。</w:t>
      </w:r>
    </w:p>
    <w:p w14:paraId="188B62E6">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保险要求</w:t>
      </w:r>
    </w:p>
    <w:p w14:paraId="02DC155F">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ascii="宋体" w:hAnsi="宋体" w:eastAsiaTheme="minorEastAsia"/>
          <w:b w:val="0"/>
          <w:bCs/>
          <w:color w:val="auto"/>
          <w:spacing w:val="0"/>
          <w:sz w:val="21"/>
          <w:szCs w:val="21"/>
          <w:highlight w:val="none"/>
        </w:rPr>
      </w:pPr>
      <w:r>
        <w:rPr>
          <w:rFonts w:hint="eastAsia" w:ascii="宋体" w:hAnsi="宋体"/>
          <w:b w:val="0"/>
          <w:bCs/>
          <w:color w:val="auto"/>
          <w:spacing w:val="0"/>
          <w:sz w:val="21"/>
          <w:szCs w:val="21"/>
          <w:highlight w:val="none"/>
          <w:lang w:val="en-US" w:eastAsia="zh-CN"/>
        </w:rPr>
        <w:t>乙方</w:t>
      </w:r>
      <w:r>
        <w:rPr>
          <w:rFonts w:hint="eastAsia" w:ascii="宋体" w:hAnsi="宋体" w:eastAsiaTheme="minorEastAsia"/>
          <w:b w:val="0"/>
          <w:bCs/>
          <w:color w:val="auto"/>
          <w:spacing w:val="0"/>
          <w:sz w:val="21"/>
          <w:szCs w:val="21"/>
          <w:highlight w:val="none"/>
        </w:rPr>
        <w:t>需为本项目单独购买食品安全责任险，保险期限需涵盖本项目服务期，保险金额</w:t>
      </w:r>
      <w:r>
        <w:rPr>
          <w:rFonts w:hint="eastAsia" w:ascii="宋体" w:hAnsi="宋体"/>
          <w:b w:val="0"/>
          <w:bCs/>
          <w:color w:val="auto"/>
          <w:spacing w:val="0"/>
          <w:sz w:val="21"/>
          <w:szCs w:val="21"/>
          <w:highlight w:val="none"/>
          <w:lang w:val="en-US" w:eastAsia="zh-CN"/>
        </w:rPr>
        <w:t>为</w:t>
      </w:r>
      <w:r>
        <w:rPr>
          <w:rFonts w:hint="eastAsia" w:ascii="宋体" w:hAnsi="宋体" w:eastAsiaTheme="minorEastAsia"/>
          <w:b w:val="0"/>
          <w:bCs/>
          <w:color w:val="auto"/>
          <w:spacing w:val="0"/>
          <w:sz w:val="21"/>
          <w:szCs w:val="21"/>
          <w:highlight w:val="none"/>
        </w:rPr>
        <w:t>低于</w:t>
      </w:r>
      <w:r>
        <w:rPr>
          <w:rFonts w:hint="eastAsia" w:ascii="宋体" w:hAnsi="宋体"/>
          <w:b w:val="0"/>
          <w:bCs/>
          <w:color w:val="auto"/>
          <w:spacing w:val="0"/>
          <w:sz w:val="21"/>
          <w:szCs w:val="21"/>
          <w:highlight w:val="none"/>
          <w:u w:val="single"/>
          <w:lang w:val="en-US" w:eastAsia="zh-CN"/>
        </w:rPr>
        <w:t xml:space="preserve">             </w:t>
      </w:r>
      <w:r>
        <w:rPr>
          <w:rFonts w:hint="eastAsia" w:ascii="宋体" w:hAnsi="宋体" w:eastAsiaTheme="minorEastAsia"/>
          <w:b w:val="0"/>
          <w:bCs/>
          <w:color w:val="auto"/>
          <w:spacing w:val="0"/>
          <w:sz w:val="21"/>
          <w:szCs w:val="21"/>
          <w:highlight w:val="none"/>
        </w:rPr>
        <w:t>万元/年。</w:t>
      </w:r>
    </w:p>
    <w:p w14:paraId="60EA7739">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lang w:val="en-US" w:eastAsia="zh-CN"/>
        </w:rPr>
        <w:t>验收要求</w:t>
      </w:r>
    </w:p>
    <w:p w14:paraId="06F1D5CF">
      <w:pPr>
        <w:pStyle w:val="33"/>
        <w:keepNext w:val="0"/>
        <w:keepLines w:val="0"/>
        <w:pageBreakBefore w:val="0"/>
        <w:widowControl w:val="0"/>
        <w:numPr>
          <w:ilvl w:val="0"/>
          <w:numId w:val="7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乙方按照甲方要求将货物送至指定地点后，双方人员应及时对货物进行验收。食材的每日验收由甲方及乙方组成的验收小组进行共同验收，验收人员对当天所配送的食材进行规格、质量、数量、价格等方面的验收。验收标准严格按照国家、地方的相关规定、采购文件及响应文件相关内容执行。</w:t>
      </w:r>
    </w:p>
    <w:p w14:paraId="28360C82">
      <w:pPr>
        <w:pStyle w:val="33"/>
        <w:keepNext w:val="0"/>
        <w:keepLines w:val="0"/>
        <w:pageBreakBefore w:val="0"/>
        <w:widowControl w:val="0"/>
        <w:numPr>
          <w:ilvl w:val="0"/>
          <w:numId w:val="78"/>
        </w:numPr>
        <w:kinsoku/>
        <w:wordWrap/>
        <w:overflowPunct/>
        <w:topLinePunct w:val="0"/>
        <w:autoSpaceDE/>
        <w:autoSpaceDN/>
        <w:bidi w:val="0"/>
        <w:adjustRightInd/>
        <w:snapToGrid w:val="0"/>
        <w:spacing w:line="360" w:lineRule="auto"/>
        <w:ind w:left="315" w:leftChars="0" w:hanging="315" w:hangingChars="150"/>
        <w:contextualSpacing/>
        <w:textAlignment w:val="auto"/>
        <w:rPr>
          <w:rFonts w:hint="eastAsia" w:ascii="宋体" w:hAnsi="宋体" w:eastAsia="宋体" w:cs="宋体"/>
          <w:iCs/>
          <w:color w:val="auto"/>
          <w:sz w:val="21"/>
          <w:szCs w:val="21"/>
          <w:highlight w:val="none"/>
        </w:rPr>
      </w:pPr>
      <w:r>
        <w:rPr>
          <w:rFonts w:hint="eastAsia" w:ascii="宋体" w:hAnsi="宋体" w:eastAsia="宋体" w:cs="宋体"/>
          <w:iCs/>
          <w:color w:val="auto"/>
          <w:sz w:val="21"/>
          <w:szCs w:val="21"/>
          <w:highlight w:val="none"/>
          <w:lang w:val="en-US" w:eastAsia="zh-CN"/>
        </w:rPr>
        <w:t>双方对验收结果或货物质量持有异议的，乙方须先应甲方要求对货物进行更换或退货，然后由双方对存有异议的货物进行抽样封存，并在3日内交由</w:t>
      </w:r>
      <w:r>
        <w:rPr>
          <w:rFonts w:hint="eastAsia" w:ascii="宋体" w:hAnsi="宋体" w:eastAsia="宋体" w:cs="宋体"/>
          <w:iCs/>
          <w:color w:val="auto"/>
          <w:szCs w:val="21"/>
          <w:highlight w:val="none"/>
        </w:rPr>
        <w:t>广东省东莞市质量监督检测中心</w:t>
      </w:r>
      <w:r>
        <w:rPr>
          <w:rFonts w:hint="eastAsia" w:ascii="宋体" w:hAnsi="宋体" w:eastAsia="宋体" w:cs="宋体"/>
          <w:iCs/>
          <w:color w:val="auto"/>
          <w:sz w:val="21"/>
          <w:szCs w:val="21"/>
          <w:highlight w:val="none"/>
          <w:lang w:val="en-US" w:eastAsia="zh-CN"/>
        </w:rPr>
        <w:t>进行检验，由此产生的检验费由乙方承担。</w:t>
      </w:r>
    </w:p>
    <w:p w14:paraId="05BBC169">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付款</w:t>
      </w:r>
    </w:p>
    <w:p w14:paraId="0EF79743">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服务期：</w:t>
      </w:r>
      <w:r>
        <w:rPr>
          <w:rFonts w:hint="eastAsia" w:ascii="宋体" w:hAnsi="宋体"/>
          <w:color w:val="auto"/>
          <w:szCs w:val="21"/>
          <w:highlight w:val="none"/>
          <w:u w:val="single"/>
          <w:lang w:val="en-US" w:eastAsia="zh-CN"/>
        </w:rPr>
        <w:t>自合同签订之日起1年或本合同总价（¥         ）使用完毕，以其中一项先到达的为止。</w:t>
      </w:r>
    </w:p>
    <w:p w14:paraId="4B72AF12">
      <w:pPr>
        <w:numPr>
          <w:ilvl w:val="0"/>
          <w:numId w:val="79"/>
        </w:numPr>
        <w:snapToGrid w:val="0"/>
        <w:spacing w:line="360" w:lineRule="auto"/>
        <w:contextualSpacing/>
        <w:rPr>
          <w:rFonts w:ascii="宋体" w:hAnsi="宋体"/>
          <w:color w:val="auto"/>
          <w:szCs w:val="21"/>
          <w:highlight w:val="none"/>
        </w:rPr>
      </w:pPr>
      <w:r>
        <w:rPr>
          <w:rFonts w:hint="eastAsia" w:ascii="宋体" w:hAnsi="宋体" w:cs="宋体"/>
          <w:color w:val="auto"/>
          <w:szCs w:val="21"/>
          <w:highlight w:val="none"/>
        </w:rPr>
        <w:t>服务费按月结算，每月10日前</w:t>
      </w:r>
      <w:r>
        <w:rPr>
          <w:rFonts w:hint="eastAsia" w:ascii="宋体" w:hAnsi="宋体" w:cs="宋体"/>
          <w:color w:val="auto"/>
          <w:szCs w:val="21"/>
          <w:highlight w:val="none"/>
          <w:lang w:val="en-US" w:eastAsia="zh-CN"/>
        </w:rPr>
        <w:t>乙方</w:t>
      </w:r>
      <w:r>
        <w:rPr>
          <w:rFonts w:hint="eastAsia" w:ascii="宋体" w:hAnsi="宋体" w:cs="宋体"/>
          <w:color w:val="auto"/>
          <w:szCs w:val="21"/>
          <w:highlight w:val="none"/>
        </w:rPr>
        <w:t>凭经</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签字确认的上月送货清单（须列明配送时间、规格、质量、数量及价格等信息）、等额合规发票及本项目合同向</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请款，</w:t>
      </w:r>
      <w:r>
        <w:rPr>
          <w:rFonts w:hint="eastAsia" w:ascii="宋体" w:hAnsi="宋体" w:cs="宋体"/>
          <w:color w:val="auto"/>
          <w:szCs w:val="21"/>
          <w:highlight w:val="none"/>
          <w:lang w:val="en-US" w:eastAsia="zh-CN"/>
        </w:rPr>
        <w:t>甲方</w:t>
      </w:r>
      <w:r>
        <w:rPr>
          <w:rFonts w:hint="eastAsia" w:ascii="宋体" w:hAnsi="宋体" w:cs="宋体"/>
          <w:color w:val="auto"/>
          <w:szCs w:val="21"/>
          <w:highlight w:val="none"/>
        </w:rPr>
        <w:t>收到合格请款资料后15个工作日内支付对应服务费。</w:t>
      </w:r>
    </w:p>
    <w:p w14:paraId="17240A23">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请款资料中收款方、发票的销售方、合同乙方均必须与</w:t>
      </w:r>
      <w:r>
        <w:rPr>
          <w:rFonts w:hint="eastAsia" w:ascii="宋体" w:hAnsi="宋体"/>
          <w:color w:val="auto"/>
          <w:szCs w:val="21"/>
          <w:highlight w:val="none"/>
          <w:lang w:val="en-US" w:eastAsia="zh-CN"/>
        </w:rPr>
        <w:t>乙方</w:t>
      </w:r>
      <w:r>
        <w:rPr>
          <w:rFonts w:hint="eastAsia" w:ascii="宋体" w:hAnsi="宋体"/>
          <w:color w:val="auto"/>
          <w:szCs w:val="21"/>
          <w:highlight w:val="none"/>
        </w:rPr>
        <w:t>名称一致</w:t>
      </w:r>
      <w:r>
        <w:rPr>
          <w:rFonts w:hint="eastAsia" w:ascii="宋体" w:hAnsi="宋体"/>
          <w:color w:val="auto"/>
          <w:szCs w:val="21"/>
          <w:highlight w:val="none"/>
          <w:lang w:eastAsia="zh-CN"/>
        </w:rPr>
        <w:t>。</w:t>
      </w:r>
    </w:p>
    <w:p w14:paraId="30AFA55F">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本项</w:t>
      </w:r>
      <w:r>
        <w:rPr>
          <w:rFonts w:hint="eastAsia" w:ascii="宋体" w:hAnsi="宋体"/>
          <w:color w:val="auto"/>
          <w:szCs w:val="21"/>
          <w:highlight w:val="none"/>
          <w:lang w:val="en-US" w:eastAsia="zh-CN"/>
        </w:rPr>
        <w:t>合同</w:t>
      </w:r>
      <w:r>
        <w:rPr>
          <w:rFonts w:hint="eastAsia" w:ascii="宋体" w:hAnsi="宋体"/>
          <w:color w:val="auto"/>
          <w:szCs w:val="21"/>
          <w:highlight w:val="none"/>
        </w:rPr>
        <w:t>资金为财政性资金，相关付款应遵守财政资金支付程序规定；如因执行该程序而使拨款未能及时到位，</w:t>
      </w:r>
      <w:r>
        <w:rPr>
          <w:rFonts w:hint="eastAsia" w:ascii="宋体" w:hAnsi="宋体"/>
          <w:color w:val="auto"/>
          <w:szCs w:val="21"/>
          <w:highlight w:val="none"/>
          <w:lang w:val="en-US" w:eastAsia="zh-CN"/>
        </w:rPr>
        <w:t>乙方</w:t>
      </w:r>
      <w:r>
        <w:rPr>
          <w:rFonts w:hint="eastAsia" w:ascii="宋体" w:hAnsi="宋体"/>
          <w:color w:val="auto"/>
          <w:szCs w:val="21"/>
          <w:highlight w:val="none"/>
        </w:rPr>
        <w:t>不得以此为由而不履行本合同规定的义务，也不得以此追究</w:t>
      </w:r>
      <w:r>
        <w:rPr>
          <w:rFonts w:hint="eastAsia" w:ascii="宋体" w:hAnsi="宋体"/>
          <w:color w:val="auto"/>
          <w:szCs w:val="21"/>
          <w:highlight w:val="none"/>
          <w:lang w:val="en-US" w:eastAsia="zh-CN"/>
        </w:rPr>
        <w:t>甲方</w:t>
      </w:r>
      <w:r>
        <w:rPr>
          <w:rFonts w:hint="eastAsia" w:ascii="宋体" w:hAnsi="宋体"/>
          <w:color w:val="auto"/>
          <w:szCs w:val="21"/>
          <w:highlight w:val="none"/>
        </w:rPr>
        <w:t>任何形式的违约责任，若</w:t>
      </w:r>
      <w:r>
        <w:rPr>
          <w:rFonts w:hint="eastAsia" w:ascii="宋体" w:hAnsi="宋体"/>
          <w:color w:val="auto"/>
          <w:szCs w:val="21"/>
          <w:highlight w:val="none"/>
          <w:lang w:val="en-US" w:eastAsia="zh-CN"/>
        </w:rPr>
        <w:t>乙方</w:t>
      </w:r>
      <w:r>
        <w:rPr>
          <w:rFonts w:hint="eastAsia" w:ascii="宋体" w:hAnsi="宋体"/>
          <w:color w:val="auto"/>
          <w:szCs w:val="21"/>
          <w:highlight w:val="none"/>
        </w:rPr>
        <w:t>以此为由不履行本合同规定，属于</w:t>
      </w:r>
      <w:r>
        <w:rPr>
          <w:rFonts w:hint="eastAsia" w:ascii="宋体" w:hAnsi="宋体"/>
          <w:color w:val="auto"/>
          <w:szCs w:val="21"/>
          <w:highlight w:val="none"/>
          <w:lang w:val="en-US" w:eastAsia="zh-CN"/>
        </w:rPr>
        <w:t>乙方</w:t>
      </w:r>
      <w:r>
        <w:rPr>
          <w:rFonts w:hint="eastAsia" w:ascii="宋体" w:hAnsi="宋体"/>
          <w:color w:val="auto"/>
          <w:szCs w:val="21"/>
          <w:highlight w:val="none"/>
        </w:rPr>
        <w:t>违约。</w:t>
      </w:r>
    </w:p>
    <w:p w14:paraId="4C3F3716">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因特殊原因需要提早或延迟结算的，经</w:t>
      </w:r>
      <w:r>
        <w:rPr>
          <w:rFonts w:hint="eastAsia" w:ascii="宋体" w:hAnsi="宋体"/>
          <w:color w:val="auto"/>
          <w:szCs w:val="21"/>
          <w:highlight w:val="none"/>
          <w:lang w:val="en-US" w:eastAsia="zh-CN"/>
        </w:rPr>
        <w:t>甲乙</w:t>
      </w:r>
      <w:r>
        <w:rPr>
          <w:rFonts w:hint="eastAsia" w:ascii="宋体" w:hAnsi="宋体"/>
          <w:color w:val="auto"/>
          <w:szCs w:val="21"/>
          <w:highlight w:val="none"/>
        </w:rPr>
        <w:t>双方协商一致后，按另定的结算期限执行。</w:t>
      </w:r>
    </w:p>
    <w:p w14:paraId="3640AF80">
      <w:pPr>
        <w:numPr>
          <w:ilvl w:val="0"/>
          <w:numId w:val="79"/>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根据现行税法规定对乙方或其雇员征收的与本合同有关的一切税费均应由乙方负担。</w:t>
      </w:r>
    </w:p>
    <w:p w14:paraId="6A998BE7">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分包与转包</w:t>
      </w:r>
    </w:p>
    <w:p w14:paraId="1F9904EC">
      <w:pPr>
        <w:numPr>
          <w:ilvl w:val="0"/>
          <w:numId w:val="80"/>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严禁转包，未经甲方书面同意不得分包</w:t>
      </w:r>
    </w:p>
    <w:p w14:paraId="4C5E89B5">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违约责任</w:t>
      </w:r>
    </w:p>
    <w:p w14:paraId="61D5B287">
      <w:pPr>
        <w:numPr>
          <w:ilvl w:val="0"/>
          <w:numId w:val="81"/>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乙方违反合同及磋商文件约定的有关义务，对甲方造成经济损失的，应给予甲方经济赔偿；如造成重大损失的，甲方有权终止合同。</w:t>
      </w:r>
    </w:p>
    <w:p w14:paraId="5E2ED3B6">
      <w:pPr>
        <w:numPr>
          <w:ilvl w:val="0"/>
          <w:numId w:val="81"/>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olor w:val="auto"/>
          <w:szCs w:val="21"/>
          <w:highlight w:val="none"/>
          <w:u w:val="single"/>
        </w:rPr>
        <w:t xml:space="preserve"> 3 </w:t>
      </w:r>
      <w:r>
        <w:rPr>
          <w:rFonts w:hint="eastAsia" w:ascii="宋体" w:hAnsi="宋体"/>
          <w:color w:val="auto"/>
          <w:szCs w:val="21"/>
          <w:highlight w:val="none"/>
        </w:rPr>
        <w:t>‰</w:t>
      </w:r>
      <w:r>
        <w:rPr>
          <w:rFonts w:hint="eastAsia" w:ascii="宋体" w:hAnsi="宋体" w:cs="黑体"/>
          <w:color w:val="auto"/>
          <w:szCs w:val="21"/>
          <w:highlight w:val="none"/>
        </w:rPr>
        <w:t>的数额向甲方支付违约金；逾期15天或以上的，甲方有权终止合同，要求乙方一次性支付合同总金额</w:t>
      </w:r>
      <w:r>
        <w:rPr>
          <w:rFonts w:hint="eastAsia" w:ascii="宋体" w:hAnsi="宋体" w:cs="黑体"/>
          <w:color w:val="auto"/>
          <w:szCs w:val="21"/>
          <w:highlight w:val="none"/>
          <w:u w:val="single"/>
        </w:rPr>
        <w:t xml:space="preserve"> 20 %</w:t>
      </w:r>
      <w:r>
        <w:rPr>
          <w:rFonts w:hint="eastAsia" w:ascii="宋体" w:hAnsi="宋体" w:cs="黑体"/>
          <w:color w:val="auto"/>
          <w:szCs w:val="21"/>
          <w:highlight w:val="none"/>
        </w:rPr>
        <w:t>违约金，并且给甲方造成的经济损失由乙方承担赔偿责任。</w:t>
      </w:r>
    </w:p>
    <w:p w14:paraId="457CD1D2">
      <w:pPr>
        <w:numPr>
          <w:ilvl w:val="0"/>
          <w:numId w:val="81"/>
        </w:numPr>
        <w:tabs>
          <w:tab w:val="left" w:pos="840"/>
        </w:tabs>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因乙方原因导致本合同解除或是无法履行的，乙方应向甲方支付合同总价</w:t>
      </w:r>
      <w:r>
        <w:rPr>
          <w:rFonts w:hint="eastAsia" w:ascii="宋体" w:hAnsi="宋体"/>
          <w:color w:val="auto"/>
          <w:szCs w:val="21"/>
          <w:highlight w:val="none"/>
          <w:u w:val="single"/>
        </w:rPr>
        <w:t xml:space="preserve"> 20 %</w:t>
      </w:r>
      <w:r>
        <w:rPr>
          <w:rFonts w:hint="eastAsia" w:ascii="宋体" w:hAnsi="宋体"/>
          <w:color w:val="auto"/>
          <w:szCs w:val="21"/>
          <w:highlight w:val="none"/>
        </w:rPr>
        <w:t>的违约金，并且给甲方造成的经济损失由乙方承担赔偿责任。</w:t>
      </w:r>
    </w:p>
    <w:p w14:paraId="608A43EC">
      <w:pPr>
        <w:numPr>
          <w:ilvl w:val="0"/>
          <w:numId w:val="81"/>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rPr>
        <w:t>甲方有权从未支付的款项中直接扣除乙方的违约金，不足的部分由乙方另行补足。</w:t>
      </w:r>
    </w:p>
    <w:p w14:paraId="7D52F638">
      <w:pPr>
        <w:numPr>
          <w:ilvl w:val="0"/>
          <w:numId w:val="81"/>
        </w:numPr>
        <w:tabs>
          <w:tab w:val="left" w:pos="840"/>
        </w:tabs>
        <w:snapToGrid w:val="0"/>
        <w:spacing w:line="360" w:lineRule="auto"/>
        <w:contextualSpacing/>
        <w:rPr>
          <w:rFonts w:ascii="宋体" w:hAnsi="宋体" w:cs="黑体"/>
          <w:color w:val="auto"/>
          <w:szCs w:val="21"/>
          <w:highlight w:val="none"/>
        </w:rPr>
      </w:pPr>
      <w:r>
        <w:rPr>
          <w:rFonts w:hint="eastAsia" w:ascii="宋体" w:hAnsi="宋体" w:cs="黑体"/>
          <w:color w:val="auto"/>
          <w:szCs w:val="21"/>
          <w:highlight w:val="none"/>
          <w:lang w:val="en-US" w:eastAsia="zh-CN"/>
        </w:rPr>
        <w:t>任何一方违约，需承担守约方因维权而支出的全部费用，包括但不限于诉讼费、保全费、担保费、律师费、公证费、检测费、公告费、邮寄费等。</w:t>
      </w:r>
    </w:p>
    <w:p w14:paraId="335C9E62">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争议的解决办法</w:t>
      </w:r>
    </w:p>
    <w:p w14:paraId="0334F3CA">
      <w:pPr>
        <w:numPr>
          <w:ilvl w:val="0"/>
          <w:numId w:val="8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凡与本合同有关而引起的一切争议，甲乙双方应首先通过友好协商解决，如经协商后仍不能达成协议时，任何一方可以向法院提出诉讼。</w:t>
      </w:r>
    </w:p>
    <w:p w14:paraId="21794C39">
      <w:pPr>
        <w:numPr>
          <w:ilvl w:val="0"/>
          <w:numId w:val="8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本合同发生的诉讼管辖地为</w:t>
      </w:r>
      <w:r>
        <w:rPr>
          <w:rFonts w:hint="eastAsia" w:ascii="宋体" w:hAnsi="宋体"/>
          <w:color w:val="auto"/>
          <w:szCs w:val="21"/>
          <w:highlight w:val="none"/>
          <w:lang w:val="en-US" w:eastAsia="zh-CN"/>
        </w:rPr>
        <w:t>甲方所在地</w:t>
      </w:r>
      <w:r>
        <w:rPr>
          <w:rFonts w:hint="eastAsia" w:ascii="宋体" w:hAnsi="宋体"/>
          <w:color w:val="auto"/>
          <w:szCs w:val="21"/>
          <w:highlight w:val="none"/>
        </w:rPr>
        <w:t>有管辖权的法院。</w:t>
      </w:r>
    </w:p>
    <w:p w14:paraId="456DF742">
      <w:pPr>
        <w:numPr>
          <w:ilvl w:val="0"/>
          <w:numId w:val="8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在进行法院审理期间，除提交法院审理的事项外，合同其他部分仍继续履行。</w:t>
      </w:r>
    </w:p>
    <w:p w14:paraId="26B37393">
      <w:pPr>
        <w:numPr>
          <w:ilvl w:val="0"/>
          <w:numId w:val="82"/>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本合同按照中华人民共和国的法律进行解释。</w:t>
      </w:r>
    </w:p>
    <w:p w14:paraId="4D6584A6">
      <w:pPr>
        <w:numPr>
          <w:ilvl w:val="0"/>
          <w:numId w:val="63"/>
        </w:numPr>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不可抗力</w:t>
      </w:r>
    </w:p>
    <w:p w14:paraId="4A9EC1A0">
      <w:pPr>
        <w:numPr>
          <w:ilvl w:val="0"/>
          <w:numId w:val="8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numPr>
          <w:ilvl w:val="0"/>
          <w:numId w:val="83"/>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numPr>
          <w:ilvl w:val="0"/>
          <w:numId w:val="63"/>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合同生效</w:t>
      </w:r>
    </w:p>
    <w:p w14:paraId="6153FF0A">
      <w:pPr>
        <w:numPr>
          <w:ilvl w:val="0"/>
          <w:numId w:val="84"/>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本合同由双方法定代表人或委托代理人签字盖章后立即生效，具有同等法律效力，合同有效期随服务期结束而自然终止</w:t>
      </w:r>
      <w:r>
        <w:rPr>
          <w:rFonts w:hint="eastAsia" w:ascii="宋体" w:hAnsi="宋体"/>
          <w:color w:val="auto"/>
          <w:szCs w:val="21"/>
          <w:highlight w:val="none"/>
          <w:lang w:eastAsia="zh-CN"/>
        </w:rPr>
        <w:t>。</w:t>
      </w:r>
    </w:p>
    <w:p w14:paraId="6E6C19D7">
      <w:pPr>
        <w:numPr>
          <w:ilvl w:val="0"/>
          <w:numId w:val="84"/>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本合同一式</w:t>
      </w:r>
      <w:r>
        <w:rPr>
          <w:rFonts w:hint="eastAsia" w:ascii="宋体" w:hAnsi="宋体"/>
          <w:color w:val="auto"/>
          <w:szCs w:val="21"/>
          <w:highlight w:val="none"/>
          <w:u w:val="single"/>
        </w:rPr>
        <w:t xml:space="preserve">     </w:t>
      </w:r>
      <w:r>
        <w:rPr>
          <w:rFonts w:hint="eastAsia" w:ascii="宋体" w:hAnsi="宋体"/>
          <w:color w:val="auto"/>
          <w:szCs w:val="21"/>
          <w:highlight w:val="none"/>
        </w:rPr>
        <w:t>份，其中甲方</w:t>
      </w:r>
      <w:r>
        <w:rPr>
          <w:rFonts w:hint="eastAsia" w:ascii="宋体" w:hAnsi="宋体"/>
          <w:color w:val="auto"/>
          <w:szCs w:val="21"/>
          <w:highlight w:val="none"/>
          <w:u w:val="single"/>
        </w:rPr>
        <w:t xml:space="preserve">     </w:t>
      </w:r>
      <w:r>
        <w:rPr>
          <w:rFonts w:hint="eastAsia" w:ascii="宋体" w:hAnsi="宋体"/>
          <w:color w:val="auto"/>
          <w:szCs w:val="21"/>
          <w:highlight w:val="none"/>
        </w:rPr>
        <w:t>份、乙方</w:t>
      </w:r>
      <w:r>
        <w:rPr>
          <w:rFonts w:hint="eastAsia" w:ascii="宋体" w:hAnsi="宋体"/>
          <w:color w:val="auto"/>
          <w:szCs w:val="21"/>
          <w:highlight w:val="none"/>
          <w:u w:val="single"/>
        </w:rPr>
        <w:t xml:space="preserve">     </w:t>
      </w:r>
      <w:r>
        <w:rPr>
          <w:rFonts w:hint="eastAsia" w:ascii="宋体" w:hAnsi="宋体"/>
          <w:color w:val="auto"/>
          <w:szCs w:val="21"/>
          <w:highlight w:val="none"/>
        </w:rPr>
        <w:t>份，采购代理机构</w:t>
      </w:r>
      <w:r>
        <w:rPr>
          <w:rFonts w:hint="eastAsia" w:ascii="宋体" w:hAnsi="宋体"/>
          <w:color w:val="auto"/>
          <w:szCs w:val="21"/>
          <w:highlight w:val="none"/>
          <w:u w:val="single"/>
        </w:rPr>
        <w:t xml:space="preserve">  壹  </w:t>
      </w:r>
      <w:r>
        <w:rPr>
          <w:rFonts w:hint="eastAsia" w:ascii="宋体" w:hAnsi="宋体"/>
          <w:color w:val="auto"/>
          <w:szCs w:val="21"/>
          <w:highlight w:val="none"/>
        </w:rPr>
        <w:t>份（须在合同签订之日起5个工作日内递交）</w:t>
      </w:r>
    </w:p>
    <w:p w14:paraId="44284CEF">
      <w:pPr>
        <w:numPr>
          <w:ilvl w:val="0"/>
          <w:numId w:val="63"/>
        </w:numPr>
        <w:tabs>
          <w:tab w:val="left" w:pos="567"/>
        </w:tabs>
        <w:snapToGrid w:val="0"/>
        <w:spacing w:line="360" w:lineRule="auto"/>
        <w:contextualSpacing/>
        <w:rPr>
          <w:rFonts w:ascii="宋体" w:hAnsi="宋体"/>
          <w:b/>
          <w:color w:val="auto"/>
          <w:spacing w:val="20"/>
          <w:szCs w:val="21"/>
          <w:highlight w:val="none"/>
        </w:rPr>
      </w:pPr>
      <w:r>
        <w:rPr>
          <w:rFonts w:hint="eastAsia" w:ascii="宋体" w:hAnsi="宋体"/>
          <w:b/>
          <w:color w:val="auto"/>
          <w:spacing w:val="20"/>
          <w:szCs w:val="21"/>
          <w:highlight w:val="none"/>
        </w:rPr>
        <w:t>其它</w:t>
      </w:r>
    </w:p>
    <w:p w14:paraId="591C422B">
      <w:pPr>
        <w:numPr>
          <w:ilvl w:val="0"/>
          <w:numId w:val="8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本合同未尽事宜，双方可签订补充合同，补充合同与所有附件均为合同的有效组成部分，与本合同具有同等法律效力；</w:t>
      </w:r>
    </w:p>
    <w:p w14:paraId="2C234131">
      <w:pPr>
        <w:numPr>
          <w:ilvl w:val="0"/>
          <w:numId w:val="8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5F88B8E9">
      <w:pPr>
        <w:numPr>
          <w:ilvl w:val="0"/>
          <w:numId w:val="85"/>
        </w:numPr>
        <w:snapToGrid w:val="0"/>
        <w:spacing w:line="360" w:lineRule="auto"/>
        <w:contextualSpacing/>
        <w:rPr>
          <w:rFonts w:ascii="宋体" w:hAnsi="宋体"/>
          <w:color w:val="auto"/>
          <w:szCs w:val="21"/>
          <w:highlight w:val="none"/>
        </w:rPr>
      </w:pPr>
      <w:r>
        <w:rPr>
          <w:rFonts w:hint="eastAsia" w:ascii="宋体" w:hAnsi="宋体"/>
          <w:color w:val="auto"/>
          <w:szCs w:val="21"/>
          <w:highlight w:val="none"/>
        </w:rPr>
        <w:t>本合同合计</w:t>
      </w:r>
      <w:r>
        <w:rPr>
          <w:rFonts w:hint="eastAsia" w:ascii="宋体" w:hAnsi="宋体"/>
          <w:color w:val="auto"/>
          <w:szCs w:val="21"/>
          <w:highlight w:val="none"/>
          <w:u w:val="single"/>
        </w:rPr>
        <w:t xml:space="preserve">      </w:t>
      </w:r>
      <w:r>
        <w:rPr>
          <w:rFonts w:hint="eastAsia" w:ascii="宋体" w:hAnsi="宋体"/>
          <w:color w:val="auto"/>
          <w:szCs w:val="21"/>
          <w:highlight w:val="none"/>
        </w:rPr>
        <w:t>页A4纸张，缺页之合同为无效合同。</w:t>
      </w:r>
    </w:p>
    <w:p w14:paraId="1B2AA0C2">
      <w:pPr>
        <w:rPr>
          <w:rFonts w:hint="eastAsia" w:ascii="宋体" w:hAnsi="宋体" w:eastAsiaTheme="minorEastAsia"/>
          <w:color w:val="auto"/>
          <w:szCs w:val="21"/>
          <w:highlight w:val="none"/>
          <w:lang w:eastAsia="zh-CN"/>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以下无正文</w:t>
      </w:r>
      <w:r>
        <w:rPr>
          <w:rFonts w:hint="eastAsia" w:ascii="宋体" w:hAnsi="宋体"/>
          <w:color w:val="auto"/>
          <w:szCs w:val="21"/>
          <w:highlight w:val="none"/>
          <w:lang w:eastAsia="zh-CN"/>
        </w:rPr>
        <w:t>）</w:t>
      </w:r>
    </w:p>
    <w:p w14:paraId="4D65EB59">
      <w:pPr>
        <w:snapToGrid w:val="0"/>
        <w:spacing w:line="360" w:lineRule="auto"/>
        <w:contextualSpacing/>
        <w:rPr>
          <w:rFonts w:ascii="宋体" w:hAnsi="宋体"/>
          <w:color w:val="auto"/>
          <w:szCs w:val="21"/>
          <w:highlight w:val="none"/>
        </w:rPr>
      </w:pPr>
    </w:p>
    <w:p w14:paraId="5A028A00">
      <w:pPr>
        <w:snapToGrid w:val="0"/>
        <w:spacing w:line="360" w:lineRule="auto"/>
        <w:contextualSpacing/>
        <w:rPr>
          <w:rFonts w:ascii="宋体" w:hAnsi="宋体"/>
          <w:color w:val="auto"/>
          <w:szCs w:val="21"/>
          <w:highlight w:val="none"/>
        </w:rPr>
      </w:pPr>
    </w:p>
    <w:tbl>
      <w:tblPr>
        <w:tblStyle w:val="71"/>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E750595">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甲方（盖章）：</w:t>
            </w:r>
          </w:p>
        </w:tc>
        <w:tc>
          <w:tcPr>
            <w:tcW w:w="2500" w:type="pct"/>
          </w:tcPr>
          <w:p w14:paraId="5A63E7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甲方代表人(签字)：</w:t>
            </w:r>
          </w:p>
        </w:tc>
        <w:tc>
          <w:tcPr>
            <w:tcW w:w="2500" w:type="pct"/>
          </w:tcPr>
          <w:p w14:paraId="0B36C83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500" w:type="pct"/>
          </w:tcPr>
          <w:p w14:paraId="6D1DC43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c>
          <w:tcPr>
            <w:tcW w:w="2500" w:type="pct"/>
          </w:tcPr>
          <w:p w14:paraId="29FC68F0">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c>
          <w:tcPr>
            <w:tcW w:w="2500" w:type="pct"/>
          </w:tcPr>
          <w:p w14:paraId="4D138A9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c>
          <w:tcPr>
            <w:tcW w:w="2500" w:type="pct"/>
          </w:tcPr>
          <w:p w14:paraId="46397EF7">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c>
          <w:tcPr>
            <w:tcW w:w="2500" w:type="pct"/>
          </w:tcPr>
          <w:p w14:paraId="28565CE8">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c>
          <w:tcPr>
            <w:tcW w:w="2500" w:type="pct"/>
          </w:tcPr>
          <w:p w14:paraId="415382E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c>
          <w:tcPr>
            <w:tcW w:w="2500" w:type="pct"/>
          </w:tcPr>
          <w:p w14:paraId="0B37DE83">
            <w:pPr>
              <w:snapToGrid w:val="0"/>
              <w:spacing w:line="360" w:lineRule="auto"/>
              <w:contextualSpacing/>
              <w:rPr>
                <w:rFonts w:ascii="宋体" w:hAnsi="宋体" w:eastAsia="宋体"/>
                <w:color w:val="auto"/>
                <w:szCs w:val="21"/>
                <w:highlight w:val="none"/>
              </w:rPr>
            </w:pPr>
            <w:r>
              <w:rPr>
                <w:rFonts w:hint="eastAsia" w:ascii="宋体" w:hAnsi="宋体" w:eastAsia="宋体"/>
                <w:color w:val="auto"/>
                <w:szCs w:val="21"/>
                <w:highlight w:val="none"/>
              </w:rPr>
              <w:t>银行账户：</w:t>
            </w:r>
          </w:p>
        </w:tc>
      </w:tr>
    </w:tbl>
    <w:p w14:paraId="65BD9B2D">
      <w:pPr>
        <w:pStyle w:val="2"/>
        <w:keepNext w:val="0"/>
        <w:keepLines w:val="0"/>
        <w:pageBreakBefore/>
        <w:spacing w:line="360" w:lineRule="auto"/>
        <w:jc w:val="center"/>
        <w:rPr>
          <w:rFonts w:asciiTheme="minorEastAsia" w:hAnsiTheme="minorEastAsia"/>
          <w:color w:val="auto"/>
          <w:spacing w:val="20"/>
          <w:sz w:val="32"/>
          <w:szCs w:val="32"/>
          <w:highlight w:val="none"/>
        </w:rPr>
      </w:pPr>
      <w:r>
        <w:rPr>
          <w:rFonts w:hint="eastAsia" w:asciiTheme="minorEastAsia" w:hAnsiTheme="minorEastAsia"/>
          <w:color w:val="auto"/>
          <w:spacing w:val="20"/>
          <w:sz w:val="32"/>
          <w:szCs w:val="32"/>
          <w:highlight w:val="none"/>
        </w:rPr>
        <w:t>第六部分</w:t>
      </w:r>
      <w:r>
        <w:rPr>
          <w:rFonts w:asciiTheme="minorEastAsia" w:hAnsiTheme="minorEastAsia"/>
          <w:color w:val="auto"/>
          <w:spacing w:val="20"/>
          <w:sz w:val="32"/>
          <w:szCs w:val="32"/>
          <w:highlight w:val="none"/>
        </w:rPr>
        <w:t xml:space="preserve"> </w:t>
      </w:r>
      <w:r>
        <w:rPr>
          <w:rFonts w:hint="eastAsia" w:asciiTheme="minorEastAsia" w:hAnsiTheme="minorEastAsia"/>
          <w:color w:val="auto"/>
          <w:spacing w:val="20"/>
          <w:sz w:val="32"/>
          <w:szCs w:val="32"/>
          <w:highlight w:val="none"/>
        </w:rPr>
        <w:t>响应文件格式</w:t>
      </w:r>
      <w:bookmarkEnd w:id="47"/>
      <w:bookmarkEnd w:id="48"/>
      <w:bookmarkEnd w:id="49"/>
    </w:p>
    <w:p w14:paraId="35F70156">
      <w:pPr>
        <w:pStyle w:val="33"/>
        <w:spacing w:after="312" w:afterLines="100" w:line="360" w:lineRule="auto"/>
        <w:ind w:left="420" w:right="108" w:firstLine="0" w:firstLineChars="0"/>
        <w:jc w:val="right"/>
        <w:rPr>
          <w:rFonts w:asciiTheme="minorEastAsia" w:hAnsiTheme="minorEastAsia"/>
          <w:b/>
          <w:color w:val="auto"/>
          <w:sz w:val="36"/>
          <w:szCs w:val="36"/>
          <w:highlight w:val="none"/>
        </w:rPr>
      </w:pPr>
      <w:r>
        <w:rPr>
          <w:rFonts w:hint="eastAsia" w:asciiTheme="minorEastAsia" w:hAnsiTheme="minorEastAsia"/>
          <w:b/>
          <w:color w:val="auto"/>
          <w:sz w:val="36"/>
          <w:szCs w:val="36"/>
          <w:highlight w:val="none"/>
        </w:rPr>
        <w:t>正本</w:t>
      </w:r>
      <w:r>
        <w:rPr>
          <w:rFonts w:asciiTheme="minorEastAsia" w:hAnsiTheme="minorEastAsia"/>
          <w:b/>
          <w:color w:val="auto"/>
          <w:sz w:val="36"/>
          <w:szCs w:val="36"/>
          <w:highlight w:val="none"/>
        </w:rPr>
        <w:t>/副本</w:t>
      </w:r>
    </w:p>
    <w:p w14:paraId="5FFB20F9">
      <w:pPr>
        <w:spacing w:before="1092" w:beforeLines="350" w:after="780" w:afterLines="250" w:line="360" w:lineRule="auto"/>
        <w:jc w:val="center"/>
        <w:rPr>
          <w:rFonts w:hint="eastAsia" w:asciiTheme="minorEastAsia" w:hAnsiTheme="minorEastAsia" w:eastAsiaTheme="minorEastAsia"/>
          <w:b/>
          <w:color w:val="auto"/>
          <w:sz w:val="50"/>
          <w:szCs w:val="50"/>
          <w:highlight w:val="none"/>
          <w:lang w:eastAsia="zh-CN"/>
        </w:rPr>
      </w:pPr>
      <w:r>
        <w:rPr>
          <w:rFonts w:hint="eastAsia" w:asciiTheme="minorEastAsia" w:hAnsiTheme="minorEastAsia"/>
          <w:b/>
          <w:color w:val="auto"/>
          <w:sz w:val="50"/>
          <w:szCs w:val="50"/>
          <w:highlight w:val="none"/>
          <w:lang w:eastAsia="zh-CN"/>
        </w:rPr>
        <w:t>东莞市消防救援支队2025年战勤保障中心食材配送服务项目</w:t>
      </w:r>
    </w:p>
    <w:p w14:paraId="402CDD67">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（评选编号：</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u w:val="single"/>
          <w:lang w:eastAsia="zh-CN"/>
        </w:rPr>
        <w:t>ZHDGZC2025028</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rPr>
        <w:t>）</w:t>
      </w:r>
    </w:p>
    <w:p w14:paraId="1436964E">
      <w:pPr>
        <w:spacing w:before="1248" w:beforeLines="400" w:line="360" w:lineRule="auto"/>
        <w:jc w:val="center"/>
        <w:rPr>
          <w:rFonts w:asciiTheme="minorEastAsia" w:hAnsiTheme="minorEastAsia"/>
          <w:b/>
          <w:color w:val="auto"/>
          <w:spacing w:val="60"/>
          <w:sz w:val="72"/>
          <w:szCs w:val="72"/>
          <w:highlight w:val="none"/>
        </w:rPr>
      </w:pPr>
      <w:r>
        <w:rPr>
          <w:rFonts w:hint="eastAsia" w:asciiTheme="minorEastAsia" w:hAnsiTheme="minorEastAsia"/>
          <w:b/>
          <w:color w:val="auto"/>
          <w:spacing w:val="60"/>
          <w:sz w:val="72"/>
          <w:szCs w:val="72"/>
          <w:highlight w:val="none"/>
        </w:rPr>
        <w:t>响应文件</w:t>
      </w:r>
    </w:p>
    <w:p w14:paraId="0D30F8AB">
      <w:pPr>
        <w:spacing w:after="1560" w:afterLines="500"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（封面格式仅供参考）</w:t>
      </w:r>
    </w:p>
    <w:tbl>
      <w:tblPr>
        <w:tblStyle w:val="23"/>
        <w:tblW w:w="44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239"/>
        <w:gridCol w:w="5646"/>
      </w:tblGrid>
      <w:tr w14:paraId="14E7B2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1420" w:type="pct"/>
            <w:vAlign w:val="center"/>
          </w:tcPr>
          <w:p w14:paraId="2AC072CB">
            <w:pPr>
              <w:spacing w:line="360" w:lineRule="auto"/>
              <w:jc w:val="righ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响应供应商名称：</w:t>
            </w:r>
          </w:p>
        </w:tc>
        <w:tc>
          <w:tcPr>
            <w:tcW w:w="3580" w:type="pct"/>
            <w:vAlign w:val="center"/>
          </w:tcPr>
          <w:p w14:paraId="340091D7">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r w14:paraId="61DB0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jc w:val="center"/>
        </w:trPr>
        <w:tc>
          <w:tcPr>
            <w:tcW w:w="1420" w:type="pct"/>
            <w:vAlign w:val="center"/>
          </w:tcPr>
          <w:p w14:paraId="17B7F10F">
            <w:pPr>
              <w:spacing w:line="360" w:lineRule="auto"/>
              <w:jc w:val="righ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响应供应商地址：</w:t>
            </w:r>
          </w:p>
        </w:tc>
        <w:tc>
          <w:tcPr>
            <w:tcW w:w="3580" w:type="pct"/>
            <w:vAlign w:val="center"/>
          </w:tcPr>
          <w:p w14:paraId="06A77909">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r w14:paraId="3DDEB4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3" w:hRule="atLeast"/>
          <w:jc w:val="center"/>
        </w:trPr>
        <w:tc>
          <w:tcPr>
            <w:tcW w:w="1420" w:type="pct"/>
            <w:vAlign w:val="center"/>
          </w:tcPr>
          <w:p w14:paraId="2A4EE904">
            <w:pPr>
              <w:spacing w:line="360" w:lineRule="auto"/>
              <w:jc w:val="right"/>
              <w:rPr>
                <w:rFonts w:asciiTheme="minorEastAsia" w:hAnsiTheme="minorEastAsia"/>
                <w:color w:val="auto"/>
                <w:spacing w:val="-10"/>
                <w:sz w:val="24"/>
                <w:szCs w:val="24"/>
                <w:highlight w:val="none"/>
              </w:rPr>
            </w:pPr>
            <w:r>
              <w:rPr>
                <w:rFonts w:hint="eastAsia" w:asciiTheme="minorEastAsia" w:hAnsiTheme="minorEastAsia"/>
                <w:color w:val="auto"/>
                <w:sz w:val="24"/>
                <w:szCs w:val="24"/>
                <w:highlight w:val="none"/>
              </w:rPr>
              <w:t>联系人</w:t>
            </w:r>
            <w:r>
              <w:rPr>
                <w:rFonts w:hint="eastAsia" w:asciiTheme="minorEastAsia" w:hAnsiTheme="minorEastAsia"/>
                <w:color w:val="auto"/>
                <w:spacing w:val="-10"/>
                <w:sz w:val="24"/>
                <w:szCs w:val="24"/>
                <w:highlight w:val="none"/>
              </w:rPr>
              <w:t>：</w:t>
            </w:r>
          </w:p>
        </w:tc>
        <w:tc>
          <w:tcPr>
            <w:tcW w:w="3580" w:type="pct"/>
            <w:vAlign w:val="center"/>
          </w:tcPr>
          <w:p w14:paraId="304E1093">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r w14:paraId="0805A9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501" w:hRule="atLeast"/>
          <w:jc w:val="center"/>
        </w:trPr>
        <w:tc>
          <w:tcPr>
            <w:tcW w:w="1420" w:type="pct"/>
            <w:vAlign w:val="center"/>
          </w:tcPr>
          <w:p w14:paraId="23B56406">
            <w:pPr>
              <w:tabs>
                <w:tab w:val="left" w:pos="170"/>
              </w:tabs>
              <w:spacing w:line="360" w:lineRule="auto"/>
              <w:jc w:val="right"/>
              <w:rPr>
                <w:rFonts w:asciiTheme="minorEastAsia" w:hAnsiTheme="minorEastAsia"/>
                <w:color w:val="auto"/>
                <w:sz w:val="24"/>
                <w:szCs w:val="24"/>
                <w:highlight w:val="none"/>
              </w:rPr>
            </w:pPr>
            <w:r>
              <w:rPr>
                <w:rFonts w:hint="eastAsia" w:asciiTheme="minorEastAsia" w:hAnsiTheme="minorEastAsia"/>
                <w:color w:val="auto"/>
                <w:spacing w:val="24"/>
                <w:sz w:val="24"/>
                <w:szCs w:val="24"/>
                <w:highlight w:val="none"/>
              </w:rPr>
              <w:t>联系电话</w:t>
            </w:r>
            <w:r>
              <w:rPr>
                <w:rFonts w:hint="eastAsia" w:asciiTheme="minorEastAsia" w:hAnsiTheme="minorEastAsia"/>
                <w:color w:val="auto"/>
                <w:sz w:val="24"/>
                <w:szCs w:val="24"/>
                <w:highlight w:val="none"/>
              </w:rPr>
              <w:t>：</w:t>
            </w:r>
          </w:p>
        </w:tc>
        <w:tc>
          <w:tcPr>
            <w:tcW w:w="3580" w:type="pct"/>
            <w:vAlign w:val="center"/>
          </w:tcPr>
          <w:p w14:paraId="00CB082F">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bl>
    <w:p w14:paraId="5C549B13">
      <w:pPr>
        <w:spacing w:before="936" w:beforeLines="300" w:line="600" w:lineRule="exact"/>
        <w:jc w:val="center"/>
        <w:rPr>
          <w:rFonts w:asciiTheme="minorEastAsia" w:hAnsiTheme="minorEastAsia"/>
          <w:b/>
          <w:color w:val="auto"/>
          <w:spacing w:val="40"/>
          <w:sz w:val="24"/>
          <w:szCs w:val="24"/>
          <w:highlight w:val="none"/>
        </w:rPr>
      </w:pPr>
      <w:r>
        <w:rPr>
          <w:rFonts w:hint="eastAsia" w:asciiTheme="minorEastAsia" w:hAnsiTheme="minorEastAsia"/>
          <w:b/>
          <w:color w:val="auto"/>
          <w:spacing w:val="40"/>
          <w:sz w:val="24"/>
          <w:szCs w:val="24"/>
          <w:highlight w:val="none"/>
        </w:rPr>
        <w:t>日期：</w:t>
      </w:r>
      <w:r>
        <w:rPr>
          <w:rFonts w:hint="eastAsia" w:asciiTheme="minorEastAsia" w:hAnsiTheme="minorEastAsia"/>
          <w:b/>
          <w:color w:val="auto"/>
          <w:spacing w:val="20"/>
          <w:szCs w:val="21"/>
          <w:highlight w:val="none"/>
        </w:rPr>
        <w:t xml:space="preserve">    </w:t>
      </w:r>
      <w:r>
        <w:rPr>
          <w:rFonts w:hint="eastAsia" w:asciiTheme="minorEastAsia" w:hAnsiTheme="minorEastAsia"/>
          <w:b/>
          <w:color w:val="auto"/>
          <w:spacing w:val="40"/>
          <w:sz w:val="24"/>
          <w:szCs w:val="24"/>
          <w:highlight w:val="none"/>
        </w:rPr>
        <w:t>年</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月</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日</w:t>
      </w:r>
    </w:p>
    <w:p w14:paraId="34CE132A">
      <w:pPr>
        <w:widowControl/>
        <w:jc w:val="left"/>
        <w:rPr>
          <w:rFonts w:asciiTheme="minorEastAsia" w:hAnsiTheme="minorEastAsia"/>
          <w:b/>
          <w:bCs/>
          <w:color w:val="auto"/>
          <w:highlight w:val="none"/>
        </w:rPr>
      </w:pPr>
      <w:bookmarkStart w:id="51" w:name="_Toc405313958"/>
      <w:bookmarkStart w:id="52" w:name="_Toc391627754"/>
      <w:bookmarkStart w:id="53" w:name="_Hlk81205692"/>
      <w:r>
        <w:rPr>
          <w:rFonts w:asciiTheme="minorEastAsia" w:hAnsiTheme="minorEastAsia"/>
          <w:b/>
          <w:bCs/>
          <w:color w:val="auto"/>
          <w:highlight w:val="none"/>
        </w:rPr>
        <w:br w:type="page"/>
      </w:r>
    </w:p>
    <w:p w14:paraId="60C1F996">
      <w:pPr>
        <w:spacing w:line="360" w:lineRule="auto"/>
        <w:jc w:val="left"/>
        <w:rPr>
          <w:rFonts w:asciiTheme="minorEastAsia" w:hAnsiTheme="minorEastAsia"/>
          <w:color w:val="auto"/>
          <w:highlight w:val="none"/>
        </w:rPr>
      </w:pPr>
      <w:r>
        <w:rPr>
          <w:rFonts w:hint="eastAsia" w:asciiTheme="minorEastAsia" w:hAnsiTheme="minorEastAsia"/>
          <w:b/>
          <w:bCs/>
          <w:color w:val="auto"/>
          <w:highlight w:val="none"/>
        </w:rPr>
        <w:t>响应文件目录（响应文件包括但不限于以下组成内容，请按顺序制作。）</w:t>
      </w:r>
      <w:r>
        <w:rPr>
          <w:rFonts w:asciiTheme="minorEastAsia" w:hAnsiTheme="minorEastAsia"/>
          <w:b/>
          <w:bCs/>
          <w:color w:val="auto"/>
          <w:highlight w:val="none"/>
        </w:rPr>
        <w:cr/>
      </w:r>
    </w:p>
    <w:p w14:paraId="0C90ECB3">
      <w:pPr>
        <w:pStyle w:val="33"/>
        <w:numPr>
          <w:ilvl w:val="0"/>
          <w:numId w:val="86"/>
        </w:numPr>
        <w:spacing w:line="360" w:lineRule="auto"/>
        <w:ind w:firstLineChars="0"/>
        <w:jc w:val="left"/>
        <w:rPr>
          <w:rFonts w:asciiTheme="minorEastAsia" w:hAnsiTheme="minorEastAsia"/>
          <w:color w:val="auto"/>
          <w:highlight w:val="none"/>
        </w:rPr>
      </w:pPr>
      <w:r>
        <w:rPr>
          <w:rFonts w:hint="eastAsia" w:asciiTheme="minorEastAsia" w:hAnsiTheme="minorEastAsia"/>
          <w:color w:val="auto"/>
          <w:highlight w:val="none"/>
        </w:rPr>
        <w:t>初步</w:t>
      </w:r>
      <w:r>
        <w:rPr>
          <w:rFonts w:asciiTheme="minorEastAsia" w:hAnsiTheme="minorEastAsia"/>
          <w:color w:val="auto"/>
          <w:highlight w:val="none"/>
        </w:rPr>
        <w:t>自查索引表</w:t>
      </w:r>
    </w:p>
    <w:p w14:paraId="2ED55683">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详细评审索引表</w:t>
      </w:r>
    </w:p>
    <w:p w14:paraId="49649E01">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报价一览表</w:t>
      </w:r>
    </w:p>
    <w:p w14:paraId="340E71F8">
      <w:pPr>
        <w:pStyle w:val="33"/>
        <w:numPr>
          <w:ilvl w:val="0"/>
          <w:numId w:val="86"/>
        </w:numPr>
        <w:spacing w:line="360" w:lineRule="auto"/>
        <w:ind w:firstLineChars="0"/>
        <w:jc w:val="left"/>
        <w:rPr>
          <w:rFonts w:asciiTheme="minorEastAsia" w:hAnsiTheme="minorEastAsia"/>
          <w:color w:val="auto"/>
          <w:highlight w:val="none"/>
        </w:rPr>
      </w:pPr>
      <w:r>
        <w:rPr>
          <w:rFonts w:hint="eastAsia" w:asciiTheme="minorEastAsia" w:hAnsiTheme="minorEastAsia"/>
          <w:color w:val="auto"/>
          <w:highlight w:val="none"/>
        </w:rPr>
        <w:t>响应</w:t>
      </w:r>
      <w:r>
        <w:rPr>
          <w:rFonts w:asciiTheme="minorEastAsia" w:hAnsiTheme="minorEastAsia"/>
          <w:color w:val="auto"/>
          <w:highlight w:val="none"/>
        </w:rPr>
        <w:t>函</w:t>
      </w:r>
    </w:p>
    <w:p w14:paraId="2936F643">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资格声明函</w:t>
      </w:r>
    </w:p>
    <w:p w14:paraId="3C922089">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法定代表人身份证明书</w:t>
      </w:r>
    </w:p>
    <w:p w14:paraId="4CF70A73">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法定代表人授权委托书</w:t>
      </w:r>
    </w:p>
    <w:p w14:paraId="3C58C015">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响应供应商基本情况说明</w:t>
      </w:r>
    </w:p>
    <w:p w14:paraId="6E1625E8">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业绩表</w:t>
      </w:r>
    </w:p>
    <w:p w14:paraId="63044E4B">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商务要求偏离表</w:t>
      </w:r>
    </w:p>
    <w:p w14:paraId="0745A89A">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项目技术服务人员情况表</w:t>
      </w:r>
    </w:p>
    <w:p w14:paraId="1661D977">
      <w:pPr>
        <w:pStyle w:val="33"/>
        <w:numPr>
          <w:ilvl w:val="0"/>
          <w:numId w:val="86"/>
        </w:numPr>
        <w:spacing w:line="360" w:lineRule="auto"/>
        <w:ind w:firstLineChars="0"/>
        <w:jc w:val="left"/>
        <w:rPr>
          <w:rFonts w:asciiTheme="minorEastAsia" w:hAnsiTheme="minorEastAsia"/>
          <w:color w:val="auto"/>
          <w:highlight w:val="none"/>
        </w:rPr>
      </w:pPr>
      <w:r>
        <w:rPr>
          <w:rFonts w:asciiTheme="minorEastAsia" w:hAnsiTheme="minorEastAsia"/>
          <w:color w:val="auto"/>
          <w:highlight w:val="none"/>
        </w:rPr>
        <w:t>项目负责人简历表</w:t>
      </w:r>
    </w:p>
    <w:p w14:paraId="7018A3E1">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54" w:name="_Toc138770014"/>
      <w:r>
        <w:rPr>
          <w:rStyle w:val="25"/>
          <w:rFonts w:hint="eastAsia" w:asciiTheme="minorEastAsia" w:hAnsiTheme="minorEastAsia" w:eastAsiaTheme="minorEastAsia"/>
          <w:b/>
          <w:bCs/>
          <w:color w:val="auto"/>
          <w:spacing w:val="12"/>
          <w:sz w:val="21"/>
          <w:szCs w:val="21"/>
          <w:highlight w:val="none"/>
        </w:rPr>
        <w:t>初步自查索引表</w:t>
      </w:r>
      <w:bookmarkEnd w:id="54"/>
    </w:p>
    <w:p w14:paraId="7C53D550">
      <w:pPr>
        <w:spacing w:before="312" w:beforeLines="100" w:after="312" w:afterLines="100"/>
        <w:jc w:val="center"/>
        <w:rPr>
          <w:rFonts w:cs="Times New Roman" w:asciiTheme="minorEastAsia" w:hAnsiTheme="minorEastAsia"/>
          <w:b/>
          <w:color w:val="auto"/>
          <w:spacing w:val="20"/>
          <w:sz w:val="30"/>
          <w:szCs w:val="30"/>
          <w:highlight w:val="none"/>
        </w:rPr>
      </w:pPr>
      <w:r>
        <w:rPr>
          <w:rFonts w:hint="eastAsia" w:cs="Times New Roman" w:asciiTheme="minorEastAsia" w:hAnsiTheme="minorEastAsia"/>
          <w:b/>
          <w:color w:val="auto"/>
          <w:spacing w:val="20"/>
          <w:sz w:val="30"/>
          <w:szCs w:val="30"/>
          <w:highlight w:val="none"/>
        </w:rPr>
        <w:t>初步自查索引表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4936"/>
        <w:gridCol w:w="1312"/>
        <w:gridCol w:w="1806"/>
      </w:tblGrid>
      <w:tr w14:paraId="12AC9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7" w:type="pct"/>
            <w:vAlign w:val="center"/>
          </w:tcPr>
          <w:p w14:paraId="372B5187">
            <w:pPr>
              <w:spacing w:line="360" w:lineRule="auto"/>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序号</w:t>
            </w:r>
          </w:p>
        </w:tc>
        <w:tc>
          <w:tcPr>
            <w:tcW w:w="2815" w:type="pct"/>
            <w:tcBorders>
              <w:bottom w:val="single" w:color="auto" w:sz="4" w:space="0"/>
              <w:tl2br w:val="nil"/>
            </w:tcBorders>
            <w:vAlign w:val="center"/>
          </w:tcPr>
          <w:p w14:paraId="13E37E70">
            <w:pPr>
              <w:spacing w:line="360" w:lineRule="auto"/>
              <w:ind w:left="211" w:hanging="211" w:hangingChars="100"/>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审查内容</w:t>
            </w:r>
          </w:p>
        </w:tc>
        <w:tc>
          <w:tcPr>
            <w:tcW w:w="748" w:type="pct"/>
            <w:vAlign w:val="center"/>
          </w:tcPr>
          <w:p w14:paraId="197652BA">
            <w:pPr>
              <w:spacing w:line="360" w:lineRule="auto"/>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自查</w:t>
            </w:r>
          </w:p>
          <w:p w14:paraId="6B505A59">
            <w:pPr>
              <w:spacing w:line="360" w:lineRule="auto"/>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结论</w:t>
            </w:r>
          </w:p>
        </w:tc>
        <w:tc>
          <w:tcPr>
            <w:tcW w:w="1030" w:type="pct"/>
            <w:vAlign w:val="center"/>
          </w:tcPr>
          <w:p w14:paraId="04A6EBB1">
            <w:pPr>
              <w:spacing w:line="360" w:lineRule="auto"/>
              <w:jc w:val="center"/>
              <w:rPr>
                <w:rFonts w:asciiTheme="minorEastAsia" w:hAnsiTheme="minorEastAsia"/>
                <w:b/>
                <w:bCs/>
                <w:color w:val="auto"/>
                <w:spacing w:val="-10"/>
                <w:szCs w:val="21"/>
                <w:highlight w:val="none"/>
              </w:rPr>
            </w:pPr>
            <w:r>
              <w:rPr>
                <w:rFonts w:asciiTheme="minorEastAsia" w:hAnsiTheme="minorEastAsia"/>
                <w:b/>
                <w:bCs/>
                <w:color w:val="auto"/>
                <w:spacing w:val="-10"/>
                <w:szCs w:val="21"/>
                <w:highlight w:val="none"/>
              </w:rPr>
              <w:t>响应文件响应页码</w:t>
            </w:r>
          </w:p>
        </w:tc>
      </w:tr>
      <w:tr w14:paraId="6A8E84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7" w:type="pct"/>
            <w:vAlign w:val="center"/>
          </w:tcPr>
          <w:p w14:paraId="019EE548">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1</w:t>
            </w:r>
          </w:p>
        </w:tc>
        <w:tc>
          <w:tcPr>
            <w:tcW w:w="2815" w:type="pct"/>
            <w:tcBorders>
              <w:tl2br w:val="nil"/>
            </w:tcBorders>
            <w:vAlign w:val="center"/>
          </w:tcPr>
          <w:p w14:paraId="47CEA3FE">
            <w:pPr>
              <w:jc w:val="left"/>
              <w:rPr>
                <w:rFonts w:asciiTheme="minorEastAsia" w:hAnsiTheme="minorEastAsia"/>
                <w:color w:val="auto"/>
                <w:highlight w:val="none"/>
              </w:rPr>
            </w:pPr>
          </w:p>
        </w:tc>
        <w:tc>
          <w:tcPr>
            <w:tcW w:w="748" w:type="pct"/>
            <w:vAlign w:val="center"/>
          </w:tcPr>
          <w:p w14:paraId="5D7620E3">
            <w:pPr>
              <w:spacing w:line="360" w:lineRule="auto"/>
              <w:jc w:val="center"/>
              <w:rPr>
                <w:rFonts w:asciiTheme="minorEastAsia" w:hAnsiTheme="minorEastAsia"/>
                <w:bCs/>
                <w:color w:val="auto"/>
                <w:szCs w:val="21"/>
                <w:highlight w:val="none"/>
              </w:rPr>
            </w:pPr>
          </w:p>
        </w:tc>
        <w:tc>
          <w:tcPr>
            <w:tcW w:w="1030" w:type="pct"/>
            <w:vAlign w:val="center"/>
          </w:tcPr>
          <w:p w14:paraId="17D89310">
            <w:pPr>
              <w:spacing w:line="360" w:lineRule="auto"/>
              <w:jc w:val="center"/>
              <w:rPr>
                <w:rFonts w:asciiTheme="minorEastAsia" w:hAnsiTheme="minorEastAsia"/>
                <w:bCs/>
                <w:color w:val="auto"/>
                <w:szCs w:val="21"/>
                <w:highlight w:val="none"/>
              </w:rPr>
            </w:pPr>
          </w:p>
        </w:tc>
      </w:tr>
      <w:tr w14:paraId="48D71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871E1D4">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2</w:t>
            </w:r>
          </w:p>
        </w:tc>
        <w:tc>
          <w:tcPr>
            <w:tcW w:w="2815" w:type="pct"/>
            <w:vAlign w:val="center"/>
          </w:tcPr>
          <w:p w14:paraId="43F16B4A">
            <w:pPr>
              <w:spacing w:line="360" w:lineRule="auto"/>
              <w:jc w:val="left"/>
              <w:rPr>
                <w:rFonts w:asciiTheme="minorEastAsia" w:hAnsiTheme="minorEastAsia"/>
                <w:b/>
                <w:bCs/>
                <w:color w:val="auto"/>
                <w:szCs w:val="21"/>
                <w:highlight w:val="none"/>
              </w:rPr>
            </w:pPr>
          </w:p>
        </w:tc>
        <w:tc>
          <w:tcPr>
            <w:tcW w:w="748" w:type="pct"/>
            <w:vAlign w:val="center"/>
          </w:tcPr>
          <w:p w14:paraId="1FADD7AB">
            <w:pPr>
              <w:spacing w:line="360" w:lineRule="auto"/>
              <w:jc w:val="center"/>
              <w:rPr>
                <w:rFonts w:asciiTheme="minorEastAsia" w:hAnsiTheme="minorEastAsia"/>
                <w:b/>
                <w:bCs/>
                <w:color w:val="auto"/>
                <w:szCs w:val="21"/>
                <w:highlight w:val="none"/>
              </w:rPr>
            </w:pPr>
          </w:p>
        </w:tc>
        <w:tc>
          <w:tcPr>
            <w:tcW w:w="1030" w:type="pct"/>
            <w:vAlign w:val="center"/>
          </w:tcPr>
          <w:p w14:paraId="6B37702B">
            <w:pPr>
              <w:spacing w:line="360" w:lineRule="auto"/>
              <w:jc w:val="center"/>
              <w:rPr>
                <w:rFonts w:asciiTheme="minorEastAsia" w:hAnsiTheme="minorEastAsia"/>
                <w:b/>
                <w:bCs/>
                <w:color w:val="auto"/>
                <w:szCs w:val="21"/>
                <w:highlight w:val="none"/>
              </w:rPr>
            </w:pPr>
          </w:p>
        </w:tc>
      </w:tr>
      <w:tr w14:paraId="0B7793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DEF07C7">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3</w:t>
            </w:r>
          </w:p>
        </w:tc>
        <w:tc>
          <w:tcPr>
            <w:tcW w:w="2815" w:type="pct"/>
            <w:vAlign w:val="center"/>
          </w:tcPr>
          <w:p w14:paraId="560A60B7">
            <w:pPr>
              <w:spacing w:line="360" w:lineRule="auto"/>
              <w:jc w:val="left"/>
              <w:rPr>
                <w:rFonts w:asciiTheme="minorEastAsia" w:hAnsiTheme="minorEastAsia"/>
                <w:b/>
                <w:bCs/>
                <w:color w:val="auto"/>
                <w:szCs w:val="21"/>
                <w:highlight w:val="none"/>
              </w:rPr>
            </w:pPr>
          </w:p>
        </w:tc>
        <w:tc>
          <w:tcPr>
            <w:tcW w:w="748" w:type="pct"/>
            <w:vAlign w:val="center"/>
          </w:tcPr>
          <w:p w14:paraId="672D3D65">
            <w:pPr>
              <w:spacing w:line="360" w:lineRule="auto"/>
              <w:jc w:val="center"/>
              <w:rPr>
                <w:rFonts w:asciiTheme="minorEastAsia" w:hAnsiTheme="minorEastAsia"/>
                <w:b/>
                <w:bCs/>
                <w:color w:val="auto"/>
                <w:szCs w:val="21"/>
                <w:highlight w:val="none"/>
              </w:rPr>
            </w:pPr>
          </w:p>
        </w:tc>
        <w:tc>
          <w:tcPr>
            <w:tcW w:w="1030" w:type="pct"/>
            <w:vAlign w:val="center"/>
          </w:tcPr>
          <w:p w14:paraId="4D9941A1">
            <w:pPr>
              <w:spacing w:line="360" w:lineRule="auto"/>
              <w:jc w:val="center"/>
              <w:rPr>
                <w:rFonts w:asciiTheme="minorEastAsia" w:hAnsiTheme="minorEastAsia"/>
                <w:b/>
                <w:bCs/>
                <w:color w:val="auto"/>
                <w:szCs w:val="21"/>
                <w:highlight w:val="none"/>
              </w:rPr>
            </w:pPr>
          </w:p>
        </w:tc>
      </w:tr>
      <w:tr w14:paraId="5953A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trPr>
        <w:tc>
          <w:tcPr>
            <w:tcW w:w="407" w:type="pct"/>
            <w:vAlign w:val="center"/>
          </w:tcPr>
          <w:p w14:paraId="056589A8">
            <w:pPr>
              <w:spacing w:line="360" w:lineRule="auto"/>
              <w:jc w:val="center"/>
              <w:rPr>
                <w:rFonts w:asciiTheme="minorEastAsia" w:hAnsiTheme="minorEastAsia"/>
                <w:bCs/>
                <w:color w:val="auto"/>
                <w:szCs w:val="21"/>
                <w:highlight w:val="none"/>
              </w:rPr>
            </w:pPr>
            <w:r>
              <w:rPr>
                <w:rFonts w:asciiTheme="minorEastAsia" w:hAnsiTheme="minorEastAsia"/>
                <w:bCs/>
                <w:color w:val="auto"/>
                <w:szCs w:val="21"/>
                <w:highlight w:val="none"/>
              </w:rPr>
              <w:t>4</w:t>
            </w:r>
          </w:p>
        </w:tc>
        <w:tc>
          <w:tcPr>
            <w:tcW w:w="2815" w:type="pct"/>
            <w:vAlign w:val="center"/>
          </w:tcPr>
          <w:p w14:paraId="235EB34C">
            <w:pPr>
              <w:spacing w:line="360" w:lineRule="auto"/>
              <w:jc w:val="left"/>
              <w:rPr>
                <w:rFonts w:asciiTheme="minorEastAsia" w:hAnsiTheme="minorEastAsia"/>
                <w:b/>
                <w:bCs/>
                <w:color w:val="auto"/>
                <w:szCs w:val="21"/>
                <w:highlight w:val="none"/>
              </w:rPr>
            </w:pPr>
          </w:p>
        </w:tc>
        <w:tc>
          <w:tcPr>
            <w:tcW w:w="748" w:type="pct"/>
            <w:vAlign w:val="center"/>
          </w:tcPr>
          <w:p w14:paraId="0311261B">
            <w:pPr>
              <w:spacing w:line="360" w:lineRule="auto"/>
              <w:jc w:val="center"/>
              <w:rPr>
                <w:rFonts w:asciiTheme="minorEastAsia" w:hAnsiTheme="minorEastAsia"/>
                <w:b/>
                <w:bCs/>
                <w:color w:val="auto"/>
                <w:szCs w:val="21"/>
                <w:highlight w:val="none"/>
              </w:rPr>
            </w:pPr>
          </w:p>
        </w:tc>
        <w:tc>
          <w:tcPr>
            <w:tcW w:w="1030" w:type="pct"/>
            <w:vAlign w:val="center"/>
          </w:tcPr>
          <w:p w14:paraId="43EF95D4">
            <w:pPr>
              <w:spacing w:line="360" w:lineRule="auto"/>
              <w:jc w:val="center"/>
              <w:rPr>
                <w:rFonts w:asciiTheme="minorEastAsia" w:hAnsiTheme="minorEastAsia"/>
                <w:b/>
                <w:bCs/>
                <w:color w:val="auto"/>
                <w:szCs w:val="21"/>
                <w:highlight w:val="none"/>
              </w:rPr>
            </w:pPr>
          </w:p>
        </w:tc>
      </w:tr>
      <w:tr w14:paraId="34566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A0B9EBA">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5</w:t>
            </w:r>
          </w:p>
        </w:tc>
        <w:tc>
          <w:tcPr>
            <w:tcW w:w="2815" w:type="pct"/>
            <w:vAlign w:val="center"/>
          </w:tcPr>
          <w:p w14:paraId="2AD53571">
            <w:pPr>
              <w:spacing w:line="360" w:lineRule="auto"/>
              <w:jc w:val="left"/>
              <w:rPr>
                <w:rFonts w:asciiTheme="minorEastAsia" w:hAnsiTheme="minorEastAsia"/>
                <w:b/>
                <w:bCs/>
                <w:color w:val="auto"/>
                <w:szCs w:val="21"/>
                <w:highlight w:val="none"/>
              </w:rPr>
            </w:pPr>
          </w:p>
        </w:tc>
        <w:tc>
          <w:tcPr>
            <w:tcW w:w="748" w:type="pct"/>
            <w:vAlign w:val="center"/>
          </w:tcPr>
          <w:p w14:paraId="506FEADE">
            <w:pPr>
              <w:spacing w:line="360" w:lineRule="auto"/>
              <w:jc w:val="center"/>
              <w:rPr>
                <w:rFonts w:asciiTheme="minorEastAsia" w:hAnsiTheme="minorEastAsia"/>
                <w:b/>
                <w:bCs/>
                <w:color w:val="auto"/>
                <w:szCs w:val="21"/>
                <w:highlight w:val="none"/>
              </w:rPr>
            </w:pPr>
          </w:p>
        </w:tc>
        <w:tc>
          <w:tcPr>
            <w:tcW w:w="1030" w:type="pct"/>
            <w:vAlign w:val="center"/>
          </w:tcPr>
          <w:p w14:paraId="7092370A">
            <w:pPr>
              <w:spacing w:line="360" w:lineRule="auto"/>
              <w:jc w:val="center"/>
              <w:rPr>
                <w:rFonts w:asciiTheme="minorEastAsia" w:hAnsiTheme="minorEastAsia"/>
                <w:b/>
                <w:bCs/>
                <w:color w:val="auto"/>
                <w:szCs w:val="21"/>
                <w:highlight w:val="none"/>
              </w:rPr>
            </w:pPr>
          </w:p>
        </w:tc>
      </w:tr>
      <w:tr w14:paraId="7C025E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199D92E">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6</w:t>
            </w:r>
          </w:p>
        </w:tc>
        <w:tc>
          <w:tcPr>
            <w:tcW w:w="2815" w:type="pct"/>
            <w:vAlign w:val="center"/>
          </w:tcPr>
          <w:p w14:paraId="362DB2F2">
            <w:pPr>
              <w:spacing w:line="360" w:lineRule="auto"/>
              <w:jc w:val="left"/>
              <w:rPr>
                <w:rFonts w:asciiTheme="minorEastAsia" w:hAnsiTheme="minorEastAsia"/>
                <w:b/>
                <w:bCs/>
                <w:color w:val="auto"/>
                <w:szCs w:val="21"/>
                <w:highlight w:val="none"/>
              </w:rPr>
            </w:pPr>
          </w:p>
        </w:tc>
        <w:tc>
          <w:tcPr>
            <w:tcW w:w="748" w:type="pct"/>
            <w:vAlign w:val="center"/>
          </w:tcPr>
          <w:p w14:paraId="1236C3DC">
            <w:pPr>
              <w:spacing w:line="360" w:lineRule="auto"/>
              <w:jc w:val="center"/>
              <w:rPr>
                <w:rFonts w:asciiTheme="minorEastAsia" w:hAnsiTheme="minorEastAsia"/>
                <w:b/>
                <w:bCs/>
                <w:color w:val="auto"/>
                <w:szCs w:val="21"/>
                <w:highlight w:val="none"/>
              </w:rPr>
            </w:pPr>
          </w:p>
        </w:tc>
        <w:tc>
          <w:tcPr>
            <w:tcW w:w="1030" w:type="pct"/>
            <w:vAlign w:val="center"/>
          </w:tcPr>
          <w:p w14:paraId="5A048F82">
            <w:pPr>
              <w:spacing w:line="360" w:lineRule="auto"/>
              <w:jc w:val="center"/>
              <w:rPr>
                <w:rFonts w:asciiTheme="minorEastAsia" w:hAnsiTheme="minorEastAsia"/>
                <w:b/>
                <w:bCs/>
                <w:color w:val="auto"/>
                <w:szCs w:val="21"/>
                <w:highlight w:val="none"/>
              </w:rPr>
            </w:pPr>
          </w:p>
        </w:tc>
      </w:tr>
      <w:tr w14:paraId="4DD67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2" w:hRule="atLeast"/>
        </w:trPr>
        <w:tc>
          <w:tcPr>
            <w:tcW w:w="407" w:type="pct"/>
            <w:vAlign w:val="center"/>
          </w:tcPr>
          <w:p w14:paraId="01E09FD4">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7</w:t>
            </w:r>
          </w:p>
        </w:tc>
        <w:tc>
          <w:tcPr>
            <w:tcW w:w="2815" w:type="pct"/>
            <w:vAlign w:val="center"/>
          </w:tcPr>
          <w:p w14:paraId="21604B14">
            <w:pPr>
              <w:spacing w:line="360" w:lineRule="auto"/>
              <w:jc w:val="left"/>
              <w:rPr>
                <w:rFonts w:asciiTheme="minorEastAsia" w:hAnsiTheme="minorEastAsia"/>
                <w:b/>
                <w:bCs/>
                <w:color w:val="auto"/>
                <w:szCs w:val="21"/>
                <w:highlight w:val="none"/>
              </w:rPr>
            </w:pPr>
          </w:p>
        </w:tc>
        <w:tc>
          <w:tcPr>
            <w:tcW w:w="748" w:type="pct"/>
            <w:vAlign w:val="center"/>
          </w:tcPr>
          <w:p w14:paraId="062D078D">
            <w:pPr>
              <w:spacing w:line="360" w:lineRule="auto"/>
              <w:jc w:val="center"/>
              <w:rPr>
                <w:rFonts w:asciiTheme="minorEastAsia" w:hAnsiTheme="minorEastAsia"/>
                <w:b/>
                <w:bCs/>
                <w:color w:val="auto"/>
                <w:szCs w:val="21"/>
                <w:highlight w:val="none"/>
              </w:rPr>
            </w:pPr>
          </w:p>
        </w:tc>
        <w:tc>
          <w:tcPr>
            <w:tcW w:w="1030" w:type="pct"/>
            <w:vAlign w:val="center"/>
          </w:tcPr>
          <w:p w14:paraId="08876911">
            <w:pPr>
              <w:spacing w:line="360" w:lineRule="auto"/>
              <w:jc w:val="center"/>
              <w:rPr>
                <w:rFonts w:asciiTheme="minorEastAsia" w:hAnsiTheme="minorEastAsia"/>
                <w:b/>
                <w:bCs/>
                <w:color w:val="auto"/>
                <w:szCs w:val="21"/>
                <w:highlight w:val="none"/>
              </w:rPr>
            </w:pPr>
          </w:p>
        </w:tc>
      </w:tr>
      <w:tr w14:paraId="73EDA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37B48BC0">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8</w:t>
            </w:r>
          </w:p>
        </w:tc>
        <w:tc>
          <w:tcPr>
            <w:tcW w:w="2815" w:type="pct"/>
            <w:vAlign w:val="center"/>
          </w:tcPr>
          <w:p w14:paraId="24621B72">
            <w:pPr>
              <w:spacing w:line="360" w:lineRule="auto"/>
              <w:jc w:val="left"/>
              <w:rPr>
                <w:rFonts w:asciiTheme="minorEastAsia" w:hAnsiTheme="minorEastAsia"/>
                <w:b/>
                <w:bCs/>
                <w:color w:val="auto"/>
                <w:szCs w:val="21"/>
                <w:highlight w:val="none"/>
              </w:rPr>
            </w:pPr>
          </w:p>
        </w:tc>
        <w:tc>
          <w:tcPr>
            <w:tcW w:w="748" w:type="pct"/>
            <w:vAlign w:val="center"/>
          </w:tcPr>
          <w:p w14:paraId="62C39DF5">
            <w:pPr>
              <w:spacing w:line="360" w:lineRule="auto"/>
              <w:jc w:val="center"/>
              <w:rPr>
                <w:rFonts w:asciiTheme="minorEastAsia" w:hAnsiTheme="minorEastAsia"/>
                <w:b/>
                <w:bCs/>
                <w:color w:val="auto"/>
                <w:szCs w:val="21"/>
                <w:highlight w:val="none"/>
              </w:rPr>
            </w:pPr>
          </w:p>
        </w:tc>
        <w:tc>
          <w:tcPr>
            <w:tcW w:w="1030" w:type="pct"/>
            <w:vAlign w:val="center"/>
          </w:tcPr>
          <w:p w14:paraId="058FAD07">
            <w:pPr>
              <w:spacing w:line="360" w:lineRule="auto"/>
              <w:jc w:val="center"/>
              <w:rPr>
                <w:rFonts w:asciiTheme="minorEastAsia" w:hAnsiTheme="minorEastAsia"/>
                <w:b/>
                <w:bCs/>
                <w:color w:val="auto"/>
                <w:szCs w:val="21"/>
                <w:highlight w:val="none"/>
              </w:rPr>
            </w:pPr>
          </w:p>
        </w:tc>
      </w:tr>
      <w:tr w14:paraId="77636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7" w:type="pct"/>
            <w:vAlign w:val="center"/>
          </w:tcPr>
          <w:p w14:paraId="7EBAB379">
            <w:pPr>
              <w:spacing w:line="360" w:lineRule="auto"/>
              <w:jc w:val="center"/>
              <w:rPr>
                <w:rFonts w:asciiTheme="minorEastAsia" w:hAnsiTheme="minorEastAsia"/>
                <w:bCs/>
                <w:color w:val="auto"/>
                <w:szCs w:val="21"/>
                <w:highlight w:val="none"/>
              </w:rPr>
            </w:pPr>
            <w:r>
              <w:rPr>
                <w:rFonts w:hint="eastAsia" w:asciiTheme="minorEastAsia" w:hAnsiTheme="minorEastAsia"/>
                <w:bCs/>
                <w:color w:val="auto"/>
                <w:szCs w:val="21"/>
                <w:highlight w:val="none"/>
              </w:rPr>
              <w:t>9</w:t>
            </w:r>
          </w:p>
        </w:tc>
        <w:tc>
          <w:tcPr>
            <w:tcW w:w="2815" w:type="pct"/>
            <w:vAlign w:val="center"/>
          </w:tcPr>
          <w:p w14:paraId="5B8430CD">
            <w:pPr>
              <w:spacing w:line="360" w:lineRule="auto"/>
              <w:jc w:val="left"/>
              <w:rPr>
                <w:rFonts w:asciiTheme="minorEastAsia" w:hAnsiTheme="minorEastAsia"/>
                <w:b/>
                <w:bCs/>
                <w:color w:val="auto"/>
                <w:szCs w:val="21"/>
                <w:highlight w:val="none"/>
              </w:rPr>
            </w:pPr>
          </w:p>
        </w:tc>
        <w:tc>
          <w:tcPr>
            <w:tcW w:w="748" w:type="pct"/>
            <w:vAlign w:val="center"/>
          </w:tcPr>
          <w:p w14:paraId="79510E72">
            <w:pPr>
              <w:spacing w:line="360" w:lineRule="auto"/>
              <w:jc w:val="center"/>
              <w:rPr>
                <w:rFonts w:asciiTheme="minorEastAsia" w:hAnsiTheme="minorEastAsia"/>
                <w:b/>
                <w:bCs/>
                <w:color w:val="auto"/>
                <w:szCs w:val="21"/>
                <w:highlight w:val="none"/>
              </w:rPr>
            </w:pPr>
          </w:p>
        </w:tc>
        <w:tc>
          <w:tcPr>
            <w:tcW w:w="1030" w:type="pct"/>
            <w:vAlign w:val="center"/>
          </w:tcPr>
          <w:p w14:paraId="35A433C9">
            <w:pPr>
              <w:spacing w:line="360" w:lineRule="auto"/>
              <w:jc w:val="center"/>
              <w:rPr>
                <w:rFonts w:asciiTheme="minorEastAsia" w:hAnsiTheme="minorEastAsia"/>
                <w:b/>
                <w:bCs/>
                <w:color w:val="auto"/>
                <w:szCs w:val="21"/>
                <w:highlight w:val="none"/>
              </w:rPr>
            </w:pPr>
          </w:p>
        </w:tc>
      </w:tr>
    </w:tbl>
    <w:p w14:paraId="3CCB8803">
      <w:pPr>
        <w:spacing w:before="156" w:beforeLines="50" w:line="360" w:lineRule="auto"/>
        <w:rPr>
          <w:rFonts w:asciiTheme="minorEastAsia" w:hAnsiTheme="minorEastAsia"/>
          <w:color w:val="auto"/>
          <w:highlight w:val="none"/>
        </w:rPr>
      </w:pPr>
      <w:r>
        <w:rPr>
          <w:rFonts w:hint="eastAsia" w:asciiTheme="minorEastAsia" w:hAnsiTheme="minorEastAsia"/>
          <w:color w:val="auto"/>
          <w:highlight w:val="none"/>
        </w:rPr>
        <w:t>注明：</w:t>
      </w:r>
    </w:p>
    <w:p w14:paraId="672DABEF">
      <w:pPr>
        <w:pStyle w:val="33"/>
        <w:numPr>
          <w:ilvl w:val="0"/>
          <w:numId w:val="88"/>
        </w:numPr>
        <w:spacing w:line="360" w:lineRule="auto"/>
        <w:ind w:firstLineChars="0"/>
        <w:rPr>
          <w:rFonts w:asciiTheme="minorEastAsia" w:hAnsiTheme="minorEastAsia"/>
          <w:color w:val="auto"/>
          <w:highlight w:val="none"/>
        </w:rPr>
      </w:pPr>
      <w:r>
        <w:rPr>
          <w:rFonts w:hint="eastAsia" w:asciiTheme="minorEastAsia" w:hAnsiTheme="minorEastAsia"/>
          <w:color w:val="auto"/>
          <w:highlight w:val="none"/>
        </w:rPr>
        <w:t>自查结论处请填写：通过</w:t>
      </w:r>
      <w:r>
        <w:rPr>
          <w:rFonts w:asciiTheme="minorEastAsia" w:hAnsiTheme="minorEastAsia"/>
          <w:color w:val="auto"/>
          <w:highlight w:val="none"/>
        </w:rPr>
        <w:t>/不通过；</w:t>
      </w:r>
    </w:p>
    <w:p w14:paraId="5E29EFA6">
      <w:pPr>
        <w:pStyle w:val="33"/>
        <w:numPr>
          <w:ilvl w:val="0"/>
          <w:numId w:val="88"/>
        </w:numPr>
        <w:spacing w:line="360" w:lineRule="auto"/>
        <w:ind w:firstLineChars="0"/>
        <w:rPr>
          <w:rFonts w:asciiTheme="minorEastAsia" w:hAnsiTheme="minorEastAsia"/>
          <w:color w:val="auto"/>
          <w:highlight w:val="none"/>
        </w:rPr>
      </w:pPr>
      <w:r>
        <w:rPr>
          <w:rFonts w:hint="eastAsia" w:asciiTheme="minorEastAsia" w:hAnsiTheme="minorEastAsia"/>
          <w:color w:val="auto"/>
          <w:szCs w:val="21"/>
          <w:highlight w:val="none"/>
        </w:rPr>
        <w:t>按遴选文件第四部分</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评审方法、步骤、标准之初步审查表（</w:t>
      </w:r>
      <w:r>
        <w:rPr>
          <w:rFonts w:hint="eastAsia" w:asciiTheme="minorEastAsia" w:hAnsiTheme="minorEastAsia"/>
          <w:color w:val="auto"/>
          <w:kern w:val="0"/>
          <w:szCs w:val="21"/>
          <w:highlight w:val="none"/>
        </w:rPr>
        <w:t>附表一）</w:t>
      </w:r>
      <w:r>
        <w:rPr>
          <w:rFonts w:hint="eastAsia" w:asciiTheme="minorEastAsia" w:hAnsiTheme="minorEastAsia"/>
          <w:color w:val="auto"/>
          <w:szCs w:val="21"/>
          <w:highlight w:val="none"/>
        </w:rPr>
        <w:t>相对应条款填写</w:t>
      </w:r>
      <w:r>
        <w:rPr>
          <w:rFonts w:hint="eastAsia" w:asciiTheme="minorEastAsia" w:hAnsiTheme="minorEastAsia"/>
          <w:color w:val="auto"/>
          <w:highlight w:val="none"/>
        </w:rPr>
        <w:t>。</w:t>
      </w:r>
    </w:p>
    <w:p w14:paraId="09DBAEDD">
      <w:pPr>
        <w:spacing w:line="360" w:lineRule="auto"/>
        <w:rPr>
          <w:rFonts w:asciiTheme="minorEastAsia" w:hAnsiTheme="minorEastAsia"/>
          <w:color w:val="auto"/>
          <w:highlight w:val="none"/>
        </w:rPr>
      </w:pPr>
    </w:p>
    <w:p w14:paraId="4BD01BEB">
      <w:pPr>
        <w:spacing w:line="360" w:lineRule="auto"/>
        <w:rPr>
          <w:rFonts w:asciiTheme="minorEastAsia" w:hAnsiTheme="minorEastAsia"/>
          <w:color w:val="auto"/>
          <w:highlight w:val="none"/>
        </w:rPr>
      </w:pPr>
    </w:p>
    <w:p w14:paraId="09CBD2BA">
      <w:pPr>
        <w:spacing w:line="360" w:lineRule="auto"/>
        <w:rPr>
          <w:rFonts w:asciiTheme="minorEastAsia" w:hAnsiTheme="minorEastAsia"/>
          <w:color w:val="auto"/>
          <w:highlight w:val="none"/>
        </w:rPr>
      </w:pPr>
    </w:p>
    <w:tbl>
      <w:tblPr>
        <w:tblStyle w:val="22"/>
        <w:tblW w:w="0" w:type="auto"/>
        <w:tblInd w:w="0" w:type="dxa"/>
        <w:tblLayout w:type="autofit"/>
        <w:tblCellMar>
          <w:top w:w="0" w:type="dxa"/>
          <w:left w:w="108" w:type="dxa"/>
          <w:bottom w:w="0" w:type="dxa"/>
          <w:right w:w="108" w:type="dxa"/>
        </w:tblCellMar>
      </w:tblPr>
      <w:tblGrid>
        <w:gridCol w:w="5353"/>
        <w:gridCol w:w="3175"/>
      </w:tblGrid>
      <w:tr w14:paraId="512C683B">
        <w:tblPrEx>
          <w:tblCellMar>
            <w:top w:w="0" w:type="dxa"/>
            <w:left w:w="108" w:type="dxa"/>
            <w:bottom w:w="0" w:type="dxa"/>
            <w:right w:w="108" w:type="dxa"/>
          </w:tblCellMar>
        </w:tblPrEx>
        <w:tc>
          <w:tcPr>
            <w:tcW w:w="5353" w:type="dxa"/>
          </w:tcPr>
          <w:p w14:paraId="6B5FE091">
            <w:pPr>
              <w:overflowPunct w:val="0"/>
              <w:adjustRightIn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c>
          <w:tcPr>
            <w:tcW w:w="3175" w:type="dxa"/>
          </w:tcPr>
          <w:p w14:paraId="583700F4">
            <w:pPr>
              <w:spacing w:line="360" w:lineRule="auto"/>
              <w:rPr>
                <w:rFonts w:asciiTheme="minorEastAsia" w:hAnsiTheme="minorEastAsia"/>
                <w:color w:val="auto"/>
                <w:szCs w:val="21"/>
                <w:highlight w:val="none"/>
              </w:rPr>
            </w:pPr>
          </w:p>
        </w:tc>
      </w:tr>
      <w:tr w14:paraId="43AB01EB">
        <w:tblPrEx>
          <w:tblCellMar>
            <w:top w:w="0" w:type="dxa"/>
            <w:left w:w="108" w:type="dxa"/>
            <w:bottom w:w="0" w:type="dxa"/>
            <w:right w:w="108" w:type="dxa"/>
          </w:tblCellMar>
        </w:tblPrEx>
        <w:tc>
          <w:tcPr>
            <w:tcW w:w="5353" w:type="dxa"/>
          </w:tcPr>
          <w:p w14:paraId="2FA7863D">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3175" w:type="dxa"/>
          </w:tcPr>
          <w:p w14:paraId="48D58DBA">
            <w:pPr>
              <w:spacing w:line="360" w:lineRule="auto"/>
              <w:rPr>
                <w:rFonts w:asciiTheme="minorEastAsia" w:hAnsiTheme="minorEastAsia"/>
                <w:color w:val="auto"/>
                <w:szCs w:val="21"/>
                <w:highlight w:val="none"/>
              </w:rPr>
            </w:pPr>
          </w:p>
        </w:tc>
      </w:tr>
    </w:tbl>
    <w:p w14:paraId="12757D0D">
      <w:pPr>
        <w:rPr>
          <w:rFonts w:asciiTheme="minorEastAsia" w:hAnsiTheme="minorEastAsia"/>
          <w:color w:val="auto"/>
          <w:highlight w:val="none"/>
        </w:rPr>
      </w:pPr>
    </w:p>
    <w:p w14:paraId="404B05AF">
      <w:pPr>
        <w:rPr>
          <w:rFonts w:asciiTheme="minorEastAsia" w:hAnsiTheme="minorEastAsia"/>
          <w:color w:val="auto"/>
          <w:highlight w:val="none"/>
        </w:rPr>
      </w:pPr>
    </w:p>
    <w:p w14:paraId="1925D9A0">
      <w:pPr>
        <w:rPr>
          <w:rFonts w:asciiTheme="minorEastAsia" w:hAnsiTheme="minorEastAsia"/>
          <w:color w:val="auto"/>
          <w:highlight w:val="none"/>
        </w:rPr>
      </w:pPr>
    </w:p>
    <w:p w14:paraId="5C1A9ACD">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55" w:name="_Toc103272791"/>
      <w:bookmarkEnd w:id="55"/>
      <w:bookmarkStart w:id="56" w:name="_Toc103272788"/>
      <w:bookmarkEnd w:id="56"/>
      <w:bookmarkStart w:id="57" w:name="_Toc103272734"/>
      <w:bookmarkEnd w:id="57"/>
      <w:bookmarkStart w:id="58" w:name="_Toc103272789"/>
      <w:bookmarkEnd w:id="58"/>
      <w:bookmarkStart w:id="59" w:name="_Toc103272790"/>
      <w:bookmarkEnd w:id="59"/>
      <w:bookmarkStart w:id="60" w:name="_Toc103272787"/>
      <w:bookmarkEnd w:id="60"/>
      <w:bookmarkStart w:id="61" w:name="_Toc103272735"/>
      <w:bookmarkEnd w:id="61"/>
      <w:bookmarkStart w:id="62" w:name="_Toc138770015"/>
      <w:r>
        <w:rPr>
          <w:rStyle w:val="25"/>
          <w:rFonts w:hint="eastAsia" w:asciiTheme="minorEastAsia" w:hAnsiTheme="minorEastAsia" w:eastAsiaTheme="minorEastAsia"/>
          <w:b/>
          <w:bCs/>
          <w:color w:val="auto"/>
          <w:spacing w:val="12"/>
          <w:sz w:val="21"/>
          <w:szCs w:val="21"/>
          <w:highlight w:val="none"/>
        </w:rPr>
        <w:t>详细评审索引表</w:t>
      </w:r>
      <w:bookmarkEnd w:id="62"/>
    </w:p>
    <w:p w14:paraId="03B195D9">
      <w:pPr>
        <w:spacing w:before="312" w:beforeLines="100" w:after="312" w:afterLines="100"/>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详细评审索引表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97"/>
        <w:gridCol w:w="1551"/>
        <w:gridCol w:w="3382"/>
        <w:gridCol w:w="2452"/>
      </w:tblGrid>
      <w:tr w14:paraId="5EF14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82" w:type="dxa"/>
            <w:gridSpan w:val="4"/>
            <w:vAlign w:val="center"/>
          </w:tcPr>
          <w:p w14:paraId="4ECE6479">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商务评审细则</w:t>
            </w:r>
          </w:p>
        </w:tc>
      </w:tr>
      <w:tr w14:paraId="03A8C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7" w:type="dxa"/>
            <w:vAlign w:val="center"/>
          </w:tcPr>
          <w:p w14:paraId="69B4A09C">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1551" w:type="dxa"/>
            <w:vAlign w:val="center"/>
          </w:tcPr>
          <w:p w14:paraId="5182605B">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评分内容</w:t>
            </w:r>
          </w:p>
        </w:tc>
        <w:tc>
          <w:tcPr>
            <w:tcW w:w="3382" w:type="dxa"/>
            <w:vAlign w:val="center"/>
          </w:tcPr>
          <w:p w14:paraId="11B75B2D">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评分标准</w:t>
            </w:r>
          </w:p>
        </w:tc>
        <w:tc>
          <w:tcPr>
            <w:tcW w:w="2452" w:type="dxa"/>
            <w:vAlign w:val="center"/>
          </w:tcPr>
          <w:p w14:paraId="42319834">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响应文件响应页码</w:t>
            </w:r>
          </w:p>
        </w:tc>
      </w:tr>
      <w:tr w14:paraId="6E3D3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7D0C876D">
            <w:pPr>
              <w:spacing w:line="360" w:lineRule="auto"/>
              <w:jc w:val="center"/>
              <w:rPr>
                <w:rFonts w:asciiTheme="minorEastAsia" w:hAnsiTheme="minorEastAsia"/>
                <w:b/>
                <w:color w:val="auto"/>
                <w:szCs w:val="21"/>
                <w:highlight w:val="none"/>
              </w:rPr>
            </w:pPr>
          </w:p>
        </w:tc>
        <w:tc>
          <w:tcPr>
            <w:tcW w:w="1551" w:type="dxa"/>
            <w:vAlign w:val="center"/>
          </w:tcPr>
          <w:p w14:paraId="64B456FC">
            <w:pPr>
              <w:spacing w:line="360" w:lineRule="auto"/>
              <w:jc w:val="center"/>
              <w:rPr>
                <w:rFonts w:asciiTheme="minorEastAsia" w:hAnsiTheme="minorEastAsia"/>
                <w:b/>
                <w:color w:val="auto"/>
                <w:szCs w:val="21"/>
                <w:highlight w:val="none"/>
              </w:rPr>
            </w:pPr>
          </w:p>
        </w:tc>
        <w:tc>
          <w:tcPr>
            <w:tcW w:w="3382" w:type="dxa"/>
            <w:vAlign w:val="center"/>
          </w:tcPr>
          <w:p w14:paraId="7579DB15">
            <w:pPr>
              <w:spacing w:line="360" w:lineRule="auto"/>
              <w:jc w:val="center"/>
              <w:rPr>
                <w:rFonts w:asciiTheme="minorEastAsia" w:hAnsiTheme="minorEastAsia"/>
                <w:b/>
                <w:color w:val="auto"/>
                <w:szCs w:val="21"/>
                <w:highlight w:val="none"/>
              </w:rPr>
            </w:pPr>
          </w:p>
        </w:tc>
        <w:tc>
          <w:tcPr>
            <w:tcW w:w="2452" w:type="dxa"/>
            <w:vAlign w:val="center"/>
          </w:tcPr>
          <w:p w14:paraId="5ED6B727">
            <w:pPr>
              <w:spacing w:line="360" w:lineRule="auto"/>
              <w:jc w:val="center"/>
              <w:rPr>
                <w:rFonts w:asciiTheme="minorEastAsia" w:hAnsiTheme="minorEastAsia"/>
                <w:b/>
                <w:color w:val="auto"/>
                <w:szCs w:val="21"/>
                <w:highlight w:val="none"/>
              </w:rPr>
            </w:pPr>
          </w:p>
        </w:tc>
      </w:tr>
      <w:tr w14:paraId="0F492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7" w:type="dxa"/>
            <w:vAlign w:val="center"/>
          </w:tcPr>
          <w:p w14:paraId="3E615B77">
            <w:pPr>
              <w:spacing w:line="360" w:lineRule="auto"/>
              <w:jc w:val="center"/>
              <w:rPr>
                <w:rFonts w:asciiTheme="minorEastAsia" w:hAnsiTheme="minorEastAsia"/>
                <w:b/>
                <w:color w:val="auto"/>
                <w:szCs w:val="21"/>
                <w:highlight w:val="none"/>
              </w:rPr>
            </w:pPr>
          </w:p>
        </w:tc>
        <w:tc>
          <w:tcPr>
            <w:tcW w:w="1551" w:type="dxa"/>
            <w:vAlign w:val="center"/>
          </w:tcPr>
          <w:p w14:paraId="37FEB5FA">
            <w:pPr>
              <w:spacing w:line="360" w:lineRule="auto"/>
              <w:jc w:val="center"/>
              <w:rPr>
                <w:rFonts w:asciiTheme="minorEastAsia" w:hAnsiTheme="minorEastAsia"/>
                <w:b/>
                <w:color w:val="auto"/>
                <w:szCs w:val="21"/>
                <w:highlight w:val="none"/>
              </w:rPr>
            </w:pPr>
          </w:p>
        </w:tc>
        <w:tc>
          <w:tcPr>
            <w:tcW w:w="3382" w:type="dxa"/>
            <w:vAlign w:val="center"/>
          </w:tcPr>
          <w:p w14:paraId="4198182E">
            <w:pPr>
              <w:spacing w:line="360" w:lineRule="auto"/>
              <w:jc w:val="center"/>
              <w:rPr>
                <w:rFonts w:asciiTheme="minorEastAsia" w:hAnsiTheme="minorEastAsia"/>
                <w:b/>
                <w:color w:val="auto"/>
                <w:szCs w:val="21"/>
                <w:highlight w:val="none"/>
              </w:rPr>
            </w:pPr>
          </w:p>
        </w:tc>
        <w:tc>
          <w:tcPr>
            <w:tcW w:w="2452" w:type="dxa"/>
            <w:vAlign w:val="center"/>
          </w:tcPr>
          <w:p w14:paraId="02E466D2">
            <w:pPr>
              <w:spacing w:line="360" w:lineRule="auto"/>
              <w:jc w:val="center"/>
              <w:rPr>
                <w:rFonts w:asciiTheme="minorEastAsia" w:hAnsiTheme="minorEastAsia"/>
                <w:b/>
                <w:color w:val="auto"/>
                <w:szCs w:val="21"/>
                <w:highlight w:val="none"/>
              </w:rPr>
            </w:pPr>
          </w:p>
        </w:tc>
      </w:tr>
      <w:tr w14:paraId="0534B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052BDD8C">
            <w:pPr>
              <w:spacing w:line="360" w:lineRule="auto"/>
              <w:jc w:val="center"/>
              <w:rPr>
                <w:rFonts w:asciiTheme="minorEastAsia" w:hAnsiTheme="minorEastAsia"/>
                <w:b/>
                <w:color w:val="auto"/>
                <w:szCs w:val="21"/>
                <w:highlight w:val="none"/>
              </w:rPr>
            </w:pPr>
          </w:p>
        </w:tc>
        <w:tc>
          <w:tcPr>
            <w:tcW w:w="1551" w:type="dxa"/>
            <w:vAlign w:val="center"/>
          </w:tcPr>
          <w:p w14:paraId="7EDF00C6">
            <w:pPr>
              <w:spacing w:line="360" w:lineRule="auto"/>
              <w:jc w:val="center"/>
              <w:rPr>
                <w:rFonts w:asciiTheme="minorEastAsia" w:hAnsiTheme="minorEastAsia"/>
                <w:b/>
                <w:color w:val="auto"/>
                <w:szCs w:val="21"/>
                <w:highlight w:val="none"/>
              </w:rPr>
            </w:pPr>
          </w:p>
        </w:tc>
        <w:tc>
          <w:tcPr>
            <w:tcW w:w="3382" w:type="dxa"/>
            <w:vAlign w:val="center"/>
          </w:tcPr>
          <w:p w14:paraId="4C2D9F9E">
            <w:pPr>
              <w:spacing w:line="360" w:lineRule="auto"/>
              <w:jc w:val="center"/>
              <w:rPr>
                <w:rFonts w:asciiTheme="minorEastAsia" w:hAnsiTheme="minorEastAsia"/>
                <w:b/>
                <w:color w:val="auto"/>
                <w:szCs w:val="21"/>
                <w:highlight w:val="none"/>
              </w:rPr>
            </w:pPr>
          </w:p>
        </w:tc>
        <w:tc>
          <w:tcPr>
            <w:tcW w:w="2452" w:type="dxa"/>
            <w:vAlign w:val="center"/>
          </w:tcPr>
          <w:p w14:paraId="0D515BA0">
            <w:pPr>
              <w:spacing w:line="360" w:lineRule="auto"/>
              <w:jc w:val="center"/>
              <w:rPr>
                <w:rFonts w:asciiTheme="minorEastAsia" w:hAnsiTheme="minorEastAsia"/>
                <w:b/>
                <w:color w:val="auto"/>
                <w:szCs w:val="21"/>
                <w:highlight w:val="none"/>
              </w:rPr>
            </w:pPr>
          </w:p>
        </w:tc>
      </w:tr>
      <w:tr w14:paraId="3D93F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2C9D667">
            <w:pPr>
              <w:spacing w:line="360" w:lineRule="auto"/>
              <w:jc w:val="center"/>
              <w:rPr>
                <w:rFonts w:asciiTheme="minorEastAsia" w:hAnsiTheme="minorEastAsia"/>
                <w:b/>
                <w:color w:val="auto"/>
                <w:szCs w:val="21"/>
                <w:highlight w:val="none"/>
              </w:rPr>
            </w:pPr>
          </w:p>
        </w:tc>
        <w:tc>
          <w:tcPr>
            <w:tcW w:w="1551" w:type="dxa"/>
            <w:vAlign w:val="center"/>
          </w:tcPr>
          <w:p w14:paraId="243305D6">
            <w:pPr>
              <w:spacing w:line="360" w:lineRule="auto"/>
              <w:jc w:val="center"/>
              <w:rPr>
                <w:rFonts w:asciiTheme="minorEastAsia" w:hAnsiTheme="minorEastAsia"/>
                <w:b/>
                <w:color w:val="auto"/>
                <w:szCs w:val="21"/>
                <w:highlight w:val="none"/>
              </w:rPr>
            </w:pPr>
          </w:p>
        </w:tc>
        <w:tc>
          <w:tcPr>
            <w:tcW w:w="3382" w:type="dxa"/>
            <w:vAlign w:val="center"/>
          </w:tcPr>
          <w:p w14:paraId="5473A31B">
            <w:pPr>
              <w:spacing w:line="360" w:lineRule="auto"/>
              <w:jc w:val="center"/>
              <w:rPr>
                <w:rFonts w:asciiTheme="minorEastAsia" w:hAnsiTheme="minorEastAsia"/>
                <w:b/>
                <w:color w:val="auto"/>
                <w:szCs w:val="21"/>
                <w:highlight w:val="none"/>
              </w:rPr>
            </w:pPr>
          </w:p>
        </w:tc>
        <w:tc>
          <w:tcPr>
            <w:tcW w:w="2452" w:type="dxa"/>
            <w:vAlign w:val="center"/>
          </w:tcPr>
          <w:p w14:paraId="73451DC5">
            <w:pPr>
              <w:spacing w:line="360" w:lineRule="auto"/>
              <w:jc w:val="center"/>
              <w:rPr>
                <w:rFonts w:asciiTheme="minorEastAsia" w:hAnsiTheme="minorEastAsia"/>
                <w:b/>
                <w:color w:val="auto"/>
                <w:szCs w:val="21"/>
                <w:highlight w:val="none"/>
              </w:rPr>
            </w:pPr>
          </w:p>
        </w:tc>
      </w:tr>
      <w:tr w14:paraId="2B360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482" w:type="dxa"/>
            <w:gridSpan w:val="4"/>
            <w:vAlign w:val="center"/>
          </w:tcPr>
          <w:p w14:paraId="7138CDA4">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技术评审细则</w:t>
            </w:r>
          </w:p>
        </w:tc>
      </w:tr>
      <w:tr w14:paraId="34EA0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7" w:type="dxa"/>
            <w:vAlign w:val="center"/>
          </w:tcPr>
          <w:p w14:paraId="53BA84A5">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1551" w:type="dxa"/>
            <w:vAlign w:val="center"/>
          </w:tcPr>
          <w:p w14:paraId="357F9E7C">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评分内容</w:t>
            </w:r>
          </w:p>
        </w:tc>
        <w:tc>
          <w:tcPr>
            <w:tcW w:w="3382" w:type="dxa"/>
            <w:vAlign w:val="center"/>
          </w:tcPr>
          <w:p w14:paraId="7BEFCE24">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评分标准</w:t>
            </w:r>
          </w:p>
        </w:tc>
        <w:tc>
          <w:tcPr>
            <w:tcW w:w="2452" w:type="dxa"/>
            <w:vAlign w:val="center"/>
          </w:tcPr>
          <w:p w14:paraId="39C425C7">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响应文件响应页码</w:t>
            </w:r>
          </w:p>
        </w:tc>
      </w:tr>
      <w:tr w14:paraId="704BE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27289CA">
            <w:pPr>
              <w:spacing w:line="360" w:lineRule="auto"/>
              <w:jc w:val="center"/>
              <w:rPr>
                <w:rFonts w:asciiTheme="minorEastAsia" w:hAnsiTheme="minorEastAsia"/>
                <w:b/>
                <w:color w:val="auto"/>
                <w:szCs w:val="21"/>
                <w:highlight w:val="none"/>
              </w:rPr>
            </w:pPr>
          </w:p>
        </w:tc>
        <w:tc>
          <w:tcPr>
            <w:tcW w:w="1551" w:type="dxa"/>
            <w:vAlign w:val="center"/>
          </w:tcPr>
          <w:p w14:paraId="4F1CB9D0">
            <w:pPr>
              <w:spacing w:line="360" w:lineRule="auto"/>
              <w:jc w:val="center"/>
              <w:rPr>
                <w:rFonts w:asciiTheme="minorEastAsia" w:hAnsiTheme="minorEastAsia"/>
                <w:b/>
                <w:color w:val="auto"/>
                <w:szCs w:val="21"/>
                <w:highlight w:val="none"/>
              </w:rPr>
            </w:pPr>
          </w:p>
        </w:tc>
        <w:tc>
          <w:tcPr>
            <w:tcW w:w="3382" w:type="dxa"/>
            <w:vAlign w:val="center"/>
          </w:tcPr>
          <w:p w14:paraId="1C113994">
            <w:pPr>
              <w:spacing w:line="360" w:lineRule="auto"/>
              <w:jc w:val="center"/>
              <w:rPr>
                <w:rFonts w:asciiTheme="minorEastAsia" w:hAnsiTheme="minorEastAsia"/>
                <w:b/>
                <w:color w:val="auto"/>
                <w:szCs w:val="21"/>
                <w:highlight w:val="none"/>
              </w:rPr>
            </w:pPr>
          </w:p>
        </w:tc>
        <w:tc>
          <w:tcPr>
            <w:tcW w:w="2452" w:type="dxa"/>
            <w:vAlign w:val="center"/>
          </w:tcPr>
          <w:p w14:paraId="5BDAB483">
            <w:pPr>
              <w:spacing w:line="360" w:lineRule="auto"/>
              <w:jc w:val="center"/>
              <w:rPr>
                <w:rFonts w:asciiTheme="minorEastAsia" w:hAnsiTheme="minorEastAsia"/>
                <w:b/>
                <w:color w:val="auto"/>
                <w:szCs w:val="21"/>
                <w:highlight w:val="none"/>
              </w:rPr>
            </w:pPr>
          </w:p>
        </w:tc>
      </w:tr>
      <w:tr w14:paraId="747FA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7" w:type="dxa"/>
            <w:vAlign w:val="center"/>
          </w:tcPr>
          <w:p w14:paraId="2AC16562">
            <w:pPr>
              <w:spacing w:line="360" w:lineRule="auto"/>
              <w:jc w:val="center"/>
              <w:rPr>
                <w:rFonts w:asciiTheme="minorEastAsia" w:hAnsiTheme="minorEastAsia"/>
                <w:b/>
                <w:color w:val="auto"/>
                <w:szCs w:val="21"/>
                <w:highlight w:val="none"/>
              </w:rPr>
            </w:pPr>
          </w:p>
        </w:tc>
        <w:tc>
          <w:tcPr>
            <w:tcW w:w="1551" w:type="dxa"/>
            <w:vAlign w:val="center"/>
          </w:tcPr>
          <w:p w14:paraId="585B2CCD">
            <w:pPr>
              <w:spacing w:line="360" w:lineRule="auto"/>
              <w:jc w:val="center"/>
              <w:rPr>
                <w:rFonts w:asciiTheme="minorEastAsia" w:hAnsiTheme="minorEastAsia"/>
                <w:b/>
                <w:color w:val="auto"/>
                <w:szCs w:val="21"/>
                <w:highlight w:val="none"/>
              </w:rPr>
            </w:pPr>
          </w:p>
        </w:tc>
        <w:tc>
          <w:tcPr>
            <w:tcW w:w="3382" w:type="dxa"/>
            <w:vAlign w:val="center"/>
          </w:tcPr>
          <w:p w14:paraId="3CD2AA43">
            <w:pPr>
              <w:spacing w:line="360" w:lineRule="auto"/>
              <w:jc w:val="center"/>
              <w:rPr>
                <w:rFonts w:asciiTheme="minorEastAsia" w:hAnsiTheme="minorEastAsia"/>
                <w:b/>
                <w:color w:val="auto"/>
                <w:szCs w:val="21"/>
                <w:highlight w:val="none"/>
              </w:rPr>
            </w:pPr>
          </w:p>
        </w:tc>
        <w:tc>
          <w:tcPr>
            <w:tcW w:w="2452" w:type="dxa"/>
            <w:vAlign w:val="center"/>
          </w:tcPr>
          <w:p w14:paraId="78DA947E">
            <w:pPr>
              <w:spacing w:line="360" w:lineRule="auto"/>
              <w:jc w:val="center"/>
              <w:rPr>
                <w:rFonts w:asciiTheme="minorEastAsia" w:hAnsiTheme="minorEastAsia"/>
                <w:b/>
                <w:color w:val="auto"/>
                <w:szCs w:val="21"/>
                <w:highlight w:val="none"/>
              </w:rPr>
            </w:pPr>
          </w:p>
        </w:tc>
      </w:tr>
      <w:tr w14:paraId="37857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5F995EF1">
            <w:pPr>
              <w:spacing w:line="360" w:lineRule="auto"/>
              <w:jc w:val="center"/>
              <w:rPr>
                <w:rFonts w:asciiTheme="minorEastAsia" w:hAnsiTheme="minorEastAsia"/>
                <w:b/>
                <w:color w:val="auto"/>
                <w:szCs w:val="21"/>
                <w:highlight w:val="none"/>
              </w:rPr>
            </w:pPr>
          </w:p>
        </w:tc>
        <w:tc>
          <w:tcPr>
            <w:tcW w:w="1551" w:type="dxa"/>
            <w:vAlign w:val="center"/>
          </w:tcPr>
          <w:p w14:paraId="19DC3A77">
            <w:pPr>
              <w:spacing w:line="360" w:lineRule="auto"/>
              <w:jc w:val="center"/>
              <w:rPr>
                <w:rFonts w:asciiTheme="minorEastAsia" w:hAnsiTheme="minorEastAsia"/>
                <w:b/>
                <w:color w:val="auto"/>
                <w:szCs w:val="21"/>
                <w:highlight w:val="none"/>
              </w:rPr>
            </w:pPr>
          </w:p>
        </w:tc>
        <w:tc>
          <w:tcPr>
            <w:tcW w:w="3382" w:type="dxa"/>
            <w:vAlign w:val="center"/>
          </w:tcPr>
          <w:p w14:paraId="30BBA4D3">
            <w:pPr>
              <w:spacing w:line="360" w:lineRule="auto"/>
              <w:jc w:val="center"/>
              <w:rPr>
                <w:rFonts w:asciiTheme="minorEastAsia" w:hAnsiTheme="minorEastAsia"/>
                <w:b/>
                <w:color w:val="auto"/>
                <w:szCs w:val="21"/>
                <w:highlight w:val="none"/>
              </w:rPr>
            </w:pPr>
          </w:p>
        </w:tc>
        <w:tc>
          <w:tcPr>
            <w:tcW w:w="2452" w:type="dxa"/>
            <w:vAlign w:val="center"/>
          </w:tcPr>
          <w:p w14:paraId="29AEF1F8">
            <w:pPr>
              <w:spacing w:line="360" w:lineRule="auto"/>
              <w:jc w:val="center"/>
              <w:rPr>
                <w:rFonts w:asciiTheme="minorEastAsia" w:hAnsiTheme="minorEastAsia"/>
                <w:b/>
                <w:color w:val="auto"/>
                <w:szCs w:val="21"/>
                <w:highlight w:val="none"/>
              </w:rPr>
            </w:pPr>
          </w:p>
        </w:tc>
      </w:tr>
      <w:tr w14:paraId="2AD5E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1721F483">
            <w:pPr>
              <w:spacing w:line="360" w:lineRule="auto"/>
              <w:jc w:val="center"/>
              <w:rPr>
                <w:rFonts w:asciiTheme="minorEastAsia" w:hAnsiTheme="minorEastAsia"/>
                <w:b/>
                <w:color w:val="auto"/>
                <w:szCs w:val="21"/>
                <w:highlight w:val="none"/>
              </w:rPr>
            </w:pPr>
          </w:p>
        </w:tc>
        <w:tc>
          <w:tcPr>
            <w:tcW w:w="1551" w:type="dxa"/>
            <w:vAlign w:val="center"/>
          </w:tcPr>
          <w:p w14:paraId="0CAE0249">
            <w:pPr>
              <w:spacing w:line="360" w:lineRule="auto"/>
              <w:jc w:val="center"/>
              <w:rPr>
                <w:rFonts w:asciiTheme="minorEastAsia" w:hAnsiTheme="minorEastAsia"/>
                <w:b/>
                <w:color w:val="auto"/>
                <w:szCs w:val="21"/>
                <w:highlight w:val="none"/>
              </w:rPr>
            </w:pPr>
          </w:p>
        </w:tc>
        <w:tc>
          <w:tcPr>
            <w:tcW w:w="3382" w:type="dxa"/>
            <w:vAlign w:val="center"/>
          </w:tcPr>
          <w:p w14:paraId="0A9A62F2">
            <w:pPr>
              <w:spacing w:line="360" w:lineRule="auto"/>
              <w:jc w:val="center"/>
              <w:rPr>
                <w:rFonts w:asciiTheme="minorEastAsia" w:hAnsiTheme="minorEastAsia"/>
                <w:b/>
                <w:color w:val="auto"/>
                <w:szCs w:val="21"/>
                <w:highlight w:val="none"/>
              </w:rPr>
            </w:pPr>
          </w:p>
        </w:tc>
        <w:tc>
          <w:tcPr>
            <w:tcW w:w="2452" w:type="dxa"/>
            <w:vAlign w:val="center"/>
          </w:tcPr>
          <w:p w14:paraId="5FD288C5">
            <w:pPr>
              <w:spacing w:line="360" w:lineRule="auto"/>
              <w:jc w:val="center"/>
              <w:rPr>
                <w:rFonts w:asciiTheme="minorEastAsia" w:hAnsiTheme="minorEastAsia"/>
                <w:b/>
                <w:color w:val="auto"/>
                <w:szCs w:val="21"/>
                <w:highlight w:val="none"/>
              </w:rPr>
            </w:pPr>
          </w:p>
        </w:tc>
      </w:tr>
      <w:tr w14:paraId="7A6C9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6B79F6F6">
            <w:pPr>
              <w:spacing w:line="360" w:lineRule="auto"/>
              <w:jc w:val="center"/>
              <w:rPr>
                <w:rFonts w:asciiTheme="minorEastAsia" w:hAnsiTheme="minorEastAsia"/>
                <w:b/>
                <w:color w:val="auto"/>
                <w:szCs w:val="21"/>
                <w:highlight w:val="none"/>
              </w:rPr>
            </w:pPr>
          </w:p>
        </w:tc>
        <w:tc>
          <w:tcPr>
            <w:tcW w:w="1551" w:type="dxa"/>
            <w:vAlign w:val="center"/>
          </w:tcPr>
          <w:p w14:paraId="41042B3C">
            <w:pPr>
              <w:spacing w:line="360" w:lineRule="auto"/>
              <w:jc w:val="center"/>
              <w:rPr>
                <w:rFonts w:asciiTheme="minorEastAsia" w:hAnsiTheme="minorEastAsia"/>
                <w:b/>
                <w:color w:val="auto"/>
                <w:szCs w:val="21"/>
                <w:highlight w:val="none"/>
              </w:rPr>
            </w:pPr>
          </w:p>
        </w:tc>
        <w:tc>
          <w:tcPr>
            <w:tcW w:w="3382" w:type="dxa"/>
            <w:vAlign w:val="center"/>
          </w:tcPr>
          <w:p w14:paraId="57FB7DFA">
            <w:pPr>
              <w:spacing w:line="360" w:lineRule="auto"/>
              <w:jc w:val="center"/>
              <w:rPr>
                <w:rFonts w:asciiTheme="minorEastAsia" w:hAnsiTheme="minorEastAsia"/>
                <w:b/>
                <w:color w:val="auto"/>
                <w:szCs w:val="21"/>
                <w:highlight w:val="none"/>
              </w:rPr>
            </w:pPr>
          </w:p>
        </w:tc>
        <w:tc>
          <w:tcPr>
            <w:tcW w:w="2452" w:type="dxa"/>
            <w:vAlign w:val="center"/>
          </w:tcPr>
          <w:p w14:paraId="661CD036">
            <w:pPr>
              <w:spacing w:line="360" w:lineRule="auto"/>
              <w:jc w:val="center"/>
              <w:rPr>
                <w:rFonts w:asciiTheme="minorEastAsia" w:hAnsiTheme="minorEastAsia"/>
                <w:b/>
                <w:color w:val="auto"/>
                <w:szCs w:val="21"/>
                <w:highlight w:val="none"/>
              </w:rPr>
            </w:pPr>
          </w:p>
        </w:tc>
      </w:tr>
      <w:tr w14:paraId="5A460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7" w:type="dxa"/>
            <w:vAlign w:val="center"/>
          </w:tcPr>
          <w:p w14:paraId="325598A8">
            <w:pPr>
              <w:spacing w:line="360" w:lineRule="auto"/>
              <w:jc w:val="center"/>
              <w:rPr>
                <w:rFonts w:asciiTheme="minorEastAsia" w:hAnsiTheme="minorEastAsia"/>
                <w:b/>
                <w:color w:val="auto"/>
                <w:szCs w:val="21"/>
                <w:highlight w:val="none"/>
              </w:rPr>
            </w:pPr>
          </w:p>
        </w:tc>
        <w:tc>
          <w:tcPr>
            <w:tcW w:w="1551" w:type="dxa"/>
            <w:vAlign w:val="center"/>
          </w:tcPr>
          <w:p w14:paraId="18CE3116">
            <w:pPr>
              <w:spacing w:line="360" w:lineRule="auto"/>
              <w:jc w:val="center"/>
              <w:rPr>
                <w:rFonts w:asciiTheme="minorEastAsia" w:hAnsiTheme="minorEastAsia"/>
                <w:b/>
                <w:color w:val="auto"/>
                <w:szCs w:val="21"/>
                <w:highlight w:val="none"/>
              </w:rPr>
            </w:pPr>
          </w:p>
        </w:tc>
        <w:tc>
          <w:tcPr>
            <w:tcW w:w="3382" w:type="dxa"/>
            <w:vAlign w:val="center"/>
          </w:tcPr>
          <w:p w14:paraId="393DDA7B">
            <w:pPr>
              <w:spacing w:line="360" w:lineRule="auto"/>
              <w:jc w:val="center"/>
              <w:rPr>
                <w:rFonts w:asciiTheme="minorEastAsia" w:hAnsiTheme="minorEastAsia"/>
                <w:b/>
                <w:color w:val="auto"/>
                <w:szCs w:val="21"/>
                <w:highlight w:val="none"/>
              </w:rPr>
            </w:pPr>
          </w:p>
        </w:tc>
        <w:tc>
          <w:tcPr>
            <w:tcW w:w="2452" w:type="dxa"/>
            <w:vAlign w:val="center"/>
          </w:tcPr>
          <w:p w14:paraId="14F37116">
            <w:pPr>
              <w:spacing w:line="360" w:lineRule="auto"/>
              <w:jc w:val="center"/>
              <w:rPr>
                <w:rFonts w:asciiTheme="minorEastAsia" w:hAnsiTheme="minorEastAsia"/>
                <w:b/>
                <w:color w:val="auto"/>
                <w:szCs w:val="21"/>
                <w:highlight w:val="none"/>
              </w:rPr>
            </w:pPr>
          </w:p>
        </w:tc>
      </w:tr>
    </w:tbl>
    <w:p w14:paraId="4BC68FDC">
      <w:pPr>
        <w:spacing w:before="156" w:beforeLines="50" w:line="360" w:lineRule="auto"/>
        <w:rPr>
          <w:rFonts w:asciiTheme="minorEastAsia" w:hAnsiTheme="minorEastAsia"/>
          <w:color w:val="auto"/>
          <w:highlight w:val="none"/>
        </w:rPr>
      </w:pPr>
      <w:r>
        <w:rPr>
          <w:rFonts w:hint="eastAsia" w:asciiTheme="minorEastAsia" w:hAnsiTheme="minorEastAsia"/>
          <w:color w:val="auto"/>
          <w:szCs w:val="21"/>
          <w:highlight w:val="none"/>
        </w:rPr>
        <w:t>注明：按遴选文件第四部分</w:t>
      </w:r>
      <w:r>
        <w:rPr>
          <w:rFonts w:asciiTheme="minorEastAsia" w:hAnsiTheme="minorEastAsia"/>
          <w:color w:val="auto"/>
          <w:szCs w:val="21"/>
          <w:highlight w:val="none"/>
        </w:rPr>
        <w:t xml:space="preserve"> </w:t>
      </w:r>
      <w:r>
        <w:rPr>
          <w:rFonts w:hint="eastAsia" w:asciiTheme="minorEastAsia" w:hAnsiTheme="minorEastAsia"/>
          <w:color w:val="auto"/>
          <w:szCs w:val="21"/>
          <w:highlight w:val="none"/>
        </w:rPr>
        <w:t>评审方法、步骤、标准之附表二详细评审表相对应条款填写。</w:t>
      </w:r>
    </w:p>
    <w:p w14:paraId="1B89D6AC">
      <w:pPr>
        <w:spacing w:line="360" w:lineRule="auto"/>
        <w:rPr>
          <w:rFonts w:asciiTheme="minorEastAsia" w:hAnsiTheme="minorEastAsia"/>
          <w:color w:val="auto"/>
          <w:highlight w:val="none"/>
        </w:rPr>
      </w:pPr>
    </w:p>
    <w:p w14:paraId="11FD3F9B">
      <w:pPr>
        <w:spacing w:line="360" w:lineRule="auto"/>
        <w:rPr>
          <w:rFonts w:asciiTheme="minorEastAsia" w:hAnsiTheme="minorEastAsia"/>
          <w:color w:val="auto"/>
          <w:highlight w:val="none"/>
        </w:rPr>
      </w:pPr>
    </w:p>
    <w:p w14:paraId="3B7DDCD9">
      <w:pPr>
        <w:spacing w:line="360" w:lineRule="auto"/>
        <w:rPr>
          <w:rFonts w:asciiTheme="minorEastAsia" w:hAnsiTheme="minorEastAsia"/>
          <w:color w:val="auto"/>
          <w:highlight w:val="none"/>
        </w:rPr>
      </w:pPr>
    </w:p>
    <w:tbl>
      <w:tblPr>
        <w:tblStyle w:val="22"/>
        <w:tblW w:w="0" w:type="auto"/>
        <w:tblInd w:w="0" w:type="dxa"/>
        <w:tblLayout w:type="autofit"/>
        <w:tblCellMar>
          <w:top w:w="0" w:type="dxa"/>
          <w:left w:w="108" w:type="dxa"/>
          <w:bottom w:w="0" w:type="dxa"/>
          <w:right w:w="108" w:type="dxa"/>
        </w:tblCellMar>
      </w:tblPr>
      <w:tblGrid>
        <w:gridCol w:w="5353"/>
        <w:gridCol w:w="3175"/>
      </w:tblGrid>
      <w:tr w14:paraId="5F68C82B">
        <w:tblPrEx>
          <w:tblCellMar>
            <w:top w:w="0" w:type="dxa"/>
            <w:left w:w="108" w:type="dxa"/>
            <w:bottom w:w="0" w:type="dxa"/>
            <w:right w:w="108" w:type="dxa"/>
          </w:tblCellMar>
        </w:tblPrEx>
        <w:tc>
          <w:tcPr>
            <w:tcW w:w="5353" w:type="dxa"/>
          </w:tcPr>
          <w:p w14:paraId="668E4BDE">
            <w:pPr>
              <w:overflowPunct w:val="0"/>
              <w:adjustRightIn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c>
          <w:tcPr>
            <w:tcW w:w="3175" w:type="dxa"/>
          </w:tcPr>
          <w:p w14:paraId="7C017815">
            <w:pPr>
              <w:spacing w:line="360" w:lineRule="auto"/>
              <w:rPr>
                <w:rFonts w:asciiTheme="minorEastAsia" w:hAnsiTheme="minorEastAsia"/>
                <w:color w:val="auto"/>
                <w:szCs w:val="21"/>
                <w:highlight w:val="none"/>
              </w:rPr>
            </w:pPr>
          </w:p>
        </w:tc>
      </w:tr>
      <w:tr w14:paraId="2F7FFEA2">
        <w:tblPrEx>
          <w:tblCellMar>
            <w:top w:w="0" w:type="dxa"/>
            <w:left w:w="108" w:type="dxa"/>
            <w:bottom w:w="0" w:type="dxa"/>
            <w:right w:w="108" w:type="dxa"/>
          </w:tblCellMar>
        </w:tblPrEx>
        <w:tc>
          <w:tcPr>
            <w:tcW w:w="5353" w:type="dxa"/>
          </w:tcPr>
          <w:p w14:paraId="51D41447">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3175" w:type="dxa"/>
          </w:tcPr>
          <w:p w14:paraId="501ACEE5">
            <w:pPr>
              <w:spacing w:line="360" w:lineRule="auto"/>
              <w:rPr>
                <w:rFonts w:asciiTheme="minorEastAsia" w:hAnsiTheme="minorEastAsia"/>
                <w:color w:val="auto"/>
                <w:szCs w:val="21"/>
                <w:highlight w:val="none"/>
              </w:rPr>
            </w:pPr>
          </w:p>
        </w:tc>
      </w:tr>
      <w:bookmarkEnd w:id="51"/>
      <w:bookmarkEnd w:id="52"/>
    </w:tbl>
    <w:p w14:paraId="5C5865B7">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val="0"/>
          <w:color w:val="auto"/>
          <w:spacing w:val="12"/>
          <w:sz w:val="21"/>
          <w:szCs w:val="21"/>
          <w:highlight w:val="none"/>
        </w:rPr>
      </w:pPr>
      <w:bookmarkStart w:id="63" w:name="_Toc138770016"/>
      <w:r>
        <w:rPr>
          <w:rStyle w:val="25"/>
          <w:rFonts w:hint="eastAsia" w:asciiTheme="minorEastAsia" w:hAnsiTheme="minorEastAsia" w:eastAsiaTheme="minorEastAsia"/>
          <w:b/>
          <w:bCs w:val="0"/>
          <w:color w:val="auto"/>
          <w:spacing w:val="12"/>
          <w:sz w:val="21"/>
          <w:szCs w:val="21"/>
          <w:highlight w:val="none"/>
        </w:rPr>
        <w:t>报价一览表</w:t>
      </w:r>
      <w:bookmarkEnd w:id="63"/>
    </w:p>
    <w:p w14:paraId="464307A7">
      <w:pPr>
        <w:spacing w:before="624" w:beforeLines="200" w:after="312" w:afterLines="100" w:line="360" w:lineRule="auto"/>
        <w:jc w:val="center"/>
        <w:rPr>
          <w:rFonts w:asciiTheme="minorEastAsia" w:hAnsiTheme="minorEastAsia"/>
          <w:b/>
          <w:color w:val="auto"/>
          <w:spacing w:val="20"/>
          <w:sz w:val="28"/>
          <w:szCs w:val="28"/>
          <w:highlight w:val="none"/>
        </w:rPr>
      </w:pPr>
      <w:r>
        <w:rPr>
          <w:rFonts w:hint="eastAsia" w:asciiTheme="minorEastAsia" w:hAnsiTheme="minorEastAsia"/>
          <w:b/>
          <w:color w:val="auto"/>
          <w:spacing w:val="20"/>
          <w:sz w:val="28"/>
          <w:szCs w:val="28"/>
          <w:highlight w:val="none"/>
        </w:rPr>
        <w:t>报价一览表</w:t>
      </w:r>
    </w:p>
    <w:tbl>
      <w:tblPr>
        <w:tblStyle w:val="22"/>
        <w:tblW w:w="5005"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692"/>
        <w:gridCol w:w="3941"/>
        <w:gridCol w:w="3065"/>
        <w:gridCol w:w="1078"/>
      </w:tblGrid>
      <w:tr w14:paraId="29D1DD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7" w:hRule="atLeast"/>
          <w:jc w:val="center"/>
        </w:trPr>
        <w:tc>
          <w:tcPr>
            <w:tcW w:w="394" w:type="pct"/>
            <w:tcBorders>
              <w:top w:val="single" w:color="auto" w:sz="4" w:space="0"/>
              <w:left w:val="single" w:color="auto" w:sz="4" w:space="0"/>
              <w:right w:val="single" w:color="auto" w:sz="4" w:space="0"/>
            </w:tcBorders>
            <w:vAlign w:val="center"/>
          </w:tcPr>
          <w:p w14:paraId="14897A45">
            <w:pPr>
              <w:overflowPunct w:val="0"/>
              <w:adjustRightInd w:val="0"/>
              <w:spacing w:line="460" w:lineRule="exact"/>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2245" w:type="pct"/>
            <w:tcBorders>
              <w:top w:val="single" w:color="auto" w:sz="4" w:space="0"/>
              <w:left w:val="single" w:color="auto" w:sz="4" w:space="0"/>
              <w:right w:val="single" w:color="auto" w:sz="4" w:space="0"/>
            </w:tcBorders>
            <w:vAlign w:val="center"/>
          </w:tcPr>
          <w:p w14:paraId="7924726B">
            <w:pPr>
              <w:overflowPunct w:val="0"/>
              <w:adjustRightInd w:val="0"/>
              <w:spacing w:line="460" w:lineRule="exact"/>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项目名称</w:t>
            </w:r>
          </w:p>
        </w:tc>
        <w:tc>
          <w:tcPr>
            <w:tcW w:w="1746" w:type="pct"/>
            <w:tcBorders>
              <w:top w:val="single" w:color="auto" w:sz="4" w:space="0"/>
              <w:left w:val="single" w:color="auto" w:sz="4" w:space="0"/>
              <w:bottom w:val="single" w:color="auto" w:sz="4" w:space="0"/>
              <w:right w:val="single" w:color="auto" w:sz="4" w:space="0"/>
            </w:tcBorders>
            <w:vAlign w:val="center"/>
          </w:tcPr>
          <w:p w14:paraId="06466C69">
            <w:pPr>
              <w:overflowPunct w:val="0"/>
              <w:adjustRightInd w:val="0"/>
              <w:spacing w:line="460" w:lineRule="exact"/>
              <w:jc w:val="center"/>
              <w:rPr>
                <w:rFonts w:asciiTheme="minorEastAsia" w:hAnsiTheme="minorEastAsia"/>
                <w:b/>
                <w:color w:val="auto"/>
                <w:szCs w:val="21"/>
                <w:highlight w:val="none"/>
              </w:rPr>
            </w:pPr>
            <w:r>
              <w:rPr>
                <w:rFonts w:hint="eastAsia" w:asciiTheme="minorEastAsia" w:hAnsiTheme="minorEastAsia"/>
                <w:b/>
                <w:color w:val="auto"/>
                <w:szCs w:val="21"/>
                <w:highlight w:val="none"/>
                <w:lang w:val="en-US" w:eastAsia="zh-CN"/>
              </w:rPr>
              <w:t>响应折扣率</w:t>
            </w:r>
          </w:p>
        </w:tc>
        <w:tc>
          <w:tcPr>
            <w:tcW w:w="614" w:type="pct"/>
            <w:tcBorders>
              <w:top w:val="single" w:color="auto" w:sz="4" w:space="0"/>
              <w:left w:val="single" w:color="auto" w:sz="4" w:space="0"/>
              <w:right w:val="single" w:color="auto" w:sz="4" w:space="0"/>
            </w:tcBorders>
            <w:vAlign w:val="center"/>
          </w:tcPr>
          <w:p w14:paraId="56B99D3C">
            <w:pPr>
              <w:overflowPunct w:val="0"/>
              <w:adjustRightInd w:val="0"/>
              <w:spacing w:line="460" w:lineRule="exact"/>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备注</w:t>
            </w:r>
          </w:p>
        </w:tc>
      </w:tr>
      <w:tr w14:paraId="3DDFA1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39" w:hRule="atLeast"/>
          <w:jc w:val="center"/>
        </w:trPr>
        <w:tc>
          <w:tcPr>
            <w:tcW w:w="394" w:type="pct"/>
            <w:tcBorders>
              <w:top w:val="single" w:color="auto" w:sz="4" w:space="0"/>
              <w:left w:val="single" w:color="auto" w:sz="4" w:space="0"/>
              <w:bottom w:val="single" w:color="auto" w:sz="4" w:space="0"/>
              <w:right w:val="single" w:color="auto" w:sz="4" w:space="0"/>
            </w:tcBorders>
            <w:vAlign w:val="center"/>
          </w:tcPr>
          <w:p w14:paraId="732244B4">
            <w:pPr>
              <w:overflowPunct w:val="0"/>
              <w:adjustRightInd w:val="0"/>
              <w:spacing w:line="460" w:lineRule="exact"/>
              <w:jc w:val="center"/>
              <w:rPr>
                <w:rFonts w:asciiTheme="minorEastAsia" w:hAnsiTheme="minorEastAsia"/>
                <w:color w:val="auto"/>
                <w:szCs w:val="21"/>
                <w:highlight w:val="none"/>
              </w:rPr>
            </w:pPr>
            <w:r>
              <w:rPr>
                <w:rFonts w:asciiTheme="minorEastAsia" w:hAnsiTheme="minorEastAsia"/>
                <w:color w:val="auto"/>
                <w:szCs w:val="21"/>
                <w:highlight w:val="none"/>
              </w:rPr>
              <w:t>1</w:t>
            </w:r>
          </w:p>
        </w:tc>
        <w:tc>
          <w:tcPr>
            <w:tcW w:w="2245" w:type="pct"/>
            <w:tcBorders>
              <w:top w:val="single" w:color="auto" w:sz="4" w:space="0"/>
              <w:left w:val="single" w:color="auto" w:sz="4" w:space="0"/>
              <w:bottom w:val="single" w:color="auto" w:sz="4" w:space="0"/>
              <w:right w:val="single" w:color="auto" w:sz="4" w:space="0"/>
            </w:tcBorders>
            <w:vAlign w:val="center"/>
          </w:tcPr>
          <w:p w14:paraId="04B2A6C7">
            <w:pPr>
              <w:overflowPunct w:val="0"/>
              <w:adjustRightInd w:val="0"/>
              <w:spacing w:line="460" w:lineRule="exact"/>
              <w:jc w:val="center"/>
              <w:rPr>
                <w:rFonts w:asciiTheme="minorEastAsia" w:hAnsiTheme="minorEastAsia"/>
                <w:color w:val="auto"/>
                <w:szCs w:val="21"/>
                <w:highlight w:val="none"/>
              </w:rPr>
            </w:pPr>
          </w:p>
        </w:tc>
        <w:tc>
          <w:tcPr>
            <w:tcW w:w="1746" w:type="pct"/>
            <w:tcBorders>
              <w:top w:val="single" w:color="auto" w:sz="4" w:space="0"/>
              <w:left w:val="single" w:color="auto" w:sz="4" w:space="0"/>
              <w:bottom w:val="single" w:color="auto" w:sz="4" w:space="0"/>
              <w:right w:val="single" w:color="auto" w:sz="4" w:space="0"/>
            </w:tcBorders>
            <w:vAlign w:val="center"/>
          </w:tcPr>
          <w:p w14:paraId="54B4DDA9">
            <w:pPr>
              <w:overflowPunct w:val="0"/>
              <w:adjustRightInd w:val="0"/>
              <w:spacing w:line="460" w:lineRule="exact"/>
              <w:jc w:val="left"/>
              <w:rPr>
                <w:rFonts w:asciiTheme="minorEastAsia" w:hAnsiTheme="minorEastAsia"/>
                <w:color w:val="auto"/>
                <w:szCs w:val="21"/>
                <w:highlight w:val="none"/>
              </w:rPr>
            </w:pPr>
            <w:r>
              <w:rPr>
                <w:rFonts w:hint="eastAsia" w:asciiTheme="minorEastAsia" w:hAnsiTheme="minorEastAsia"/>
                <w:color w:val="auto"/>
                <w:szCs w:val="21"/>
                <w:highlight w:val="none"/>
              </w:rPr>
              <w:t>大写：</w:t>
            </w:r>
            <w:r>
              <w:rPr>
                <w:rFonts w:asciiTheme="minorEastAsia" w:hAnsiTheme="minorEastAsia"/>
                <w:color w:val="auto"/>
                <w:szCs w:val="21"/>
                <w:highlight w:val="none"/>
                <w:u w:val="single"/>
              </w:rPr>
              <w:t xml:space="preserve">                    </w:t>
            </w:r>
          </w:p>
          <w:p w14:paraId="39A86D2B">
            <w:pPr>
              <w:overflowPunct w:val="0"/>
              <w:adjustRightInd w:val="0"/>
              <w:spacing w:line="460" w:lineRule="exact"/>
              <w:jc w:val="left"/>
              <w:rPr>
                <w:rFonts w:asciiTheme="minorEastAsia" w:hAnsiTheme="minorEastAsia"/>
                <w:color w:val="auto"/>
                <w:szCs w:val="21"/>
                <w:highlight w:val="none"/>
              </w:rPr>
            </w:pPr>
            <w:r>
              <w:rPr>
                <w:rFonts w:hint="eastAsia" w:asciiTheme="minorEastAsia" w:hAnsiTheme="minorEastAsia"/>
                <w:color w:val="auto"/>
                <w:szCs w:val="21"/>
                <w:highlight w:val="none"/>
              </w:rPr>
              <w:t>小写：</w:t>
            </w:r>
            <w:r>
              <w:rPr>
                <w:rFonts w:asciiTheme="minorEastAsia" w:hAnsiTheme="minorEastAsia"/>
                <w:color w:val="auto"/>
                <w:szCs w:val="21"/>
                <w:highlight w:val="none"/>
                <w:u w:val="single"/>
              </w:rPr>
              <w:t xml:space="preserve">                    </w:t>
            </w:r>
          </w:p>
        </w:tc>
        <w:tc>
          <w:tcPr>
            <w:tcW w:w="614" w:type="pct"/>
            <w:tcBorders>
              <w:top w:val="single" w:color="auto" w:sz="4" w:space="0"/>
              <w:left w:val="single" w:color="auto" w:sz="4" w:space="0"/>
              <w:bottom w:val="single" w:color="auto" w:sz="4" w:space="0"/>
              <w:right w:val="single" w:color="auto" w:sz="4" w:space="0"/>
            </w:tcBorders>
            <w:vAlign w:val="center"/>
          </w:tcPr>
          <w:p w14:paraId="0D70DD1F">
            <w:pPr>
              <w:overflowPunct w:val="0"/>
              <w:adjustRightInd w:val="0"/>
              <w:spacing w:line="460" w:lineRule="exact"/>
              <w:jc w:val="center"/>
              <w:rPr>
                <w:rFonts w:asciiTheme="minorEastAsia" w:hAnsiTheme="minorEastAsia"/>
                <w:color w:val="auto"/>
                <w:szCs w:val="21"/>
                <w:highlight w:val="none"/>
              </w:rPr>
            </w:pPr>
          </w:p>
        </w:tc>
      </w:tr>
    </w:tbl>
    <w:p w14:paraId="4738823D">
      <w:pPr>
        <w:spacing w:before="312" w:beforeLines="10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注明：</w:t>
      </w:r>
    </w:p>
    <w:p w14:paraId="5DE92E08">
      <w:pPr>
        <w:pStyle w:val="33"/>
        <w:numPr>
          <w:ilvl w:val="0"/>
          <w:numId w:val="89"/>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响应折扣率栏须用文字和数字两种方式表示的响应</w:t>
      </w:r>
      <w:r>
        <w:rPr>
          <w:rFonts w:hint="eastAsia" w:asciiTheme="minorEastAsia" w:hAnsiTheme="minorEastAsia"/>
          <w:color w:val="auto"/>
          <w:szCs w:val="21"/>
          <w:highlight w:val="none"/>
          <w:lang w:val="en-US" w:eastAsia="zh-CN"/>
        </w:rPr>
        <w:t>折扣率</w:t>
      </w:r>
      <w:r>
        <w:rPr>
          <w:rFonts w:hint="eastAsia" w:asciiTheme="minorEastAsia" w:hAnsiTheme="minorEastAsia"/>
          <w:color w:val="auto"/>
          <w:szCs w:val="21"/>
          <w:highlight w:val="none"/>
          <w:lang w:eastAsia="zh-CN"/>
        </w:rPr>
        <w:t>，</w:t>
      </w:r>
      <w:r>
        <w:rPr>
          <w:rFonts w:hint="eastAsia" w:asciiTheme="minorEastAsia" w:hAnsiTheme="minorEastAsia"/>
          <w:color w:val="auto"/>
          <w:szCs w:val="21"/>
          <w:highlight w:val="none"/>
          <w:lang w:val="en-US" w:eastAsia="zh-CN"/>
        </w:rPr>
        <w:t>折扣率最多保留两位小数</w:t>
      </w:r>
      <w:r>
        <w:rPr>
          <w:rFonts w:hint="eastAsia" w:asciiTheme="minorEastAsia" w:hAnsiTheme="minorEastAsia"/>
          <w:color w:val="auto"/>
          <w:szCs w:val="21"/>
          <w:highlight w:val="none"/>
        </w:rPr>
        <w:t>。</w:t>
      </w:r>
    </w:p>
    <w:p w14:paraId="5597DADF">
      <w:pPr>
        <w:pStyle w:val="33"/>
        <w:numPr>
          <w:ilvl w:val="0"/>
          <w:numId w:val="89"/>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报价一览表内容与响应文件中相应内容不一致的，以报价一览表为准。</w:t>
      </w:r>
    </w:p>
    <w:p w14:paraId="3DB4816B">
      <w:pPr>
        <w:pStyle w:val="33"/>
        <w:numPr>
          <w:ilvl w:val="0"/>
          <w:numId w:val="89"/>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大写和小写不一致的，以大写为准。</w:t>
      </w:r>
    </w:p>
    <w:p w14:paraId="50D5A8A2">
      <w:pPr>
        <w:spacing w:line="360" w:lineRule="auto"/>
        <w:rPr>
          <w:rFonts w:asciiTheme="minorEastAsia" w:hAnsiTheme="minorEastAsia"/>
          <w:color w:val="auto"/>
          <w:szCs w:val="21"/>
          <w:highlight w:val="none"/>
        </w:rPr>
      </w:pPr>
    </w:p>
    <w:p w14:paraId="2FB3229F">
      <w:pPr>
        <w:spacing w:line="360" w:lineRule="auto"/>
        <w:rPr>
          <w:rFonts w:asciiTheme="minorEastAsia" w:hAnsiTheme="minorEastAsia"/>
          <w:color w:val="auto"/>
          <w:szCs w:val="21"/>
          <w:highlight w:val="none"/>
        </w:rPr>
      </w:pPr>
    </w:p>
    <w:p w14:paraId="06440A74">
      <w:pPr>
        <w:spacing w:line="360" w:lineRule="auto"/>
        <w:rPr>
          <w:rFonts w:asciiTheme="minorEastAsia" w:hAnsiTheme="minorEastAsia"/>
          <w:color w:val="auto"/>
          <w:szCs w:val="21"/>
          <w:highlight w:val="none"/>
        </w:rPr>
      </w:pPr>
    </w:p>
    <w:p w14:paraId="7B51ABB3">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629"/>
        <w:gridCol w:w="1899"/>
      </w:tblGrid>
      <w:tr w14:paraId="49105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0734EEA3">
            <w:pPr>
              <w:overflowPunct w:val="0"/>
              <w:adjustRightInd w:val="0"/>
              <w:spacing w:line="48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 xml:space="preserve">                    </w:t>
            </w:r>
          </w:p>
        </w:tc>
        <w:tc>
          <w:tcPr>
            <w:tcW w:w="1899" w:type="dxa"/>
          </w:tcPr>
          <w:p w14:paraId="14B39964">
            <w:pPr>
              <w:spacing w:line="480" w:lineRule="auto"/>
              <w:rPr>
                <w:rFonts w:asciiTheme="minorEastAsia" w:hAnsiTheme="minorEastAsia"/>
                <w:color w:val="auto"/>
                <w:szCs w:val="21"/>
                <w:highlight w:val="none"/>
              </w:rPr>
            </w:pPr>
          </w:p>
        </w:tc>
      </w:tr>
      <w:tr w14:paraId="7DD1D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120C6EEA">
            <w:pPr>
              <w:spacing w:line="48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响应供应商法定代表人或被授权人（签名或盖私章）：</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 xml:space="preserve">             </w:t>
            </w:r>
          </w:p>
        </w:tc>
        <w:tc>
          <w:tcPr>
            <w:tcW w:w="1899" w:type="dxa"/>
          </w:tcPr>
          <w:p w14:paraId="0207BC5C">
            <w:pPr>
              <w:spacing w:line="480" w:lineRule="auto"/>
              <w:rPr>
                <w:rFonts w:asciiTheme="minorEastAsia" w:hAnsiTheme="minorEastAsia"/>
                <w:color w:val="auto"/>
                <w:szCs w:val="21"/>
                <w:highlight w:val="none"/>
              </w:rPr>
            </w:pPr>
          </w:p>
        </w:tc>
      </w:tr>
      <w:tr w14:paraId="3B55D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6629" w:type="dxa"/>
          </w:tcPr>
          <w:p w14:paraId="75F7DB80">
            <w:pPr>
              <w:spacing w:line="48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1899" w:type="dxa"/>
          </w:tcPr>
          <w:p w14:paraId="40ACAC2B">
            <w:pPr>
              <w:spacing w:line="480" w:lineRule="auto"/>
              <w:rPr>
                <w:rFonts w:asciiTheme="minorEastAsia" w:hAnsiTheme="minorEastAsia"/>
                <w:color w:val="auto"/>
                <w:szCs w:val="21"/>
                <w:highlight w:val="none"/>
              </w:rPr>
            </w:pPr>
          </w:p>
        </w:tc>
      </w:tr>
    </w:tbl>
    <w:p w14:paraId="667578A8">
      <w:pPr>
        <w:spacing w:line="360" w:lineRule="auto"/>
        <w:rPr>
          <w:rFonts w:asciiTheme="minorEastAsia" w:hAnsiTheme="minorEastAsia"/>
          <w:color w:val="auto"/>
          <w:szCs w:val="21"/>
          <w:highlight w:val="none"/>
        </w:rPr>
      </w:pPr>
    </w:p>
    <w:p w14:paraId="43A2AA8F">
      <w:pPr>
        <w:spacing w:line="360" w:lineRule="auto"/>
        <w:rPr>
          <w:rFonts w:asciiTheme="minorEastAsia" w:hAnsiTheme="minorEastAsia"/>
          <w:color w:val="auto"/>
          <w:szCs w:val="21"/>
          <w:highlight w:val="none"/>
        </w:rPr>
      </w:pPr>
    </w:p>
    <w:p w14:paraId="52760E82">
      <w:pPr>
        <w:tabs>
          <w:tab w:val="left" w:pos="1180"/>
        </w:tabs>
        <w:rPr>
          <w:rFonts w:asciiTheme="minorEastAsia" w:hAnsiTheme="minorEastAsia"/>
          <w:color w:val="auto"/>
          <w:sz w:val="28"/>
          <w:szCs w:val="28"/>
          <w:highlight w:val="none"/>
        </w:rPr>
      </w:pPr>
    </w:p>
    <w:p w14:paraId="161773E9">
      <w:pPr>
        <w:tabs>
          <w:tab w:val="left" w:pos="1180"/>
        </w:tabs>
        <w:rPr>
          <w:rFonts w:asciiTheme="minorEastAsia" w:hAnsiTheme="minorEastAsia"/>
          <w:color w:val="auto"/>
          <w:sz w:val="28"/>
          <w:szCs w:val="28"/>
          <w:highlight w:val="none"/>
        </w:rPr>
      </w:pPr>
    </w:p>
    <w:p w14:paraId="2AE95C55">
      <w:pPr>
        <w:rPr>
          <w:rStyle w:val="25"/>
          <w:rFonts w:asciiTheme="minorEastAsia" w:hAnsiTheme="minorEastAsia" w:eastAsiaTheme="minorEastAsia"/>
          <w:b/>
          <w:bCs/>
          <w:color w:val="auto"/>
          <w:spacing w:val="12"/>
          <w:sz w:val="21"/>
          <w:szCs w:val="21"/>
          <w:highlight w:val="none"/>
        </w:rPr>
      </w:pPr>
      <w:bookmarkStart w:id="64" w:name="_Toc103272830"/>
      <w:bookmarkEnd w:id="64"/>
      <w:bookmarkStart w:id="65" w:name="_Toc103272813"/>
      <w:bookmarkEnd w:id="65"/>
      <w:bookmarkStart w:id="66" w:name="_Toc103272908"/>
      <w:bookmarkEnd w:id="66"/>
      <w:bookmarkStart w:id="67" w:name="_Toc103272904"/>
      <w:bookmarkEnd w:id="67"/>
      <w:bookmarkStart w:id="68" w:name="_Toc103272807"/>
      <w:bookmarkEnd w:id="68"/>
      <w:bookmarkStart w:id="69" w:name="_Toc103272820"/>
      <w:bookmarkEnd w:id="69"/>
      <w:bookmarkStart w:id="70" w:name="_Toc103272814"/>
      <w:bookmarkEnd w:id="70"/>
      <w:bookmarkStart w:id="71" w:name="_Toc103272804"/>
      <w:bookmarkEnd w:id="71"/>
      <w:bookmarkStart w:id="72" w:name="_Toc103272905"/>
      <w:bookmarkEnd w:id="72"/>
      <w:bookmarkStart w:id="73" w:name="_Toc103272833"/>
      <w:bookmarkEnd w:id="73"/>
      <w:bookmarkStart w:id="74" w:name="_Toc103272831"/>
      <w:bookmarkEnd w:id="74"/>
      <w:bookmarkStart w:id="75" w:name="_Toc103272817"/>
      <w:bookmarkEnd w:id="75"/>
      <w:bookmarkStart w:id="76" w:name="_Toc103272805"/>
      <w:bookmarkEnd w:id="76"/>
      <w:bookmarkStart w:id="77" w:name="_Toc103272811"/>
      <w:bookmarkEnd w:id="77"/>
      <w:bookmarkStart w:id="78" w:name="_Toc103272818"/>
      <w:bookmarkEnd w:id="78"/>
      <w:bookmarkStart w:id="79" w:name="_Toc103272907"/>
      <w:bookmarkEnd w:id="79"/>
      <w:bookmarkStart w:id="80" w:name="_Toc103272812"/>
      <w:bookmarkEnd w:id="80"/>
      <w:bookmarkStart w:id="81" w:name="_Toc103272916"/>
      <w:bookmarkEnd w:id="81"/>
      <w:bookmarkStart w:id="82" w:name="_Toc103272802"/>
      <w:bookmarkEnd w:id="82"/>
      <w:bookmarkStart w:id="83" w:name="_Toc103272829"/>
      <w:bookmarkEnd w:id="83"/>
      <w:bookmarkStart w:id="84" w:name="_Toc103272834"/>
      <w:bookmarkEnd w:id="84"/>
      <w:bookmarkStart w:id="85" w:name="_Toc103272836"/>
      <w:bookmarkEnd w:id="85"/>
      <w:bookmarkStart w:id="86" w:name="_Toc103272801"/>
      <w:bookmarkEnd w:id="86"/>
      <w:bookmarkStart w:id="87" w:name="_Toc103272810"/>
      <w:bookmarkEnd w:id="87"/>
      <w:bookmarkStart w:id="88" w:name="_Toc103272828"/>
      <w:bookmarkEnd w:id="88"/>
      <w:bookmarkStart w:id="89" w:name="_Toc103272806"/>
      <w:bookmarkEnd w:id="89"/>
      <w:bookmarkStart w:id="90" w:name="_Toc103272832"/>
      <w:bookmarkEnd w:id="90"/>
      <w:bookmarkStart w:id="91" w:name="_Toc103272835"/>
      <w:bookmarkEnd w:id="91"/>
      <w:bookmarkStart w:id="92" w:name="_Toc103272809"/>
      <w:bookmarkEnd w:id="92"/>
      <w:bookmarkStart w:id="93" w:name="_Toc103272808"/>
      <w:bookmarkEnd w:id="93"/>
      <w:bookmarkStart w:id="94" w:name="_Toc103272815"/>
      <w:bookmarkEnd w:id="94"/>
      <w:bookmarkStart w:id="95" w:name="_Toc103272906"/>
      <w:bookmarkEnd w:id="95"/>
      <w:bookmarkStart w:id="96" w:name="_Toc103272903"/>
      <w:bookmarkEnd w:id="96"/>
      <w:bookmarkStart w:id="97" w:name="_Toc103272803"/>
      <w:bookmarkEnd w:id="97"/>
      <w:bookmarkStart w:id="98" w:name="_Toc103272816"/>
      <w:bookmarkEnd w:id="98"/>
      <w:bookmarkStart w:id="99" w:name="_Toc103272819"/>
      <w:bookmarkEnd w:id="99"/>
      <w:bookmarkStart w:id="100" w:name="_Toc103272915"/>
      <w:bookmarkEnd w:id="100"/>
      <w:bookmarkStart w:id="101" w:name="_Toc103272821"/>
      <w:bookmarkEnd w:id="101"/>
      <w:bookmarkStart w:id="102" w:name="_Toc391627757"/>
      <w:bookmarkStart w:id="103" w:name="_Toc405313961"/>
      <w:bookmarkStart w:id="104" w:name="_Toc138770017"/>
      <w:r>
        <w:rPr>
          <w:rStyle w:val="25"/>
          <w:rFonts w:hint="eastAsia" w:asciiTheme="minorEastAsia" w:hAnsiTheme="minorEastAsia" w:eastAsiaTheme="minorEastAsia"/>
          <w:b/>
          <w:bCs/>
          <w:color w:val="auto"/>
          <w:spacing w:val="12"/>
          <w:sz w:val="21"/>
          <w:szCs w:val="21"/>
          <w:highlight w:val="none"/>
        </w:rPr>
        <w:br w:type="page"/>
      </w:r>
    </w:p>
    <w:p w14:paraId="1CC66D97">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r>
        <w:rPr>
          <w:rStyle w:val="25"/>
          <w:rFonts w:hint="eastAsia" w:asciiTheme="minorEastAsia" w:hAnsiTheme="minorEastAsia" w:eastAsiaTheme="minorEastAsia"/>
          <w:b/>
          <w:bCs/>
          <w:color w:val="auto"/>
          <w:spacing w:val="12"/>
          <w:sz w:val="21"/>
          <w:szCs w:val="21"/>
          <w:highlight w:val="none"/>
        </w:rPr>
        <w:t>响应函</w:t>
      </w:r>
      <w:bookmarkEnd w:id="102"/>
      <w:bookmarkEnd w:id="103"/>
      <w:bookmarkEnd w:id="104"/>
    </w:p>
    <w:p w14:paraId="0366F953">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响应函</w:t>
      </w:r>
    </w:p>
    <w:p w14:paraId="207792DC">
      <w:pPr>
        <w:spacing w:before="156" w:beforeLines="50" w:after="156" w:afterLines="50" w:line="360" w:lineRule="auto"/>
        <w:rPr>
          <w:rFonts w:asciiTheme="minorEastAsia" w:hAnsiTheme="minorEastAsia"/>
          <w:b/>
          <w:color w:val="auto"/>
          <w:highlight w:val="none"/>
        </w:rPr>
      </w:pPr>
      <w:r>
        <w:rPr>
          <w:rFonts w:hint="eastAsia" w:asciiTheme="minorEastAsia" w:hAnsiTheme="minorEastAsia"/>
          <w:b/>
          <w:color w:val="auto"/>
          <w:highlight w:val="none"/>
        </w:rPr>
        <w:t>致：广东智汇城市招标采购有限公司</w:t>
      </w:r>
    </w:p>
    <w:p w14:paraId="2649D41F">
      <w:pPr>
        <w:autoSpaceDE w:val="0"/>
        <w:autoSpaceDN w:val="0"/>
        <w:adjustRightInd w:val="0"/>
        <w:spacing w:line="360" w:lineRule="auto"/>
        <w:ind w:right="26" w:firstLine="420" w:firstLineChars="200"/>
        <w:rPr>
          <w:rFonts w:asciiTheme="minorEastAsia" w:hAnsiTheme="minorEastAsia"/>
          <w:color w:val="auto"/>
          <w:kern w:val="0"/>
          <w:szCs w:val="21"/>
          <w:highlight w:val="none"/>
        </w:rPr>
      </w:pPr>
      <w:r>
        <w:rPr>
          <w:rFonts w:hint="eastAsia" w:asciiTheme="minorEastAsia" w:hAnsiTheme="minorEastAsia"/>
          <w:bCs/>
          <w:color w:val="auto"/>
          <w:kern w:val="0"/>
          <w:szCs w:val="21"/>
          <w:highlight w:val="none"/>
        </w:rPr>
        <w:t>依据贵方</w:t>
      </w:r>
      <w:r>
        <w:rPr>
          <w:rFonts w:asciiTheme="minorEastAsia" w:hAnsiTheme="minorEastAsia"/>
          <w:bCs/>
          <w:color w:val="auto"/>
          <w:kern w:val="0"/>
          <w:szCs w:val="21"/>
          <w:highlight w:val="none"/>
          <w:u w:val="single"/>
        </w:rPr>
        <w:t xml:space="preserve">    </w:t>
      </w:r>
      <w:r>
        <w:rPr>
          <w:rFonts w:hint="eastAsia" w:asciiTheme="minorEastAsia" w:hAnsiTheme="minorEastAsia"/>
          <w:b/>
          <w:bCs/>
          <w:color w:val="auto"/>
          <w:szCs w:val="21"/>
          <w:highlight w:val="none"/>
          <w:u w:val="single"/>
        </w:rPr>
        <w:t>项目名称</w:t>
      </w:r>
      <w:r>
        <w:rPr>
          <w:rFonts w:asciiTheme="minorEastAsia" w:hAnsiTheme="minorEastAsia"/>
          <w:b/>
          <w:bCs/>
          <w:color w:val="auto"/>
          <w:szCs w:val="21"/>
          <w:highlight w:val="none"/>
          <w:u w:val="single"/>
        </w:rPr>
        <w:t xml:space="preserve"> </w:t>
      </w:r>
      <w:r>
        <w:rPr>
          <w:rFonts w:asciiTheme="minorEastAsia" w:hAnsiTheme="minorEastAsia"/>
          <w:bCs/>
          <w:color w:val="auto"/>
          <w:szCs w:val="21"/>
          <w:highlight w:val="none"/>
          <w:u w:val="single"/>
        </w:rPr>
        <w:t xml:space="preserve">    </w:t>
      </w:r>
      <w:r>
        <w:rPr>
          <w:rFonts w:hint="eastAsia" w:asciiTheme="minorEastAsia" w:hAnsiTheme="minorEastAsia"/>
          <w:bCs/>
          <w:color w:val="auto"/>
          <w:kern w:val="0"/>
          <w:szCs w:val="21"/>
          <w:highlight w:val="none"/>
        </w:rPr>
        <w:t>项目</w:t>
      </w:r>
      <w:r>
        <w:rPr>
          <w:rFonts w:hint="eastAsia" w:asciiTheme="minorEastAsia" w:hAnsiTheme="minorEastAsia"/>
          <w:bCs/>
          <w:color w:val="auto"/>
          <w:szCs w:val="21"/>
          <w:highlight w:val="none"/>
          <w:u w:val="single"/>
        </w:rPr>
        <w:t>（</w:t>
      </w:r>
      <w:r>
        <w:rPr>
          <w:rFonts w:hint="eastAsia" w:asciiTheme="minorEastAsia" w:hAnsiTheme="minorEastAsia"/>
          <w:b/>
          <w:bCs/>
          <w:color w:val="auto"/>
          <w:szCs w:val="21"/>
          <w:highlight w:val="none"/>
          <w:u w:val="single"/>
        </w:rPr>
        <w:t>评选编号：</w:t>
      </w:r>
      <w:r>
        <w:rPr>
          <w:rFonts w:asciiTheme="minorEastAsia" w:hAnsiTheme="minorEastAsia"/>
          <w:bCs/>
          <w:color w:val="auto"/>
          <w:szCs w:val="21"/>
          <w:highlight w:val="none"/>
          <w:u w:val="single"/>
        </w:rPr>
        <w:t xml:space="preserve">        )</w:t>
      </w:r>
      <w:r>
        <w:rPr>
          <w:rFonts w:hint="eastAsia" w:asciiTheme="minorEastAsia" w:hAnsiTheme="minorEastAsia"/>
          <w:bCs/>
          <w:color w:val="auto"/>
          <w:kern w:val="0"/>
          <w:szCs w:val="21"/>
          <w:highlight w:val="none"/>
        </w:rPr>
        <w:t>的邀请，我方代表</w:t>
      </w:r>
      <w:r>
        <w:rPr>
          <w:rFonts w:asciiTheme="minorEastAsia" w:hAnsiTheme="minorEastAsia"/>
          <w:bCs/>
          <w:color w:val="auto"/>
          <w:kern w:val="0"/>
          <w:szCs w:val="21"/>
          <w:highlight w:val="none"/>
          <w:u w:val="single"/>
        </w:rPr>
        <w:t xml:space="preserve"> </w:t>
      </w:r>
      <w:r>
        <w:rPr>
          <w:rFonts w:hint="eastAsia" w:asciiTheme="minorEastAsia" w:hAnsiTheme="minorEastAsia"/>
          <w:b/>
          <w:bCs/>
          <w:color w:val="auto"/>
          <w:szCs w:val="21"/>
          <w:highlight w:val="none"/>
          <w:u w:val="single"/>
        </w:rPr>
        <w:t>（姓名、职务）</w:t>
      </w:r>
      <w:r>
        <w:rPr>
          <w:rFonts w:asciiTheme="minorEastAsia" w:hAnsiTheme="minorEastAsia"/>
          <w:bCs/>
          <w:color w:val="auto"/>
          <w:szCs w:val="21"/>
          <w:highlight w:val="none"/>
          <w:u w:val="single"/>
        </w:rPr>
        <w:t xml:space="preserve"> </w:t>
      </w:r>
      <w:r>
        <w:rPr>
          <w:rFonts w:hint="eastAsia" w:asciiTheme="minorEastAsia" w:hAnsiTheme="minorEastAsia"/>
          <w:bCs/>
          <w:color w:val="auto"/>
          <w:kern w:val="0"/>
          <w:szCs w:val="21"/>
          <w:highlight w:val="none"/>
        </w:rPr>
        <w:t>经正式授权并代表</w:t>
      </w:r>
      <w:r>
        <w:rPr>
          <w:rFonts w:asciiTheme="minorEastAsia" w:hAnsiTheme="minorEastAsia"/>
          <w:bCs/>
          <w:color w:val="auto"/>
          <w:kern w:val="0"/>
          <w:szCs w:val="21"/>
          <w:highlight w:val="none"/>
          <w:u w:val="single"/>
        </w:rPr>
        <w:t xml:space="preserve"> </w:t>
      </w:r>
      <w:r>
        <w:rPr>
          <w:rFonts w:hint="eastAsia" w:asciiTheme="minorEastAsia" w:hAnsiTheme="minorEastAsia"/>
          <w:b/>
          <w:bCs/>
          <w:color w:val="auto"/>
          <w:szCs w:val="21"/>
          <w:highlight w:val="none"/>
          <w:u w:val="single"/>
        </w:rPr>
        <w:t>（响应供应商名称）</w:t>
      </w:r>
      <w:r>
        <w:rPr>
          <w:rFonts w:asciiTheme="minorEastAsia" w:hAnsiTheme="minorEastAsia"/>
          <w:bCs/>
          <w:color w:val="auto"/>
          <w:szCs w:val="21"/>
          <w:highlight w:val="none"/>
          <w:u w:val="single"/>
        </w:rPr>
        <w:t xml:space="preserve"> </w:t>
      </w:r>
      <w:r>
        <w:rPr>
          <w:rFonts w:hint="eastAsia" w:asciiTheme="minorEastAsia" w:hAnsiTheme="minorEastAsia"/>
          <w:bCs/>
          <w:color w:val="auto"/>
          <w:szCs w:val="21"/>
          <w:highlight w:val="none"/>
        </w:rPr>
        <w:t>提交响应信封一份、</w:t>
      </w:r>
      <w:r>
        <w:rPr>
          <w:rFonts w:hint="eastAsia" w:asciiTheme="minorEastAsia" w:hAnsiTheme="minorEastAsia"/>
          <w:bCs/>
          <w:color w:val="auto"/>
          <w:kern w:val="0"/>
          <w:szCs w:val="21"/>
          <w:highlight w:val="none"/>
        </w:rPr>
        <w:t>响应文件</w:t>
      </w:r>
      <w:r>
        <w:rPr>
          <w:rFonts w:asciiTheme="minorEastAsia" w:hAnsiTheme="minorEastAsia"/>
          <w:bCs/>
          <w:color w:val="auto"/>
          <w:kern w:val="0"/>
          <w:szCs w:val="21"/>
          <w:highlight w:val="none"/>
        </w:rPr>
        <w:t>正本一份，副本</w:t>
      </w:r>
      <w:r>
        <w:rPr>
          <w:rFonts w:hint="eastAsia" w:asciiTheme="minorEastAsia" w:hAnsiTheme="minorEastAsia"/>
          <w:bCs/>
          <w:color w:val="auto"/>
          <w:kern w:val="0"/>
          <w:szCs w:val="21"/>
          <w:highlight w:val="none"/>
        </w:rPr>
        <w:t>五份。</w:t>
      </w:r>
    </w:p>
    <w:p w14:paraId="795B66B3">
      <w:pPr>
        <w:autoSpaceDE w:val="0"/>
        <w:autoSpaceDN w:val="0"/>
        <w:adjustRightInd w:val="0"/>
        <w:spacing w:line="360" w:lineRule="auto"/>
        <w:ind w:right="246"/>
        <w:rPr>
          <w:rFonts w:asciiTheme="minorEastAsia" w:hAnsiTheme="minorEastAsia"/>
          <w:color w:val="auto"/>
          <w:kern w:val="0"/>
          <w:szCs w:val="21"/>
          <w:highlight w:val="none"/>
        </w:rPr>
      </w:pPr>
      <w:r>
        <w:rPr>
          <w:rFonts w:hint="eastAsia" w:asciiTheme="minorEastAsia" w:hAnsiTheme="minorEastAsia"/>
          <w:color w:val="auto"/>
          <w:kern w:val="0"/>
          <w:szCs w:val="21"/>
          <w:highlight w:val="none"/>
        </w:rPr>
        <w:t>在此，我方声明如下：</w:t>
      </w:r>
    </w:p>
    <w:p w14:paraId="427FDF22">
      <w:pPr>
        <w:pStyle w:val="33"/>
        <w:numPr>
          <w:ilvl w:val="0"/>
          <w:numId w:val="90"/>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pacing w:val="-6"/>
          <w:szCs w:val="21"/>
          <w:highlight w:val="none"/>
        </w:rPr>
        <w:t>同意并接受遴选文件的各项要求，遵守遴选文件中的各项规定，按遴选文件的要求提供报价</w:t>
      </w:r>
      <w:r>
        <w:rPr>
          <w:rFonts w:hint="eastAsia" w:asciiTheme="minorEastAsia" w:hAnsiTheme="minorEastAsia"/>
          <w:color w:val="auto"/>
          <w:szCs w:val="21"/>
          <w:highlight w:val="none"/>
        </w:rPr>
        <w:t>。</w:t>
      </w:r>
    </w:p>
    <w:p w14:paraId="3E9FE9CD">
      <w:pPr>
        <w:pStyle w:val="33"/>
        <w:numPr>
          <w:ilvl w:val="0"/>
          <w:numId w:val="90"/>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投标有效期为递交响应文件截止日起</w:t>
      </w:r>
      <w:r>
        <w:rPr>
          <w:rFonts w:asciiTheme="minorEastAsia" w:hAnsiTheme="minorEastAsia"/>
          <w:color w:val="auto"/>
          <w:szCs w:val="21"/>
          <w:highlight w:val="none"/>
          <w:u w:val="single"/>
        </w:rPr>
        <w:t xml:space="preserve"> 90 </w:t>
      </w:r>
      <w:r>
        <w:rPr>
          <w:rFonts w:hint="eastAsia" w:asciiTheme="minorEastAsia" w:hAnsiTheme="minorEastAsia"/>
          <w:color w:val="auto"/>
          <w:szCs w:val="21"/>
          <w:highlight w:val="none"/>
        </w:rPr>
        <w:t>天，如中标，有效期将延至合同终止日为止。</w:t>
      </w:r>
    </w:p>
    <w:p w14:paraId="17D93E22">
      <w:pPr>
        <w:pStyle w:val="33"/>
        <w:numPr>
          <w:ilvl w:val="0"/>
          <w:numId w:val="90"/>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我方已经详细地阅读了全部遴选文件及其附件，</w:t>
      </w:r>
      <w:bookmarkStart w:id="105" w:name="_Hlk90989655"/>
      <w:r>
        <w:rPr>
          <w:rFonts w:hint="eastAsia" w:asciiTheme="minorEastAsia" w:hAnsiTheme="minorEastAsia"/>
          <w:color w:val="auto"/>
          <w:szCs w:val="21"/>
          <w:highlight w:val="none"/>
        </w:rPr>
        <w:t>包括澄清及参考文件</w:t>
      </w:r>
      <w:r>
        <w:rPr>
          <w:rFonts w:asciiTheme="minorEastAsia" w:hAnsiTheme="minorEastAsia"/>
          <w:color w:val="auto"/>
          <w:szCs w:val="21"/>
          <w:highlight w:val="none"/>
        </w:rPr>
        <w:t>(如有)。我方已完全清晰理解遴选文件的要求，不存在任何含糊不清和误解之处，同意放弃对这些文件所提出的</w:t>
      </w:r>
      <w:r>
        <w:rPr>
          <w:rFonts w:hint="eastAsia" w:asciiTheme="minorEastAsia" w:hAnsiTheme="minorEastAsia"/>
          <w:color w:val="auto"/>
          <w:szCs w:val="21"/>
          <w:highlight w:val="none"/>
        </w:rPr>
        <w:t>询问</w:t>
      </w:r>
      <w:r>
        <w:rPr>
          <w:rFonts w:asciiTheme="minorEastAsia" w:hAnsiTheme="minorEastAsia"/>
          <w:color w:val="auto"/>
          <w:szCs w:val="21"/>
          <w:highlight w:val="none"/>
        </w:rPr>
        <w:t>和质疑的权利。</w:t>
      </w:r>
      <w:bookmarkEnd w:id="105"/>
    </w:p>
    <w:p w14:paraId="04315DF8">
      <w:pPr>
        <w:pStyle w:val="33"/>
        <w:numPr>
          <w:ilvl w:val="0"/>
          <w:numId w:val="90"/>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我方已毫无保留地向贵方提供一切所需的证明材料。</w:t>
      </w:r>
    </w:p>
    <w:p w14:paraId="74EEAEBC">
      <w:pPr>
        <w:pStyle w:val="33"/>
        <w:numPr>
          <w:ilvl w:val="0"/>
          <w:numId w:val="90"/>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我方承诺在本次响应文件中提供的一切文件，无论是原件还是复印件均为真实和准确的，绝无任何虚假、伪造和夸大的成份，否则，愿承担相应的后果和法律责任。</w:t>
      </w:r>
    </w:p>
    <w:p w14:paraId="03B2529E">
      <w:pPr>
        <w:pStyle w:val="33"/>
        <w:numPr>
          <w:ilvl w:val="0"/>
          <w:numId w:val="90"/>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我方完全服从和尊重评审委员会所作的评定结果，同时清楚理解到报价最低并非意味着必定获得成交资格。</w:t>
      </w:r>
    </w:p>
    <w:p w14:paraId="6B1835A9">
      <w:pPr>
        <w:pStyle w:val="33"/>
        <w:numPr>
          <w:ilvl w:val="0"/>
          <w:numId w:val="90"/>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我方同意按遴选文件规定向采购代理机构缴纳中标服务费。</w:t>
      </w:r>
    </w:p>
    <w:p w14:paraId="1ACF926D">
      <w:pPr>
        <w:pStyle w:val="33"/>
        <w:numPr>
          <w:ilvl w:val="0"/>
          <w:numId w:val="90"/>
        </w:numPr>
        <w:tabs>
          <w:tab w:val="left" w:pos="567"/>
          <w:tab w:val="left" w:pos="709"/>
        </w:tabs>
        <w:spacing w:after="312" w:afterLines="100" w:line="360" w:lineRule="auto"/>
        <w:ind w:firstLineChars="0"/>
        <w:rPr>
          <w:rFonts w:asciiTheme="minorEastAsia" w:hAnsiTheme="minorEastAsia"/>
          <w:color w:val="auto"/>
          <w:szCs w:val="21"/>
          <w:highlight w:val="none"/>
        </w:rPr>
      </w:pPr>
      <w:r>
        <w:rPr>
          <w:rFonts w:asciiTheme="minorEastAsia" w:hAnsiTheme="minorEastAsia"/>
          <w:color w:val="auto"/>
          <w:szCs w:val="21"/>
          <w:highlight w:val="none"/>
        </w:rPr>
        <w:t>所有与本</w:t>
      </w:r>
      <w:r>
        <w:rPr>
          <w:rFonts w:hint="eastAsia" w:asciiTheme="minorEastAsia" w:hAnsiTheme="minorEastAsia"/>
          <w:color w:val="auto"/>
          <w:szCs w:val="21"/>
          <w:highlight w:val="none"/>
        </w:rPr>
        <w:t>项目</w:t>
      </w:r>
      <w:r>
        <w:rPr>
          <w:rFonts w:asciiTheme="minorEastAsia" w:hAnsiTheme="minorEastAsia"/>
          <w:color w:val="auto"/>
          <w:szCs w:val="21"/>
          <w:highlight w:val="none"/>
        </w:rPr>
        <w:t>有关的函件请发往下列地址：</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3"/>
        <w:gridCol w:w="4384"/>
      </w:tblGrid>
      <w:tr w14:paraId="2B5568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500" w:type="pct"/>
          </w:tcPr>
          <w:p w14:paraId="28312728">
            <w:pPr>
              <w:spacing w:before="156" w:before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响应供应商地址：</w:t>
            </w:r>
            <w:r>
              <w:rPr>
                <w:rFonts w:asciiTheme="minorEastAsia" w:hAnsiTheme="minorEastAsia"/>
                <w:color w:val="auto"/>
                <w:szCs w:val="21"/>
                <w:highlight w:val="none"/>
                <w:u w:val="single"/>
              </w:rPr>
              <w:t xml:space="preserve">                          </w:t>
            </w:r>
          </w:p>
        </w:tc>
        <w:tc>
          <w:tcPr>
            <w:tcW w:w="2500" w:type="pct"/>
          </w:tcPr>
          <w:p w14:paraId="00B7EEEB">
            <w:pPr>
              <w:spacing w:before="156" w:before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邮编：</w:t>
            </w:r>
            <w:r>
              <w:rPr>
                <w:rFonts w:asciiTheme="minorEastAsia" w:hAnsiTheme="minorEastAsia"/>
                <w:color w:val="auto"/>
                <w:szCs w:val="21"/>
                <w:highlight w:val="none"/>
                <w:u w:val="single"/>
              </w:rPr>
              <w:t xml:space="preserve">                                </w:t>
            </w:r>
          </w:p>
        </w:tc>
      </w:tr>
      <w:tr w14:paraId="337DD8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06966951">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联系电话：</w:t>
            </w:r>
            <w:r>
              <w:rPr>
                <w:rFonts w:asciiTheme="minorEastAsia" w:hAnsiTheme="minorEastAsia"/>
                <w:color w:val="auto"/>
                <w:szCs w:val="21"/>
                <w:highlight w:val="none"/>
                <w:u w:val="single"/>
              </w:rPr>
              <w:t xml:space="preserve">                            </w:t>
            </w:r>
          </w:p>
        </w:tc>
        <w:tc>
          <w:tcPr>
            <w:tcW w:w="2500" w:type="pct"/>
          </w:tcPr>
          <w:p w14:paraId="5353089A">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传真：</w:t>
            </w:r>
            <w:r>
              <w:rPr>
                <w:rFonts w:asciiTheme="minorEastAsia" w:hAnsiTheme="minorEastAsia"/>
                <w:color w:val="auto"/>
                <w:szCs w:val="21"/>
                <w:highlight w:val="none"/>
                <w:u w:val="single"/>
              </w:rPr>
              <w:t xml:space="preserve">                                </w:t>
            </w:r>
          </w:p>
        </w:tc>
      </w:tr>
      <w:tr w14:paraId="4F294B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500" w:type="pct"/>
          </w:tcPr>
          <w:p w14:paraId="7DEDFCAC">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项目联系人：</w:t>
            </w:r>
            <w:r>
              <w:rPr>
                <w:rFonts w:asciiTheme="minorEastAsia" w:hAnsiTheme="minorEastAsia"/>
                <w:color w:val="auto"/>
                <w:szCs w:val="21"/>
                <w:highlight w:val="none"/>
                <w:u w:val="single"/>
              </w:rPr>
              <w:t xml:space="preserve">                          </w:t>
            </w:r>
          </w:p>
        </w:tc>
        <w:tc>
          <w:tcPr>
            <w:tcW w:w="2500" w:type="pct"/>
          </w:tcPr>
          <w:p w14:paraId="2E03498C">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手机：</w:t>
            </w:r>
            <w:r>
              <w:rPr>
                <w:rFonts w:asciiTheme="minorEastAsia" w:hAnsiTheme="minorEastAsia"/>
                <w:color w:val="auto"/>
                <w:szCs w:val="21"/>
                <w:highlight w:val="none"/>
                <w:u w:val="single"/>
              </w:rPr>
              <w:t xml:space="preserve">                                </w:t>
            </w:r>
          </w:p>
        </w:tc>
      </w:tr>
      <w:tr w14:paraId="17CF8A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7E40D245">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r>
      <w:tr w14:paraId="50B09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0FF54DA6">
            <w:pPr>
              <w:spacing w:line="360" w:lineRule="auto"/>
              <w:jc w:val="left"/>
              <w:rPr>
                <w:rFonts w:asciiTheme="minorEastAsia" w:hAnsiTheme="minorEastAsia"/>
                <w:color w:val="auto"/>
                <w:szCs w:val="21"/>
                <w:highlight w:val="none"/>
              </w:rPr>
            </w:pPr>
            <w:r>
              <w:rPr>
                <w:rFonts w:hint="eastAsia" w:asciiTheme="minorEastAsia" w:hAnsiTheme="minorEastAsia"/>
                <w:color w:val="auto"/>
                <w:szCs w:val="21"/>
                <w:highlight w:val="none"/>
              </w:rPr>
              <w:t>响应供应商法定代表人或被授权人（签名或盖私章）：</w:t>
            </w:r>
            <w:r>
              <w:rPr>
                <w:rFonts w:asciiTheme="minorEastAsia" w:hAnsiTheme="minorEastAsia"/>
                <w:color w:val="auto"/>
                <w:szCs w:val="21"/>
                <w:highlight w:val="none"/>
                <w:u w:val="single"/>
              </w:rPr>
              <w:t xml:space="preserve">                                   </w:t>
            </w:r>
          </w:p>
        </w:tc>
      </w:tr>
      <w:tr w14:paraId="67A2ED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218E3563">
            <w:pPr>
              <w:spacing w:line="360" w:lineRule="auto"/>
              <w:jc w:val="left"/>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年</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月</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日</w:t>
            </w:r>
          </w:p>
        </w:tc>
      </w:tr>
    </w:tbl>
    <w:p w14:paraId="70814611">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06" w:name="_Toc391627764"/>
      <w:bookmarkStart w:id="107" w:name="_Toc405313969"/>
      <w:bookmarkStart w:id="108" w:name="_Toc138770018"/>
      <w:bookmarkStart w:id="109" w:name="_Toc75734373"/>
      <w:bookmarkStart w:id="110" w:name="_Toc405313962"/>
      <w:bookmarkStart w:id="111" w:name="_Toc391627758"/>
      <w:r>
        <w:rPr>
          <w:rStyle w:val="25"/>
          <w:rFonts w:hint="eastAsia" w:asciiTheme="minorEastAsia" w:hAnsiTheme="minorEastAsia" w:eastAsiaTheme="minorEastAsia"/>
          <w:b/>
          <w:bCs/>
          <w:color w:val="auto"/>
          <w:spacing w:val="12"/>
          <w:sz w:val="21"/>
          <w:szCs w:val="21"/>
          <w:highlight w:val="none"/>
        </w:rPr>
        <w:t>资格</w:t>
      </w:r>
      <w:bookmarkEnd w:id="106"/>
      <w:bookmarkEnd w:id="107"/>
      <w:r>
        <w:rPr>
          <w:rStyle w:val="25"/>
          <w:rFonts w:hint="eastAsia" w:asciiTheme="minorEastAsia" w:hAnsiTheme="minorEastAsia" w:eastAsiaTheme="minorEastAsia"/>
          <w:b/>
          <w:bCs/>
          <w:color w:val="auto"/>
          <w:spacing w:val="12"/>
          <w:sz w:val="21"/>
          <w:szCs w:val="21"/>
          <w:highlight w:val="none"/>
        </w:rPr>
        <w:t>声明函</w:t>
      </w:r>
      <w:bookmarkEnd w:id="108"/>
      <w:bookmarkEnd w:id="109"/>
    </w:p>
    <w:p w14:paraId="2A69EB52">
      <w:pPr>
        <w:spacing w:before="156" w:beforeLines="50" w:after="312" w:afterLines="100" w:line="360" w:lineRule="auto"/>
        <w:jc w:val="center"/>
        <w:rPr>
          <w:rFonts w:asciiTheme="minorEastAsia" w:hAnsiTheme="minorEastAsia"/>
          <w:b/>
          <w:color w:val="auto"/>
          <w:spacing w:val="20"/>
          <w:sz w:val="30"/>
          <w:szCs w:val="30"/>
          <w:highlight w:val="none"/>
        </w:rPr>
      </w:pPr>
      <w:bookmarkStart w:id="112" w:name="_Hlk81177964"/>
      <w:r>
        <w:rPr>
          <w:rFonts w:hint="eastAsia" w:asciiTheme="minorEastAsia" w:hAnsiTheme="minorEastAsia"/>
          <w:b/>
          <w:color w:val="auto"/>
          <w:spacing w:val="20"/>
          <w:sz w:val="30"/>
          <w:szCs w:val="30"/>
          <w:highlight w:val="none"/>
        </w:rPr>
        <w:t>资格声明函</w:t>
      </w:r>
    </w:p>
    <w:bookmarkEnd w:id="112"/>
    <w:p w14:paraId="3C75670E">
      <w:pPr>
        <w:adjustRightInd w:val="0"/>
        <w:snapToGrid w:val="0"/>
        <w:spacing w:after="156" w:afterLines="50" w:line="360" w:lineRule="auto"/>
        <w:rPr>
          <w:rFonts w:asciiTheme="minorEastAsia" w:hAnsiTheme="minorEastAsia"/>
          <w:b/>
          <w:color w:val="auto"/>
          <w:szCs w:val="21"/>
          <w:highlight w:val="none"/>
        </w:rPr>
      </w:pPr>
      <w:r>
        <w:rPr>
          <w:rFonts w:hint="eastAsia" w:asciiTheme="minorEastAsia" w:hAnsiTheme="minorEastAsia"/>
          <w:b/>
          <w:color w:val="auto"/>
          <w:szCs w:val="21"/>
          <w:highlight w:val="none"/>
        </w:rPr>
        <w:t>广东智汇城市招标采购有限公司：</w:t>
      </w:r>
    </w:p>
    <w:p w14:paraId="7EFF5BC0">
      <w:pPr>
        <w:adjustRightInd w:val="0"/>
        <w:snapToGrid w:val="0"/>
        <w:spacing w:line="360" w:lineRule="auto"/>
        <w:ind w:firstLine="424" w:firstLineChars="202"/>
        <w:rPr>
          <w:rFonts w:asciiTheme="minorEastAsia" w:hAnsiTheme="minorEastAsia"/>
          <w:color w:val="auto"/>
          <w:szCs w:val="21"/>
          <w:highlight w:val="none"/>
        </w:rPr>
      </w:pPr>
      <w:r>
        <w:rPr>
          <w:rFonts w:hint="eastAsia" w:asciiTheme="minorEastAsia" w:hAnsiTheme="minorEastAsia"/>
          <w:color w:val="auto"/>
          <w:szCs w:val="21"/>
          <w:highlight w:val="none"/>
        </w:rPr>
        <w:t xml:space="preserve">关于贵公司 </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年</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月</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日发布</w:t>
      </w:r>
      <w:r>
        <w:rPr>
          <w:rFonts w:hint="eastAsia"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项目（评选编号：</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）的采购公告，本单位愿意参加投标，并声明：</w:t>
      </w:r>
    </w:p>
    <w:p w14:paraId="256FC286">
      <w:pPr>
        <w:pStyle w:val="33"/>
        <w:widowControl/>
        <w:numPr>
          <w:ilvl w:val="0"/>
          <w:numId w:val="91"/>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本单位具有依法缴纳税收和社会保障资金的良好记录。</w:t>
      </w:r>
    </w:p>
    <w:p w14:paraId="4B864634">
      <w:pPr>
        <w:pStyle w:val="33"/>
        <w:widowControl/>
        <w:numPr>
          <w:ilvl w:val="0"/>
          <w:numId w:val="91"/>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本单位具有良好的商业信誉和健全的财务会计制度。</w:t>
      </w:r>
    </w:p>
    <w:p w14:paraId="79400337">
      <w:pPr>
        <w:pStyle w:val="33"/>
        <w:widowControl/>
        <w:numPr>
          <w:ilvl w:val="0"/>
          <w:numId w:val="91"/>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本单位具有履行合同所必需的设备和专业技术能力。</w:t>
      </w:r>
    </w:p>
    <w:p w14:paraId="27C85C61">
      <w:pPr>
        <w:pStyle w:val="33"/>
        <w:widowControl/>
        <w:numPr>
          <w:ilvl w:val="0"/>
          <w:numId w:val="91"/>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本单位参加采购活动前</w:t>
      </w:r>
      <w:r>
        <w:rPr>
          <w:rFonts w:cs="宋体" w:asciiTheme="minorEastAsia" w:hAnsiTheme="minorEastAsia"/>
          <w:color w:val="auto"/>
          <w:kern w:val="0"/>
          <w:szCs w:val="21"/>
          <w:highlight w:val="none"/>
        </w:rPr>
        <w:t>3年内，在经营活动中没有重大违法记录：重大违法记录，是指响应供应商因违法经营受到刑事处罚或者责令停产停业、吊销许可证或者执照、较大数额罚款等行政处罚。（较大数额罚款按照发出行政处罚决定</w:t>
      </w:r>
      <w:r>
        <w:rPr>
          <w:rFonts w:hint="eastAsia" w:cs="宋体" w:asciiTheme="minorEastAsia" w:hAnsiTheme="minorEastAsia"/>
          <w:color w:val="auto"/>
          <w:kern w:val="0"/>
          <w:szCs w:val="21"/>
          <w:highlight w:val="none"/>
        </w:rPr>
        <w:t>书部门所在省级政府，或实行垂直领导的国务院有关行政主管部门制定的较大数额罚款标准，或罚款决定之前需要举行听证会的金额标准来认定）。</w:t>
      </w:r>
    </w:p>
    <w:p w14:paraId="4C8CB168">
      <w:pPr>
        <w:pStyle w:val="33"/>
        <w:widowControl/>
        <w:numPr>
          <w:ilvl w:val="0"/>
          <w:numId w:val="91"/>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本单位具备法律、行政法规规定的其他条件。</w:t>
      </w:r>
    </w:p>
    <w:p w14:paraId="4C7EB726">
      <w:pPr>
        <w:pStyle w:val="33"/>
        <w:widowControl/>
        <w:numPr>
          <w:ilvl w:val="0"/>
          <w:numId w:val="91"/>
        </w:numPr>
        <w:adjustRightInd w:val="0"/>
        <w:snapToGrid w:val="0"/>
        <w:spacing w:line="360" w:lineRule="auto"/>
        <w:ind w:firstLineChars="0"/>
        <w:rPr>
          <w:rFonts w:cs="宋体" w:asciiTheme="minorEastAsia" w:hAnsiTheme="minorEastAsia"/>
          <w:color w:val="auto"/>
          <w:kern w:val="0"/>
          <w:szCs w:val="21"/>
          <w:highlight w:val="none"/>
        </w:rPr>
      </w:pPr>
      <w:r>
        <w:rPr>
          <w:rFonts w:hint="eastAsia" w:cs="宋体" w:asciiTheme="minorEastAsia" w:hAnsiTheme="minorEastAsia"/>
          <w:color w:val="auto"/>
          <w:kern w:val="0"/>
          <w:szCs w:val="21"/>
          <w:highlight w:val="none"/>
        </w:rPr>
        <w:t>本单位承诺单位负责人为同一人或者存在直接控股、管理关系的不同响应供应商，不得同时参加本采购项目（或采购包）投标。</w:t>
      </w:r>
    </w:p>
    <w:p w14:paraId="34451AE0">
      <w:pPr>
        <w:adjustRightInd w:val="0"/>
        <w:snapToGrid w:val="0"/>
        <w:spacing w:line="360" w:lineRule="auto"/>
        <w:ind w:firstLine="424" w:firstLineChars="202"/>
        <w:rPr>
          <w:rFonts w:asciiTheme="minorEastAsia" w:hAnsiTheme="minorEastAsia"/>
          <w:color w:val="auto"/>
          <w:szCs w:val="21"/>
          <w:highlight w:val="none"/>
        </w:rPr>
      </w:pPr>
      <w:r>
        <w:rPr>
          <w:rFonts w:hint="eastAsia" w:asciiTheme="minorEastAsia" w:hAnsiTheme="minorEastAsia"/>
          <w:color w:val="auto"/>
          <w:szCs w:val="21"/>
          <w:highlight w:val="none"/>
        </w:rPr>
        <w:t>本单位承诺在本次采购活动中，如有违法、违规、弄虚作假行为，所造成的损失、不良后果及法律责任，一律由本单位承担。</w:t>
      </w:r>
    </w:p>
    <w:p w14:paraId="5A24D6B2">
      <w:pPr>
        <w:adjustRightInd w:val="0"/>
        <w:snapToGrid w:val="0"/>
        <w:spacing w:before="156" w:beforeLines="50" w:line="360" w:lineRule="auto"/>
        <w:ind w:firstLine="420"/>
        <w:rPr>
          <w:rFonts w:asciiTheme="minorEastAsia" w:hAnsiTheme="minorEastAsia"/>
          <w:color w:val="auto"/>
          <w:szCs w:val="21"/>
          <w:highlight w:val="none"/>
        </w:rPr>
      </w:pPr>
      <w:r>
        <w:rPr>
          <w:rFonts w:hint="eastAsia" w:asciiTheme="minorEastAsia" w:hAnsiTheme="minorEastAsia"/>
          <w:color w:val="auto"/>
          <w:szCs w:val="21"/>
          <w:highlight w:val="none"/>
        </w:rPr>
        <w:t>特此声明！</w:t>
      </w:r>
    </w:p>
    <w:p w14:paraId="524D43E7">
      <w:pPr>
        <w:adjustRightInd w:val="0"/>
        <w:snapToGrid w:val="0"/>
        <w:spacing w:before="312" w:beforeLines="100" w:line="360" w:lineRule="auto"/>
        <w:ind w:firstLine="420"/>
        <w:rPr>
          <w:rFonts w:asciiTheme="minorEastAsia" w:hAnsiTheme="minorEastAsia"/>
          <w:b/>
          <w:color w:val="auto"/>
          <w:szCs w:val="21"/>
          <w:highlight w:val="none"/>
        </w:rPr>
      </w:pPr>
      <w:r>
        <w:rPr>
          <w:rFonts w:hint="eastAsia" w:asciiTheme="minorEastAsia" w:hAnsiTheme="minorEastAsia"/>
          <w:b/>
          <w:color w:val="auto"/>
          <w:szCs w:val="21"/>
          <w:highlight w:val="none"/>
        </w:rPr>
        <w:t>备注：</w:t>
      </w:r>
      <w:r>
        <w:rPr>
          <w:rFonts w:asciiTheme="minorEastAsia" w:hAnsiTheme="minorEastAsia"/>
          <w:b/>
          <w:color w:val="auto"/>
          <w:szCs w:val="21"/>
          <w:highlight w:val="none"/>
        </w:rPr>
        <w:t>1.本声明</w:t>
      </w:r>
      <w:r>
        <w:rPr>
          <w:rFonts w:hint="eastAsia" w:asciiTheme="minorEastAsia" w:hAnsiTheme="minorEastAsia"/>
          <w:b/>
          <w:color w:val="auto"/>
          <w:szCs w:val="21"/>
          <w:highlight w:val="none"/>
        </w:rPr>
        <w:t>函必须提供且内容不得擅自删改，否则视为无效响应。</w:t>
      </w:r>
    </w:p>
    <w:p w14:paraId="7932DB91">
      <w:pPr>
        <w:adjustRightInd w:val="0"/>
        <w:snapToGrid w:val="0"/>
        <w:spacing w:line="360" w:lineRule="auto"/>
        <w:ind w:firstLine="1138" w:firstLineChars="540"/>
        <w:rPr>
          <w:rFonts w:asciiTheme="minorEastAsia" w:hAnsiTheme="minorEastAsia"/>
          <w:b/>
          <w:color w:val="auto"/>
          <w:szCs w:val="21"/>
          <w:highlight w:val="none"/>
        </w:rPr>
      </w:pPr>
      <w:r>
        <w:rPr>
          <w:rFonts w:asciiTheme="minorEastAsia" w:hAnsiTheme="minorEastAsia"/>
          <w:b/>
          <w:color w:val="auto"/>
          <w:szCs w:val="21"/>
          <w:highlight w:val="none"/>
        </w:rPr>
        <w:t>2.本</w:t>
      </w:r>
      <w:bookmarkStart w:id="113" w:name="_Hlk20518506"/>
      <w:r>
        <w:rPr>
          <w:rFonts w:asciiTheme="minorEastAsia" w:hAnsiTheme="minorEastAsia"/>
          <w:b/>
          <w:color w:val="auto"/>
          <w:szCs w:val="21"/>
          <w:highlight w:val="none"/>
        </w:rPr>
        <w:t>声明</w:t>
      </w:r>
      <w:bookmarkEnd w:id="113"/>
      <w:r>
        <w:rPr>
          <w:rFonts w:asciiTheme="minorEastAsia" w:hAnsiTheme="minorEastAsia"/>
          <w:b/>
          <w:color w:val="auto"/>
          <w:szCs w:val="21"/>
          <w:highlight w:val="none"/>
        </w:rPr>
        <w:t>函如有虚假或与事实不符的，作无效</w:t>
      </w:r>
      <w:r>
        <w:rPr>
          <w:rFonts w:hint="eastAsia" w:asciiTheme="minorEastAsia" w:hAnsiTheme="minorEastAsia"/>
          <w:b/>
          <w:color w:val="auto"/>
          <w:szCs w:val="21"/>
          <w:highlight w:val="none"/>
        </w:rPr>
        <w:t>响应</w:t>
      </w:r>
      <w:r>
        <w:rPr>
          <w:rFonts w:asciiTheme="minorEastAsia" w:hAnsiTheme="minorEastAsia"/>
          <w:b/>
          <w:color w:val="auto"/>
          <w:szCs w:val="21"/>
          <w:highlight w:val="none"/>
        </w:rPr>
        <w:t>处理。</w:t>
      </w:r>
    </w:p>
    <w:p w14:paraId="2F1E4409">
      <w:pPr>
        <w:adjustRightInd w:val="0"/>
        <w:snapToGrid w:val="0"/>
        <w:spacing w:after="156" w:afterLines="50" w:line="360" w:lineRule="auto"/>
        <w:jc w:val="left"/>
        <w:rPr>
          <w:rFonts w:asciiTheme="minorEastAsia" w:hAnsiTheme="minorEastAsia"/>
          <w:b/>
          <w:color w:val="auto"/>
          <w:szCs w:val="21"/>
          <w:highlight w:val="none"/>
        </w:rPr>
      </w:pPr>
    </w:p>
    <w:p w14:paraId="3724D893">
      <w:pPr>
        <w:adjustRightInd w:val="0"/>
        <w:snapToGrid w:val="0"/>
        <w:spacing w:after="156" w:afterLines="50" w:line="360" w:lineRule="auto"/>
        <w:jc w:val="left"/>
        <w:rPr>
          <w:rFonts w:asciiTheme="minorEastAsia" w:hAnsiTheme="minorEastAsia"/>
          <w:b/>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AB2D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B9547EF">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c>
          <w:tcPr>
            <w:tcW w:w="3175" w:type="dxa"/>
          </w:tcPr>
          <w:p w14:paraId="48F56F12">
            <w:pPr>
              <w:spacing w:line="360" w:lineRule="auto"/>
              <w:rPr>
                <w:rFonts w:asciiTheme="minorEastAsia" w:hAnsiTheme="minorEastAsia"/>
                <w:color w:val="auto"/>
                <w:szCs w:val="21"/>
                <w:highlight w:val="none"/>
              </w:rPr>
            </w:pPr>
          </w:p>
        </w:tc>
      </w:tr>
      <w:tr w14:paraId="2606BC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0A0E0AFA">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3175" w:type="dxa"/>
          </w:tcPr>
          <w:p w14:paraId="57C7C613">
            <w:pPr>
              <w:spacing w:line="360" w:lineRule="auto"/>
              <w:rPr>
                <w:rFonts w:asciiTheme="minorEastAsia" w:hAnsiTheme="minorEastAsia"/>
                <w:color w:val="auto"/>
                <w:szCs w:val="21"/>
                <w:highlight w:val="none"/>
              </w:rPr>
            </w:pPr>
          </w:p>
        </w:tc>
      </w:tr>
    </w:tbl>
    <w:p w14:paraId="6B67BB9E">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14" w:name="_Toc138770019"/>
      <w:r>
        <w:rPr>
          <w:rStyle w:val="25"/>
          <w:rFonts w:hint="eastAsia" w:asciiTheme="minorEastAsia" w:hAnsiTheme="minorEastAsia" w:eastAsiaTheme="minorEastAsia"/>
          <w:b/>
          <w:bCs/>
          <w:color w:val="auto"/>
          <w:spacing w:val="12"/>
          <w:sz w:val="21"/>
          <w:szCs w:val="21"/>
          <w:highlight w:val="none"/>
        </w:rPr>
        <w:t>法定代表人身份证明书</w:t>
      </w:r>
      <w:bookmarkEnd w:id="110"/>
      <w:bookmarkEnd w:id="111"/>
      <w:bookmarkEnd w:id="114"/>
    </w:p>
    <w:p w14:paraId="05959842">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法定代表人身份证明书</w:t>
      </w:r>
    </w:p>
    <w:p w14:paraId="56FED931">
      <w:pPr>
        <w:spacing w:before="312" w:beforeLines="100" w:after="156" w:afterLines="50" w:line="360" w:lineRule="auto"/>
        <w:rPr>
          <w:rFonts w:asciiTheme="minorEastAsia" w:hAnsiTheme="minorEastAsia"/>
          <w:b/>
          <w:color w:val="auto"/>
          <w:highlight w:val="none"/>
        </w:rPr>
      </w:pPr>
      <w:r>
        <w:rPr>
          <w:rFonts w:hint="eastAsia" w:asciiTheme="minorEastAsia" w:hAnsiTheme="minorEastAsia"/>
          <w:b/>
          <w:color w:val="auto"/>
          <w:highlight w:val="none"/>
        </w:rPr>
        <w:t>致：广东智汇城市招标采购有限公司</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81"/>
        <w:gridCol w:w="5886"/>
      </w:tblGrid>
      <w:tr w14:paraId="4E5BD8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2"/>
          </w:tcPr>
          <w:p w14:paraId="09DF1601">
            <w:pPr>
              <w:spacing w:line="360" w:lineRule="auto"/>
              <w:rPr>
                <w:rFonts w:asciiTheme="minorEastAsia" w:hAnsiTheme="minorEastAsia"/>
                <w:color w:val="auto"/>
                <w:szCs w:val="21"/>
                <w:highlight w:val="none"/>
              </w:rPr>
            </w:pP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同志，现任我单位</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rPr>
              <w:t>职务，为法定代表人，特此证明。</w:t>
            </w:r>
          </w:p>
        </w:tc>
      </w:tr>
      <w:tr w14:paraId="7E561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1" w:hRule="atLeast"/>
          <w:jc w:val="center"/>
        </w:trPr>
        <w:tc>
          <w:tcPr>
            <w:tcW w:w="5000" w:type="pct"/>
            <w:gridSpan w:val="2"/>
          </w:tcPr>
          <w:p w14:paraId="3496A33A">
            <w:pPr>
              <w:spacing w:line="360" w:lineRule="auto"/>
              <w:rPr>
                <w:rFonts w:asciiTheme="minorEastAsia" w:hAnsiTheme="minorEastAsia"/>
                <w:color w:val="auto"/>
                <w:szCs w:val="21"/>
                <w:highlight w:val="none"/>
              </w:rPr>
            </w:pPr>
          </w:p>
          <w:p w14:paraId="1200B660">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附：</w:t>
            </w:r>
          </w:p>
          <w:p w14:paraId="40612D3C">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代表人性别：</w:t>
            </w:r>
          </w:p>
          <w:p w14:paraId="6B111EA7">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身份证号码：</w:t>
            </w:r>
          </w:p>
          <w:p w14:paraId="0AD1CDEE">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联系电话：</w:t>
            </w:r>
          </w:p>
          <w:p w14:paraId="2DD5CE3F">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主营（产）：</w:t>
            </w:r>
          </w:p>
        </w:tc>
      </w:tr>
      <w:tr w14:paraId="34819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4" w:hRule="atLeast"/>
          <w:jc w:val="center"/>
        </w:trPr>
        <w:tc>
          <w:tcPr>
            <w:tcW w:w="5000" w:type="pct"/>
            <w:gridSpan w:val="2"/>
          </w:tcPr>
          <w:p w14:paraId="479183FF">
            <w:pPr>
              <w:spacing w:line="360" w:lineRule="auto"/>
              <w:rPr>
                <w:rFonts w:asciiTheme="minorEastAsia" w:hAnsiTheme="minorEastAsia"/>
                <w:color w:val="auto"/>
                <w:szCs w:val="21"/>
                <w:highlight w:val="none"/>
              </w:rPr>
            </w:pPr>
          </w:p>
        </w:tc>
      </w:tr>
      <w:tr w14:paraId="0CED4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6A84A1B3">
            <w:pPr>
              <w:spacing w:line="360" w:lineRule="auto"/>
              <w:rPr>
                <w:rFonts w:asciiTheme="minorEastAsia" w:hAnsiTheme="minorEastAsia"/>
                <w:color w:val="auto"/>
                <w:szCs w:val="21"/>
                <w:highlight w:val="none"/>
              </w:rPr>
            </w:pPr>
          </w:p>
        </w:tc>
        <w:tc>
          <w:tcPr>
            <w:tcW w:w="3357" w:type="pct"/>
          </w:tcPr>
          <w:p w14:paraId="7D3C49EF">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r>
      <w:tr w14:paraId="7F7FB4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05555B89">
            <w:pPr>
              <w:spacing w:line="360" w:lineRule="auto"/>
              <w:rPr>
                <w:rFonts w:asciiTheme="minorEastAsia" w:hAnsiTheme="minorEastAsia"/>
                <w:color w:val="auto"/>
                <w:szCs w:val="21"/>
                <w:highlight w:val="none"/>
              </w:rPr>
            </w:pPr>
          </w:p>
        </w:tc>
        <w:tc>
          <w:tcPr>
            <w:tcW w:w="3357" w:type="pct"/>
          </w:tcPr>
          <w:p w14:paraId="36A55376">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法定代表人（签名或盖私章）：</w:t>
            </w:r>
            <w:r>
              <w:rPr>
                <w:rFonts w:asciiTheme="minorEastAsia" w:hAnsiTheme="minorEastAsia"/>
                <w:color w:val="auto"/>
                <w:szCs w:val="21"/>
                <w:highlight w:val="none"/>
                <w:u w:val="single"/>
              </w:rPr>
              <w:t xml:space="preserve">                         </w:t>
            </w:r>
          </w:p>
        </w:tc>
      </w:tr>
      <w:tr w14:paraId="3CCCB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43" w:type="pct"/>
          </w:tcPr>
          <w:p w14:paraId="61423BE3">
            <w:pPr>
              <w:spacing w:line="360" w:lineRule="auto"/>
              <w:rPr>
                <w:rFonts w:asciiTheme="minorEastAsia" w:hAnsiTheme="minorEastAsia"/>
                <w:color w:val="auto"/>
                <w:szCs w:val="21"/>
                <w:highlight w:val="none"/>
              </w:rPr>
            </w:pPr>
          </w:p>
        </w:tc>
        <w:tc>
          <w:tcPr>
            <w:tcW w:w="3357" w:type="pct"/>
          </w:tcPr>
          <w:p w14:paraId="45006FC5">
            <w:pPr>
              <w:spacing w:after="312" w:afterLines="10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r>
    </w:tbl>
    <w:p w14:paraId="15DC1AD3">
      <w:pPr>
        <w:spacing w:before="156" w:beforeLines="50" w:after="156" w:after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682D072D">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1833" w:hRule="atLeast"/>
          <w:jc w:val="center"/>
        </w:trPr>
        <w:tc>
          <w:tcPr>
            <w:tcW w:w="2500" w:type="pct"/>
            <w:vAlign w:val="center"/>
          </w:tcPr>
          <w:p w14:paraId="37FDCB66">
            <w:pPr>
              <w:pStyle w:val="39"/>
              <w:spacing w:line="460" w:lineRule="exact"/>
              <w:ind w:firstLine="0" w:firstLineChars="0"/>
              <w:jc w:val="center"/>
              <w:rPr>
                <w:rFonts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正面</w:t>
            </w:r>
          </w:p>
        </w:tc>
        <w:tc>
          <w:tcPr>
            <w:tcW w:w="2500" w:type="pct"/>
            <w:vAlign w:val="center"/>
          </w:tcPr>
          <w:p w14:paraId="1E70CB1E">
            <w:pPr>
              <w:pStyle w:val="39"/>
              <w:spacing w:line="460" w:lineRule="exact"/>
              <w:ind w:firstLine="0" w:firstLineChars="0"/>
              <w:jc w:val="center"/>
              <w:rPr>
                <w:rFonts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背面</w:t>
            </w:r>
          </w:p>
        </w:tc>
      </w:tr>
    </w:tbl>
    <w:p w14:paraId="22793BEA">
      <w:pPr>
        <w:spacing w:before="156" w:beforeLines="50" w:after="93" w:afterLines="30" w:line="360" w:lineRule="auto"/>
        <w:rPr>
          <w:rFonts w:asciiTheme="minorEastAsia" w:hAnsiTheme="minorEastAsia"/>
          <w:color w:val="auto"/>
          <w:szCs w:val="21"/>
          <w:highlight w:val="none"/>
        </w:rPr>
      </w:pPr>
    </w:p>
    <w:p w14:paraId="1FFC4F6F">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15" w:name="_Toc405313963"/>
      <w:bookmarkStart w:id="116" w:name="_Toc138770020"/>
      <w:bookmarkStart w:id="117" w:name="_Toc391627759"/>
      <w:r>
        <w:rPr>
          <w:rStyle w:val="25"/>
          <w:rFonts w:hint="eastAsia" w:asciiTheme="minorEastAsia" w:hAnsiTheme="minorEastAsia" w:eastAsiaTheme="minorEastAsia"/>
          <w:b/>
          <w:bCs/>
          <w:color w:val="auto"/>
          <w:spacing w:val="12"/>
          <w:sz w:val="21"/>
          <w:szCs w:val="21"/>
          <w:highlight w:val="none"/>
        </w:rPr>
        <w:t>法定代表人授权委托书</w:t>
      </w:r>
      <w:bookmarkEnd w:id="115"/>
      <w:bookmarkEnd w:id="116"/>
      <w:bookmarkEnd w:id="117"/>
    </w:p>
    <w:p w14:paraId="2D801D7B">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法定代表人授权委托书</w:t>
      </w:r>
    </w:p>
    <w:p w14:paraId="26F7CE74">
      <w:pPr>
        <w:spacing w:before="468" w:beforeLines="150" w:after="312" w:afterLines="100" w:line="360" w:lineRule="auto"/>
        <w:rPr>
          <w:rFonts w:asciiTheme="minorEastAsia" w:hAnsiTheme="minorEastAsia"/>
          <w:b/>
          <w:color w:val="auto"/>
          <w:highlight w:val="none"/>
        </w:rPr>
      </w:pPr>
      <w:r>
        <w:rPr>
          <w:rFonts w:hint="eastAsia" w:asciiTheme="minorEastAsia" w:hAnsiTheme="minorEastAsia"/>
          <w:b/>
          <w:color w:val="auto"/>
          <w:highlight w:val="none"/>
        </w:rPr>
        <w:t>致：广东智汇城市招标采购有限公司</w:t>
      </w:r>
    </w:p>
    <w:p w14:paraId="0BB7F8A8">
      <w:pPr>
        <w:pStyle w:val="39"/>
        <w:spacing w:line="360" w:lineRule="auto"/>
        <w:ind w:firstLine="450" w:firstLineChars="0"/>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本人</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u w:val="single"/>
        </w:rPr>
        <w:t>（姓名）</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系</w:t>
      </w:r>
      <w:r>
        <w:rPr>
          <w:rFonts w:asciiTheme="minorEastAsia" w:hAnsiTheme="minorEastAsia" w:eastAsiaTheme="minorEastAsia"/>
          <w:color w:val="auto"/>
          <w:sz w:val="21"/>
          <w:szCs w:val="21"/>
          <w:highlight w:val="none"/>
          <w:u w:val="single"/>
        </w:rPr>
        <w:t xml:space="preserve">  （响应供应商名称）  </w:t>
      </w:r>
      <w:r>
        <w:rPr>
          <w:rFonts w:hint="eastAsia" w:asciiTheme="minorEastAsia" w:hAnsiTheme="minorEastAsia" w:eastAsiaTheme="minorEastAsia"/>
          <w:color w:val="auto"/>
          <w:sz w:val="21"/>
          <w:szCs w:val="21"/>
          <w:highlight w:val="none"/>
        </w:rPr>
        <w:t>的法定代表人，现委托</w:t>
      </w:r>
      <w:r>
        <w:rPr>
          <w:rFonts w:asciiTheme="minorEastAsia" w:hAnsiTheme="minorEastAsia" w:eastAsiaTheme="minorEastAsia"/>
          <w:color w:val="auto"/>
          <w:sz w:val="21"/>
          <w:szCs w:val="21"/>
          <w:highlight w:val="none"/>
          <w:u w:val="single"/>
        </w:rPr>
        <w:t xml:space="preserve"> （姓名） </w:t>
      </w:r>
      <w:r>
        <w:rPr>
          <w:rFonts w:hint="eastAsia" w:asciiTheme="minorEastAsia" w:hAnsiTheme="minorEastAsia" w:eastAsiaTheme="minorEastAsia"/>
          <w:color w:val="auto"/>
          <w:sz w:val="21"/>
          <w:szCs w:val="21"/>
          <w:highlight w:val="none"/>
        </w:rPr>
        <w:t>为我方合法代理人。代理人根据授权，以我方名义签署、澄清、说明、补正、递交、撤回、修改</w:t>
      </w:r>
      <w:r>
        <w:rPr>
          <w:rFonts w:asciiTheme="minorEastAsia" w:hAnsiTheme="minorEastAsia" w:eastAsiaTheme="minorEastAsia"/>
          <w:color w:val="auto"/>
          <w:sz w:val="21"/>
          <w:szCs w:val="21"/>
          <w:highlight w:val="none"/>
          <w:u w:val="single"/>
        </w:rPr>
        <w:t xml:space="preserve">  （项目名称）  </w:t>
      </w:r>
      <w:r>
        <w:rPr>
          <w:rFonts w:hint="eastAsia" w:asciiTheme="minorEastAsia" w:hAnsiTheme="minorEastAsia" w:eastAsiaTheme="minorEastAsia"/>
          <w:color w:val="auto"/>
          <w:sz w:val="21"/>
          <w:szCs w:val="21"/>
          <w:highlight w:val="none"/>
        </w:rPr>
        <w:t>（评选编号：</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u w:val="single"/>
        </w:rPr>
        <w:t>　</w:t>
      </w:r>
      <w:r>
        <w:rPr>
          <w:rFonts w:hint="eastAsia" w:asciiTheme="minorEastAsia" w:hAnsiTheme="minorEastAsia" w:eastAsiaTheme="minorEastAsia"/>
          <w:color w:val="auto"/>
          <w:sz w:val="21"/>
          <w:szCs w:val="21"/>
          <w:highlight w:val="none"/>
        </w:rPr>
        <w:t>）响应文件、签订合同和处理有关事宜，其法律后果由我方承担。</w:t>
      </w:r>
    </w:p>
    <w:p w14:paraId="2BCB0792">
      <w:pPr>
        <w:pStyle w:val="39"/>
        <w:spacing w:line="360" w:lineRule="auto"/>
        <w:ind w:firstLine="428" w:firstLineChars="204"/>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本委托书于</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年</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月</w:t>
      </w:r>
      <w:r>
        <w:rPr>
          <w:rFonts w:hint="eastAsia" w:asciiTheme="minorEastAsia" w:hAnsiTheme="minorEastAsia" w:eastAsiaTheme="minorEastAsia"/>
          <w:color w:val="auto"/>
          <w:sz w:val="21"/>
          <w:szCs w:val="21"/>
          <w:highlight w:val="none"/>
          <w:u w:val="single"/>
        </w:rPr>
        <w:t>　</w:t>
      </w:r>
      <w:r>
        <w:rPr>
          <w:rFonts w:asciiTheme="minorEastAsia" w:hAnsiTheme="minorEastAsia" w:eastAsiaTheme="minorEastAsia"/>
          <w:color w:val="auto"/>
          <w:sz w:val="21"/>
          <w:szCs w:val="21"/>
          <w:highlight w:val="none"/>
          <w:u w:val="single"/>
        </w:rPr>
        <w:t xml:space="preserve"> </w:t>
      </w:r>
      <w:r>
        <w:rPr>
          <w:rFonts w:hint="eastAsia" w:asciiTheme="minorEastAsia" w:hAnsiTheme="minorEastAsia" w:eastAsiaTheme="minorEastAsia"/>
          <w:color w:val="auto"/>
          <w:sz w:val="21"/>
          <w:szCs w:val="21"/>
          <w:highlight w:val="none"/>
        </w:rPr>
        <w:t>日签字生效，特此证明。</w:t>
      </w:r>
    </w:p>
    <w:p w14:paraId="26EE2AE8">
      <w:pPr>
        <w:pStyle w:val="39"/>
        <w:spacing w:line="360" w:lineRule="auto"/>
        <w:ind w:firstLine="428" w:firstLineChars="204"/>
        <w:rPr>
          <w:rFonts w:asciiTheme="minorEastAsia" w:hAnsiTheme="minorEastAsia" w:eastAsiaTheme="minorEastAsia"/>
          <w:color w:val="auto"/>
          <w:sz w:val="21"/>
          <w:szCs w:val="21"/>
          <w:highlight w:val="none"/>
        </w:rPr>
      </w:pPr>
    </w:p>
    <w:p w14:paraId="19F0C8F8">
      <w:pPr>
        <w:pStyle w:val="39"/>
        <w:spacing w:line="360" w:lineRule="auto"/>
        <w:ind w:firstLine="0" w:firstLineChars="0"/>
        <w:rPr>
          <w:rFonts w:asciiTheme="minorEastAsia" w:hAnsiTheme="minorEastAsia" w:eastAsiaTheme="minorEastAsia"/>
          <w:color w:val="auto"/>
          <w:sz w:val="21"/>
          <w:szCs w:val="21"/>
          <w:highlight w:val="none"/>
        </w:rPr>
      </w:pPr>
    </w:p>
    <w:p w14:paraId="455A9EE5">
      <w:pPr>
        <w:pStyle w:val="39"/>
        <w:spacing w:line="360" w:lineRule="auto"/>
        <w:ind w:firstLine="0" w:firstLineChars="0"/>
        <w:rPr>
          <w:rFonts w:asciiTheme="minorEastAsia" w:hAnsiTheme="minorEastAsia" w:eastAsiaTheme="minorEastAsia"/>
          <w:color w:val="auto"/>
          <w:sz w:val="21"/>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02"/>
        <w:gridCol w:w="5726"/>
      </w:tblGrid>
      <w:tr w14:paraId="3363C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408E9800">
            <w:pPr>
              <w:pStyle w:val="39"/>
              <w:spacing w:line="360" w:lineRule="auto"/>
              <w:ind w:firstLine="0" w:firstLineChars="0"/>
              <w:rPr>
                <w:rFonts w:asciiTheme="minorEastAsia" w:hAnsiTheme="minorEastAsia" w:eastAsiaTheme="minorEastAsia"/>
                <w:color w:val="auto"/>
                <w:sz w:val="21"/>
                <w:szCs w:val="21"/>
                <w:highlight w:val="none"/>
              </w:rPr>
            </w:pPr>
          </w:p>
        </w:tc>
        <w:tc>
          <w:tcPr>
            <w:tcW w:w="5726" w:type="dxa"/>
          </w:tcPr>
          <w:p w14:paraId="396A058D">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r>
      <w:tr w14:paraId="3C7067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1695739E">
            <w:pPr>
              <w:pStyle w:val="39"/>
              <w:spacing w:line="360" w:lineRule="auto"/>
              <w:ind w:firstLine="0" w:firstLineChars="0"/>
              <w:rPr>
                <w:rFonts w:asciiTheme="minorEastAsia" w:hAnsiTheme="minorEastAsia" w:eastAsiaTheme="minorEastAsia"/>
                <w:color w:val="auto"/>
                <w:sz w:val="21"/>
                <w:szCs w:val="21"/>
                <w:highlight w:val="none"/>
              </w:rPr>
            </w:pPr>
          </w:p>
        </w:tc>
        <w:tc>
          <w:tcPr>
            <w:tcW w:w="5726" w:type="dxa"/>
          </w:tcPr>
          <w:p w14:paraId="7E812B8B">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法定代表人（签名或盖私章）：</w:t>
            </w:r>
            <w:r>
              <w:rPr>
                <w:rFonts w:asciiTheme="minorEastAsia" w:hAnsiTheme="minorEastAsia"/>
                <w:color w:val="auto"/>
                <w:szCs w:val="21"/>
                <w:highlight w:val="none"/>
                <w:u w:val="single"/>
              </w:rPr>
              <w:t xml:space="preserve">                         </w:t>
            </w:r>
          </w:p>
        </w:tc>
      </w:tr>
      <w:tr w14:paraId="7DE09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3F478077">
            <w:pPr>
              <w:pStyle w:val="39"/>
              <w:spacing w:line="360" w:lineRule="auto"/>
              <w:ind w:firstLine="0" w:firstLineChars="0"/>
              <w:rPr>
                <w:rFonts w:asciiTheme="minorEastAsia" w:hAnsiTheme="minorEastAsia" w:eastAsiaTheme="minorEastAsia"/>
                <w:color w:val="auto"/>
                <w:sz w:val="21"/>
                <w:szCs w:val="21"/>
                <w:highlight w:val="none"/>
              </w:rPr>
            </w:pPr>
          </w:p>
        </w:tc>
        <w:tc>
          <w:tcPr>
            <w:tcW w:w="5726" w:type="dxa"/>
          </w:tcPr>
          <w:p w14:paraId="35183CC8">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职务：</w:t>
            </w:r>
            <w:r>
              <w:rPr>
                <w:rFonts w:asciiTheme="minorEastAsia" w:hAnsiTheme="minorEastAsia"/>
                <w:color w:val="auto"/>
                <w:szCs w:val="21"/>
                <w:highlight w:val="none"/>
                <w:u w:val="single"/>
              </w:rPr>
              <w:t xml:space="preserve">                                              </w:t>
            </w:r>
          </w:p>
        </w:tc>
      </w:tr>
      <w:tr w14:paraId="0C3CEE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2D557E00">
            <w:pPr>
              <w:pStyle w:val="39"/>
              <w:spacing w:line="360" w:lineRule="auto"/>
              <w:ind w:firstLine="0" w:firstLineChars="0"/>
              <w:rPr>
                <w:rFonts w:asciiTheme="minorEastAsia" w:hAnsiTheme="minorEastAsia" w:eastAsiaTheme="minorEastAsia"/>
                <w:color w:val="auto"/>
                <w:sz w:val="21"/>
                <w:szCs w:val="21"/>
                <w:highlight w:val="none"/>
              </w:rPr>
            </w:pPr>
          </w:p>
        </w:tc>
        <w:tc>
          <w:tcPr>
            <w:tcW w:w="5726" w:type="dxa"/>
          </w:tcPr>
          <w:p w14:paraId="43CF8C0F">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被授权人（签名或盖私章）：</w:t>
            </w:r>
            <w:r>
              <w:rPr>
                <w:rFonts w:asciiTheme="minorEastAsia" w:hAnsiTheme="minorEastAsia"/>
                <w:color w:val="auto"/>
                <w:szCs w:val="21"/>
                <w:highlight w:val="none"/>
                <w:u w:val="single"/>
              </w:rPr>
              <w:t xml:space="preserve">                           </w:t>
            </w:r>
          </w:p>
        </w:tc>
      </w:tr>
      <w:tr w14:paraId="3EA734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18A6948D">
            <w:pPr>
              <w:pStyle w:val="39"/>
              <w:spacing w:line="360" w:lineRule="auto"/>
              <w:ind w:firstLine="0" w:firstLineChars="0"/>
              <w:rPr>
                <w:rFonts w:asciiTheme="minorEastAsia" w:hAnsiTheme="minorEastAsia" w:eastAsiaTheme="minorEastAsia"/>
                <w:color w:val="auto"/>
                <w:sz w:val="21"/>
                <w:szCs w:val="21"/>
                <w:highlight w:val="none"/>
              </w:rPr>
            </w:pPr>
          </w:p>
        </w:tc>
        <w:tc>
          <w:tcPr>
            <w:tcW w:w="5726" w:type="dxa"/>
          </w:tcPr>
          <w:p w14:paraId="499D9D45">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职务：</w:t>
            </w:r>
            <w:r>
              <w:rPr>
                <w:rFonts w:asciiTheme="minorEastAsia" w:hAnsiTheme="minorEastAsia"/>
                <w:color w:val="auto"/>
                <w:szCs w:val="21"/>
                <w:highlight w:val="none"/>
                <w:u w:val="single"/>
              </w:rPr>
              <w:t xml:space="preserve">                                              </w:t>
            </w:r>
          </w:p>
        </w:tc>
      </w:tr>
      <w:tr w14:paraId="6EA14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802" w:type="dxa"/>
          </w:tcPr>
          <w:p w14:paraId="2FA1D3C0">
            <w:pPr>
              <w:pStyle w:val="39"/>
              <w:spacing w:line="360" w:lineRule="auto"/>
              <w:ind w:firstLine="0" w:firstLineChars="0"/>
              <w:rPr>
                <w:rFonts w:asciiTheme="minorEastAsia" w:hAnsiTheme="minorEastAsia" w:eastAsiaTheme="minorEastAsia"/>
                <w:color w:val="auto"/>
                <w:sz w:val="21"/>
                <w:szCs w:val="21"/>
                <w:highlight w:val="none"/>
              </w:rPr>
            </w:pPr>
          </w:p>
        </w:tc>
        <w:tc>
          <w:tcPr>
            <w:tcW w:w="5726" w:type="dxa"/>
          </w:tcPr>
          <w:p w14:paraId="6E452B76">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r>
    </w:tbl>
    <w:p w14:paraId="3D6DB803">
      <w:pPr>
        <w:pStyle w:val="39"/>
        <w:spacing w:line="360" w:lineRule="auto"/>
        <w:ind w:firstLine="0" w:firstLineChars="0"/>
        <w:rPr>
          <w:rFonts w:asciiTheme="minorEastAsia" w:hAnsiTheme="minorEastAsia" w:eastAsiaTheme="minorEastAsia"/>
          <w:color w:val="auto"/>
          <w:sz w:val="21"/>
          <w:szCs w:val="21"/>
          <w:highlight w:val="none"/>
        </w:rPr>
      </w:pPr>
    </w:p>
    <w:p w14:paraId="35392B39">
      <w:pPr>
        <w:pStyle w:val="39"/>
        <w:spacing w:line="360" w:lineRule="auto"/>
        <w:ind w:firstLine="0" w:firstLineChars="0"/>
        <w:rPr>
          <w:rFonts w:asciiTheme="minorEastAsia" w:hAnsiTheme="minorEastAsia" w:eastAsiaTheme="minorEastAsia"/>
          <w:color w:val="auto"/>
          <w:sz w:val="21"/>
          <w:szCs w:val="21"/>
          <w:highlight w:val="none"/>
        </w:rPr>
      </w:pPr>
    </w:p>
    <w:p w14:paraId="6D3C0544">
      <w:pPr>
        <w:spacing w:after="156" w:after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383"/>
        <w:gridCol w:w="4384"/>
      </w:tblGrid>
      <w:tr w14:paraId="2360C1D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310" w:hRule="atLeast"/>
          <w:jc w:val="center"/>
        </w:trPr>
        <w:tc>
          <w:tcPr>
            <w:tcW w:w="2500" w:type="pct"/>
            <w:vAlign w:val="center"/>
          </w:tcPr>
          <w:p w14:paraId="32A3008F">
            <w:pPr>
              <w:pStyle w:val="39"/>
              <w:spacing w:line="460" w:lineRule="exact"/>
              <w:ind w:firstLine="0" w:firstLineChars="0"/>
              <w:jc w:val="center"/>
              <w:rPr>
                <w:rFonts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正面</w:t>
            </w:r>
          </w:p>
        </w:tc>
        <w:tc>
          <w:tcPr>
            <w:tcW w:w="2500" w:type="pct"/>
            <w:vAlign w:val="center"/>
          </w:tcPr>
          <w:p w14:paraId="3259355B">
            <w:pPr>
              <w:pStyle w:val="39"/>
              <w:spacing w:line="460" w:lineRule="exact"/>
              <w:ind w:firstLine="0" w:firstLineChars="0"/>
              <w:jc w:val="center"/>
              <w:rPr>
                <w:rFonts w:asciiTheme="minorEastAsia" w:hAnsiTheme="minorEastAsia" w:eastAsiaTheme="minorEastAsia"/>
                <w:color w:val="auto"/>
                <w:sz w:val="22"/>
                <w:szCs w:val="22"/>
                <w:highlight w:val="none"/>
              </w:rPr>
            </w:pPr>
            <w:r>
              <w:rPr>
                <w:rFonts w:hint="eastAsia" w:asciiTheme="minorEastAsia" w:hAnsiTheme="minorEastAsia" w:eastAsiaTheme="minorEastAsia"/>
                <w:color w:val="auto"/>
                <w:sz w:val="22"/>
                <w:szCs w:val="22"/>
                <w:highlight w:val="none"/>
              </w:rPr>
              <w:t>背面</w:t>
            </w:r>
          </w:p>
        </w:tc>
      </w:tr>
    </w:tbl>
    <w:p w14:paraId="51FA4B5F">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18" w:name="_Toc391627760"/>
      <w:bookmarkStart w:id="119" w:name="_Toc405313964"/>
      <w:bookmarkStart w:id="120" w:name="_Toc138770021"/>
      <w:r>
        <w:rPr>
          <w:rStyle w:val="25"/>
          <w:rFonts w:hint="eastAsia" w:asciiTheme="minorEastAsia" w:hAnsiTheme="minorEastAsia" w:eastAsiaTheme="minorEastAsia"/>
          <w:b/>
          <w:bCs/>
          <w:color w:val="auto"/>
          <w:spacing w:val="12"/>
          <w:sz w:val="21"/>
          <w:szCs w:val="21"/>
          <w:highlight w:val="none"/>
        </w:rPr>
        <w:t>响应供应商基本情况说明</w:t>
      </w:r>
      <w:bookmarkEnd w:id="118"/>
      <w:bookmarkEnd w:id="119"/>
      <w:bookmarkEnd w:id="120"/>
    </w:p>
    <w:p w14:paraId="0A2A60AB">
      <w:pPr>
        <w:spacing w:before="156" w:beforeLines="50" w:after="156" w:afterLines="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响应供应商基本情况说明</w:t>
      </w:r>
    </w:p>
    <w:p w14:paraId="16CB3BD7">
      <w:pPr>
        <w:pStyle w:val="33"/>
        <w:numPr>
          <w:ilvl w:val="0"/>
          <w:numId w:val="92"/>
        </w:numPr>
        <w:spacing w:after="156" w:afterLines="50" w:line="360" w:lineRule="auto"/>
        <w:ind w:firstLineChars="0"/>
        <w:rPr>
          <w:rFonts w:asciiTheme="minorEastAsia" w:hAnsiTheme="minorEastAsia"/>
          <w:color w:val="auto"/>
          <w:szCs w:val="21"/>
          <w:highlight w:val="none"/>
        </w:rPr>
      </w:pPr>
      <w:r>
        <w:rPr>
          <w:rFonts w:asciiTheme="minorEastAsia" w:hAnsiTheme="minorEastAsia"/>
          <w:color w:val="auto"/>
          <w:szCs w:val="21"/>
          <w:highlight w:val="none"/>
        </w:rPr>
        <w:t>公司基本情况</w:t>
      </w:r>
    </w:p>
    <w:tbl>
      <w:tblPr>
        <w:tblStyle w:val="2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53"/>
        <w:gridCol w:w="2439"/>
        <w:gridCol w:w="1068"/>
        <w:gridCol w:w="1410"/>
        <w:gridCol w:w="2097"/>
      </w:tblGrid>
      <w:tr w14:paraId="265A3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0DC37808">
            <w:pPr>
              <w:spacing w:line="360" w:lineRule="auto"/>
              <w:rPr>
                <w:rFonts w:asciiTheme="minorEastAsia" w:hAnsiTheme="minorEastAsia"/>
                <w:color w:val="auto"/>
                <w:szCs w:val="21"/>
                <w:highlight w:val="none"/>
              </w:rPr>
            </w:pPr>
            <w:r>
              <w:rPr>
                <w:rFonts w:asciiTheme="minorEastAsia" w:hAnsiTheme="minorEastAsia"/>
                <w:color w:val="auto"/>
                <w:szCs w:val="21"/>
                <w:highlight w:val="none"/>
              </w:rPr>
              <w:t>公司名称：</w:t>
            </w:r>
            <w:r>
              <w:rPr>
                <w:rFonts w:asciiTheme="minorEastAsia" w:hAnsiTheme="minorEastAsia"/>
                <w:color w:val="auto"/>
                <w:szCs w:val="21"/>
                <w:highlight w:val="none"/>
                <w:u w:val="single"/>
              </w:rPr>
              <w:t xml:space="preserve">           </w:t>
            </w:r>
            <w:r>
              <w:rPr>
                <w:rFonts w:hint="eastAsia" w:asciiTheme="minorEastAsia" w:hAnsiTheme="minorEastAsia"/>
                <w:color w:val="auto"/>
                <w:szCs w:val="21"/>
                <w:highlight w:val="none"/>
                <w:u w:val="single"/>
              </w:rPr>
              <w:t xml:space="preserve">                    </w:t>
            </w:r>
            <w:r>
              <w:rPr>
                <w:rFonts w:asciiTheme="minorEastAsia" w:hAnsiTheme="minorEastAsia"/>
                <w:color w:val="auto"/>
                <w:szCs w:val="21"/>
                <w:highlight w:val="none"/>
                <w:u w:val="single"/>
              </w:rPr>
              <w:t xml:space="preserve">    </w:t>
            </w:r>
            <w:r>
              <w:rPr>
                <w:rFonts w:asciiTheme="minorEastAsia" w:hAnsiTheme="minorEastAsia"/>
                <w:color w:val="auto"/>
                <w:szCs w:val="21"/>
                <w:highlight w:val="none"/>
              </w:rPr>
              <w:t xml:space="preserve"> </w:t>
            </w:r>
          </w:p>
        </w:tc>
        <w:tc>
          <w:tcPr>
            <w:tcW w:w="2000" w:type="pct"/>
            <w:gridSpan w:val="2"/>
          </w:tcPr>
          <w:p w14:paraId="1EE084FA">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公司固话：</w:t>
            </w:r>
            <w:r>
              <w:rPr>
                <w:rFonts w:hint="eastAsia" w:asciiTheme="minorEastAsia" w:hAnsiTheme="minorEastAsia"/>
                <w:color w:val="auto"/>
                <w:szCs w:val="21"/>
                <w:highlight w:val="none"/>
                <w:u w:val="single"/>
              </w:rPr>
              <w:t xml:space="preserve">                    </w:t>
            </w:r>
          </w:p>
        </w:tc>
      </w:tr>
      <w:tr w14:paraId="1CFEF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6EB88832">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单位地址：</w:t>
            </w:r>
            <w:r>
              <w:rPr>
                <w:rFonts w:hint="eastAsia" w:asciiTheme="minorEastAsia" w:hAnsiTheme="minorEastAsia"/>
                <w:color w:val="auto"/>
                <w:szCs w:val="21"/>
                <w:highlight w:val="none"/>
                <w:u w:val="single"/>
              </w:rPr>
              <w:t xml:space="preserve">                                    </w:t>
            </w:r>
          </w:p>
        </w:tc>
        <w:tc>
          <w:tcPr>
            <w:tcW w:w="2000" w:type="pct"/>
            <w:gridSpan w:val="2"/>
          </w:tcPr>
          <w:p w14:paraId="384DD55C">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公司传真：</w:t>
            </w:r>
            <w:r>
              <w:rPr>
                <w:rFonts w:hint="eastAsia" w:asciiTheme="minorEastAsia" w:hAnsiTheme="minorEastAsia"/>
                <w:color w:val="auto"/>
                <w:szCs w:val="21"/>
                <w:highlight w:val="none"/>
                <w:u w:val="single"/>
              </w:rPr>
              <w:t xml:space="preserve">                    </w:t>
            </w:r>
          </w:p>
        </w:tc>
      </w:tr>
      <w:tr w14:paraId="59BE3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BC3ED7F">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注册资金：</w:t>
            </w:r>
            <w:r>
              <w:rPr>
                <w:rFonts w:hint="eastAsia" w:asciiTheme="minorEastAsia" w:hAnsiTheme="minorEastAsia"/>
                <w:color w:val="auto"/>
                <w:szCs w:val="21"/>
                <w:highlight w:val="none"/>
                <w:u w:val="single"/>
              </w:rPr>
              <w:t xml:space="preserve">                                    </w:t>
            </w:r>
          </w:p>
        </w:tc>
        <w:tc>
          <w:tcPr>
            <w:tcW w:w="2000" w:type="pct"/>
            <w:gridSpan w:val="2"/>
          </w:tcPr>
          <w:p w14:paraId="267B0D69">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单位性质：</w:t>
            </w:r>
            <w:r>
              <w:rPr>
                <w:rFonts w:hint="eastAsia" w:asciiTheme="minorEastAsia" w:hAnsiTheme="minorEastAsia"/>
                <w:color w:val="auto"/>
                <w:szCs w:val="21"/>
                <w:highlight w:val="none"/>
                <w:u w:val="single"/>
              </w:rPr>
              <w:t xml:space="preserve">                    </w:t>
            </w:r>
          </w:p>
        </w:tc>
      </w:tr>
      <w:tr w14:paraId="33D10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000" w:type="pct"/>
            <w:gridSpan w:val="3"/>
          </w:tcPr>
          <w:p w14:paraId="71E0CE22">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公司开户银行名称：</w:t>
            </w:r>
            <w:r>
              <w:rPr>
                <w:rFonts w:hint="eastAsia" w:asciiTheme="minorEastAsia" w:hAnsiTheme="minorEastAsia"/>
                <w:color w:val="auto"/>
                <w:szCs w:val="21"/>
                <w:highlight w:val="none"/>
                <w:u w:val="single"/>
              </w:rPr>
              <w:t xml:space="preserve">                            </w:t>
            </w:r>
          </w:p>
        </w:tc>
        <w:tc>
          <w:tcPr>
            <w:tcW w:w="2000" w:type="pct"/>
            <w:gridSpan w:val="2"/>
          </w:tcPr>
          <w:p w14:paraId="5850EE41">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开户账号：</w:t>
            </w:r>
            <w:r>
              <w:rPr>
                <w:rFonts w:hint="eastAsia" w:asciiTheme="minorEastAsia" w:hAnsiTheme="minorEastAsia"/>
                <w:color w:val="auto"/>
                <w:szCs w:val="21"/>
                <w:highlight w:val="none"/>
                <w:u w:val="single"/>
              </w:rPr>
              <w:t xml:space="preserve">                    </w:t>
            </w:r>
          </w:p>
        </w:tc>
      </w:tr>
      <w:tr w14:paraId="723FFD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000" w:type="pct"/>
            <w:gridSpan w:val="5"/>
          </w:tcPr>
          <w:p w14:paraId="7659E8AC">
            <w:pPr>
              <w:spacing w:line="360" w:lineRule="auto"/>
              <w:rPr>
                <w:rFonts w:asciiTheme="minorEastAsia" w:hAnsiTheme="minorEastAsia"/>
                <w:color w:val="auto"/>
                <w:szCs w:val="21"/>
                <w:highlight w:val="none"/>
              </w:rPr>
            </w:pPr>
            <w:r>
              <w:rPr>
                <w:rFonts w:asciiTheme="minorEastAsia" w:hAnsiTheme="minorEastAsia"/>
                <w:color w:val="auto"/>
                <w:szCs w:val="21"/>
                <w:highlight w:val="none"/>
              </w:rPr>
              <w:t>营业注册执照</w:t>
            </w:r>
            <w:r>
              <w:rPr>
                <w:rFonts w:hint="eastAsia" w:asciiTheme="minorEastAsia" w:hAnsiTheme="minorEastAsia"/>
                <w:color w:val="auto"/>
                <w:szCs w:val="21"/>
                <w:highlight w:val="none"/>
              </w:rPr>
              <w:t>或事业单位法人证书</w:t>
            </w:r>
            <w:r>
              <w:rPr>
                <w:rFonts w:asciiTheme="minorEastAsia" w:hAnsiTheme="minorEastAsia"/>
                <w:color w:val="auto"/>
                <w:szCs w:val="21"/>
                <w:highlight w:val="none"/>
              </w:rPr>
              <w:t>号</w:t>
            </w:r>
            <w:r>
              <w:rPr>
                <w:rFonts w:hint="eastAsia" w:asciiTheme="minorEastAsia" w:hAnsiTheme="minorEastAsia"/>
                <w:color w:val="auto"/>
                <w:szCs w:val="21"/>
                <w:highlight w:val="none"/>
              </w:rPr>
              <w:t>：</w:t>
            </w:r>
            <w:r>
              <w:rPr>
                <w:rFonts w:hint="eastAsia" w:asciiTheme="minorEastAsia" w:hAnsiTheme="minorEastAsia"/>
                <w:color w:val="auto"/>
                <w:szCs w:val="21"/>
                <w:highlight w:val="none"/>
                <w:u w:val="single"/>
              </w:rPr>
              <w:t xml:space="preserve">                                             </w:t>
            </w:r>
          </w:p>
        </w:tc>
      </w:tr>
      <w:tr w14:paraId="2707C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jc w:val="center"/>
        </w:trPr>
        <w:tc>
          <w:tcPr>
            <w:tcW w:w="5000" w:type="pct"/>
            <w:gridSpan w:val="5"/>
          </w:tcPr>
          <w:p w14:paraId="1BEB256F">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公司财务状况：（如有）                                  【价格单位：（人民币）元】</w:t>
            </w:r>
          </w:p>
        </w:tc>
      </w:tr>
      <w:tr w14:paraId="4765C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vAlign w:val="center"/>
          </w:tcPr>
          <w:p w14:paraId="6FB04029">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年  度</w:t>
            </w:r>
          </w:p>
        </w:tc>
        <w:tc>
          <w:tcPr>
            <w:tcW w:w="1391" w:type="pct"/>
            <w:tcBorders>
              <w:top w:val="single" w:color="auto" w:sz="6" w:space="0"/>
              <w:left w:val="single" w:color="auto" w:sz="6" w:space="0"/>
              <w:bottom w:val="single" w:color="auto" w:sz="6" w:space="0"/>
              <w:right w:val="single" w:color="auto" w:sz="6" w:space="0"/>
            </w:tcBorders>
            <w:vAlign w:val="center"/>
          </w:tcPr>
          <w:p w14:paraId="579A579C">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总资产（元）</w:t>
            </w:r>
          </w:p>
        </w:tc>
        <w:tc>
          <w:tcPr>
            <w:tcW w:w="1413" w:type="pct"/>
            <w:gridSpan w:val="2"/>
            <w:tcBorders>
              <w:top w:val="single" w:color="auto" w:sz="6" w:space="0"/>
              <w:left w:val="single" w:color="auto" w:sz="6" w:space="0"/>
              <w:bottom w:val="single" w:color="auto" w:sz="6" w:space="0"/>
              <w:right w:val="single" w:color="auto" w:sz="6" w:space="0"/>
            </w:tcBorders>
            <w:vAlign w:val="center"/>
          </w:tcPr>
          <w:p w14:paraId="571FD91B">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年营业额（元）</w:t>
            </w:r>
          </w:p>
        </w:tc>
        <w:tc>
          <w:tcPr>
            <w:tcW w:w="1197" w:type="pct"/>
            <w:tcBorders>
              <w:top w:val="single" w:color="auto" w:sz="6" w:space="0"/>
              <w:left w:val="single" w:color="auto" w:sz="6" w:space="0"/>
              <w:bottom w:val="single" w:color="auto" w:sz="6" w:space="0"/>
              <w:right w:val="single" w:color="auto" w:sz="6" w:space="0"/>
            </w:tcBorders>
            <w:vAlign w:val="center"/>
          </w:tcPr>
          <w:p w14:paraId="7BD8CE0D">
            <w:pPr>
              <w:spacing w:line="360" w:lineRule="auto"/>
              <w:jc w:val="center"/>
              <w:rPr>
                <w:rFonts w:asciiTheme="minorEastAsia" w:hAnsiTheme="minorEastAsia"/>
                <w:color w:val="auto"/>
                <w:szCs w:val="21"/>
                <w:highlight w:val="none"/>
              </w:rPr>
            </w:pPr>
            <w:r>
              <w:rPr>
                <w:rFonts w:hint="eastAsia" w:asciiTheme="minorEastAsia" w:hAnsiTheme="minorEastAsia"/>
                <w:color w:val="auto"/>
                <w:szCs w:val="21"/>
                <w:highlight w:val="none"/>
              </w:rPr>
              <w:t>年净利润（元）</w:t>
            </w:r>
          </w:p>
        </w:tc>
      </w:tr>
      <w:tr w14:paraId="288161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25E2C8F8">
            <w:pPr>
              <w:spacing w:line="360" w:lineRule="auto"/>
              <w:rPr>
                <w:rFonts w:asciiTheme="minorEastAsia" w:hAnsiTheme="minorEastAsia"/>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0844953C">
            <w:pPr>
              <w:spacing w:line="360" w:lineRule="auto"/>
              <w:rPr>
                <w:rFonts w:asciiTheme="minorEastAsia" w:hAnsiTheme="minorEastAsia"/>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A1DC8AE">
            <w:pPr>
              <w:spacing w:line="360" w:lineRule="auto"/>
              <w:rPr>
                <w:rFonts w:asciiTheme="minorEastAsia" w:hAnsiTheme="minorEastAsia"/>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73A8A9A7">
            <w:pPr>
              <w:spacing w:line="360" w:lineRule="auto"/>
              <w:rPr>
                <w:rFonts w:asciiTheme="minorEastAsia" w:hAnsiTheme="minorEastAsia"/>
                <w:color w:val="auto"/>
                <w:szCs w:val="21"/>
                <w:highlight w:val="none"/>
              </w:rPr>
            </w:pPr>
          </w:p>
        </w:tc>
      </w:tr>
      <w:tr w14:paraId="7A1068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000" w:type="pct"/>
            <w:tcBorders>
              <w:top w:val="single" w:color="auto" w:sz="6" w:space="0"/>
              <w:left w:val="single" w:color="auto" w:sz="6" w:space="0"/>
              <w:bottom w:val="single" w:color="auto" w:sz="6" w:space="0"/>
              <w:right w:val="single" w:color="auto" w:sz="6" w:space="0"/>
            </w:tcBorders>
          </w:tcPr>
          <w:p w14:paraId="0692ED18">
            <w:pPr>
              <w:spacing w:line="360" w:lineRule="auto"/>
              <w:rPr>
                <w:rFonts w:asciiTheme="minorEastAsia" w:hAnsiTheme="minorEastAsia"/>
                <w:color w:val="auto"/>
                <w:szCs w:val="21"/>
                <w:highlight w:val="none"/>
              </w:rPr>
            </w:pPr>
          </w:p>
        </w:tc>
        <w:tc>
          <w:tcPr>
            <w:tcW w:w="1391" w:type="pct"/>
            <w:tcBorders>
              <w:top w:val="single" w:color="auto" w:sz="6" w:space="0"/>
              <w:left w:val="single" w:color="auto" w:sz="6" w:space="0"/>
              <w:bottom w:val="single" w:color="auto" w:sz="6" w:space="0"/>
              <w:right w:val="single" w:color="auto" w:sz="6" w:space="0"/>
            </w:tcBorders>
          </w:tcPr>
          <w:p w14:paraId="4D9E547C">
            <w:pPr>
              <w:spacing w:line="360" w:lineRule="auto"/>
              <w:rPr>
                <w:rFonts w:asciiTheme="minorEastAsia" w:hAnsiTheme="minorEastAsia"/>
                <w:color w:val="auto"/>
                <w:szCs w:val="21"/>
                <w:highlight w:val="none"/>
              </w:rPr>
            </w:pPr>
          </w:p>
        </w:tc>
        <w:tc>
          <w:tcPr>
            <w:tcW w:w="1413" w:type="pct"/>
            <w:gridSpan w:val="2"/>
            <w:tcBorders>
              <w:top w:val="single" w:color="auto" w:sz="6" w:space="0"/>
              <w:left w:val="single" w:color="auto" w:sz="6" w:space="0"/>
              <w:bottom w:val="single" w:color="auto" w:sz="6" w:space="0"/>
              <w:right w:val="single" w:color="auto" w:sz="6" w:space="0"/>
            </w:tcBorders>
          </w:tcPr>
          <w:p w14:paraId="4E1BFDAD">
            <w:pPr>
              <w:spacing w:line="360" w:lineRule="auto"/>
              <w:rPr>
                <w:rFonts w:asciiTheme="minorEastAsia" w:hAnsiTheme="minorEastAsia"/>
                <w:color w:val="auto"/>
                <w:szCs w:val="21"/>
                <w:highlight w:val="none"/>
              </w:rPr>
            </w:pPr>
          </w:p>
        </w:tc>
        <w:tc>
          <w:tcPr>
            <w:tcW w:w="1197" w:type="pct"/>
            <w:tcBorders>
              <w:top w:val="single" w:color="auto" w:sz="6" w:space="0"/>
              <w:left w:val="single" w:color="auto" w:sz="6" w:space="0"/>
              <w:bottom w:val="single" w:color="auto" w:sz="6" w:space="0"/>
              <w:right w:val="single" w:color="auto" w:sz="6" w:space="0"/>
            </w:tcBorders>
          </w:tcPr>
          <w:p w14:paraId="22DFAD84">
            <w:pPr>
              <w:spacing w:line="360" w:lineRule="auto"/>
              <w:rPr>
                <w:rFonts w:asciiTheme="minorEastAsia" w:hAnsiTheme="minorEastAsia"/>
                <w:color w:val="auto"/>
                <w:szCs w:val="21"/>
                <w:highlight w:val="none"/>
              </w:rPr>
            </w:pPr>
          </w:p>
        </w:tc>
      </w:tr>
    </w:tbl>
    <w:p w14:paraId="62806F3B">
      <w:pPr>
        <w:pStyle w:val="33"/>
        <w:numPr>
          <w:ilvl w:val="0"/>
          <w:numId w:val="92"/>
        </w:numPr>
        <w:spacing w:after="156" w:afterLines="50" w:line="360" w:lineRule="auto"/>
        <w:ind w:firstLineChars="0"/>
        <w:rPr>
          <w:rFonts w:asciiTheme="minorEastAsia" w:hAnsiTheme="minorEastAsia"/>
          <w:color w:val="auto"/>
          <w:szCs w:val="21"/>
          <w:highlight w:val="none"/>
        </w:rPr>
      </w:pPr>
      <w:r>
        <w:rPr>
          <w:rFonts w:asciiTheme="minorEastAsia" w:hAnsiTheme="minorEastAsia"/>
          <w:color w:val="auto"/>
          <w:szCs w:val="21"/>
          <w:highlight w:val="none"/>
        </w:rPr>
        <w:t>响应供应商获得国家有关部门颁发的资质证明</w:t>
      </w:r>
      <w:r>
        <w:rPr>
          <w:rFonts w:hint="eastAsia" w:asciiTheme="minorEastAsia" w:hAnsiTheme="minorEastAsia"/>
          <w:color w:val="auto"/>
          <w:szCs w:val="21"/>
          <w:highlight w:val="none"/>
        </w:rPr>
        <w:t>或荣誉</w:t>
      </w:r>
      <w:r>
        <w:rPr>
          <w:rFonts w:asciiTheme="minorEastAsia" w:hAnsiTheme="minorEastAsia"/>
          <w:color w:val="auto"/>
          <w:szCs w:val="21"/>
          <w:highlight w:val="none"/>
        </w:rPr>
        <w:t>：</w:t>
      </w:r>
      <w:r>
        <w:rPr>
          <w:rFonts w:hint="eastAsia" w:asciiTheme="minorEastAsia" w:hAnsiTheme="minorEastAsia"/>
          <w:color w:val="auto"/>
          <w:szCs w:val="21"/>
          <w:highlight w:val="none"/>
        </w:rPr>
        <w:t>（如有）</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91"/>
        <w:gridCol w:w="2192"/>
        <w:gridCol w:w="2192"/>
        <w:gridCol w:w="2192"/>
      </w:tblGrid>
      <w:tr w14:paraId="21472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vAlign w:val="center"/>
          </w:tcPr>
          <w:p w14:paraId="74381428">
            <w:pPr>
              <w:spacing w:line="360" w:lineRule="auto"/>
              <w:jc w:val="center"/>
              <w:rPr>
                <w:rFonts w:asciiTheme="minorEastAsia" w:hAnsiTheme="minorEastAsia"/>
                <w:color w:val="auto"/>
                <w:szCs w:val="21"/>
                <w:highlight w:val="none"/>
              </w:rPr>
            </w:pPr>
            <w:r>
              <w:rPr>
                <w:rFonts w:asciiTheme="minorEastAsia" w:hAnsiTheme="minorEastAsia"/>
                <w:color w:val="auto"/>
                <w:szCs w:val="21"/>
                <w:highlight w:val="none"/>
              </w:rPr>
              <w:t>证书名称</w:t>
            </w:r>
          </w:p>
        </w:tc>
        <w:tc>
          <w:tcPr>
            <w:tcW w:w="1250" w:type="pct"/>
            <w:vAlign w:val="center"/>
          </w:tcPr>
          <w:p w14:paraId="266A27B0">
            <w:pPr>
              <w:spacing w:line="360" w:lineRule="auto"/>
              <w:jc w:val="center"/>
              <w:rPr>
                <w:rFonts w:asciiTheme="minorEastAsia" w:hAnsiTheme="minorEastAsia"/>
                <w:color w:val="auto"/>
                <w:szCs w:val="21"/>
                <w:highlight w:val="none"/>
              </w:rPr>
            </w:pPr>
            <w:r>
              <w:rPr>
                <w:rFonts w:asciiTheme="minorEastAsia" w:hAnsiTheme="minorEastAsia"/>
                <w:color w:val="auto"/>
                <w:szCs w:val="21"/>
                <w:highlight w:val="none"/>
              </w:rPr>
              <w:t>发证单位</w:t>
            </w:r>
          </w:p>
        </w:tc>
        <w:tc>
          <w:tcPr>
            <w:tcW w:w="1250" w:type="pct"/>
            <w:vAlign w:val="center"/>
          </w:tcPr>
          <w:p w14:paraId="518146CE">
            <w:pPr>
              <w:spacing w:line="360" w:lineRule="auto"/>
              <w:jc w:val="center"/>
              <w:rPr>
                <w:rFonts w:asciiTheme="minorEastAsia" w:hAnsiTheme="minorEastAsia"/>
                <w:color w:val="auto"/>
                <w:szCs w:val="21"/>
                <w:highlight w:val="none"/>
              </w:rPr>
            </w:pPr>
            <w:r>
              <w:rPr>
                <w:rFonts w:asciiTheme="minorEastAsia" w:hAnsiTheme="minorEastAsia"/>
                <w:color w:val="auto"/>
                <w:szCs w:val="21"/>
                <w:highlight w:val="none"/>
              </w:rPr>
              <w:t>证书等级</w:t>
            </w:r>
          </w:p>
        </w:tc>
        <w:tc>
          <w:tcPr>
            <w:tcW w:w="1250" w:type="pct"/>
            <w:vAlign w:val="center"/>
          </w:tcPr>
          <w:p w14:paraId="67862BB1">
            <w:pPr>
              <w:spacing w:line="360" w:lineRule="auto"/>
              <w:jc w:val="center"/>
              <w:rPr>
                <w:rFonts w:asciiTheme="minorEastAsia" w:hAnsiTheme="minorEastAsia"/>
                <w:color w:val="auto"/>
                <w:szCs w:val="21"/>
                <w:highlight w:val="none"/>
              </w:rPr>
            </w:pPr>
            <w:r>
              <w:rPr>
                <w:rFonts w:asciiTheme="minorEastAsia" w:hAnsiTheme="minorEastAsia"/>
                <w:color w:val="auto"/>
                <w:szCs w:val="21"/>
                <w:highlight w:val="none"/>
              </w:rPr>
              <w:t>证书有效期</w:t>
            </w:r>
          </w:p>
        </w:tc>
      </w:tr>
      <w:tr w14:paraId="71A8A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41375A61">
            <w:pPr>
              <w:spacing w:line="360" w:lineRule="auto"/>
              <w:rPr>
                <w:rFonts w:asciiTheme="minorEastAsia" w:hAnsiTheme="minorEastAsia"/>
                <w:color w:val="auto"/>
                <w:szCs w:val="21"/>
                <w:highlight w:val="none"/>
              </w:rPr>
            </w:pPr>
          </w:p>
        </w:tc>
        <w:tc>
          <w:tcPr>
            <w:tcW w:w="1250" w:type="pct"/>
          </w:tcPr>
          <w:p w14:paraId="03932292">
            <w:pPr>
              <w:spacing w:line="360" w:lineRule="auto"/>
              <w:rPr>
                <w:rFonts w:asciiTheme="minorEastAsia" w:hAnsiTheme="minorEastAsia"/>
                <w:color w:val="auto"/>
                <w:szCs w:val="21"/>
                <w:highlight w:val="none"/>
              </w:rPr>
            </w:pPr>
          </w:p>
        </w:tc>
        <w:tc>
          <w:tcPr>
            <w:tcW w:w="1250" w:type="pct"/>
          </w:tcPr>
          <w:p w14:paraId="3EA1DAA9">
            <w:pPr>
              <w:spacing w:line="360" w:lineRule="auto"/>
              <w:rPr>
                <w:rFonts w:asciiTheme="minorEastAsia" w:hAnsiTheme="minorEastAsia"/>
                <w:color w:val="auto"/>
                <w:szCs w:val="21"/>
                <w:highlight w:val="none"/>
              </w:rPr>
            </w:pPr>
          </w:p>
        </w:tc>
        <w:tc>
          <w:tcPr>
            <w:tcW w:w="1250" w:type="pct"/>
          </w:tcPr>
          <w:p w14:paraId="624E51E5">
            <w:pPr>
              <w:spacing w:line="360" w:lineRule="auto"/>
              <w:rPr>
                <w:rFonts w:asciiTheme="minorEastAsia" w:hAnsiTheme="minorEastAsia"/>
                <w:color w:val="auto"/>
                <w:szCs w:val="21"/>
                <w:highlight w:val="none"/>
              </w:rPr>
            </w:pPr>
          </w:p>
        </w:tc>
      </w:tr>
      <w:tr w14:paraId="1A2F1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50" w:type="pct"/>
          </w:tcPr>
          <w:p w14:paraId="6E7AFE71">
            <w:pPr>
              <w:spacing w:line="360" w:lineRule="auto"/>
              <w:rPr>
                <w:rFonts w:asciiTheme="minorEastAsia" w:hAnsiTheme="minorEastAsia"/>
                <w:color w:val="auto"/>
                <w:szCs w:val="21"/>
                <w:highlight w:val="none"/>
              </w:rPr>
            </w:pPr>
          </w:p>
        </w:tc>
        <w:tc>
          <w:tcPr>
            <w:tcW w:w="1250" w:type="pct"/>
          </w:tcPr>
          <w:p w14:paraId="7F8033C0">
            <w:pPr>
              <w:spacing w:line="360" w:lineRule="auto"/>
              <w:rPr>
                <w:rFonts w:asciiTheme="minorEastAsia" w:hAnsiTheme="minorEastAsia"/>
                <w:color w:val="auto"/>
                <w:szCs w:val="21"/>
                <w:highlight w:val="none"/>
              </w:rPr>
            </w:pPr>
          </w:p>
        </w:tc>
        <w:tc>
          <w:tcPr>
            <w:tcW w:w="1250" w:type="pct"/>
          </w:tcPr>
          <w:p w14:paraId="744E52F2">
            <w:pPr>
              <w:spacing w:line="360" w:lineRule="auto"/>
              <w:rPr>
                <w:rFonts w:asciiTheme="minorEastAsia" w:hAnsiTheme="minorEastAsia"/>
                <w:color w:val="auto"/>
                <w:szCs w:val="21"/>
                <w:highlight w:val="none"/>
              </w:rPr>
            </w:pPr>
          </w:p>
        </w:tc>
        <w:tc>
          <w:tcPr>
            <w:tcW w:w="1250" w:type="pct"/>
          </w:tcPr>
          <w:p w14:paraId="7BD0F40A">
            <w:pPr>
              <w:spacing w:line="360" w:lineRule="auto"/>
              <w:rPr>
                <w:rFonts w:asciiTheme="minorEastAsia" w:hAnsiTheme="minorEastAsia"/>
                <w:color w:val="auto"/>
                <w:szCs w:val="21"/>
                <w:highlight w:val="none"/>
              </w:rPr>
            </w:pPr>
          </w:p>
        </w:tc>
      </w:tr>
    </w:tbl>
    <w:p w14:paraId="1B11B66D">
      <w:pPr>
        <w:spacing w:before="156" w:beforeLines="50" w:after="624" w:afterLines="200" w:line="360" w:lineRule="auto"/>
        <w:rPr>
          <w:rFonts w:cs="Times New Roman" w:asciiTheme="minorEastAsia" w:hAnsiTheme="minorEastAsia"/>
          <w:color w:val="auto"/>
          <w:szCs w:val="21"/>
          <w:highlight w:val="none"/>
        </w:rPr>
      </w:pPr>
      <w:r>
        <w:rPr>
          <w:rFonts w:hint="eastAsia" w:cs="Times New Roman" w:asciiTheme="minorEastAsia" w:hAnsiTheme="minorEastAsia"/>
          <w:color w:val="auto"/>
          <w:szCs w:val="21"/>
          <w:highlight w:val="none"/>
        </w:rPr>
        <w:t>兹证明上述声明是真实、正确的，并提供了全部能提供的资料和数据，我方同意遵照贵方要求出示有关证明文件。</w:t>
      </w: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59924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11903563">
            <w:pPr>
              <w:overflowPunct w:val="0"/>
              <w:adjustRightIn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hint="eastAsia" w:asciiTheme="minorEastAsia" w:hAnsiTheme="minorEastAsia"/>
                <w:color w:val="auto"/>
                <w:szCs w:val="21"/>
                <w:highlight w:val="none"/>
                <w:u w:val="single"/>
              </w:rPr>
              <w:t xml:space="preserve">                         </w:t>
            </w:r>
          </w:p>
        </w:tc>
        <w:tc>
          <w:tcPr>
            <w:tcW w:w="3175" w:type="dxa"/>
          </w:tcPr>
          <w:p w14:paraId="645CDCDF">
            <w:pPr>
              <w:spacing w:line="360" w:lineRule="auto"/>
              <w:rPr>
                <w:rFonts w:asciiTheme="minorEastAsia" w:hAnsiTheme="minorEastAsia"/>
                <w:color w:val="auto"/>
                <w:szCs w:val="21"/>
                <w:highlight w:val="none"/>
              </w:rPr>
            </w:pPr>
          </w:p>
        </w:tc>
      </w:tr>
      <w:tr w14:paraId="62B80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5B1DADB3">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hint="eastAsia" w:asciiTheme="minorEastAsia" w:hAnsiTheme="minorEastAsia"/>
                <w:color w:val="auto"/>
                <w:szCs w:val="21"/>
                <w:highlight w:val="none"/>
                <w:u w:val="single"/>
              </w:rPr>
              <w:t xml:space="preserve">             年           月            日</w:t>
            </w:r>
          </w:p>
        </w:tc>
        <w:tc>
          <w:tcPr>
            <w:tcW w:w="3175" w:type="dxa"/>
          </w:tcPr>
          <w:p w14:paraId="1C9D89B1">
            <w:pPr>
              <w:spacing w:line="360" w:lineRule="auto"/>
              <w:rPr>
                <w:rFonts w:asciiTheme="minorEastAsia" w:hAnsiTheme="minorEastAsia"/>
                <w:color w:val="auto"/>
                <w:szCs w:val="21"/>
                <w:highlight w:val="none"/>
              </w:rPr>
            </w:pPr>
          </w:p>
        </w:tc>
      </w:tr>
    </w:tbl>
    <w:p w14:paraId="4800A69A">
      <w:pPr>
        <w:spacing w:line="360" w:lineRule="auto"/>
        <w:rPr>
          <w:rFonts w:asciiTheme="minorEastAsia" w:hAnsiTheme="minorEastAsia"/>
          <w:color w:val="auto"/>
          <w:szCs w:val="21"/>
          <w:highlight w:val="none"/>
        </w:rPr>
      </w:pPr>
    </w:p>
    <w:p w14:paraId="5C044347">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21" w:name="_Toc391627765"/>
      <w:bookmarkStart w:id="122" w:name="_Toc405313968"/>
      <w:bookmarkStart w:id="123" w:name="_Toc138770022"/>
      <w:r>
        <w:rPr>
          <w:rStyle w:val="25"/>
          <w:rFonts w:asciiTheme="minorEastAsia" w:hAnsiTheme="minorEastAsia" w:eastAsiaTheme="minorEastAsia"/>
          <w:b/>
          <w:bCs/>
          <w:color w:val="auto"/>
          <w:spacing w:val="12"/>
          <w:sz w:val="21"/>
          <w:szCs w:val="21"/>
          <w:highlight w:val="none"/>
        </w:rPr>
        <w:t>业绩表</w:t>
      </w:r>
      <w:bookmarkEnd w:id="121"/>
      <w:bookmarkEnd w:id="122"/>
      <w:bookmarkEnd w:id="123"/>
    </w:p>
    <w:p w14:paraId="2A95D2C3">
      <w:pPr>
        <w:spacing w:before="312" w:beforeLines="100" w:after="468" w:afterLines="1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业绩表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3"/>
        <w:gridCol w:w="2362"/>
        <w:gridCol w:w="1606"/>
        <w:gridCol w:w="1601"/>
        <w:gridCol w:w="1456"/>
        <w:gridCol w:w="1079"/>
      </w:tblGrid>
      <w:tr w14:paraId="069D0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378" w:type="pct"/>
            <w:vAlign w:val="center"/>
          </w:tcPr>
          <w:p w14:paraId="50C33FC1">
            <w:pPr>
              <w:spacing w:before="156" w:after="156" w:line="240" w:lineRule="exact"/>
              <w:jc w:val="center"/>
              <w:rPr>
                <w:rFonts w:asciiTheme="minorEastAsia" w:hAnsiTheme="minorEastAsia"/>
                <w:b/>
                <w:bCs/>
                <w:color w:val="auto"/>
                <w:szCs w:val="21"/>
                <w:highlight w:val="none"/>
              </w:rPr>
            </w:pPr>
            <w:r>
              <w:rPr>
                <w:rFonts w:asciiTheme="minorEastAsia" w:hAnsiTheme="minorEastAsia"/>
                <w:b/>
                <w:bCs/>
                <w:color w:val="auto"/>
                <w:szCs w:val="21"/>
                <w:highlight w:val="none"/>
              </w:rPr>
              <w:t>序号</w:t>
            </w:r>
          </w:p>
        </w:tc>
        <w:tc>
          <w:tcPr>
            <w:tcW w:w="1347" w:type="pct"/>
            <w:vAlign w:val="center"/>
          </w:tcPr>
          <w:p w14:paraId="6D71C2CD">
            <w:pPr>
              <w:spacing w:before="156" w:after="156" w:line="240" w:lineRule="exact"/>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项目名称</w:t>
            </w:r>
          </w:p>
        </w:tc>
        <w:tc>
          <w:tcPr>
            <w:tcW w:w="916" w:type="pct"/>
            <w:vAlign w:val="center"/>
          </w:tcPr>
          <w:p w14:paraId="404B1DB2">
            <w:pPr>
              <w:spacing w:before="156" w:after="156" w:line="240" w:lineRule="exact"/>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合同金额</w:t>
            </w:r>
          </w:p>
        </w:tc>
        <w:tc>
          <w:tcPr>
            <w:tcW w:w="913" w:type="pct"/>
            <w:vAlign w:val="center"/>
          </w:tcPr>
          <w:p w14:paraId="1CBF0CCF">
            <w:pPr>
              <w:spacing w:before="156" w:after="156" w:line="240" w:lineRule="exact"/>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签约时间</w:t>
            </w:r>
          </w:p>
        </w:tc>
        <w:tc>
          <w:tcPr>
            <w:tcW w:w="830" w:type="pct"/>
            <w:vAlign w:val="center"/>
          </w:tcPr>
          <w:p w14:paraId="685B1E30">
            <w:pPr>
              <w:spacing w:before="156" w:after="156" w:line="240" w:lineRule="exact"/>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完成情况</w:t>
            </w:r>
          </w:p>
        </w:tc>
        <w:tc>
          <w:tcPr>
            <w:tcW w:w="615" w:type="pct"/>
            <w:vAlign w:val="center"/>
          </w:tcPr>
          <w:p w14:paraId="0AA21219">
            <w:pPr>
              <w:spacing w:before="156" w:after="156" w:line="240" w:lineRule="exact"/>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备注</w:t>
            </w:r>
          </w:p>
        </w:tc>
      </w:tr>
      <w:tr w14:paraId="6B179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18E94BB">
            <w:pPr>
              <w:spacing w:before="156" w:after="156" w:line="240" w:lineRule="exact"/>
              <w:jc w:val="center"/>
              <w:rPr>
                <w:rFonts w:asciiTheme="minorEastAsia" w:hAnsiTheme="minorEastAsia"/>
                <w:color w:val="auto"/>
                <w:szCs w:val="21"/>
                <w:highlight w:val="none"/>
              </w:rPr>
            </w:pPr>
          </w:p>
        </w:tc>
        <w:tc>
          <w:tcPr>
            <w:tcW w:w="1347" w:type="pct"/>
            <w:vAlign w:val="center"/>
          </w:tcPr>
          <w:p w14:paraId="65ECA2CC">
            <w:pPr>
              <w:spacing w:before="156" w:after="156" w:line="240" w:lineRule="exact"/>
              <w:jc w:val="center"/>
              <w:rPr>
                <w:rFonts w:asciiTheme="minorEastAsia" w:hAnsiTheme="minorEastAsia"/>
                <w:color w:val="auto"/>
                <w:szCs w:val="21"/>
                <w:highlight w:val="none"/>
              </w:rPr>
            </w:pPr>
          </w:p>
        </w:tc>
        <w:tc>
          <w:tcPr>
            <w:tcW w:w="916" w:type="pct"/>
            <w:vAlign w:val="center"/>
          </w:tcPr>
          <w:p w14:paraId="422E5648">
            <w:pPr>
              <w:spacing w:before="156" w:after="156" w:line="240" w:lineRule="exact"/>
              <w:jc w:val="center"/>
              <w:rPr>
                <w:rFonts w:asciiTheme="minorEastAsia" w:hAnsiTheme="minorEastAsia"/>
                <w:color w:val="auto"/>
                <w:szCs w:val="21"/>
                <w:highlight w:val="none"/>
              </w:rPr>
            </w:pPr>
          </w:p>
        </w:tc>
        <w:tc>
          <w:tcPr>
            <w:tcW w:w="913" w:type="pct"/>
            <w:vAlign w:val="center"/>
          </w:tcPr>
          <w:p w14:paraId="06B0F0C3">
            <w:pPr>
              <w:spacing w:before="156" w:after="156" w:line="240" w:lineRule="exact"/>
              <w:jc w:val="center"/>
              <w:rPr>
                <w:rFonts w:asciiTheme="minorEastAsia" w:hAnsiTheme="minorEastAsia"/>
                <w:color w:val="auto"/>
                <w:szCs w:val="21"/>
                <w:highlight w:val="none"/>
              </w:rPr>
            </w:pPr>
          </w:p>
        </w:tc>
        <w:tc>
          <w:tcPr>
            <w:tcW w:w="830" w:type="pct"/>
            <w:vAlign w:val="center"/>
          </w:tcPr>
          <w:p w14:paraId="4D110BD5">
            <w:pPr>
              <w:spacing w:before="156" w:after="156" w:line="240" w:lineRule="exact"/>
              <w:jc w:val="center"/>
              <w:rPr>
                <w:rFonts w:asciiTheme="minorEastAsia" w:hAnsiTheme="minorEastAsia"/>
                <w:color w:val="auto"/>
                <w:szCs w:val="21"/>
                <w:highlight w:val="none"/>
              </w:rPr>
            </w:pPr>
          </w:p>
        </w:tc>
        <w:tc>
          <w:tcPr>
            <w:tcW w:w="615" w:type="pct"/>
            <w:vAlign w:val="center"/>
          </w:tcPr>
          <w:p w14:paraId="21FFBD8D">
            <w:pPr>
              <w:spacing w:before="156" w:after="156" w:line="240" w:lineRule="exact"/>
              <w:jc w:val="center"/>
              <w:rPr>
                <w:rFonts w:asciiTheme="minorEastAsia" w:hAnsiTheme="minorEastAsia"/>
                <w:color w:val="auto"/>
                <w:szCs w:val="21"/>
                <w:highlight w:val="none"/>
              </w:rPr>
            </w:pPr>
          </w:p>
        </w:tc>
      </w:tr>
      <w:tr w14:paraId="1F60C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2D02494">
            <w:pPr>
              <w:spacing w:before="156" w:after="156" w:line="240" w:lineRule="exact"/>
              <w:jc w:val="center"/>
              <w:rPr>
                <w:rFonts w:asciiTheme="minorEastAsia" w:hAnsiTheme="minorEastAsia"/>
                <w:color w:val="auto"/>
                <w:szCs w:val="21"/>
                <w:highlight w:val="none"/>
              </w:rPr>
            </w:pPr>
          </w:p>
        </w:tc>
        <w:tc>
          <w:tcPr>
            <w:tcW w:w="1347" w:type="pct"/>
            <w:vAlign w:val="center"/>
          </w:tcPr>
          <w:p w14:paraId="0617EEA7">
            <w:pPr>
              <w:spacing w:before="156" w:after="156" w:line="240" w:lineRule="exact"/>
              <w:jc w:val="center"/>
              <w:rPr>
                <w:rFonts w:asciiTheme="minorEastAsia" w:hAnsiTheme="minorEastAsia"/>
                <w:color w:val="auto"/>
                <w:szCs w:val="21"/>
                <w:highlight w:val="none"/>
              </w:rPr>
            </w:pPr>
          </w:p>
        </w:tc>
        <w:tc>
          <w:tcPr>
            <w:tcW w:w="916" w:type="pct"/>
            <w:vAlign w:val="center"/>
          </w:tcPr>
          <w:p w14:paraId="5F2B2894">
            <w:pPr>
              <w:spacing w:before="156" w:after="156" w:line="240" w:lineRule="exact"/>
              <w:jc w:val="center"/>
              <w:rPr>
                <w:rFonts w:asciiTheme="minorEastAsia" w:hAnsiTheme="minorEastAsia"/>
                <w:color w:val="auto"/>
                <w:szCs w:val="21"/>
                <w:highlight w:val="none"/>
              </w:rPr>
            </w:pPr>
          </w:p>
        </w:tc>
        <w:tc>
          <w:tcPr>
            <w:tcW w:w="913" w:type="pct"/>
            <w:vAlign w:val="center"/>
          </w:tcPr>
          <w:p w14:paraId="15C0912C">
            <w:pPr>
              <w:spacing w:before="156" w:after="156" w:line="240" w:lineRule="exact"/>
              <w:jc w:val="center"/>
              <w:rPr>
                <w:rFonts w:asciiTheme="minorEastAsia" w:hAnsiTheme="minorEastAsia"/>
                <w:color w:val="auto"/>
                <w:szCs w:val="21"/>
                <w:highlight w:val="none"/>
              </w:rPr>
            </w:pPr>
          </w:p>
        </w:tc>
        <w:tc>
          <w:tcPr>
            <w:tcW w:w="830" w:type="pct"/>
            <w:vAlign w:val="center"/>
          </w:tcPr>
          <w:p w14:paraId="178E0041">
            <w:pPr>
              <w:spacing w:before="156" w:after="156" w:line="240" w:lineRule="exact"/>
              <w:jc w:val="center"/>
              <w:rPr>
                <w:rFonts w:asciiTheme="minorEastAsia" w:hAnsiTheme="minorEastAsia"/>
                <w:color w:val="auto"/>
                <w:szCs w:val="21"/>
                <w:highlight w:val="none"/>
              </w:rPr>
            </w:pPr>
          </w:p>
        </w:tc>
        <w:tc>
          <w:tcPr>
            <w:tcW w:w="615" w:type="pct"/>
            <w:vAlign w:val="center"/>
          </w:tcPr>
          <w:p w14:paraId="3DAC8B17">
            <w:pPr>
              <w:spacing w:before="156" w:after="156" w:line="240" w:lineRule="exact"/>
              <w:jc w:val="center"/>
              <w:rPr>
                <w:rFonts w:asciiTheme="minorEastAsia" w:hAnsiTheme="minorEastAsia"/>
                <w:color w:val="auto"/>
                <w:szCs w:val="21"/>
                <w:highlight w:val="none"/>
              </w:rPr>
            </w:pPr>
          </w:p>
        </w:tc>
      </w:tr>
      <w:tr w14:paraId="56D3C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5E51DAFE">
            <w:pPr>
              <w:spacing w:before="156" w:after="156" w:line="240" w:lineRule="exact"/>
              <w:jc w:val="center"/>
              <w:rPr>
                <w:rFonts w:asciiTheme="minorEastAsia" w:hAnsiTheme="minorEastAsia"/>
                <w:color w:val="auto"/>
                <w:szCs w:val="21"/>
                <w:highlight w:val="none"/>
              </w:rPr>
            </w:pPr>
          </w:p>
        </w:tc>
        <w:tc>
          <w:tcPr>
            <w:tcW w:w="1347" w:type="pct"/>
            <w:vAlign w:val="center"/>
          </w:tcPr>
          <w:p w14:paraId="054B1F6A">
            <w:pPr>
              <w:spacing w:before="156" w:after="156" w:line="240" w:lineRule="exact"/>
              <w:jc w:val="center"/>
              <w:rPr>
                <w:rFonts w:asciiTheme="minorEastAsia" w:hAnsiTheme="minorEastAsia"/>
                <w:color w:val="auto"/>
                <w:szCs w:val="21"/>
                <w:highlight w:val="none"/>
              </w:rPr>
            </w:pPr>
          </w:p>
        </w:tc>
        <w:tc>
          <w:tcPr>
            <w:tcW w:w="916" w:type="pct"/>
            <w:vAlign w:val="center"/>
          </w:tcPr>
          <w:p w14:paraId="2E00D085">
            <w:pPr>
              <w:spacing w:before="156" w:after="156" w:line="240" w:lineRule="exact"/>
              <w:jc w:val="center"/>
              <w:rPr>
                <w:rFonts w:asciiTheme="minorEastAsia" w:hAnsiTheme="minorEastAsia"/>
                <w:color w:val="auto"/>
                <w:szCs w:val="21"/>
                <w:highlight w:val="none"/>
              </w:rPr>
            </w:pPr>
          </w:p>
        </w:tc>
        <w:tc>
          <w:tcPr>
            <w:tcW w:w="913" w:type="pct"/>
            <w:vAlign w:val="center"/>
          </w:tcPr>
          <w:p w14:paraId="704C3BD4">
            <w:pPr>
              <w:spacing w:before="156" w:after="156" w:line="240" w:lineRule="exact"/>
              <w:jc w:val="center"/>
              <w:rPr>
                <w:rFonts w:asciiTheme="minorEastAsia" w:hAnsiTheme="minorEastAsia"/>
                <w:color w:val="auto"/>
                <w:szCs w:val="21"/>
                <w:highlight w:val="none"/>
              </w:rPr>
            </w:pPr>
          </w:p>
        </w:tc>
        <w:tc>
          <w:tcPr>
            <w:tcW w:w="830" w:type="pct"/>
            <w:vAlign w:val="center"/>
          </w:tcPr>
          <w:p w14:paraId="37A03917">
            <w:pPr>
              <w:spacing w:before="156" w:after="156" w:line="240" w:lineRule="exact"/>
              <w:jc w:val="center"/>
              <w:rPr>
                <w:rFonts w:asciiTheme="minorEastAsia" w:hAnsiTheme="minorEastAsia"/>
                <w:color w:val="auto"/>
                <w:szCs w:val="21"/>
                <w:highlight w:val="none"/>
              </w:rPr>
            </w:pPr>
          </w:p>
        </w:tc>
        <w:tc>
          <w:tcPr>
            <w:tcW w:w="615" w:type="pct"/>
            <w:vAlign w:val="center"/>
          </w:tcPr>
          <w:p w14:paraId="18BAF19D">
            <w:pPr>
              <w:spacing w:before="156" w:after="156" w:line="240" w:lineRule="exact"/>
              <w:jc w:val="center"/>
              <w:rPr>
                <w:rFonts w:asciiTheme="minorEastAsia" w:hAnsiTheme="minorEastAsia"/>
                <w:color w:val="auto"/>
                <w:szCs w:val="21"/>
                <w:highlight w:val="none"/>
              </w:rPr>
            </w:pPr>
          </w:p>
        </w:tc>
      </w:tr>
      <w:tr w14:paraId="718FF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15A25DE0">
            <w:pPr>
              <w:spacing w:before="156" w:after="156" w:line="240" w:lineRule="exact"/>
              <w:jc w:val="center"/>
              <w:rPr>
                <w:rFonts w:asciiTheme="minorEastAsia" w:hAnsiTheme="minorEastAsia"/>
                <w:color w:val="auto"/>
                <w:szCs w:val="21"/>
                <w:highlight w:val="none"/>
              </w:rPr>
            </w:pPr>
          </w:p>
        </w:tc>
        <w:tc>
          <w:tcPr>
            <w:tcW w:w="1347" w:type="pct"/>
            <w:vAlign w:val="center"/>
          </w:tcPr>
          <w:p w14:paraId="10F82768">
            <w:pPr>
              <w:spacing w:before="156" w:after="156" w:line="240" w:lineRule="exact"/>
              <w:jc w:val="center"/>
              <w:rPr>
                <w:rFonts w:asciiTheme="minorEastAsia" w:hAnsiTheme="minorEastAsia"/>
                <w:color w:val="auto"/>
                <w:szCs w:val="21"/>
                <w:highlight w:val="none"/>
              </w:rPr>
            </w:pPr>
          </w:p>
        </w:tc>
        <w:tc>
          <w:tcPr>
            <w:tcW w:w="916" w:type="pct"/>
            <w:vAlign w:val="center"/>
          </w:tcPr>
          <w:p w14:paraId="1B0C69C5">
            <w:pPr>
              <w:spacing w:before="156" w:after="156" w:line="240" w:lineRule="exact"/>
              <w:jc w:val="center"/>
              <w:rPr>
                <w:rFonts w:asciiTheme="minorEastAsia" w:hAnsiTheme="minorEastAsia"/>
                <w:color w:val="auto"/>
                <w:szCs w:val="21"/>
                <w:highlight w:val="none"/>
              </w:rPr>
            </w:pPr>
          </w:p>
        </w:tc>
        <w:tc>
          <w:tcPr>
            <w:tcW w:w="913" w:type="pct"/>
            <w:vAlign w:val="center"/>
          </w:tcPr>
          <w:p w14:paraId="46426BC1">
            <w:pPr>
              <w:spacing w:before="156" w:after="156" w:line="240" w:lineRule="exact"/>
              <w:jc w:val="center"/>
              <w:rPr>
                <w:rFonts w:asciiTheme="minorEastAsia" w:hAnsiTheme="minorEastAsia"/>
                <w:color w:val="auto"/>
                <w:szCs w:val="21"/>
                <w:highlight w:val="none"/>
              </w:rPr>
            </w:pPr>
          </w:p>
        </w:tc>
        <w:tc>
          <w:tcPr>
            <w:tcW w:w="830" w:type="pct"/>
            <w:vAlign w:val="center"/>
          </w:tcPr>
          <w:p w14:paraId="7D2CA5FF">
            <w:pPr>
              <w:spacing w:before="156" w:after="156" w:line="240" w:lineRule="exact"/>
              <w:jc w:val="center"/>
              <w:rPr>
                <w:rFonts w:asciiTheme="minorEastAsia" w:hAnsiTheme="minorEastAsia"/>
                <w:color w:val="auto"/>
                <w:szCs w:val="21"/>
                <w:highlight w:val="none"/>
              </w:rPr>
            </w:pPr>
          </w:p>
        </w:tc>
        <w:tc>
          <w:tcPr>
            <w:tcW w:w="615" w:type="pct"/>
            <w:vAlign w:val="center"/>
          </w:tcPr>
          <w:p w14:paraId="34E93481">
            <w:pPr>
              <w:spacing w:before="156" w:after="156" w:line="240" w:lineRule="exact"/>
              <w:jc w:val="center"/>
              <w:rPr>
                <w:rFonts w:asciiTheme="minorEastAsia" w:hAnsiTheme="minorEastAsia"/>
                <w:color w:val="auto"/>
                <w:szCs w:val="21"/>
                <w:highlight w:val="none"/>
              </w:rPr>
            </w:pPr>
          </w:p>
        </w:tc>
      </w:tr>
      <w:tr w14:paraId="77297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3C337734">
            <w:pPr>
              <w:spacing w:before="156" w:after="156" w:line="240" w:lineRule="exact"/>
              <w:jc w:val="center"/>
              <w:rPr>
                <w:rFonts w:asciiTheme="minorEastAsia" w:hAnsiTheme="minorEastAsia"/>
                <w:color w:val="auto"/>
                <w:szCs w:val="21"/>
                <w:highlight w:val="none"/>
              </w:rPr>
            </w:pPr>
          </w:p>
        </w:tc>
        <w:tc>
          <w:tcPr>
            <w:tcW w:w="1347" w:type="pct"/>
            <w:vAlign w:val="center"/>
          </w:tcPr>
          <w:p w14:paraId="1D70ED38">
            <w:pPr>
              <w:spacing w:before="156" w:after="156" w:line="240" w:lineRule="exact"/>
              <w:jc w:val="center"/>
              <w:rPr>
                <w:rFonts w:asciiTheme="minorEastAsia" w:hAnsiTheme="minorEastAsia"/>
                <w:color w:val="auto"/>
                <w:szCs w:val="21"/>
                <w:highlight w:val="none"/>
              </w:rPr>
            </w:pPr>
          </w:p>
        </w:tc>
        <w:tc>
          <w:tcPr>
            <w:tcW w:w="916" w:type="pct"/>
            <w:vAlign w:val="center"/>
          </w:tcPr>
          <w:p w14:paraId="10494354">
            <w:pPr>
              <w:spacing w:before="156" w:after="156" w:line="240" w:lineRule="exact"/>
              <w:jc w:val="center"/>
              <w:rPr>
                <w:rFonts w:asciiTheme="minorEastAsia" w:hAnsiTheme="minorEastAsia"/>
                <w:color w:val="auto"/>
                <w:szCs w:val="21"/>
                <w:highlight w:val="none"/>
              </w:rPr>
            </w:pPr>
          </w:p>
        </w:tc>
        <w:tc>
          <w:tcPr>
            <w:tcW w:w="913" w:type="pct"/>
            <w:vAlign w:val="center"/>
          </w:tcPr>
          <w:p w14:paraId="65A8BA04">
            <w:pPr>
              <w:spacing w:before="156" w:after="156" w:line="240" w:lineRule="exact"/>
              <w:jc w:val="center"/>
              <w:rPr>
                <w:rFonts w:asciiTheme="minorEastAsia" w:hAnsiTheme="minorEastAsia"/>
                <w:color w:val="auto"/>
                <w:szCs w:val="21"/>
                <w:highlight w:val="none"/>
              </w:rPr>
            </w:pPr>
          </w:p>
        </w:tc>
        <w:tc>
          <w:tcPr>
            <w:tcW w:w="830" w:type="pct"/>
            <w:vAlign w:val="center"/>
          </w:tcPr>
          <w:p w14:paraId="14F516C1">
            <w:pPr>
              <w:spacing w:before="156" w:after="156" w:line="240" w:lineRule="exact"/>
              <w:jc w:val="center"/>
              <w:rPr>
                <w:rFonts w:asciiTheme="minorEastAsia" w:hAnsiTheme="minorEastAsia"/>
                <w:color w:val="auto"/>
                <w:szCs w:val="21"/>
                <w:highlight w:val="none"/>
              </w:rPr>
            </w:pPr>
          </w:p>
        </w:tc>
        <w:tc>
          <w:tcPr>
            <w:tcW w:w="615" w:type="pct"/>
            <w:vAlign w:val="center"/>
          </w:tcPr>
          <w:p w14:paraId="1976A1CA">
            <w:pPr>
              <w:spacing w:before="156" w:after="156" w:line="240" w:lineRule="exact"/>
              <w:jc w:val="center"/>
              <w:rPr>
                <w:rFonts w:asciiTheme="minorEastAsia" w:hAnsiTheme="minorEastAsia"/>
                <w:color w:val="auto"/>
                <w:szCs w:val="21"/>
                <w:highlight w:val="none"/>
              </w:rPr>
            </w:pPr>
          </w:p>
        </w:tc>
      </w:tr>
      <w:tr w14:paraId="35D2C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0C5EED50">
            <w:pPr>
              <w:spacing w:before="156" w:after="156" w:line="240" w:lineRule="exact"/>
              <w:jc w:val="center"/>
              <w:rPr>
                <w:rFonts w:asciiTheme="minorEastAsia" w:hAnsiTheme="minorEastAsia"/>
                <w:color w:val="auto"/>
                <w:szCs w:val="21"/>
                <w:highlight w:val="none"/>
              </w:rPr>
            </w:pPr>
          </w:p>
        </w:tc>
        <w:tc>
          <w:tcPr>
            <w:tcW w:w="1347" w:type="pct"/>
            <w:vAlign w:val="center"/>
          </w:tcPr>
          <w:p w14:paraId="30C2D2FB">
            <w:pPr>
              <w:spacing w:before="156" w:after="156" w:line="240" w:lineRule="exact"/>
              <w:jc w:val="center"/>
              <w:rPr>
                <w:rFonts w:asciiTheme="minorEastAsia" w:hAnsiTheme="minorEastAsia"/>
                <w:color w:val="auto"/>
                <w:szCs w:val="21"/>
                <w:highlight w:val="none"/>
              </w:rPr>
            </w:pPr>
          </w:p>
        </w:tc>
        <w:tc>
          <w:tcPr>
            <w:tcW w:w="916" w:type="pct"/>
            <w:vAlign w:val="center"/>
          </w:tcPr>
          <w:p w14:paraId="3D24B483">
            <w:pPr>
              <w:spacing w:before="156" w:after="156" w:line="240" w:lineRule="exact"/>
              <w:jc w:val="center"/>
              <w:rPr>
                <w:rFonts w:asciiTheme="minorEastAsia" w:hAnsiTheme="minorEastAsia"/>
                <w:color w:val="auto"/>
                <w:szCs w:val="21"/>
                <w:highlight w:val="none"/>
              </w:rPr>
            </w:pPr>
          </w:p>
        </w:tc>
        <w:tc>
          <w:tcPr>
            <w:tcW w:w="913" w:type="pct"/>
            <w:vAlign w:val="center"/>
          </w:tcPr>
          <w:p w14:paraId="442DCA73">
            <w:pPr>
              <w:spacing w:before="156" w:after="156" w:line="240" w:lineRule="exact"/>
              <w:jc w:val="center"/>
              <w:rPr>
                <w:rFonts w:asciiTheme="minorEastAsia" w:hAnsiTheme="minorEastAsia"/>
                <w:color w:val="auto"/>
                <w:szCs w:val="21"/>
                <w:highlight w:val="none"/>
              </w:rPr>
            </w:pPr>
          </w:p>
        </w:tc>
        <w:tc>
          <w:tcPr>
            <w:tcW w:w="830" w:type="pct"/>
            <w:vAlign w:val="center"/>
          </w:tcPr>
          <w:p w14:paraId="2BBC74D8">
            <w:pPr>
              <w:spacing w:before="156" w:after="156" w:line="240" w:lineRule="exact"/>
              <w:jc w:val="center"/>
              <w:rPr>
                <w:rFonts w:asciiTheme="minorEastAsia" w:hAnsiTheme="minorEastAsia"/>
                <w:color w:val="auto"/>
                <w:szCs w:val="21"/>
                <w:highlight w:val="none"/>
              </w:rPr>
            </w:pPr>
          </w:p>
        </w:tc>
        <w:tc>
          <w:tcPr>
            <w:tcW w:w="615" w:type="pct"/>
            <w:vAlign w:val="center"/>
          </w:tcPr>
          <w:p w14:paraId="77DB5EDA">
            <w:pPr>
              <w:spacing w:before="156" w:after="156" w:line="240" w:lineRule="exact"/>
              <w:jc w:val="center"/>
              <w:rPr>
                <w:rFonts w:asciiTheme="minorEastAsia" w:hAnsiTheme="minorEastAsia"/>
                <w:color w:val="auto"/>
                <w:szCs w:val="21"/>
                <w:highlight w:val="none"/>
              </w:rPr>
            </w:pPr>
          </w:p>
        </w:tc>
      </w:tr>
      <w:tr w14:paraId="56F1A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73816A2E">
            <w:pPr>
              <w:spacing w:before="156" w:after="156" w:line="240" w:lineRule="exact"/>
              <w:jc w:val="center"/>
              <w:rPr>
                <w:rFonts w:asciiTheme="minorEastAsia" w:hAnsiTheme="minorEastAsia"/>
                <w:color w:val="auto"/>
                <w:szCs w:val="21"/>
                <w:highlight w:val="none"/>
              </w:rPr>
            </w:pPr>
          </w:p>
        </w:tc>
        <w:tc>
          <w:tcPr>
            <w:tcW w:w="1347" w:type="pct"/>
            <w:vAlign w:val="center"/>
          </w:tcPr>
          <w:p w14:paraId="46D36809">
            <w:pPr>
              <w:spacing w:before="156" w:after="156" w:line="240" w:lineRule="exact"/>
              <w:jc w:val="center"/>
              <w:rPr>
                <w:rFonts w:asciiTheme="minorEastAsia" w:hAnsiTheme="minorEastAsia"/>
                <w:color w:val="auto"/>
                <w:szCs w:val="21"/>
                <w:highlight w:val="none"/>
              </w:rPr>
            </w:pPr>
          </w:p>
        </w:tc>
        <w:tc>
          <w:tcPr>
            <w:tcW w:w="916" w:type="pct"/>
            <w:vAlign w:val="center"/>
          </w:tcPr>
          <w:p w14:paraId="374B0EE4">
            <w:pPr>
              <w:spacing w:before="156" w:after="156" w:line="240" w:lineRule="exact"/>
              <w:jc w:val="center"/>
              <w:rPr>
                <w:rFonts w:asciiTheme="minorEastAsia" w:hAnsiTheme="minorEastAsia"/>
                <w:color w:val="auto"/>
                <w:szCs w:val="21"/>
                <w:highlight w:val="none"/>
              </w:rPr>
            </w:pPr>
          </w:p>
        </w:tc>
        <w:tc>
          <w:tcPr>
            <w:tcW w:w="913" w:type="pct"/>
            <w:vAlign w:val="center"/>
          </w:tcPr>
          <w:p w14:paraId="558710B3">
            <w:pPr>
              <w:spacing w:before="156" w:after="156" w:line="240" w:lineRule="exact"/>
              <w:jc w:val="center"/>
              <w:rPr>
                <w:rFonts w:asciiTheme="minorEastAsia" w:hAnsiTheme="minorEastAsia"/>
                <w:color w:val="auto"/>
                <w:szCs w:val="21"/>
                <w:highlight w:val="none"/>
              </w:rPr>
            </w:pPr>
          </w:p>
        </w:tc>
        <w:tc>
          <w:tcPr>
            <w:tcW w:w="830" w:type="pct"/>
            <w:vAlign w:val="center"/>
          </w:tcPr>
          <w:p w14:paraId="399894FE">
            <w:pPr>
              <w:spacing w:before="156" w:after="156" w:line="240" w:lineRule="exact"/>
              <w:jc w:val="center"/>
              <w:rPr>
                <w:rFonts w:asciiTheme="minorEastAsia" w:hAnsiTheme="minorEastAsia"/>
                <w:color w:val="auto"/>
                <w:szCs w:val="21"/>
                <w:highlight w:val="none"/>
              </w:rPr>
            </w:pPr>
          </w:p>
        </w:tc>
        <w:tc>
          <w:tcPr>
            <w:tcW w:w="615" w:type="pct"/>
            <w:vAlign w:val="center"/>
          </w:tcPr>
          <w:p w14:paraId="2D98B8AE">
            <w:pPr>
              <w:spacing w:before="156" w:after="156" w:line="240" w:lineRule="exact"/>
              <w:jc w:val="center"/>
              <w:rPr>
                <w:rFonts w:asciiTheme="minorEastAsia" w:hAnsiTheme="minorEastAsia"/>
                <w:color w:val="auto"/>
                <w:szCs w:val="21"/>
                <w:highlight w:val="none"/>
              </w:rPr>
            </w:pPr>
          </w:p>
        </w:tc>
      </w:tr>
      <w:tr w14:paraId="527EB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10ABFD3B">
            <w:pPr>
              <w:spacing w:before="156" w:after="156" w:line="240" w:lineRule="exact"/>
              <w:jc w:val="center"/>
              <w:rPr>
                <w:rFonts w:asciiTheme="minorEastAsia" w:hAnsiTheme="minorEastAsia"/>
                <w:color w:val="auto"/>
                <w:szCs w:val="21"/>
                <w:highlight w:val="none"/>
              </w:rPr>
            </w:pPr>
          </w:p>
        </w:tc>
        <w:tc>
          <w:tcPr>
            <w:tcW w:w="1347" w:type="pct"/>
            <w:vAlign w:val="center"/>
          </w:tcPr>
          <w:p w14:paraId="311E76C2">
            <w:pPr>
              <w:spacing w:before="156" w:after="156" w:line="240" w:lineRule="exact"/>
              <w:jc w:val="center"/>
              <w:rPr>
                <w:rFonts w:asciiTheme="minorEastAsia" w:hAnsiTheme="minorEastAsia"/>
                <w:color w:val="auto"/>
                <w:szCs w:val="21"/>
                <w:highlight w:val="none"/>
              </w:rPr>
            </w:pPr>
          </w:p>
        </w:tc>
        <w:tc>
          <w:tcPr>
            <w:tcW w:w="916" w:type="pct"/>
            <w:vAlign w:val="center"/>
          </w:tcPr>
          <w:p w14:paraId="78BEBE66">
            <w:pPr>
              <w:spacing w:before="156" w:after="156" w:line="240" w:lineRule="exact"/>
              <w:jc w:val="center"/>
              <w:rPr>
                <w:rFonts w:asciiTheme="minorEastAsia" w:hAnsiTheme="minorEastAsia"/>
                <w:color w:val="auto"/>
                <w:szCs w:val="21"/>
                <w:highlight w:val="none"/>
              </w:rPr>
            </w:pPr>
          </w:p>
        </w:tc>
        <w:tc>
          <w:tcPr>
            <w:tcW w:w="913" w:type="pct"/>
            <w:vAlign w:val="center"/>
          </w:tcPr>
          <w:p w14:paraId="489B4BA9">
            <w:pPr>
              <w:spacing w:before="156" w:after="156" w:line="240" w:lineRule="exact"/>
              <w:jc w:val="center"/>
              <w:rPr>
                <w:rFonts w:asciiTheme="minorEastAsia" w:hAnsiTheme="minorEastAsia"/>
                <w:color w:val="auto"/>
                <w:szCs w:val="21"/>
                <w:highlight w:val="none"/>
              </w:rPr>
            </w:pPr>
          </w:p>
        </w:tc>
        <w:tc>
          <w:tcPr>
            <w:tcW w:w="830" w:type="pct"/>
            <w:vAlign w:val="center"/>
          </w:tcPr>
          <w:p w14:paraId="08B26EEF">
            <w:pPr>
              <w:spacing w:before="156" w:after="156" w:line="240" w:lineRule="exact"/>
              <w:jc w:val="center"/>
              <w:rPr>
                <w:rFonts w:asciiTheme="minorEastAsia" w:hAnsiTheme="minorEastAsia"/>
                <w:color w:val="auto"/>
                <w:szCs w:val="21"/>
                <w:highlight w:val="none"/>
              </w:rPr>
            </w:pPr>
          </w:p>
        </w:tc>
        <w:tc>
          <w:tcPr>
            <w:tcW w:w="615" w:type="pct"/>
            <w:vAlign w:val="center"/>
          </w:tcPr>
          <w:p w14:paraId="405686D0">
            <w:pPr>
              <w:spacing w:before="156" w:after="156" w:line="240" w:lineRule="exact"/>
              <w:jc w:val="center"/>
              <w:rPr>
                <w:rFonts w:asciiTheme="minorEastAsia" w:hAnsiTheme="minorEastAsia"/>
                <w:color w:val="auto"/>
                <w:szCs w:val="21"/>
                <w:highlight w:val="none"/>
              </w:rPr>
            </w:pPr>
          </w:p>
        </w:tc>
      </w:tr>
      <w:tr w14:paraId="0643F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 w:type="pct"/>
            <w:vAlign w:val="center"/>
          </w:tcPr>
          <w:p w14:paraId="62678012">
            <w:pPr>
              <w:spacing w:before="156" w:after="156" w:line="240" w:lineRule="exact"/>
              <w:jc w:val="center"/>
              <w:rPr>
                <w:rFonts w:asciiTheme="minorEastAsia" w:hAnsiTheme="minorEastAsia"/>
                <w:color w:val="auto"/>
                <w:szCs w:val="21"/>
                <w:highlight w:val="none"/>
              </w:rPr>
            </w:pPr>
          </w:p>
        </w:tc>
        <w:tc>
          <w:tcPr>
            <w:tcW w:w="1347" w:type="pct"/>
            <w:vAlign w:val="center"/>
          </w:tcPr>
          <w:p w14:paraId="37A918F8">
            <w:pPr>
              <w:spacing w:before="156" w:after="156" w:line="240" w:lineRule="exact"/>
              <w:jc w:val="center"/>
              <w:rPr>
                <w:rFonts w:asciiTheme="minorEastAsia" w:hAnsiTheme="minorEastAsia"/>
                <w:color w:val="auto"/>
                <w:szCs w:val="21"/>
                <w:highlight w:val="none"/>
              </w:rPr>
            </w:pPr>
          </w:p>
        </w:tc>
        <w:tc>
          <w:tcPr>
            <w:tcW w:w="916" w:type="pct"/>
            <w:vAlign w:val="center"/>
          </w:tcPr>
          <w:p w14:paraId="6D2FA12E">
            <w:pPr>
              <w:spacing w:before="156" w:after="156" w:line="240" w:lineRule="exact"/>
              <w:jc w:val="center"/>
              <w:rPr>
                <w:rFonts w:asciiTheme="minorEastAsia" w:hAnsiTheme="minorEastAsia"/>
                <w:color w:val="auto"/>
                <w:szCs w:val="21"/>
                <w:highlight w:val="none"/>
              </w:rPr>
            </w:pPr>
          </w:p>
        </w:tc>
        <w:tc>
          <w:tcPr>
            <w:tcW w:w="913" w:type="pct"/>
            <w:vAlign w:val="center"/>
          </w:tcPr>
          <w:p w14:paraId="57475FAA">
            <w:pPr>
              <w:spacing w:before="156" w:after="156" w:line="240" w:lineRule="exact"/>
              <w:jc w:val="center"/>
              <w:rPr>
                <w:rFonts w:asciiTheme="minorEastAsia" w:hAnsiTheme="minorEastAsia"/>
                <w:color w:val="auto"/>
                <w:szCs w:val="21"/>
                <w:highlight w:val="none"/>
              </w:rPr>
            </w:pPr>
          </w:p>
        </w:tc>
        <w:tc>
          <w:tcPr>
            <w:tcW w:w="830" w:type="pct"/>
            <w:vAlign w:val="center"/>
          </w:tcPr>
          <w:p w14:paraId="682DE3A2">
            <w:pPr>
              <w:spacing w:before="156" w:after="156" w:line="240" w:lineRule="exact"/>
              <w:jc w:val="center"/>
              <w:rPr>
                <w:rFonts w:asciiTheme="minorEastAsia" w:hAnsiTheme="minorEastAsia"/>
                <w:color w:val="auto"/>
                <w:szCs w:val="21"/>
                <w:highlight w:val="none"/>
              </w:rPr>
            </w:pPr>
          </w:p>
        </w:tc>
        <w:tc>
          <w:tcPr>
            <w:tcW w:w="615" w:type="pct"/>
            <w:vAlign w:val="center"/>
          </w:tcPr>
          <w:p w14:paraId="4382A6C0">
            <w:pPr>
              <w:spacing w:before="156" w:after="156" w:line="240" w:lineRule="exact"/>
              <w:jc w:val="center"/>
              <w:rPr>
                <w:rFonts w:asciiTheme="minorEastAsia" w:hAnsiTheme="minorEastAsia"/>
                <w:color w:val="auto"/>
                <w:szCs w:val="21"/>
                <w:highlight w:val="none"/>
              </w:rPr>
            </w:pPr>
          </w:p>
        </w:tc>
      </w:tr>
    </w:tbl>
    <w:p w14:paraId="78B377DE">
      <w:pPr>
        <w:spacing w:line="360" w:lineRule="auto"/>
        <w:rPr>
          <w:rFonts w:asciiTheme="minorEastAsia" w:hAnsiTheme="minorEastAsia"/>
          <w:color w:val="auto"/>
          <w:szCs w:val="21"/>
          <w:highlight w:val="none"/>
        </w:rPr>
      </w:pPr>
    </w:p>
    <w:p w14:paraId="180A72D1">
      <w:pPr>
        <w:spacing w:line="360" w:lineRule="auto"/>
        <w:rPr>
          <w:rFonts w:asciiTheme="minorEastAsia" w:hAnsiTheme="minorEastAsia"/>
          <w:color w:val="auto"/>
          <w:szCs w:val="21"/>
          <w:highlight w:val="none"/>
        </w:rPr>
      </w:pPr>
    </w:p>
    <w:p w14:paraId="63E37671">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54915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2843C7EF">
            <w:pPr>
              <w:overflowPunct w:val="0"/>
              <w:adjustRightIn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c>
          <w:tcPr>
            <w:tcW w:w="3175" w:type="dxa"/>
          </w:tcPr>
          <w:p w14:paraId="4B59F178">
            <w:pPr>
              <w:spacing w:line="360" w:lineRule="auto"/>
              <w:rPr>
                <w:rFonts w:asciiTheme="minorEastAsia" w:hAnsiTheme="minorEastAsia"/>
                <w:color w:val="auto"/>
                <w:szCs w:val="21"/>
                <w:highlight w:val="none"/>
              </w:rPr>
            </w:pPr>
          </w:p>
        </w:tc>
      </w:tr>
      <w:tr w14:paraId="5DAE2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6643C779">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3175" w:type="dxa"/>
          </w:tcPr>
          <w:p w14:paraId="51484C91">
            <w:pPr>
              <w:spacing w:line="360" w:lineRule="auto"/>
              <w:rPr>
                <w:rFonts w:asciiTheme="minorEastAsia" w:hAnsiTheme="minorEastAsia"/>
                <w:color w:val="auto"/>
                <w:szCs w:val="21"/>
                <w:highlight w:val="none"/>
              </w:rPr>
            </w:pPr>
          </w:p>
        </w:tc>
      </w:tr>
    </w:tbl>
    <w:p w14:paraId="7D3A98A0">
      <w:pPr>
        <w:spacing w:line="360" w:lineRule="auto"/>
        <w:rPr>
          <w:rFonts w:asciiTheme="minorEastAsia" w:hAnsiTheme="minorEastAsia"/>
          <w:color w:val="auto"/>
          <w:szCs w:val="21"/>
          <w:highlight w:val="none"/>
        </w:rPr>
      </w:pPr>
    </w:p>
    <w:p w14:paraId="4BFE1D32">
      <w:pPr>
        <w:spacing w:line="360" w:lineRule="auto"/>
        <w:rPr>
          <w:rFonts w:asciiTheme="minorEastAsia" w:hAnsiTheme="minorEastAsia"/>
          <w:color w:val="auto"/>
          <w:szCs w:val="21"/>
          <w:highlight w:val="none"/>
        </w:rPr>
      </w:pPr>
    </w:p>
    <w:p w14:paraId="6EB2F6BB">
      <w:pPr>
        <w:spacing w:line="360" w:lineRule="auto"/>
        <w:rPr>
          <w:rFonts w:asciiTheme="minorEastAsia" w:hAnsiTheme="minorEastAsia"/>
          <w:color w:val="auto"/>
          <w:szCs w:val="21"/>
          <w:highlight w:val="none"/>
        </w:rPr>
      </w:pPr>
    </w:p>
    <w:p w14:paraId="62B04F87">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24" w:name="_Toc138770023"/>
      <w:r>
        <w:rPr>
          <w:rStyle w:val="25"/>
          <w:rFonts w:hint="eastAsia" w:asciiTheme="minorEastAsia" w:hAnsiTheme="minorEastAsia" w:eastAsiaTheme="minorEastAsia"/>
          <w:b/>
          <w:bCs/>
          <w:color w:val="auto"/>
          <w:spacing w:val="12"/>
          <w:sz w:val="21"/>
          <w:szCs w:val="21"/>
          <w:highlight w:val="none"/>
        </w:rPr>
        <w:t>商务要求偏离表</w:t>
      </w:r>
      <w:bookmarkEnd w:id="124"/>
    </w:p>
    <w:p w14:paraId="20E7E7F4">
      <w:pPr>
        <w:spacing w:before="624" w:beforeLines="200" w:after="468" w:afterLines="15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商务要求偏离表</w:t>
      </w:r>
    </w:p>
    <w:tbl>
      <w:tblPr>
        <w:tblStyle w:val="22"/>
        <w:tblW w:w="86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352"/>
        <w:gridCol w:w="2126"/>
        <w:gridCol w:w="1644"/>
        <w:gridCol w:w="1575"/>
      </w:tblGrid>
      <w:tr w14:paraId="6F44B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920" w:type="dxa"/>
            <w:vAlign w:val="center"/>
          </w:tcPr>
          <w:p w14:paraId="7BBA436B">
            <w:pPr>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序号</w:t>
            </w:r>
          </w:p>
        </w:tc>
        <w:tc>
          <w:tcPr>
            <w:tcW w:w="2352" w:type="dxa"/>
            <w:vAlign w:val="center"/>
          </w:tcPr>
          <w:p w14:paraId="33B96086">
            <w:pPr>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遴选文件要求</w:t>
            </w:r>
          </w:p>
        </w:tc>
        <w:tc>
          <w:tcPr>
            <w:tcW w:w="2126" w:type="dxa"/>
            <w:vAlign w:val="center"/>
          </w:tcPr>
          <w:p w14:paraId="69B8C9DF">
            <w:pPr>
              <w:jc w:val="center"/>
              <w:rPr>
                <w:rFonts w:asciiTheme="minorEastAsia" w:hAnsiTheme="minorEastAsia"/>
                <w:b/>
                <w:color w:val="auto"/>
                <w:szCs w:val="21"/>
                <w:highlight w:val="none"/>
              </w:rPr>
            </w:pPr>
            <w:r>
              <w:rPr>
                <w:rFonts w:hint="eastAsia" w:asciiTheme="minorEastAsia" w:hAnsiTheme="minorEastAsia"/>
                <w:b/>
                <w:bCs/>
                <w:color w:val="auto"/>
                <w:szCs w:val="21"/>
                <w:highlight w:val="none"/>
              </w:rPr>
              <w:t>响应文件响应内容</w:t>
            </w:r>
          </w:p>
        </w:tc>
        <w:tc>
          <w:tcPr>
            <w:tcW w:w="1644" w:type="dxa"/>
            <w:vAlign w:val="center"/>
          </w:tcPr>
          <w:p w14:paraId="71255E01">
            <w:pPr>
              <w:ind w:left="293" w:hanging="293" w:hangingChars="139"/>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偏离情况</w:t>
            </w:r>
          </w:p>
        </w:tc>
        <w:tc>
          <w:tcPr>
            <w:tcW w:w="1575" w:type="dxa"/>
            <w:vAlign w:val="center"/>
          </w:tcPr>
          <w:p w14:paraId="41943F14">
            <w:pPr>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说明</w:t>
            </w:r>
          </w:p>
        </w:tc>
      </w:tr>
      <w:tr w14:paraId="1E18E0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20" w:type="dxa"/>
            <w:vAlign w:val="center"/>
          </w:tcPr>
          <w:p w14:paraId="3B7B2346">
            <w:pPr>
              <w:spacing w:line="360" w:lineRule="auto"/>
              <w:jc w:val="center"/>
              <w:rPr>
                <w:rFonts w:asciiTheme="minorEastAsia" w:hAnsiTheme="minorEastAsia"/>
                <w:color w:val="auto"/>
                <w:szCs w:val="21"/>
                <w:highlight w:val="none"/>
              </w:rPr>
            </w:pPr>
          </w:p>
        </w:tc>
        <w:tc>
          <w:tcPr>
            <w:tcW w:w="2352" w:type="dxa"/>
            <w:vAlign w:val="center"/>
          </w:tcPr>
          <w:p w14:paraId="7E0507F9">
            <w:pPr>
              <w:spacing w:line="360" w:lineRule="auto"/>
              <w:jc w:val="center"/>
              <w:rPr>
                <w:rFonts w:asciiTheme="minorEastAsia" w:hAnsiTheme="minorEastAsia"/>
                <w:color w:val="auto"/>
                <w:szCs w:val="21"/>
                <w:highlight w:val="none"/>
              </w:rPr>
            </w:pPr>
          </w:p>
        </w:tc>
        <w:tc>
          <w:tcPr>
            <w:tcW w:w="2126" w:type="dxa"/>
            <w:vAlign w:val="center"/>
          </w:tcPr>
          <w:p w14:paraId="220FC99B">
            <w:pPr>
              <w:spacing w:line="360" w:lineRule="auto"/>
              <w:jc w:val="center"/>
              <w:rPr>
                <w:rFonts w:asciiTheme="minorEastAsia" w:hAnsiTheme="minorEastAsia"/>
                <w:color w:val="auto"/>
                <w:szCs w:val="21"/>
                <w:highlight w:val="none"/>
              </w:rPr>
            </w:pPr>
          </w:p>
        </w:tc>
        <w:tc>
          <w:tcPr>
            <w:tcW w:w="1644" w:type="dxa"/>
            <w:vAlign w:val="center"/>
          </w:tcPr>
          <w:p w14:paraId="52B5F362">
            <w:pPr>
              <w:spacing w:line="360" w:lineRule="auto"/>
              <w:jc w:val="center"/>
              <w:rPr>
                <w:rFonts w:asciiTheme="minorEastAsia" w:hAnsiTheme="minorEastAsia"/>
                <w:color w:val="auto"/>
                <w:szCs w:val="21"/>
                <w:highlight w:val="none"/>
              </w:rPr>
            </w:pPr>
          </w:p>
        </w:tc>
        <w:tc>
          <w:tcPr>
            <w:tcW w:w="1575" w:type="dxa"/>
            <w:vAlign w:val="center"/>
          </w:tcPr>
          <w:p w14:paraId="2946D9A9">
            <w:pPr>
              <w:spacing w:line="360" w:lineRule="auto"/>
              <w:jc w:val="center"/>
              <w:rPr>
                <w:rFonts w:asciiTheme="minorEastAsia" w:hAnsiTheme="minorEastAsia"/>
                <w:color w:val="auto"/>
                <w:szCs w:val="21"/>
                <w:highlight w:val="none"/>
              </w:rPr>
            </w:pPr>
          </w:p>
        </w:tc>
      </w:tr>
      <w:tr w14:paraId="791A3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920" w:type="dxa"/>
            <w:vAlign w:val="center"/>
          </w:tcPr>
          <w:p w14:paraId="3B758326">
            <w:pPr>
              <w:spacing w:line="360" w:lineRule="auto"/>
              <w:jc w:val="center"/>
              <w:rPr>
                <w:rFonts w:asciiTheme="minorEastAsia" w:hAnsiTheme="minorEastAsia"/>
                <w:color w:val="auto"/>
                <w:szCs w:val="21"/>
                <w:highlight w:val="none"/>
              </w:rPr>
            </w:pPr>
          </w:p>
        </w:tc>
        <w:tc>
          <w:tcPr>
            <w:tcW w:w="2352" w:type="dxa"/>
            <w:vAlign w:val="center"/>
          </w:tcPr>
          <w:p w14:paraId="26351EC0">
            <w:pPr>
              <w:spacing w:line="360" w:lineRule="auto"/>
              <w:jc w:val="center"/>
              <w:rPr>
                <w:rFonts w:asciiTheme="minorEastAsia" w:hAnsiTheme="minorEastAsia"/>
                <w:color w:val="auto"/>
                <w:szCs w:val="21"/>
                <w:highlight w:val="none"/>
              </w:rPr>
            </w:pPr>
          </w:p>
        </w:tc>
        <w:tc>
          <w:tcPr>
            <w:tcW w:w="2126" w:type="dxa"/>
            <w:vAlign w:val="center"/>
          </w:tcPr>
          <w:p w14:paraId="5EE96C56">
            <w:pPr>
              <w:spacing w:line="360" w:lineRule="auto"/>
              <w:jc w:val="center"/>
              <w:rPr>
                <w:rFonts w:asciiTheme="minorEastAsia" w:hAnsiTheme="minorEastAsia"/>
                <w:color w:val="auto"/>
                <w:szCs w:val="21"/>
                <w:highlight w:val="none"/>
              </w:rPr>
            </w:pPr>
          </w:p>
        </w:tc>
        <w:tc>
          <w:tcPr>
            <w:tcW w:w="1644" w:type="dxa"/>
            <w:vAlign w:val="center"/>
          </w:tcPr>
          <w:p w14:paraId="3BEE0F1C">
            <w:pPr>
              <w:spacing w:line="360" w:lineRule="auto"/>
              <w:jc w:val="center"/>
              <w:rPr>
                <w:rFonts w:asciiTheme="minorEastAsia" w:hAnsiTheme="minorEastAsia"/>
                <w:color w:val="auto"/>
                <w:szCs w:val="21"/>
                <w:highlight w:val="none"/>
              </w:rPr>
            </w:pPr>
          </w:p>
        </w:tc>
        <w:tc>
          <w:tcPr>
            <w:tcW w:w="1575" w:type="dxa"/>
            <w:vAlign w:val="center"/>
          </w:tcPr>
          <w:p w14:paraId="36C68648">
            <w:pPr>
              <w:spacing w:line="360" w:lineRule="auto"/>
              <w:jc w:val="center"/>
              <w:rPr>
                <w:rFonts w:asciiTheme="minorEastAsia" w:hAnsiTheme="minorEastAsia"/>
                <w:color w:val="auto"/>
                <w:szCs w:val="21"/>
                <w:highlight w:val="none"/>
              </w:rPr>
            </w:pPr>
          </w:p>
        </w:tc>
      </w:tr>
      <w:tr w14:paraId="17690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920" w:type="dxa"/>
            <w:vAlign w:val="center"/>
          </w:tcPr>
          <w:p w14:paraId="7E5E9C9F">
            <w:pPr>
              <w:spacing w:line="360" w:lineRule="auto"/>
              <w:jc w:val="center"/>
              <w:rPr>
                <w:rFonts w:asciiTheme="minorEastAsia" w:hAnsiTheme="minorEastAsia"/>
                <w:color w:val="auto"/>
                <w:szCs w:val="21"/>
                <w:highlight w:val="none"/>
              </w:rPr>
            </w:pPr>
          </w:p>
        </w:tc>
        <w:tc>
          <w:tcPr>
            <w:tcW w:w="2352" w:type="dxa"/>
            <w:vAlign w:val="center"/>
          </w:tcPr>
          <w:p w14:paraId="0EAB727B">
            <w:pPr>
              <w:spacing w:line="360" w:lineRule="auto"/>
              <w:jc w:val="center"/>
              <w:rPr>
                <w:rFonts w:asciiTheme="minorEastAsia" w:hAnsiTheme="minorEastAsia"/>
                <w:color w:val="auto"/>
                <w:szCs w:val="21"/>
                <w:highlight w:val="none"/>
              </w:rPr>
            </w:pPr>
          </w:p>
        </w:tc>
        <w:tc>
          <w:tcPr>
            <w:tcW w:w="2126" w:type="dxa"/>
            <w:vAlign w:val="center"/>
          </w:tcPr>
          <w:p w14:paraId="62538FC1">
            <w:pPr>
              <w:spacing w:line="360" w:lineRule="auto"/>
              <w:jc w:val="center"/>
              <w:rPr>
                <w:rFonts w:asciiTheme="minorEastAsia" w:hAnsiTheme="minorEastAsia"/>
                <w:color w:val="auto"/>
                <w:szCs w:val="21"/>
                <w:highlight w:val="none"/>
              </w:rPr>
            </w:pPr>
          </w:p>
        </w:tc>
        <w:tc>
          <w:tcPr>
            <w:tcW w:w="1644" w:type="dxa"/>
            <w:vAlign w:val="center"/>
          </w:tcPr>
          <w:p w14:paraId="3ABECC5C">
            <w:pPr>
              <w:spacing w:line="360" w:lineRule="auto"/>
              <w:jc w:val="center"/>
              <w:rPr>
                <w:rFonts w:asciiTheme="minorEastAsia" w:hAnsiTheme="minorEastAsia"/>
                <w:color w:val="auto"/>
                <w:szCs w:val="21"/>
                <w:highlight w:val="none"/>
              </w:rPr>
            </w:pPr>
          </w:p>
        </w:tc>
        <w:tc>
          <w:tcPr>
            <w:tcW w:w="1575" w:type="dxa"/>
            <w:vAlign w:val="center"/>
          </w:tcPr>
          <w:p w14:paraId="44B2B8D1">
            <w:pPr>
              <w:spacing w:line="360" w:lineRule="auto"/>
              <w:jc w:val="center"/>
              <w:rPr>
                <w:rFonts w:asciiTheme="minorEastAsia" w:hAnsiTheme="minorEastAsia"/>
                <w:color w:val="auto"/>
                <w:szCs w:val="21"/>
                <w:highlight w:val="none"/>
              </w:rPr>
            </w:pPr>
          </w:p>
        </w:tc>
      </w:tr>
      <w:tr w14:paraId="3921D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20" w:type="dxa"/>
            <w:vAlign w:val="center"/>
          </w:tcPr>
          <w:p w14:paraId="33B69CE2">
            <w:pPr>
              <w:spacing w:line="360" w:lineRule="auto"/>
              <w:jc w:val="center"/>
              <w:rPr>
                <w:rFonts w:asciiTheme="minorEastAsia" w:hAnsiTheme="minorEastAsia"/>
                <w:color w:val="auto"/>
                <w:szCs w:val="21"/>
                <w:highlight w:val="none"/>
              </w:rPr>
            </w:pPr>
          </w:p>
        </w:tc>
        <w:tc>
          <w:tcPr>
            <w:tcW w:w="2352" w:type="dxa"/>
            <w:vAlign w:val="center"/>
          </w:tcPr>
          <w:p w14:paraId="7FAD5E78">
            <w:pPr>
              <w:spacing w:line="360" w:lineRule="auto"/>
              <w:jc w:val="center"/>
              <w:rPr>
                <w:rFonts w:asciiTheme="minorEastAsia" w:hAnsiTheme="minorEastAsia"/>
                <w:color w:val="auto"/>
                <w:szCs w:val="21"/>
                <w:highlight w:val="none"/>
              </w:rPr>
            </w:pPr>
          </w:p>
        </w:tc>
        <w:tc>
          <w:tcPr>
            <w:tcW w:w="2126" w:type="dxa"/>
            <w:vAlign w:val="center"/>
          </w:tcPr>
          <w:p w14:paraId="390E0FAA">
            <w:pPr>
              <w:spacing w:line="360" w:lineRule="auto"/>
              <w:jc w:val="center"/>
              <w:rPr>
                <w:rFonts w:asciiTheme="minorEastAsia" w:hAnsiTheme="minorEastAsia"/>
                <w:color w:val="auto"/>
                <w:szCs w:val="21"/>
                <w:highlight w:val="none"/>
              </w:rPr>
            </w:pPr>
          </w:p>
        </w:tc>
        <w:tc>
          <w:tcPr>
            <w:tcW w:w="1644" w:type="dxa"/>
            <w:vAlign w:val="center"/>
          </w:tcPr>
          <w:p w14:paraId="6B7BC027">
            <w:pPr>
              <w:spacing w:line="360" w:lineRule="auto"/>
              <w:jc w:val="center"/>
              <w:rPr>
                <w:rFonts w:asciiTheme="minorEastAsia" w:hAnsiTheme="minorEastAsia"/>
                <w:color w:val="auto"/>
                <w:szCs w:val="21"/>
                <w:highlight w:val="none"/>
              </w:rPr>
            </w:pPr>
          </w:p>
        </w:tc>
        <w:tc>
          <w:tcPr>
            <w:tcW w:w="1575" w:type="dxa"/>
            <w:vAlign w:val="center"/>
          </w:tcPr>
          <w:p w14:paraId="05877861">
            <w:pPr>
              <w:spacing w:line="360" w:lineRule="auto"/>
              <w:jc w:val="center"/>
              <w:rPr>
                <w:rFonts w:asciiTheme="minorEastAsia" w:hAnsiTheme="minorEastAsia"/>
                <w:color w:val="auto"/>
                <w:szCs w:val="21"/>
                <w:highlight w:val="none"/>
              </w:rPr>
            </w:pPr>
          </w:p>
        </w:tc>
      </w:tr>
      <w:tr w14:paraId="596F9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20" w:type="dxa"/>
            <w:vAlign w:val="center"/>
          </w:tcPr>
          <w:p w14:paraId="6337B326">
            <w:pPr>
              <w:spacing w:line="360" w:lineRule="auto"/>
              <w:jc w:val="center"/>
              <w:rPr>
                <w:rFonts w:asciiTheme="minorEastAsia" w:hAnsiTheme="minorEastAsia"/>
                <w:color w:val="auto"/>
                <w:szCs w:val="21"/>
                <w:highlight w:val="none"/>
              </w:rPr>
            </w:pPr>
          </w:p>
        </w:tc>
        <w:tc>
          <w:tcPr>
            <w:tcW w:w="2352" w:type="dxa"/>
            <w:vAlign w:val="center"/>
          </w:tcPr>
          <w:p w14:paraId="6AE0A6DF">
            <w:pPr>
              <w:spacing w:line="360" w:lineRule="auto"/>
              <w:jc w:val="center"/>
              <w:rPr>
                <w:rFonts w:asciiTheme="minorEastAsia" w:hAnsiTheme="minorEastAsia"/>
                <w:color w:val="auto"/>
                <w:szCs w:val="21"/>
                <w:highlight w:val="none"/>
              </w:rPr>
            </w:pPr>
          </w:p>
        </w:tc>
        <w:tc>
          <w:tcPr>
            <w:tcW w:w="2126" w:type="dxa"/>
            <w:vAlign w:val="center"/>
          </w:tcPr>
          <w:p w14:paraId="476EB2B2">
            <w:pPr>
              <w:spacing w:line="360" w:lineRule="auto"/>
              <w:jc w:val="center"/>
              <w:rPr>
                <w:rFonts w:asciiTheme="minorEastAsia" w:hAnsiTheme="minorEastAsia"/>
                <w:color w:val="auto"/>
                <w:szCs w:val="21"/>
                <w:highlight w:val="none"/>
              </w:rPr>
            </w:pPr>
          </w:p>
        </w:tc>
        <w:tc>
          <w:tcPr>
            <w:tcW w:w="1644" w:type="dxa"/>
            <w:vAlign w:val="center"/>
          </w:tcPr>
          <w:p w14:paraId="7CCA2FE6">
            <w:pPr>
              <w:spacing w:line="360" w:lineRule="auto"/>
              <w:jc w:val="center"/>
              <w:rPr>
                <w:rFonts w:asciiTheme="minorEastAsia" w:hAnsiTheme="minorEastAsia"/>
                <w:color w:val="auto"/>
                <w:szCs w:val="21"/>
                <w:highlight w:val="none"/>
              </w:rPr>
            </w:pPr>
          </w:p>
        </w:tc>
        <w:tc>
          <w:tcPr>
            <w:tcW w:w="1575" w:type="dxa"/>
            <w:vAlign w:val="center"/>
          </w:tcPr>
          <w:p w14:paraId="739C9791">
            <w:pPr>
              <w:spacing w:line="360" w:lineRule="auto"/>
              <w:jc w:val="center"/>
              <w:rPr>
                <w:rFonts w:asciiTheme="minorEastAsia" w:hAnsiTheme="minorEastAsia"/>
                <w:color w:val="auto"/>
                <w:szCs w:val="21"/>
                <w:highlight w:val="none"/>
              </w:rPr>
            </w:pPr>
          </w:p>
        </w:tc>
      </w:tr>
    </w:tbl>
    <w:p w14:paraId="27FB3451">
      <w:pPr>
        <w:spacing w:before="156" w:beforeLines="50"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注明：</w:t>
      </w:r>
    </w:p>
    <w:p w14:paraId="6B12C7B6">
      <w:pPr>
        <w:pStyle w:val="33"/>
        <w:numPr>
          <w:ilvl w:val="0"/>
          <w:numId w:val="93"/>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偏离情况项填写“正”、“负”或“无”，说明项中填写原因。</w:t>
      </w:r>
    </w:p>
    <w:p w14:paraId="4A848B7A">
      <w:pPr>
        <w:pStyle w:val="33"/>
        <w:numPr>
          <w:ilvl w:val="0"/>
          <w:numId w:val="93"/>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响应供应商应按照遴选文件要求，根据“采购需求”内容作出全面响应。对响应有偏离的，则说明偏离的内容。</w:t>
      </w:r>
      <w:r>
        <w:rPr>
          <w:rFonts w:hint="eastAsia" w:cs="Times New Roman" w:asciiTheme="minorEastAsia" w:hAnsiTheme="minorEastAsia"/>
          <w:color w:val="auto"/>
          <w:szCs w:val="21"/>
          <w:highlight w:val="none"/>
        </w:rPr>
        <w:t>“采购需求”内容中若有要求提供相关证明资料的，须按要求提供，否则视为负偏离</w:t>
      </w:r>
      <w:r>
        <w:rPr>
          <w:rFonts w:hint="eastAsia" w:asciiTheme="minorEastAsia" w:hAnsiTheme="minorEastAsia"/>
          <w:color w:val="auto"/>
          <w:szCs w:val="21"/>
          <w:highlight w:val="none"/>
        </w:rPr>
        <w:t>。</w:t>
      </w:r>
    </w:p>
    <w:p w14:paraId="59E7929F">
      <w:pPr>
        <w:spacing w:line="360" w:lineRule="auto"/>
        <w:rPr>
          <w:rFonts w:asciiTheme="minorEastAsia" w:hAnsiTheme="minorEastAsia"/>
          <w:color w:val="auto"/>
          <w:szCs w:val="21"/>
          <w:highlight w:val="none"/>
        </w:rPr>
      </w:pPr>
    </w:p>
    <w:p w14:paraId="23F0CCA8">
      <w:pPr>
        <w:spacing w:line="360" w:lineRule="auto"/>
        <w:rPr>
          <w:rFonts w:asciiTheme="minorEastAsia" w:hAnsiTheme="minorEastAsia"/>
          <w:color w:val="auto"/>
          <w:szCs w:val="21"/>
          <w:highlight w:val="none"/>
        </w:rPr>
      </w:pPr>
    </w:p>
    <w:p w14:paraId="67E81C46">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488590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E91A210">
            <w:pPr>
              <w:overflowPunct w:val="0"/>
              <w:adjustRightIn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c>
          <w:tcPr>
            <w:tcW w:w="3175" w:type="dxa"/>
          </w:tcPr>
          <w:p w14:paraId="44032A96">
            <w:pPr>
              <w:spacing w:line="360" w:lineRule="auto"/>
              <w:rPr>
                <w:rFonts w:asciiTheme="minorEastAsia" w:hAnsiTheme="minorEastAsia"/>
                <w:color w:val="auto"/>
                <w:szCs w:val="21"/>
                <w:highlight w:val="none"/>
              </w:rPr>
            </w:pPr>
          </w:p>
        </w:tc>
      </w:tr>
      <w:tr w14:paraId="708C92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46F67749">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3175" w:type="dxa"/>
          </w:tcPr>
          <w:p w14:paraId="784B01AF">
            <w:pPr>
              <w:spacing w:line="360" w:lineRule="auto"/>
              <w:rPr>
                <w:rFonts w:asciiTheme="minorEastAsia" w:hAnsiTheme="minorEastAsia"/>
                <w:color w:val="auto"/>
                <w:szCs w:val="21"/>
                <w:highlight w:val="none"/>
              </w:rPr>
            </w:pPr>
          </w:p>
        </w:tc>
      </w:tr>
    </w:tbl>
    <w:p w14:paraId="5BDA698A">
      <w:pPr>
        <w:spacing w:line="360" w:lineRule="auto"/>
        <w:rPr>
          <w:rFonts w:asciiTheme="minorEastAsia" w:hAnsiTheme="minorEastAsia"/>
          <w:color w:val="auto"/>
          <w:szCs w:val="21"/>
          <w:highlight w:val="none"/>
        </w:rPr>
      </w:pPr>
    </w:p>
    <w:p w14:paraId="650FBC68">
      <w:pPr>
        <w:spacing w:line="360" w:lineRule="auto"/>
        <w:rPr>
          <w:rFonts w:asciiTheme="minorEastAsia" w:hAnsiTheme="minorEastAsia"/>
          <w:color w:val="auto"/>
          <w:szCs w:val="21"/>
          <w:highlight w:val="none"/>
        </w:rPr>
      </w:pPr>
    </w:p>
    <w:p w14:paraId="27BBC37D">
      <w:pPr>
        <w:spacing w:line="360" w:lineRule="auto"/>
        <w:rPr>
          <w:rFonts w:asciiTheme="minorEastAsia" w:hAnsiTheme="minorEastAsia"/>
          <w:color w:val="auto"/>
          <w:szCs w:val="21"/>
          <w:highlight w:val="none"/>
        </w:rPr>
      </w:pPr>
      <w:bookmarkStart w:id="125" w:name="_Toc405313974"/>
      <w:bookmarkStart w:id="126" w:name="_Toc391627770"/>
    </w:p>
    <w:bookmarkEnd w:id="125"/>
    <w:bookmarkEnd w:id="126"/>
    <w:p w14:paraId="694766DA">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27" w:name="_Toc138770024"/>
      <w:r>
        <w:rPr>
          <w:rStyle w:val="25"/>
          <w:rFonts w:hint="eastAsia" w:asciiTheme="minorEastAsia" w:hAnsiTheme="minorEastAsia" w:eastAsiaTheme="minorEastAsia"/>
          <w:b/>
          <w:bCs/>
          <w:color w:val="auto"/>
          <w:spacing w:val="12"/>
          <w:sz w:val="21"/>
          <w:szCs w:val="21"/>
          <w:highlight w:val="none"/>
        </w:rPr>
        <w:t>项目技术服务人员情况表</w:t>
      </w:r>
      <w:bookmarkEnd w:id="127"/>
    </w:p>
    <w:p w14:paraId="7341AE3B">
      <w:pPr>
        <w:spacing w:before="624" w:beforeLines="200" w:after="312" w:afterLines="10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9"/>
        <w:gridCol w:w="1145"/>
        <w:gridCol w:w="1296"/>
        <w:gridCol w:w="1895"/>
        <w:gridCol w:w="1455"/>
        <w:gridCol w:w="1020"/>
        <w:gridCol w:w="1227"/>
      </w:tblGrid>
      <w:tr w14:paraId="7A476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0" w:hRule="atLeast"/>
        </w:trPr>
        <w:tc>
          <w:tcPr>
            <w:tcW w:w="416" w:type="pct"/>
            <w:vAlign w:val="center"/>
          </w:tcPr>
          <w:p w14:paraId="39C602FF">
            <w:pPr>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序号</w:t>
            </w:r>
          </w:p>
        </w:tc>
        <w:tc>
          <w:tcPr>
            <w:tcW w:w="653" w:type="pct"/>
            <w:vAlign w:val="center"/>
          </w:tcPr>
          <w:p w14:paraId="7C6DCA53">
            <w:pPr>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姓名</w:t>
            </w:r>
          </w:p>
        </w:tc>
        <w:tc>
          <w:tcPr>
            <w:tcW w:w="739" w:type="pct"/>
            <w:vAlign w:val="center"/>
          </w:tcPr>
          <w:p w14:paraId="1AF7BC41">
            <w:pPr>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职位</w:t>
            </w:r>
          </w:p>
        </w:tc>
        <w:tc>
          <w:tcPr>
            <w:tcW w:w="1081" w:type="pct"/>
            <w:vAlign w:val="center"/>
          </w:tcPr>
          <w:p w14:paraId="2CFDC4E2">
            <w:pPr>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持何种资格证件</w:t>
            </w:r>
          </w:p>
        </w:tc>
        <w:tc>
          <w:tcPr>
            <w:tcW w:w="830" w:type="pct"/>
            <w:vAlign w:val="center"/>
          </w:tcPr>
          <w:p w14:paraId="1E76DF94">
            <w:pPr>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发证时间</w:t>
            </w:r>
          </w:p>
        </w:tc>
        <w:tc>
          <w:tcPr>
            <w:tcW w:w="582" w:type="pct"/>
            <w:vAlign w:val="center"/>
          </w:tcPr>
          <w:p w14:paraId="516C0390">
            <w:pPr>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学历</w:t>
            </w:r>
          </w:p>
        </w:tc>
        <w:tc>
          <w:tcPr>
            <w:tcW w:w="699" w:type="pct"/>
            <w:vAlign w:val="center"/>
          </w:tcPr>
          <w:p w14:paraId="37D17A23">
            <w:pPr>
              <w:jc w:val="center"/>
              <w:rPr>
                <w:rFonts w:asciiTheme="minorEastAsia" w:hAnsiTheme="minorEastAsia"/>
                <w:b/>
                <w:bCs/>
                <w:color w:val="auto"/>
                <w:szCs w:val="21"/>
                <w:highlight w:val="none"/>
              </w:rPr>
            </w:pPr>
            <w:r>
              <w:rPr>
                <w:rFonts w:hint="eastAsia" w:asciiTheme="minorEastAsia" w:hAnsiTheme="minorEastAsia"/>
                <w:b/>
                <w:bCs/>
                <w:color w:val="auto"/>
                <w:szCs w:val="21"/>
                <w:highlight w:val="none"/>
              </w:rPr>
              <w:t>经验年限</w:t>
            </w:r>
          </w:p>
        </w:tc>
      </w:tr>
      <w:tr w14:paraId="7A5E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214E1592">
            <w:pPr>
              <w:spacing w:line="480" w:lineRule="auto"/>
              <w:jc w:val="center"/>
              <w:rPr>
                <w:rFonts w:asciiTheme="minorEastAsia" w:hAnsiTheme="minorEastAsia"/>
                <w:color w:val="auto"/>
                <w:szCs w:val="21"/>
                <w:highlight w:val="none"/>
              </w:rPr>
            </w:pPr>
          </w:p>
        </w:tc>
        <w:tc>
          <w:tcPr>
            <w:tcW w:w="653" w:type="pct"/>
            <w:vAlign w:val="center"/>
          </w:tcPr>
          <w:p w14:paraId="4B9E3FB4">
            <w:pPr>
              <w:spacing w:line="480" w:lineRule="auto"/>
              <w:jc w:val="center"/>
              <w:rPr>
                <w:rFonts w:asciiTheme="minorEastAsia" w:hAnsiTheme="minorEastAsia"/>
                <w:color w:val="auto"/>
                <w:szCs w:val="21"/>
                <w:highlight w:val="none"/>
              </w:rPr>
            </w:pPr>
          </w:p>
        </w:tc>
        <w:tc>
          <w:tcPr>
            <w:tcW w:w="739" w:type="pct"/>
            <w:vAlign w:val="center"/>
          </w:tcPr>
          <w:p w14:paraId="10FEC90A">
            <w:pPr>
              <w:spacing w:line="480" w:lineRule="auto"/>
              <w:jc w:val="center"/>
              <w:rPr>
                <w:rFonts w:asciiTheme="minorEastAsia" w:hAnsiTheme="minorEastAsia"/>
                <w:color w:val="auto"/>
                <w:szCs w:val="21"/>
                <w:highlight w:val="none"/>
              </w:rPr>
            </w:pPr>
          </w:p>
        </w:tc>
        <w:tc>
          <w:tcPr>
            <w:tcW w:w="1081" w:type="pct"/>
            <w:vAlign w:val="center"/>
          </w:tcPr>
          <w:p w14:paraId="197346A6">
            <w:pPr>
              <w:spacing w:line="480" w:lineRule="auto"/>
              <w:jc w:val="center"/>
              <w:rPr>
                <w:rFonts w:asciiTheme="minorEastAsia" w:hAnsiTheme="minorEastAsia"/>
                <w:color w:val="auto"/>
                <w:szCs w:val="21"/>
                <w:highlight w:val="none"/>
              </w:rPr>
            </w:pPr>
          </w:p>
        </w:tc>
        <w:tc>
          <w:tcPr>
            <w:tcW w:w="830" w:type="pct"/>
          </w:tcPr>
          <w:p w14:paraId="766A02C0">
            <w:pPr>
              <w:spacing w:line="480" w:lineRule="auto"/>
              <w:jc w:val="center"/>
              <w:rPr>
                <w:rFonts w:asciiTheme="minorEastAsia" w:hAnsiTheme="minorEastAsia"/>
                <w:color w:val="auto"/>
                <w:szCs w:val="21"/>
                <w:highlight w:val="none"/>
              </w:rPr>
            </w:pPr>
          </w:p>
        </w:tc>
        <w:tc>
          <w:tcPr>
            <w:tcW w:w="582" w:type="pct"/>
            <w:vAlign w:val="center"/>
          </w:tcPr>
          <w:p w14:paraId="5BF885A5">
            <w:pPr>
              <w:spacing w:line="480" w:lineRule="auto"/>
              <w:jc w:val="center"/>
              <w:rPr>
                <w:rFonts w:asciiTheme="minorEastAsia" w:hAnsiTheme="minorEastAsia"/>
                <w:color w:val="auto"/>
                <w:szCs w:val="21"/>
                <w:highlight w:val="none"/>
              </w:rPr>
            </w:pPr>
          </w:p>
        </w:tc>
        <w:tc>
          <w:tcPr>
            <w:tcW w:w="699" w:type="pct"/>
          </w:tcPr>
          <w:p w14:paraId="682BFB8E">
            <w:pPr>
              <w:spacing w:line="480" w:lineRule="auto"/>
              <w:jc w:val="center"/>
              <w:rPr>
                <w:rFonts w:asciiTheme="minorEastAsia" w:hAnsiTheme="minorEastAsia"/>
                <w:color w:val="auto"/>
                <w:szCs w:val="21"/>
                <w:highlight w:val="none"/>
              </w:rPr>
            </w:pPr>
          </w:p>
        </w:tc>
      </w:tr>
      <w:tr w14:paraId="215FA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50894AB">
            <w:pPr>
              <w:spacing w:line="480" w:lineRule="auto"/>
              <w:jc w:val="center"/>
              <w:rPr>
                <w:rFonts w:asciiTheme="minorEastAsia" w:hAnsiTheme="minorEastAsia"/>
                <w:color w:val="auto"/>
                <w:szCs w:val="21"/>
                <w:highlight w:val="none"/>
              </w:rPr>
            </w:pPr>
          </w:p>
        </w:tc>
        <w:tc>
          <w:tcPr>
            <w:tcW w:w="653" w:type="pct"/>
            <w:vAlign w:val="center"/>
          </w:tcPr>
          <w:p w14:paraId="053C313A">
            <w:pPr>
              <w:spacing w:line="480" w:lineRule="auto"/>
              <w:jc w:val="center"/>
              <w:rPr>
                <w:rFonts w:asciiTheme="minorEastAsia" w:hAnsiTheme="minorEastAsia"/>
                <w:color w:val="auto"/>
                <w:szCs w:val="21"/>
                <w:highlight w:val="none"/>
              </w:rPr>
            </w:pPr>
          </w:p>
        </w:tc>
        <w:tc>
          <w:tcPr>
            <w:tcW w:w="739" w:type="pct"/>
            <w:vAlign w:val="center"/>
          </w:tcPr>
          <w:p w14:paraId="71392E06">
            <w:pPr>
              <w:spacing w:line="480" w:lineRule="auto"/>
              <w:jc w:val="center"/>
              <w:rPr>
                <w:rFonts w:asciiTheme="minorEastAsia" w:hAnsiTheme="minorEastAsia"/>
                <w:color w:val="auto"/>
                <w:szCs w:val="21"/>
                <w:highlight w:val="none"/>
              </w:rPr>
            </w:pPr>
          </w:p>
        </w:tc>
        <w:tc>
          <w:tcPr>
            <w:tcW w:w="1081" w:type="pct"/>
            <w:vAlign w:val="center"/>
          </w:tcPr>
          <w:p w14:paraId="39A77F9C">
            <w:pPr>
              <w:spacing w:line="480" w:lineRule="auto"/>
              <w:jc w:val="center"/>
              <w:rPr>
                <w:rFonts w:asciiTheme="minorEastAsia" w:hAnsiTheme="minorEastAsia"/>
                <w:color w:val="auto"/>
                <w:szCs w:val="21"/>
                <w:highlight w:val="none"/>
              </w:rPr>
            </w:pPr>
          </w:p>
        </w:tc>
        <w:tc>
          <w:tcPr>
            <w:tcW w:w="830" w:type="pct"/>
          </w:tcPr>
          <w:p w14:paraId="69D75F02">
            <w:pPr>
              <w:spacing w:line="480" w:lineRule="auto"/>
              <w:jc w:val="center"/>
              <w:rPr>
                <w:rFonts w:asciiTheme="minorEastAsia" w:hAnsiTheme="minorEastAsia"/>
                <w:color w:val="auto"/>
                <w:szCs w:val="21"/>
                <w:highlight w:val="none"/>
              </w:rPr>
            </w:pPr>
          </w:p>
        </w:tc>
        <w:tc>
          <w:tcPr>
            <w:tcW w:w="582" w:type="pct"/>
            <w:vAlign w:val="center"/>
          </w:tcPr>
          <w:p w14:paraId="0664B9AE">
            <w:pPr>
              <w:spacing w:line="480" w:lineRule="auto"/>
              <w:jc w:val="center"/>
              <w:rPr>
                <w:rFonts w:asciiTheme="minorEastAsia" w:hAnsiTheme="minorEastAsia"/>
                <w:color w:val="auto"/>
                <w:szCs w:val="21"/>
                <w:highlight w:val="none"/>
              </w:rPr>
            </w:pPr>
          </w:p>
        </w:tc>
        <w:tc>
          <w:tcPr>
            <w:tcW w:w="699" w:type="pct"/>
          </w:tcPr>
          <w:p w14:paraId="6133F58A">
            <w:pPr>
              <w:spacing w:line="480" w:lineRule="auto"/>
              <w:jc w:val="center"/>
              <w:rPr>
                <w:rFonts w:asciiTheme="minorEastAsia" w:hAnsiTheme="minorEastAsia"/>
                <w:color w:val="auto"/>
                <w:szCs w:val="21"/>
                <w:highlight w:val="none"/>
              </w:rPr>
            </w:pPr>
          </w:p>
        </w:tc>
      </w:tr>
      <w:tr w14:paraId="61869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6E382F06">
            <w:pPr>
              <w:spacing w:line="480" w:lineRule="auto"/>
              <w:jc w:val="center"/>
              <w:rPr>
                <w:rFonts w:asciiTheme="minorEastAsia" w:hAnsiTheme="minorEastAsia"/>
                <w:color w:val="auto"/>
                <w:szCs w:val="21"/>
                <w:highlight w:val="none"/>
              </w:rPr>
            </w:pPr>
          </w:p>
        </w:tc>
        <w:tc>
          <w:tcPr>
            <w:tcW w:w="653" w:type="pct"/>
            <w:vAlign w:val="center"/>
          </w:tcPr>
          <w:p w14:paraId="7C70F568">
            <w:pPr>
              <w:spacing w:line="480" w:lineRule="auto"/>
              <w:jc w:val="center"/>
              <w:rPr>
                <w:rFonts w:asciiTheme="minorEastAsia" w:hAnsiTheme="minorEastAsia"/>
                <w:color w:val="auto"/>
                <w:szCs w:val="21"/>
                <w:highlight w:val="none"/>
              </w:rPr>
            </w:pPr>
          </w:p>
        </w:tc>
        <w:tc>
          <w:tcPr>
            <w:tcW w:w="739" w:type="pct"/>
            <w:vAlign w:val="center"/>
          </w:tcPr>
          <w:p w14:paraId="14839D48">
            <w:pPr>
              <w:spacing w:line="480" w:lineRule="auto"/>
              <w:jc w:val="center"/>
              <w:rPr>
                <w:rFonts w:asciiTheme="minorEastAsia" w:hAnsiTheme="minorEastAsia"/>
                <w:color w:val="auto"/>
                <w:szCs w:val="21"/>
                <w:highlight w:val="none"/>
              </w:rPr>
            </w:pPr>
          </w:p>
        </w:tc>
        <w:tc>
          <w:tcPr>
            <w:tcW w:w="1081" w:type="pct"/>
            <w:vAlign w:val="center"/>
          </w:tcPr>
          <w:p w14:paraId="1835886F">
            <w:pPr>
              <w:spacing w:line="480" w:lineRule="auto"/>
              <w:jc w:val="center"/>
              <w:rPr>
                <w:rFonts w:asciiTheme="minorEastAsia" w:hAnsiTheme="minorEastAsia"/>
                <w:color w:val="auto"/>
                <w:szCs w:val="21"/>
                <w:highlight w:val="none"/>
              </w:rPr>
            </w:pPr>
          </w:p>
        </w:tc>
        <w:tc>
          <w:tcPr>
            <w:tcW w:w="830" w:type="pct"/>
          </w:tcPr>
          <w:p w14:paraId="58BFC36B">
            <w:pPr>
              <w:spacing w:line="480" w:lineRule="auto"/>
              <w:jc w:val="center"/>
              <w:rPr>
                <w:rFonts w:asciiTheme="minorEastAsia" w:hAnsiTheme="minorEastAsia"/>
                <w:color w:val="auto"/>
                <w:szCs w:val="21"/>
                <w:highlight w:val="none"/>
              </w:rPr>
            </w:pPr>
          </w:p>
        </w:tc>
        <w:tc>
          <w:tcPr>
            <w:tcW w:w="582" w:type="pct"/>
            <w:vAlign w:val="center"/>
          </w:tcPr>
          <w:p w14:paraId="4FB8C972">
            <w:pPr>
              <w:spacing w:line="480" w:lineRule="auto"/>
              <w:jc w:val="center"/>
              <w:rPr>
                <w:rFonts w:asciiTheme="minorEastAsia" w:hAnsiTheme="minorEastAsia"/>
                <w:color w:val="auto"/>
                <w:szCs w:val="21"/>
                <w:highlight w:val="none"/>
              </w:rPr>
            </w:pPr>
          </w:p>
        </w:tc>
        <w:tc>
          <w:tcPr>
            <w:tcW w:w="699" w:type="pct"/>
          </w:tcPr>
          <w:p w14:paraId="7F14F1A1">
            <w:pPr>
              <w:spacing w:line="480" w:lineRule="auto"/>
              <w:jc w:val="center"/>
              <w:rPr>
                <w:rFonts w:asciiTheme="minorEastAsia" w:hAnsiTheme="minorEastAsia"/>
                <w:color w:val="auto"/>
                <w:szCs w:val="21"/>
                <w:highlight w:val="none"/>
              </w:rPr>
            </w:pPr>
          </w:p>
        </w:tc>
      </w:tr>
      <w:tr w14:paraId="38F3A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AD6D1">
            <w:pPr>
              <w:spacing w:line="480" w:lineRule="auto"/>
              <w:jc w:val="center"/>
              <w:rPr>
                <w:rFonts w:asciiTheme="minorEastAsia" w:hAnsiTheme="minorEastAsia"/>
                <w:color w:val="auto"/>
                <w:szCs w:val="21"/>
                <w:highlight w:val="none"/>
              </w:rPr>
            </w:pPr>
          </w:p>
        </w:tc>
        <w:tc>
          <w:tcPr>
            <w:tcW w:w="653" w:type="pct"/>
            <w:vAlign w:val="center"/>
          </w:tcPr>
          <w:p w14:paraId="1A8FB1A5">
            <w:pPr>
              <w:spacing w:line="480" w:lineRule="auto"/>
              <w:jc w:val="center"/>
              <w:rPr>
                <w:rFonts w:asciiTheme="minorEastAsia" w:hAnsiTheme="minorEastAsia"/>
                <w:color w:val="auto"/>
                <w:szCs w:val="21"/>
                <w:highlight w:val="none"/>
              </w:rPr>
            </w:pPr>
          </w:p>
        </w:tc>
        <w:tc>
          <w:tcPr>
            <w:tcW w:w="739" w:type="pct"/>
            <w:vAlign w:val="center"/>
          </w:tcPr>
          <w:p w14:paraId="159ED6BE">
            <w:pPr>
              <w:spacing w:line="480" w:lineRule="auto"/>
              <w:jc w:val="center"/>
              <w:rPr>
                <w:rFonts w:asciiTheme="minorEastAsia" w:hAnsiTheme="minorEastAsia"/>
                <w:color w:val="auto"/>
                <w:szCs w:val="21"/>
                <w:highlight w:val="none"/>
              </w:rPr>
            </w:pPr>
          </w:p>
        </w:tc>
        <w:tc>
          <w:tcPr>
            <w:tcW w:w="1081" w:type="pct"/>
            <w:vAlign w:val="center"/>
          </w:tcPr>
          <w:p w14:paraId="09A0FBA9">
            <w:pPr>
              <w:spacing w:line="480" w:lineRule="auto"/>
              <w:jc w:val="center"/>
              <w:rPr>
                <w:rFonts w:asciiTheme="minorEastAsia" w:hAnsiTheme="minorEastAsia"/>
                <w:color w:val="auto"/>
                <w:szCs w:val="21"/>
                <w:highlight w:val="none"/>
              </w:rPr>
            </w:pPr>
          </w:p>
        </w:tc>
        <w:tc>
          <w:tcPr>
            <w:tcW w:w="830" w:type="pct"/>
          </w:tcPr>
          <w:p w14:paraId="7FE3448D">
            <w:pPr>
              <w:spacing w:line="480" w:lineRule="auto"/>
              <w:jc w:val="center"/>
              <w:rPr>
                <w:rFonts w:asciiTheme="minorEastAsia" w:hAnsiTheme="minorEastAsia"/>
                <w:color w:val="auto"/>
                <w:szCs w:val="21"/>
                <w:highlight w:val="none"/>
              </w:rPr>
            </w:pPr>
          </w:p>
        </w:tc>
        <w:tc>
          <w:tcPr>
            <w:tcW w:w="582" w:type="pct"/>
            <w:vAlign w:val="center"/>
          </w:tcPr>
          <w:p w14:paraId="4CC9E456">
            <w:pPr>
              <w:spacing w:line="480" w:lineRule="auto"/>
              <w:jc w:val="center"/>
              <w:rPr>
                <w:rFonts w:asciiTheme="minorEastAsia" w:hAnsiTheme="minorEastAsia"/>
                <w:color w:val="auto"/>
                <w:szCs w:val="21"/>
                <w:highlight w:val="none"/>
              </w:rPr>
            </w:pPr>
          </w:p>
        </w:tc>
        <w:tc>
          <w:tcPr>
            <w:tcW w:w="699" w:type="pct"/>
          </w:tcPr>
          <w:p w14:paraId="78498EAE">
            <w:pPr>
              <w:spacing w:line="480" w:lineRule="auto"/>
              <w:jc w:val="center"/>
              <w:rPr>
                <w:rFonts w:asciiTheme="minorEastAsia" w:hAnsiTheme="minorEastAsia"/>
                <w:color w:val="auto"/>
                <w:szCs w:val="21"/>
                <w:highlight w:val="none"/>
              </w:rPr>
            </w:pPr>
          </w:p>
        </w:tc>
      </w:tr>
      <w:tr w14:paraId="7C47F4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91BB02">
            <w:pPr>
              <w:spacing w:line="480" w:lineRule="auto"/>
              <w:jc w:val="center"/>
              <w:rPr>
                <w:rFonts w:asciiTheme="minorEastAsia" w:hAnsiTheme="minorEastAsia"/>
                <w:color w:val="auto"/>
                <w:szCs w:val="21"/>
                <w:highlight w:val="none"/>
              </w:rPr>
            </w:pPr>
          </w:p>
        </w:tc>
        <w:tc>
          <w:tcPr>
            <w:tcW w:w="653" w:type="pct"/>
            <w:vAlign w:val="center"/>
          </w:tcPr>
          <w:p w14:paraId="4FC03243">
            <w:pPr>
              <w:spacing w:line="480" w:lineRule="auto"/>
              <w:jc w:val="center"/>
              <w:rPr>
                <w:rFonts w:asciiTheme="minorEastAsia" w:hAnsiTheme="minorEastAsia"/>
                <w:color w:val="auto"/>
                <w:szCs w:val="21"/>
                <w:highlight w:val="none"/>
              </w:rPr>
            </w:pPr>
          </w:p>
        </w:tc>
        <w:tc>
          <w:tcPr>
            <w:tcW w:w="739" w:type="pct"/>
            <w:vAlign w:val="center"/>
          </w:tcPr>
          <w:p w14:paraId="1B551BF8">
            <w:pPr>
              <w:spacing w:line="480" w:lineRule="auto"/>
              <w:jc w:val="center"/>
              <w:rPr>
                <w:rFonts w:asciiTheme="minorEastAsia" w:hAnsiTheme="minorEastAsia"/>
                <w:color w:val="auto"/>
                <w:szCs w:val="21"/>
                <w:highlight w:val="none"/>
              </w:rPr>
            </w:pPr>
          </w:p>
        </w:tc>
        <w:tc>
          <w:tcPr>
            <w:tcW w:w="1081" w:type="pct"/>
            <w:vAlign w:val="center"/>
          </w:tcPr>
          <w:p w14:paraId="2B1EB497">
            <w:pPr>
              <w:widowControl/>
              <w:tabs>
                <w:tab w:val="right" w:leader="dot" w:pos="8302"/>
              </w:tabs>
              <w:spacing w:line="480" w:lineRule="auto"/>
              <w:jc w:val="center"/>
              <w:rPr>
                <w:rFonts w:asciiTheme="minorEastAsia" w:hAnsiTheme="minorEastAsia"/>
                <w:color w:val="auto"/>
                <w:kern w:val="0"/>
                <w:szCs w:val="21"/>
                <w:highlight w:val="none"/>
              </w:rPr>
            </w:pPr>
          </w:p>
        </w:tc>
        <w:tc>
          <w:tcPr>
            <w:tcW w:w="830" w:type="pct"/>
          </w:tcPr>
          <w:p w14:paraId="5402C0DF">
            <w:pPr>
              <w:spacing w:line="480" w:lineRule="auto"/>
              <w:jc w:val="center"/>
              <w:rPr>
                <w:rFonts w:asciiTheme="minorEastAsia" w:hAnsiTheme="minorEastAsia"/>
                <w:color w:val="auto"/>
                <w:szCs w:val="21"/>
                <w:highlight w:val="none"/>
              </w:rPr>
            </w:pPr>
          </w:p>
        </w:tc>
        <w:tc>
          <w:tcPr>
            <w:tcW w:w="582" w:type="pct"/>
            <w:vAlign w:val="center"/>
          </w:tcPr>
          <w:p w14:paraId="08AE17D0">
            <w:pPr>
              <w:spacing w:line="480" w:lineRule="auto"/>
              <w:jc w:val="center"/>
              <w:rPr>
                <w:rFonts w:asciiTheme="minorEastAsia" w:hAnsiTheme="minorEastAsia"/>
                <w:color w:val="auto"/>
                <w:szCs w:val="21"/>
                <w:highlight w:val="none"/>
              </w:rPr>
            </w:pPr>
          </w:p>
        </w:tc>
        <w:tc>
          <w:tcPr>
            <w:tcW w:w="699" w:type="pct"/>
          </w:tcPr>
          <w:p w14:paraId="19D43026">
            <w:pPr>
              <w:spacing w:line="480" w:lineRule="auto"/>
              <w:jc w:val="center"/>
              <w:rPr>
                <w:rFonts w:asciiTheme="minorEastAsia" w:hAnsiTheme="minorEastAsia"/>
                <w:color w:val="auto"/>
                <w:szCs w:val="21"/>
                <w:highlight w:val="none"/>
              </w:rPr>
            </w:pPr>
          </w:p>
        </w:tc>
      </w:tr>
      <w:tr w14:paraId="53482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F76E728">
            <w:pPr>
              <w:spacing w:line="480" w:lineRule="auto"/>
              <w:jc w:val="center"/>
              <w:rPr>
                <w:rFonts w:asciiTheme="minorEastAsia" w:hAnsiTheme="minorEastAsia"/>
                <w:color w:val="auto"/>
                <w:szCs w:val="21"/>
                <w:highlight w:val="none"/>
              </w:rPr>
            </w:pPr>
          </w:p>
        </w:tc>
        <w:tc>
          <w:tcPr>
            <w:tcW w:w="653" w:type="pct"/>
            <w:vAlign w:val="center"/>
          </w:tcPr>
          <w:p w14:paraId="3F8ED31B">
            <w:pPr>
              <w:spacing w:line="480" w:lineRule="auto"/>
              <w:jc w:val="center"/>
              <w:rPr>
                <w:rFonts w:asciiTheme="minorEastAsia" w:hAnsiTheme="minorEastAsia"/>
                <w:color w:val="auto"/>
                <w:szCs w:val="21"/>
                <w:highlight w:val="none"/>
              </w:rPr>
            </w:pPr>
          </w:p>
        </w:tc>
        <w:tc>
          <w:tcPr>
            <w:tcW w:w="739" w:type="pct"/>
            <w:vAlign w:val="center"/>
          </w:tcPr>
          <w:p w14:paraId="65458A19">
            <w:pPr>
              <w:spacing w:line="480" w:lineRule="auto"/>
              <w:jc w:val="center"/>
              <w:rPr>
                <w:rFonts w:asciiTheme="minorEastAsia" w:hAnsiTheme="minorEastAsia"/>
                <w:color w:val="auto"/>
                <w:szCs w:val="21"/>
                <w:highlight w:val="none"/>
              </w:rPr>
            </w:pPr>
          </w:p>
        </w:tc>
        <w:tc>
          <w:tcPr>
            <w:tcW w:w="1081" w:type="pct"/>
            <w:vAlign w:val="center"/>
          </w:tcPr>
          <w:p w14:paraId="37CFD260">
            <w:pPr>
              <w:widowControl/>
              <w:tabs>
                <w:tab w:val="right" w:leader="dot" w:pos="8302"/>
              </w:tabs>
              <w:spacing w:line="480" w:lineRule="auto"/>
              <w:jc w:val="center"/>
              <w:rPr>
                <w:rFonts w:asciiTheme="minorEastAsia" w:hAnsiTheme="minorEastAsia"/>
                <w:color w:val="auto"/>
                <w:kern w:val="0"/>
                <w:szCs w:val="21"/>
                <w:highlight w:val="none"/>
              </w:rPr>
            </w:pPr>
          </w:p>
        </w:tc>
        <w:tc>
          <w:tcPr>
            <w:tcW w:w="830" w:type="pct"/>
          </w:tcPr>
          <w:p w14:paraId="3AC678EE">
            <w:pPr>
              <w:spacing w:line="480" w:lineRule="auto"/>
              <w:jc w:val="center"/>
              <w:rPr>
                <w:rFonts w:asciiTheme="minorEastAsia" w:hAnsiTheme="minorEastAsia"/>
                <w:color w:val="auto"/>
                <w:szCs w:val="21"/>
                <w:highlight w:val="none"/>
              </w:rPr>
            </w:pPr>
          </w:p>
        </w:tc>
        <w:tc>
          <w:tcPr>
            <w:tcW w:w="582" w:type="pct"/>
            <w:vAlign w:val="center"/>
          </w:tcPr>
          <w:p w14:paraId="6B1A03F2">
            <w:pPr>
              <w:spacing w:line="480" w:lineRule="auto"/>
              <w:jc w:val="center"/>
              <w:rPr>
                <w:rFonts w:asciiTheme="minorEastAsia" w:hAnsiTheme="minorEastAsia"/>
                <w:color w:val="auto"/>
                <w:szCs w:val="21"/>
                <w:highlight w:val="none"/>
              </w:rPr>
            </w:pPr>
          </w:p>
        </w:tc>
        <w:tc>
          <w:tcPr>
            <w:tcW w:w="699" w:type="pct"/>
          </w:tcPr>
          <w:p w14:paraId="601651AC">
            <w:pPr>
              <w:spacing w:line="480" w:lineRule="auto"/>
              <w:jc w:val="center"/>
              <w:rPr>
                <w:rFonts w:asciiTheme="minorEastAsia" w:hAnsiTheme="minorEastAsia"/>
                <w:color w:val="auto"/>
                <w:szCs w:val="21"/>
                <w:highlight w:val="none"/>
              </w:rPr>
            </w:pPr>
          </w:p>
        </w:tc>
      </w:tr>
      <w:tr w14:paraId="4D5C9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363FF14">
            <w:pPr>
              <w:spacing w:line="480" w:lineRule="auto"/>
              <w:jc w:val="center"/>
              <w:rPr>
                <w:rFonts w:asciiTheme="minorEastAsia" w:hAnsiTheme="minorEastAsia"/>
                <w:color w:val="auto"/>
                <w:szCs w:val="21"/>
                <w:highlight w:val="none"/>
              </w:rPr>
            </w:pPr>
          </w:p>
        </w:tc>
        <w:tc>
          <w:tcPr>
            <w:tcW w:w="653" w:type="pct"/>
            <w:vAlign w:val="center"/>
          </w:tcPr>
          <w:p w14:paraId="7E3D6386">
            <w:pPr>
              <w:spacing w:line="480" w:lineRule="auto"/>
              <w:jc w:val="center"/>
              <w:rPr>
                <w:rFonts w:asciiTheme="minorEastAsia" w:hAnsiTheme="minorEastAsia"/>
                <w:color w:val="auto"/>
                <w:szCs w:val="21"/>
                <w:highlight w:val="none"/>
              </w:rPr>
            </w:pPr>
          </w:p>
        </w:tc>
        <w:tc>
          <w:tcPr>
            <w:tcW w:w="739" w:type="pct"/>
            <w:vAlign w:val="center"/>
          </w:tcPr>
          <w:p w14:paraId="142013E7">
            <w:pPr>
              <w:spacing w:line="480" w:lineRule="auto"/>
              <w:jc w:val="center"/>
              <w:rPr>
                <w:rFonts w:asciiTheme="minorEastAsia" w:hAnsiTheme="minorEastAsia"/>
                <w:color w:val="auto"/>
                <w:szCs w:val="21"/>
                <w:highlight w:val="none"/>
              </w:rPr>
            </w:pPr>
          </w:p>
        </w:tc>
        <w:tc>
          <w:tcPr>
            <w:tcW w:w="1081" w:type="pct"/>
            <w:vAlign w:val="center"/>
          </w:tcPr>
          <w:p w14:paraId="2DA84116">
            <w:pPr>
              <w:spacing w:line="480" w:lineRule="auto"/>
              <w:jc w:val="center"/>
              <w:rPr>
                <w:rFonts w:asciiTheme="minorEastAsia" w:hAnsiTheme="minorEastAsia"/>
                <w:color w:val="auto"/>
                <w:szCs w:val="21"/>
                <w:highlight w:val="none"/>
              </w:rPr>
            </w:pPr>
          </w:p>
        </w:tc>
        <w:tc>
          <w:tcPr>
            <w:tcW w:w="830" w:type="pct"/>
          </w:tcPr>
          <w:p w14:paraId="2AD5BD5D">
            <w:pPr>
              <w:spacing w:line="480" w:lineRule="auto"/>
              <w:jc w:val="center"/>
              <w:rPr>
                <w:rFonts w:asciiTheme="minorEastAsia" w:hAnsiTheme="minorEastAsia"/>
                <w:color w:val="auto"/>
                <w:szCs w:val="21"/>
                <w:highlight w:val="none"/>
              </w:rPr>
            </w:pPr>
          </w:p>
        </w:tc>
        <w:tc>
          <w:tcPr>
            <w:tcW w:w="582" w:type="pct"/>
            <w:vAlign w:val="center"/>
          </w:tcPr>
          <w:p w14:paraId="64CE607D">
            <w:pPr>
              <w:spacing w:line="480" w:lineRule="auto"/>
              <w:jc w:val="center"/>
              <w:rPr>
                <w:rFonts w:asciiTheme="minorEastAsia" w:hAnsiTheme="minorEastAsia"/>
                <w:color w:val="auto"/>
                <w:szCs w:val="21"/>
                <w:highlight w:val="none"/>
              </w:rPr>
            </w:pPr>
          </w:p>
        </w:tc>
        <w:tc>
          <w:tcPr>
            <w:tcW w:w="699" w:type="pct"/>
          </w:tcPr>
          <w:p w14:paraId="5C589518">
            <w:pPr>
              <w:spacing w:line="480" w:lineRule="auto"/>
              <w:jc w:val="center"/>
              <w:rPr>
                <w:rFonts w:asciiTheme="minorEastAsia" w:hAnsiTheme="minorEastAsia"/>
                <w:color w:val="auto"/>
                <w:szCs w:val="21"/>
                <w:highlight w:val="none"/>
              </w:rPr>
            </w:pPr>
          </w:p>
        </w:tc>
      </w:tr>
      <w:tr w14:paraId="4340B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20" w:hRule="atLeast"/>
        </w:trPr>
        <w:tc>
          <w:tcPr>
            <w:tcW w:w="416" w:type="pct"/>
            <w:vAlign w:val="center"/>
          </w:tcPr>
          <w:p w14:paraId="737EA7A7">
            <w:pPr>
              <w:spacing w:line="480" w:lineRule="auto"/>
              <w:jc w:val="center"/>
              <w:rPr>
                <w:rFonts w:asciiTheme="minorEastAsia" w:hAnsiTheme="minorEastAsia"/>
                <w:color w:val="auto"/>
                <w:szCs w:val="21"/>
                <w:highlight w:val="none"/>
              </w:rPr>
            </w:pPr>
          </w:p>
        </w:tc>
        <w:tc>
          <w:tcPr>
            <w:tcW w:w="653" w:type="pct"/>
            <w:vAlign w:val="center"/>
          </w:tcPr>
          <w:p w14:paraId="5CF2AC06">
            <w:pPr>
              <w:spacing w:line="480" w:lineRule="auto"/>
              <w:jc w:val="center"/>
              <w:rPr>
                <w:rFonts w:asciiTheme="minorEastAsia" w:hAnsiTheme="minorEastAsia"/>
                <w:color w:val="auto"/>
                <w:szCs w:val="21"/>
                <w:highlight w:val="none"/>
              </w:rPr>
            </w:pPr>
          </w:p>
        </w:tc>
        <w:tc>
          <w:tcPr>
            <w:tcW w:w="739" w:type="pct"/>
            <w:vAlign w:val="center"/>
          </w:tcPr>
          <w:p w14:paraId="64BE53D8">
            <w:pPr>
              <w:spacing w:line="480" w:lineRule="auto"/>
              <w:jc w:val="center"/>
              <w:rPr>
                <w:rFonts w:asciiTheme="minorEastAsia" w:hAnsiTheme="minorEastAsia"/>
                <w:color w:val="auto"/>
                <w:szCs w:val="21"/>
                <w:highlight w:val="none"/>
              </w:rPr>
            </w:pPr>
          </w:p>
        </w:tc>
        <w:tc>
          <w:tcPr>
            <w:tcW w:w="1081" w:type="pct"/>
            <w:vAlign w:val="center"/>
          </w:tcPr>
          <w:p w14:paraId="74A3745C">
            <w:pPr>
              <w:spacing w:line="480" w:lineRule="auto"/>
              <w:jc w:val="center"/>
              <w:rPr>
                <w:rFonts w:asciiTheme="minorEastAsia" w:hAnsiTheme="minorEastAsia"/>
                <w:color w:val="auto"/>
                <w:szCs w:val="21"/>
                <w:highlight w:val="none"/>
              </w:rPr>
            </w:pPr>
          </w:p>
        </w:tc>
        <w:tc>
          <w:tcPr>
            <w:tcW w:w="830" w:type="pct"/>
          </w:tcPr>
          <w:p w14:paraId="3DB3E708">
            <w:pPr>
              <w:spacing w:line="480" w:lineRule="auto"/>
              <w:jc w:val="center"/>
              <w:rPr>
                <w:rFonts w:asciiTheme="minorEastAsia" w:hAnsiTheme="minorEastAsia"/>
                <w:color w:val="auto"/>
                <w:szCs w:val="21"/>
                <w:highlight w:val="none"/>
              </w:rPr>
            </w:pPr>
          </w:p>
        </w:tc>
        <w:tc>
          <w:tcPr>
            <w:tcW w:w="582" w:type="pct"/>
            <w:vAlign w:val="center"/>
          </w:tcPr>
          <w:p w14:paraId="39B2F041">
            <w:pPr>
              <w:spacing w:line="480" w:lineRule="auto"/>
              <w:jc w:val="center"/>
              <w:rPr>
                <w:rFonts w:asciiTheme="minorEastAsia" w:hAnsiTheme="minorEastAsia"/>
                <w:color w:val="auto"/>
                <w:szCs w:val="21"/>
                <w:highlight w:val="none"/>
              </w:rPr>
            </w:pPr>
          </w:p>
        </w:tc>
        <w:tc>
          <w:tcPr>
            <w:tcW w:w="699" w:type="pct"/>
          </w:tcPr>
          <w:p w14:paraId="20B7B8FE">
            <w:pPr>
              <w:spacing w:line="480" w:lineRule="auto"/>
              <w:jc w:val="center"/>
              <w:rPr>
                <w:rFonts w:asciiTheme="minorEastAsia" w:hAnsiTheme="minorEastAsia"/>
                <w:color w:val="auto"/>
                <w:szCs w:val="21"/>
                <w:highlight w:val="none"/>
              </w:rPr>
            </w:pPr>
          </w:p>
        </w:tc>
      </w:tr>
    </w:tbl>
    <w:p w14:paraId="24D6F60E">
      <w:pPr>
        <w:pStyle w:val="9"/>
        <w:overflowPunct w:val="0"/>
        <w:spacing w:before="156" w:beforeLines="50" w:after="0" w:line="360" w:lineRule="auto"/>
        <w:rPr>
          <w:rFonts w:asciiTheme="minorEastAsia" w:hAnsiTheme="minorEastAsia" w:eastAsiaTheme="minorEastAsia"/>
          <w:color w:val="auto"/>
          <w:szCs w:val="21"/>
          <w:highlight w:val="none"/>
        </w:rPr>
      </w:pPr>
    </w:p>
    <w:p w14:paraId="65AA49BB">
      <w:pPr>
        <w:pStyle w:val="9"/>
        <w:overflowPunct w:val="0"/>
        <w:spacing w:before="156" w:beforeLines="50" w:after="0" w:line="360" w:lineRule="auto"/>
        <w:rPr>
          <w:rFonts w:asciiTheme="minorEastAsia" w:hAnsiTheme="minorEastAsia" w:eastAsiaTheme="minorEastAsia"/>
          <w:color w:val="auto"/>
          <w:szCs w:val="21"/>
          <w:highlight w:val="none"/>
        </w:rPr>
      </w:pPr>
      <w:r>
        <w:rPr>
          <w:rFonts w:hint="eastAsia" w:asciiTheme="minorEastAsia" w:hAnsiTheme="minorEastAsia" w:eastAsiaTheme="minorEastAsia"/>
          <w:color w:val="auto"/>
          <w:szCs w:val="21"/>
          <w:highlight w:val="none"/>
        </w:rPr>
        <w:t>。</w:t>
      </w:r>
    </w:p>
    <w:p w14:paraId="50DB722F">
      <w:pPr>
        <w:spacing w:line="360" w:lineRule="auto"/>
        <w:rPr>
          <w:rFonts w:asciiTheme="minorEastAsia" w:hAnsiTheme="minorEastAsia"/>
          <w:color w:val="auto"/>
          <w:highlight w:val="none"/>
        </w:rPr>
      </w:pPr>
    </w:p>
    <w:p w14:paraId="0DB85A75">
      <w:pPr>
        <w:spacing w:line="360" w:lineRule="auto"/>
        <w:rPr>
          <w:rFonts w:asciiTheme="minorEastAsia" w:hAnsiTheme="minorEastAsia"/>
          <w:color w:val="auto"/>
          <w:highlight w:val="none"/>
        </w:rPr>
      </w:pPr>
    </w:p>
    <w:p w14:paraId="7472E4C3">
      <w:pPr>
        <w:spacing w:line="360" w:lineRule="auto"/>
        <w:rPr>
          <w:rFonts w:asciiTheme="minorEastAsia" w:hAnsiTheme="minorEastAsia"/>
          <w:color w:val="auto"/>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3A915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6BEF7C2">
            <w:pPr>
              <w:overflowPunct w:val="0"/>
              <w:adjustRightIn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c>
          <w:tcPr>
            <w:tcW w:w="3175" w:type="dxa"/>
          </w:tcPr>
          <w:p w14:paraId="1733D579">
            <w:pPr>
              <w:spacing w:line="360" w:lineRule="auto"/>
              <w:rPr>
                <w:rFonts w:asciiTheme="minorEastAsia" w:hAnsiTheme="minorEastAsia"/>
                <w:color w:val="auto"/>
                <w:szCs w:val="21"/>
                <w:highlight w:val="none"/>
              </w:rPr>
            </w:pPr>
          </w:p>
        </w:tc>
      </w:tr>
      <w:tr w14:paraId="7AC40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73CA64FD">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3175" w:type="dxa"/>
          </w:tcPr>
          <w:p w14:paraId="36912EFA">
            <w:pPr>
              <w:spacing w:line="360" w:lineRule="auto"/>
              <w:rPr>
                <w:rFonts w:asciiTheme="minorEastAsia" w:hAnsiTheme="minorEastAsia"/>
                <w:color w:val="auto"/>
                <w:szCs w:val="21"/>
                <w:highlight w:val="none"/>
              </w:rPr>
            </w:pPr>
          </w:p>
        </w:tc>
      </w:tr>
    </w:tbl>
    <w:p w14:paraId="4DD00C99">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color w:val="auto"/>
          <w:spacing w:val="12"/>
          <w:sz w:val="21"/>
          <w:szCs w:val="21"/>
          <w:highlight w:val="none"/>
        </w:rPr>
      </w:pPr>
      <w:bookmarkStart w:id="128" w:name="_Toc138770025"/>
      <w:bookmarkStart w:id="129" w:name="_Toc391627771"/>
      <w:bookmarkStart w:id="130" w:name="_Toc405313975"/>
      <w:r>
        <w:rPr>
          <w:rStyle w:val="25"/>
          <w:rFonts w:hint="eastAsia" w:asciiTheme="minorEastAsia" w:hAnsiTheme="minorEastAsia" w:eastAsiaTheme="minorEastAsia"/>
          <w:b/>
          <w:bCs/>
          <w:color w:val="auto"/>
          <w:spacing w:val="12"/>
          <w:sz w:val="21"/>
          <w:szCs w:val="21"/>
          <w:highlight w:val="none"/>
        </w:rPr>
        <w:t>项目负责人简历表</w:t>
      </w:r>
      <w:bookmarkEnd w:id="128"/>
      <w:bookmarkEnd w:id="129"/>
      <w:bookmarkEnd w:id="130"/>
    </w:p>
    <w:p w14:paraId="41803B19">
      <w:pPr>
        <w:spacing w:before="624" w:beforeLines="200" w:after="312" w:afterLines="100" w:line="360" w:lineRule="auto"/>
        <w:jc w:val="center"/>
        <w:rPr>
          <w:rFonts w:asciiTheme="minorEastAsia" w:hAnsiTheme="minorEastAsia"/>
          <w:b/>
          <w:color w:val="auto"/>
          <w:spacing w:val="20"/>
          <w:sz w:val="30"/>
          <w:szCs w:val="30"/>
          <w:highlight w:val="none"/>
        </w:rPr>
      </w:pPr>
      <w:r>
        <w:rPr>
          <w:rFonts w:hint="eastAsia" w:asciiTheme="minorEastAsia" w:hAnsiTheme="minorEastAsia"/>
          <w:b/>
          <w:color w:val="auto"/>
          <w:spacing w:val="20"/>
          <w:sz w:val="30"/>
          <w:szCs w:val="30"/>
          <w:highlight w:val="none"/>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746"/>
        <w:gridCol w:w="1361"/>
        <w:gridCol w:w="326"/>
        <w:gridCol w:w="184"/>
        <w:gridCol w:w="842"/>
        <w:gridCol w:w="544"/>
        <w:gridCol w:w="14"/>
        <w:gridCol w:w="1129"/>
        <w:gridCol w:w="435"/>
        <w:gridCol w:w="647"/>
        <w:gridCol w:w="409"/>
        <w:gridCol w:w="1396"/>
      </w:tblGrid>
      <w:tr w14:paraId="745BB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F680F09">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姓名</w:t>
            </w:r>
          </w:p>
        </w:tc>
        <w:tc>
          <w:tcPr>
            <w:tcW w:w="1493" w:type="pct"/>
            <w:gridSpan w:val="4"/>
            <w:vAlign w:val="center"/>
          </w:tcPr>
          <w:p w14:paraId="0615CE20">
            <w:pPr>
              <w:jc w:val="center"/>
              <w:rPr>
                <w:rFonts w:asciiTheme="minorEastAsia" w:hAnsiTheme="minorEastAsia"/>
                <w:color w:val="auto"/>
                <w:szCs w:val="21"/>
                <w:highlight w:val="none"/>
              </w:rPr>
            </w:pPr>
          </w:p>
        </w:tc>
        <w:tc>
          <w:tcPr>
            <w:tcW w:w="480" w:type="pct"/>
            <w:vAlign w:val="center"/>
          </w:tcPr>
          <w:p w14:paraId="0D914CDD">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性别</w:t>
            </w:r>
          </w:p>
        </w:tc>
        <w:tc>
          <w:tcPr>
            <w:tcW w:w="962" w:type="pct"/>
            <w:gridSpan w:val="3"/>
            <w:vAlign w:val="center"/>
          </w:tcPr>
          <w:p w14:paraId="1A3E6658">
            <w:pPr>
              <w:jc w:val="center"/>
              <w:rPr>
                <w:rFonts w:asciiTheme="minorEastAsia" w:hAnsiTheme="minorEastAsia"/>
                <w:color w:val="auto"/>
                <w:szCs w:val="21"/>
                <w:highlight w:val="none"/>
              </w:rPr>
            </w:pPr>
          </w:p>
        </w:tc>
        <w:tc>
          <w:tcPr>
            <w:tcW w:w="617" w:type="pct"/>
            <w:gridSpan w:val="2"/>
            <w:vAlign w:val="center"/>
          </w:tcPr>
          <w:p w14:paraId="66E91050">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年龄</w:t>
            </w:r>
          </w:p>
        </w:tc>
        <w:tc>
          <w:tcPr>
            <w:tcW w:w="1030" w:type="pct"/>
            <w:gridSpan w:val="2"/>
            <w:vAlign w:val="center"/>
          </w:tcPr>
          <w:p w14:paraId="1623BECE">
            <w:pPr>
              <w:jc w:val="center"/>
              <w:rPr>
                <w:rFonts w:asciiTheme="minorEastAsia" w:hAnsiTheme="minorEastAsia"/>
                <w:color w:val="auto"/>
                <w:szCs w:val="21"/>
                <w:highlight w:val="none"/>
              </w:rPr>
            </w:pPr>
          </w:p>
        </w:tc>
      </w:tr>
      <w:tr w14:paraId="50FBD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7D22165D">
            <w:pPr>
              <w:jc w:val="center"/>
              <w:rPr>
                <w:rFonts w:asciiTheme="minorEastAsia" w:hAnsiTheme="minorEastAsia"/>
                <w:color w:val="auto"/>
                <w:szCs w:val="21"/>
                <w:highlight w:val="none"/>
              </w:rPr>
            </w:pPr>
            <w:r>
              <w:rPr>
                <w:rFonts w:hint="eastAsia" w:asciiTheme="minorEastAsia" w:hAnsiTheme="minorEastAsia"/>
                <w:color w:val="auto"/>
                <w:szCs w:val="21"/>
                <w:highlight w:val="none"/>
              </w:rPr>
              <w:t>职务</w:t>
            </w:r>
          </w:p>
        </w:tc>
        <w:tc>
          <w:tcPr>
            <w:tcW w:w="1493" w:type="pct"/>
            <w:gridSpan w:val="4"/>
            <w:vAlign w:val="center"/>
          </w:tcPr>
          <w:p w14:paraId="1FC0E6CC">
            <w:pPr>
              <w:jc w:val="center"/>
              <w:rPr>
                <w:rFonts w:asciiTheme="minorEastAsia" w:hAnsiTheme="minorEastAsia"/>
                <w:color w:val="auto"/>
                <w:szCs w:val="21"/>
                <w:highlight w:val="none"/>
              </w:rPr>
            </w:pPr>
          </w:p>
        </w:tc>
        <w:tc>
          <w:tcPr>
            <w:tcW w:w="480" w:type="pct"/>
            <w:vAlign w:val="center"/>
          </w:tcPr>
          <w:p w14:paraId="4662E112">
            <w:pPr>
              <w:jc w:val="center"/>
              <w:rPr>
                <w:rFonts w:asciiTheme="minorEastAsia" w:hAnsiTheme="minorEastAsia"/>
                <w:color w:val="auto"/>
                <w:szCs w:val="21"/>
                <w:highlight w:val="none"/>
              </w:rPr>
            </w:pPr>
            <w:r>
              <w:rPr>
                <w:rFonts w:hint="eastAsia" w:asciiTheme="minorEastAsia" w:hAnsiTheme="minorEastAsia"/>
                <w:color w:val="auto"/>
                <w:szCs w:val="21"/>
                <w:highlight w:val="none"/>
              </w:rPr>
              <w:t>职称</w:t>
            </w:r>
          </w:p>
        </w:tc>
        <w:tc>
          <w:tcPr>
            <w:tcW w:w="962" w:type="pct"/>
            <w:gridSpan w:val="3"/>
            <w:vAlign w:val="center"/>
          </w:tcPr>
          <w:p w14:paraId="5A615BE2">
            <w:pPr>
              <w:jc w:val="center"/>
              <w:rPr>
                <w:rFonts w:asciiTheme="minorEastAsia" w:hAnsiTheme="minorEastAsia"/>
                <w:color w:val="auto"/>
                <w:szCs w:val="21"/>
                <w:highlight w:val="none"/>
              </w:rPr>
            </w:pPr>
          </w:p>
        </w:tc>
        <w:tc>
          <w:tcPr>
            <w:tcW w:w="617" w:type="pct"/>
            <w:gridSpan w:val="2"/>
            <w:vAlign w:val="center"/>
          </w:tcPr>
          <w:p w14:paraId="640EDFF7">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学历</w:t>
            </w:r>
          </w:p>
        </w:tc>
        <w:tc>
          <w:tcPr>
            <w:tcW w:w="1030" w:type="pct"/>
            <w:gridSpan w:val="2"/>
            <w:vAlign w:val="center"/>
          </w:tcPr>
          <w:p w14:paraId="29B2F208">
            <w:pPr>
              <w:jc w:val="center"/>
              <w:rPr>
                <w:rFonts w:asciiTheme="minorEastAsia" w:hAnsiTheme="minorEastAsia"/>
                <w:color w:val="auto"/>
                <w:szCs w:val="21"/>
                <w:highlight w:val="none"/>
              </w:rPr>
            </w:pPr>
          </w:p>
        </w:tc>
      </w:tr>
      <w:tr w14:paraId="1E7E7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68170A07">
            <w:pPr>
              <w:jc w:val="center"/>
              <w:rPr>
                <w:rFonts w:asciiTheme="minorEastAsia" w:hAnsiTheme="minorEastAsia"/>
                <w:color w:val="auto"/>
                <w:szCs w:val="21"/>
                <w:highlight w:val="none"/>
              </w:rPr>
            </w:pPr>
            <w:r>
              <w:rPr>
                <w:rFonts w:hint="eastAsia" w:asciiTheme="minorEastAsia" w:hAnsiTheme="minorEastAsia"/>
                <w:color w:val="auto"/>
                <w:szCs w:val="21"/>
                <w:highlight w:val="none"/>
              </w:rPr>
              <w:t>参加工作时间</w:t>
            </w:r>
          </w:p>
        </w:tc>
        <w:tc>
          <w:tcPr>
            <w:tcW w:w="1081" w:type="pct"/>
            <w:gridSpan w:val="4"/>
            <w:vAlign w:val="center"/>
          </w:tcPr>
          <w:p w14:paraId="56E8ADB2">
            <w:pPr>
              <w:jc w:val="center"/>
              <w:rPr>
                <w:rFonts w:asciiTheme="minorEastAsia" w:hAnsiTheme="minorEastAsia"/>
                <w:color w:val="auto"/>
                <w:szCs w:val="21"/>
                <w:highlight w:val="none"/>
              </w:rPr>
            </w:pPr>
          </w:p>
        </w:tc>
        <w:tc>
          <w:tcPr>
            <w:tcW w:w="1502" w:type="pct"/>
            <w:gridSpan w:val="5"/>
            <w:vAlign w:val="center"/>
          </w:tcPr>
          <w:p w14:paraId="375C68DF">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相关经验年限</w:t>
            </w:r>
          </w:p>
        </w:tc>
        <w:tc>
          <w:tcPr>
            <w:tcW w:w="796" w:type="pct"/>
            <w:vAlign w:val="center"/>
          </w:tcPr>
          <w:p w14:paraId="6F2FF95E">
            <w:pPr>
              <w:jc w:val="center"/>
              <w:rPr>
                <w:rFonts w:asciiTheme="minorEastAsia" w:hAnsiTheme="minorEastAsia"/>
                <w:color w:val="auto"/>
                <w:szCs w:val="21"/>
                <w:highlight w:val="none"/>
              </w:rPr>
            </w:pPr>
          </w:p>
        </w:tc>
      </w:tr>
      <w:tr w14:paraId="552C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752E0A9D">
            <w:pPr>
              <w:jc w:val="center"/>
              <w:rPr>
                <w:rFonts w:asciiTheme="minorEastAsia" w:hAnsiTheme="minorEastAsia"/>
                <w:color w:val="auto"/>
                <w:szCs w:val="21"/>
                <w:highlight w:val="none"/>
              </w:rPr>
            </w:pPr>
            <w:r>
              <w:rPr>
                <w:rFonts w:hint="eastAsia" w:asciiTheme="minorEastAsia" w:hAnsiTheme="minorEastAsia"/>
                <w:color w:val="auto"/>
                <w:szCs w:val="21"/>
                <w:highlight w:val="none"/>
              </w:rPr>
              <w:t>资格证书名称、编号</w:t>
            </w:r>
          </w:p>
        </w:tc>
        <w:tc>
          <w:tcPr>
            <w:tcW w:w="3379" w:type="pct"/>
            <w:gridSpan w:val="10"/>
            <w:vAlign w:val="center"/>
          </w:tcPr>
          <w:p w14:paraId="025A16E2">
            <w:pPr>
              <w:jc w:val="center"/>
              <w:rPr>
                <w:rFonts w:asciiTheme="minorEastAsia" w:hAnsiTheme="minorEastAsia"/>
                <w:color w:val="auto"/>
                <w:szCs w:val="21"/>
                <w:highlight w:val="none"/>
              </w:rPr>
            </w:pPr>
          </w:p>
        </w:tc>
      </w:tr>
      <w:tr w14:paraId="5FF2D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2B365F4D">
            <w:pPr>
              <w:jc w:val="center"/>
              <w:rPr>
                <w:rFonts w:asciiTheme="minorEastAsia" w:hAnsiTheme="minorEastAsia"/>
                <w:color w:val="auto"/>
                <w:szCs w:val="21"/>
                <w:highlight w:val="none"/>
              </w:rPr>
            </w:pPr>
            <w:r>
              <w:rPr>
                <w:rFonts w:hint="eastAsia" w:asciiTheme="minorEastAsia" w:hAnsiTheme="minorEastAsia"/>
                <w:color w:val="auto"/>
                <w:szCs w:val="21"/>
                <w:highlight w:val="none"/>
              </w:rPr>
              <w:t>目前在任及以往服务项目情况</w:t>
            </w:r>
          </w:p>
        </w:tc>
      </w:tr>
      <w:tr w14:paraId="5CB51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02C47FCD">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采购人</w:t>
            </w:r>
          </w:p>
        </w:tc>
        <w:tc>
          <w:tcPr>
            <w:tcW w:w="962" w:type="pct"/>
            <w:gridSpan w:val="2"/>
            <w:vAlign w:val="center"/>
          </w:tcPr>
          <w:p w14:paraId="47679192">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项目名称</w:t>
            </w:r>
          </w:p>
        </w:tc>
        <w:tc>
          <w:tcPr>
            <w:tcW w:w="903" w:type="pct"/>
            <w:gridSpan w:val="4"/>
            <w:vAlign w:val="center"/>
          </w:tcPr>
          <w:p w14:paraId="6B486D6C">
            <w:pPr>
              <w:jc w:val="center"/>
              <w:rPr>
                <w:rFonts w:asciiTheme="minorEastAsia" w:hAnsiTheme="minorEastAsia"/>
                <w:color w:val="auto"/>
                <w:szCs w:val="21"/>
                <w:highlight w:val="none"/>
              </w:rPr>
            </w:pPr>
            <w:r>
              <w:rPr>
                <w:rFonts w:hint="eastAsia" w:asciiTheme="minorEastAsia" w:hAnsiTheme="minorEastAsia"/>
                <w:color w:val="auto"/>
                <w:szCs w:val="21"/>
                <w:highlight w:val="none"/>
              </w:rPr>
              <w:t>项目规模</w:t>
            </w:r>
          </w:p>
        </w:tc>
        <w:tc>
          <w:tcPr>
            <w:tcW w:w="892" w:type="pct"/>
            <w:gridSpan w:val="2"/>
            <w:vAlign w:val="center"/>
          </w:tcPr>
          <w:p w14:paraId="549AC1D8">
            <w:pPr>
              <w:jc w:val="center"/>
              <w:rPr>
                <w:rFonts w:asciiTheme="minorEastAsia" w:hAnsiTheme="minorEastAsia"/>
                <w:color w:val="auto"/>
                <w:szCs w:val="21"/>
                <w:highlight w:val="none"/>
              </w:rPr>
            </w:pPr>
            <w:r>
              <w:rPr>
                <w:rFonts w:hint="eastAsia" w:asciiTheme="minorEastAsia" w:hAnsiTheme="minorEastAsia"/>
                <w:color w:val="auto"/>
                <w:szCs w:val="21"/>
                <w:highlight w:val="none"/>
              </w:rPr>
              <w:t>所任职务</w:t>
            </w:r>
          </w:p>
        </w:tc>
        <w:tc>
          <w:tcPr>
            <w:tcW w:w="1399" w:type="pct"/>
            <w:gridSpan w:val="3"/>
            <w:vAlign w:val="center"/>
          </w:tcPr>
          <w:p w14:paraId="500B4DD0">
            <w:pPr>
              <w:jc w:val="center"/>
              <w:rPr>
                <w:rFonts w:asciiTheme="minorEastAsia" w:hAnsiTheme="minorEastAsia"/>
                <w:color w:val="auto"/>
                <w:szCs w:val="21"/>
                <w:highlight w:val="none"/>
              </w:rPr>
            </w:pPr>
            <w:r>
              <w:rPr>
                <w:rFonts w:hint="eastAsia" w:asciiTheme="minorEastAsia" w:hAnsiTheme="minorEastAsia"/>
                <w:color w:val="auto"/>
                <w:szCs w:val="21"/>
                <w:highlight w:val="none"/>
              </w:rPr>
              <w:t>起止时间</w:t>
            </w:r>
          </w:p>
        </w:tc>
      </w:tr>
      <w:tr w14:paraId="54D86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A257DD6">
            <w:pPr>
              <w:jc w:val="center"/>
              <w:rPr>
                <w:rFonts w:asciiTheme="minorEastAsia" w:hAnsiTheme="minorEastAsia"/>
                <w:color w:val="auto"/>
                <w:szCs w:val="21"/>
                <w:highlight w:val="none"/>
              </w:rPr>
            </w:pPr>
          </w:p>
        </w:tc>
        <w:tc>
          <w:tcPr>
            <w:tcW w:w="962" w:type="pct"/>
            <w:gridSpan w:val="2"/>
            <w:vAlign w:val="center"/>
          </w:tcPr>
          <w:p w14:paraId="7B5949DD">
            <w:pPr>
              <w:jc w:val="center"/>
              <w:rPr>
                <w:rFonts w:asciiTheme="minorEastAsia" w:hAnsiTheme="minorEastAsia"/>
                <w:color w:val="auto"/>
                <w:szCs w:val="21"/>
                <w:highlight w:val="none"/>
              </w:rPr>
            </w:pPr>
          </w:p>
        </w:tc>
        <w:tc>
          <w:tcPr>
            <w:tcW w:w="903" w:type="pct"/>
            <w:gridSpan w:val="4"/>
            <w:vAlign w:val="center"/>
          </w:tcPr>
          <w:p w14:paraId="2B739C4C">
            <w:pPr>
              <w:jc w:val="center"/>
              <w:rPr>
                <w:rFonts w:asciiTheme="minorEastAsia" w:hAnsiTheme="minorEastAsia"/>
                <w:color w:val="auto"/>
                <w:szCs w:val="21"/>
                <w:highlight w:val="none"/>
              </w:rPr>
            </w:pPr>
          </w:p>
        </w:tc>
        <w:tc>
          <w:tcPr>
            <w:tcW w:w="892" w:type="pct"/>
            <w:gridSpan w:val="2"/>
            <w:vAlign w:val="center"/>
          </w:tcPr>
          <w:p w14:paraId="0D3FD093">
            <w:pPr>
              <w:jc w:val="center"/>
              <w:rPr>
                <w:rFonts w:asciiTheme="minorEastAsia" w:hAnsiTheme="minorEastAsia"/>
                <w:color w:val="auto"/>
                <w:szCs w:val="21"/>
                <w:highlight w:val="none"/>
              </w:rPr>
            </w:pPr>
          </w:p>
        </w:tc>
        <w:tc>
          <w:tcPr>
            <w:tcW w:w="1399" w:type="pct"/>
            <w:gridSpan w:val="3"/>
            <w:vAlign w:val="center"/>
          </w:tcPr>
          <w:p w14:paraId="64315D62">
            <w:pPr>
              <w:jc w:val="center"/>
              <w:rPr>
                <w:rFonts w:asciiTheme="minorEastAsia" w:hAnsiTheme="minorEastAsia"/>
                <w:color w:val="auto"/>
                <w:szCs w:val="21"/>
                <w:highlight w:val="none"/>
              </w:rPr>
            </w:pPr>
          </w:p>
        </w:tc>
      </w:tr>
      <w:tr w14:paraId="2DB698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D9F9F88">
            <w:pPr>
              <w:jc w:val="center"/>
              <w:rPr>
                <w:rFonts w:asciiTheme="minorEastAsia" w:hAnsiTheme="minorEastAsia"/>
                <w:color w:val="auto"/>
                <w:szCs w:val="21"/>
                <w:highlight w:val="none"/>
              </w:rPr>
            </w:pPr>
          </w:p>
        </w:tc>
        <w:tc>
          <w:tcPr>
            <w:tcW w:w="962" w:type="pct"/>
            <w:gridSpan w:val="2"/>
            <w:vAlign w:val="center"/>
          </w:tcPr>
          <w:p w14:paraId="3FB7DC14">
            <w:pPr>
              <w:jc w:val="center"/>
              <w:rPr>
                <w:rFonts w:asciiTheme="minorEastAsia" w:hAnsiTheme="minorEastAsia"/>
                <w:color w:val="auto"/>
                <w:szCs w:val="21"/>
                <w:highlight w:val="none"/>
              </w:rPr>
            </w:pPr>
          </w:p>
        </w:tc>
        <w:tc>
          <w:tcPr>
            <w:tcW w:w="903" w:type="pct"/>
            <w:gridSpan w:val="4"/>
            <w:vAlign w:val="center"/>
          </w:tcPr>
          <w:p w14:paraId="0B82C389">
            <w:pPr>
              <w:jc w:val="center"/>
              <w:rPr>
                <w:rFonts w:asciiTheme="minorEastAsia" w:hAnsiTheme="minorEastAsia"/>
                <w:color w:val="auto"/>
                <w:szCs w:val="21"/>
                <w:highlight w:val="none"/>
              </w:rPr>
            </w:pPr>
          </w:p>
        </w:tc>
        <w:tc>
          <w:tcPr>
            <w:tcW w:w="892" w:type="pct"/>
            <w:gridSpan w:val="2"/>
            <w:vAlign w:val="center"/>
          </w:tcPr>
          <w:p w14:paraId="32941133">
            <w:pPr>
              <w:jc w:val="center"/>
              <w:rPr>
                <w:rFonts w:asciiTheme="minorEastAsia" w:hAnsiTheme="minorEastAsia"/>
                <w:color w:val="auto"/>
                <w:szCs w:val="21"/>
                <w:highlight w:val="none"/>
              </w:rPr>
            </w:pPr>
          </w:p>
        </w:tc>
        <w:tc>
          <w:tcPr>
            <w:tcW w:w="1399" w:type="pct"/>
            <w:gridSpan w:val="3"/>
            <w:vAlign w:val="center"/>
          </w:tcPr>
          <w:p w14:paraId="75648E5E">
            <w:pPr>
              <w:jc w:val="center"/>
              <w:rPr>
                <w:rFonts w:asciiTheme="minorEastAsia" w:hAnsiTheme="minorEastAsia"/>
                <w:color w:val="auto"/>
                <w:szCs w:val="21"/>
                <w:highlight w:val="none"/>
              </w:rPr>
            </w:pPr>
          </w:p>
        </w:tc>
      </w:tr>
      <w:tr w14:paraId="070E8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1136C11">
            <w:pPr>
              <w:jc w:val="center"/>
              <w:rPr>
                <w:rFonts w:asciiTheme="minorEastAsia" w:hAnsiTheme="minorEastAsia"/>
                <w:color w:val="auto"/>
                <w:szCs w:val="21"/>
                <w:highlight w:val="none"/>
              </w:rPr>
            </w:pPr>
          </w:p>
        </w:tc>
        <w:tc>
          <w:tcPr>
            <w:tcW w:w="962" w:type="pct"/>
            <w:gridSpan w:val="2"/>
            <w:vAlign w:val="center"/>
          </w:tcPr>
          <w:p w14:paraId="7125A5D5">
            <w:pPr>
              <w:jc w:val="center"/>
              <w:rPr>
                <w:rFonts w:asciiTheme="minorEastAsia" w:hAnsiTheme="minorEastAsia"/>
                <w:color w:val="auto"/>
                <w:szCs w:val="21"/>
                <w:highlight w:val="none"/>
              </w:rPr>
            </w:pPr>
          </w:p>
        </w:tc>
        <w:tc>
          <w:tcPr>
            <w:tcW w:w="903" w:type="pct"/>
            <w:gridSpan w:val="4"/>
            <w:vAlign w:val="center"/>
          </w:tcPr>
          <w:p w14:paraId="4C57DE87">
            <w:pPr>
              <w:jc w:val="center"/>
              <w:rPr>
                <w:rFonts w:asciiTheme="minorEastAsia" w:hAnsiTheme="minorEastAsia"/>
                <w:color w:val="auto"/>
                <w:szCs w:val="21"/>
                <w:highlight w:val="none"/>
              </w:rPr>
            </w:pPr>
          </w:p>
        </w:tc>
        <w:tc>
          <w:tcPr>
            <w:tcW w:w="892" w:type="pct"/>
            <w:gridSpan w:val="2"/>
            <w:vAlign w:val="center"/>
          </w:tcPr>
          <w:p w14:paraId="6200CE83">
            <w:pPr>
              <w:jc w:val="center"/>
              <w:rPr>
                <w:rFonts w:asciiTheme="minorEastAsia" w:hAnsiTheme="minorEastAsia"/>
                <w:color w:val="auto"/>
                <w:szCs w:val="21"/>
                <w:highlight w:val="none"/>
              </w:rPr>
            </w:pPr>
          </w:p>
        </w:tc>
        <w:tc>
          <w:tcPr>
            <w:tcW w:w="1399" w:type="pct"/>
            <w:gridSpan w:val="3"/>
            <w:vAlign w:val="center"/>
          </w:tcPr>
          <w:p w14:paraId="53FF5FE4">
            <w:pPr>
              <w:jc w:val="center"/>
              <w:rPr>
                <w:rFonts w:asciiTheme="minorEastAsia" w:hAnsiTheme="minorEastAsia"/>
                <w:color w:val="auto"/>
                <w:szCs w:val="21"/>
                <w:highlight w:val="none"/>
              </w:rPr>
            </w:pPr>
          </w:p>
        </w:tc>
      </w:tr>
      <w:tr w14:paraId="73D42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2918723">
            <w:pPr>
              <w:jc w:val="center"/>
              <w:rPr>
                <w:rFonts w:asciiTheme="minorEastAsia" w:hAnsiTheme="minorEastAsia"/>
                <w:color w:val="auto"/>
                <w:szCs w:val="21"/>
                <w:highlight w:val="none"/>
              </w:rPr>
            </w:pPr>
          </w:p>
        </w:tc>
        <w:tc>
          <w:tcPr>
            <w:tcW w:w="962" w:type="pct"/>
            <w:gridSpan w:val="2"/>
            <w:vAlign w:val="center"/>
          </w:tcPr>
          <w:p w14:paraId="33FA39E2">
            <w:pPr>
              <w:jc w:val="center"/>
              <w:rPr>
                <w:rFonts w:asciiTheme="minorEastAsia" w:hAnsiTheme="minorEastAsia"/>
                <w:color w:val="auto"/>
                <w:szCs w:val="21"/>
                <w:highlight w:val="none"/>
              </w:rPr>
            </w:pPr>
          </w:p>
        </w:tc>
        <w:tc>
          <w:tcPr>
            <w:tcW w:w="903" w:type="pct"/>
            <w:gridSpan w:val="4"/>
            <w:vAlign w:val="center"/>
          </w:tcPr>
          <w:p w14:paraId="218B69B9">
            <w:pPr>
              <w:jc w:val="center"/>
              <w:rPr>
                <w:rFonts w:asciiTheme="minorEastAsia" w:hAnsiTheme="minorEastAsia"/>
                <w:color w:val="auto"/>
                <w:szCs w:val="21"/>
                <w:highlight w:val="none"/>
              </w:rPr>
            </w:pPr>
          </w:p>
        </w:tc>
        <w:tc>
          <w:tcPr>
            <w:tcW w:w="892" w:type="pct"/>
            <w:gridSpan w:val="2"/>
            <w:vAlign w:val="center"/>
          </w:tcPr>
          <w:p w14:paraId="7C6390C8">
            <w:pPr>
              <w:jc w:val="center"/>
              <w:rPr>
                <w:rFonts w:asciiTheme="minorEastAsia" w:hAnsiTheme="minorEastAsia"/>
                <w:color w:val="auto"/>
                <w:szCs w:val="21"/>
                <w:highlight w:val="none"/>
              </w:rPr>
            </w:pPr>
          </w:p>
        </w:tc>
        <w:tc>
          <w:tcPr>
            <w:tcW w:w="1399" w:type="pct"/>
            <w:gridSpan w:val="3"/>
            <w:vAlign w:val="center"/>
          </w:tcPr>
          <w:p w14:paraId="12B639CD">
            <w:pPr>
              <w:jc w:val="center"/>
              <w:rPr>
                <w:rFonts w:asciiTheme="minorEastAsia" w:hAnsiTheme="minorEastAsia"/>
                <w:color w:val="auto"/>
                <w:szCs w:val="21"/>
                <w:highlight w:val="none"/>
              </w:rPr>
            </w:pPr>
          </w:p>
        </w:tc>
      </w:tr>
      <w:tr w14:paraId="617C7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2D9EC954">
            <w:pPr>
              <w:jc w:val="center"/>
              <w:rPr>
                <w:rFonts w:asciiTheme="minorEastAsia" w:hAnsiTheme="minorEastAsia"/>
                <w:color w:val="auto"/>
                <w:szCs w:val="21"/>
                <w:highlight w:val="none"/>
              </w:rPr>
            </w:pPr>
          </w:p>
        </w:tc>
        <w:tc>
          <w:tcPr>
            <w:tcW w:w="962" w:type="pct"/>
            <w:gridSpan w:val="2"/>
            <w:vAlign w:val="center"/>
          </w:tcPr>
          <w:p w14:paraId="3F9E6313">
            <w:pPr>
              <w:jc w:val="center"/>
              <w:rPr>
                <w:rFonts w:asciiTheme="minorEastAsia" w:hAnsiTheme="minorEastAsia"/>
                <w:color w:val="auto"/>
                <w:szCs w:val="21"/>
                <w:highlight w:val="none"/>
              </w:rPr>
            </w:pPr>
          </w:p>
        </w:tc>
        <w:tc>
          <w:tcPr>
            <w:tcW w:w="903" w:type="pct"/>
            <w:gridSpan w:val="4"/>
            <w:vAlign w:val="center"/>
          </w:tcPr>
          <w:p w14:paraId="3A4B9549">
            <w:pPr>
              <w:jc w:val="center"/>
              <w:rPr>
                <w:rFonts w:asciiTheme="minorEastAsia" w:hAnsiTheme="minorEastAsia"/>
                <w:color w:val="auto"/>
                <w:szCs w:val="21"/>
                <w:highlight w:val="none"/>
              </w:rPr>
            </w:pPr>
          </w:p>
        </w:tc>
        <w:tc>
          <w:tcPr>
            <w:tcW w:w="892" w:type="pct"/>
            <w:gridSpan w:val="2"/>
            <w:vAlign w:val="center"/>
          </w:tcPr>
          <w:p w14:paraId="00AAF301">
            <w:pPr>
              <w:jc w:val="center"/>
              <w:rPr>
                <w:rFonts w:asciiTheme="minorEastAsia" w:hAnsiTheme="minorEastAsia"/>
                <w:color w:val="auto"/>
                <w:szCs w:val="21"/>
                <w:highlight w:val="none"/>
              </w:rPr>
            </w:pPr>
          </w:p>
        </w:tc>
        <w:tc>
          <w:tcPr>
            <w:tcW w:w="1399" w:type="pct"/>
            <w:gridSpan w:val="3"/>
            <w:vAlign w:val="center"/>
          </w:tcPr>
          <w:p w14:paraId="39392CE7">
            <w:pPr>
              <w:jc w:val="center"/>
              <w:rPr>
                <w:rFonts w:asciiTheme="minorEastAsia" w:hAnsiTheme="minorEastAsia"/>
                <w:color w:val="auto"/>
                <w:szCs w:val="21"/>
                <w:highlight w:val="none"/>
              </w:rPr>
            </w:pPr>
          </w:p>
        </w:tc>
      </w:tr>
    </w:tbl>
    <w:p w14:paraId="7E9FB48A">
      <w:pPr>
        <w:spacing w:line="360" w:lineRule="auto"/>
        <w:rPr>
          <w:rFonts w:asciiTheme="minorEastAsia" w:hAnsiTheme="minorEastAsia"/>
          <w:color w:val="auto"/>
          <w:szCs w:val="21"/>
          <w:highlight w:val="none"/>
        </w:rPr>
      </w:pPr>
    </w:p>
    <w:p w14:paraId="4FDE14A8">
      <w:pPr>
        <w:spacing w:line="360" w:lineRule="auto"/>
        <w:rPr>
          <w:rFonts w:asciiTheme="minorEastAsia" w:hAnsiTheme="minorEastAsia"/>
          <w:color w:val="auto"/>
          <w:szCs w:val="21"/>
          <w:highlight w:val="none"/>
        </w:rPr>
      </w:pPr>
    </w:p>
    <w:p w14:paraId="15CB5B0F">
      <w:pPr>
        <w:spacing w:line="360" w:lineRule="auto"/>
        <w:rPr>
          <w:rFonts w:asciiTheme="minorEastAsia" w:hAnsiTheme="minorEastAsia"/>
          <w:color w:val="auto"/>
          <w:szCs w:val="21"/>
          <w:highlight w:val="none"/>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353"/>
        <w:gridCol w:w="3175"/>
      </w:tblGrid>
      <w:tr w14:paraId="07D49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353" w:type="dxa"/>
          </w:tcPr>
          <w:p w14:paraId="357102C0">
            <w:pPr>
              <w:overflowPunct w:val="0"/>
              <w:adjustRightInd w:val="0"/>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响应供应商名称（加盖公章）：</w:t>
            </w:r>
            <w:r>
              <w:rPr>
                <w:rFonts w:asciiTheme="minorEastAsia" w:hAnsiTheme="minorEastAsia"/>
                <w:color w:val="auto"/>
                <w:szCs w:val="21"/>
                <w:highlight w:val="none"/>
                <w:u w:val="single"/>
              </w:rPr>
              <w:t xml:space="preserve">                         </w:t>
            </w:r>
          </w:p>
        </w:tc>
        <w:tc>
          <w:tcPr>
            <w:tcW w:w="3175" w:type="dxa"/>
          </w:tcPr>
          <w:p w14:paraId="4B835159">
            <w:pPr>
              <w:spacing w:line="360" w:lineRule="auto"/>
              <w:rPr>
                <w:rFonts w:asciiTheme="minorEastAsia" w:hAnsiTheme="minorEastAsia"/>
                <w:color w:val="auto"/>
                <w:szCs w:val="21"/>
                <w:highlight w:val="none"/>
              </w:rPr>
            </w:pPr>
          </w:p>
        </w:tc>
      </w:tr>
      <w:tr w14:paraId="6CDFA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353" w:type="dxa"/>
          </w:tcPr>
          <w:p w14:paraId="0181DF77">
            <w:pPr>
              <w:spacing w:line="360" w:lineRule="auto"/>
              <w:rPr>
                <w:rFonts w:asciiTheme="minorEastAsia" w:hAnsiTheme="minorEastAsia"/>
                <w:color w:val="auto"/>
                <w:szCs w:val="21"/>
                <w:highlight w:val="none"/>
              </w:rPr>
            </w:pPr>
            <w:r>
              <w:rPr>
                <w:rFonts w:hint="eastAsia" w:asciiTheme="minorEastAsia" w:hAnsiTheme="minorEastAsia"/>
                <w:color w:val="auto"/>
                <w:szCs w:val="21"/>
                <w:highlight w:val="none"/>
              </w:rPr>
              <w:t>日期：</w:t>
            </w:r>
            <w:r>
              <w:rPr>
                <w:rFonts w:asciiTheme="minorEastAsia" w:hAnsiTheme="minorEastAsia"/>
                <w:color w:val="auto"/>
                <w:szCs w:val="21"/>
                <w:highlight w:val="none"/>
                <w:u w:val="single"/>
              </w:rPr>
              <w:t xml:space="preserve">             年           月            日</w:t>
            </w:r>
          </w:p>
        </w:tc>
        <w:tc>
          <w:tcPr>
            <w:tcW w:w="3175" w:type="dxa"/>
          </w:tcPr>
          <w:p w14:paraId="6E667D3E">
            <w:pPr>
              <w:spacing w:line="360" w:lineRule="auto"/>
              <w:rPr>
                <w:rFonts w:asciiTheme="minorEastAsia" w:hAnsiTheme="minorEastAsia"/>
                <w:color w:val="auto"/>
                <w:szCs w:val="21"/>
                <w:highlight w:val="none"/>
              </w:rPr>
            </w:pPr>
          </w:p>
        </w:tc>
      </w:tr>
    </w:tbl>
    <w:p w14:paraId="5B7215B4">
      <w:pPr>
        <w:spacing w:line="360" w:lineRule="auto"/>
        <w:rPr>
          <w:rFonts w:asciiTheme="minorEastAsia" w:hAnsiTheme="minorEastAsia"/>
          <w:color w:val="auto"/>
          <w:szCs w:val="21"/>
          <w:highlight w:val="none"/>
        </w:rPr>
      </w:pPr>
    </w:p>
    <w:p w14:paraId="42B77308">
      <w:pPr>
        <w:spacing w:line="360" w:lineRule="auto"/>
        <w:rPr>
          <w:rFonts w:asciiTheme="minorEastAsia" w:hAnsiTheme="minorEastAsia"/>
          <w:color w:val="auto"/>
          <w:szCs w:val="21"/>
          <w:highlight w:val="none"/>
        </w:rPr>
      </w:pPr>
    </w:p>
    <w:p w14:paraId="12C4CF2D">
      <w:pPr>
        <w:spacing w:line="360" w:lineRule="auto"/>
        <w:rPr>
          <w:rFonts w:asciiTheme="minorEastAsia" w:hAnsiTheme="minorEastAsia"/>
          <w:color w:val="auto"/>
          <w:szCs w:val="21"/>
          <w:highlight w:val="none"/>
        </w:rPr>
      </w:pPr>
    </w:p>
    <w:bookmarkEnd w:id="53"/>
    <w:p w14:paraId="234CBFF3">
      <w:pPr>
        <w:spacing w:line="360" w:lineRule="auto"/>
        <w:rPr>
          <w:rFonts w:asciiTheme="minorEastAsia" w:hAnsiTheme="minorEastAsia"/>
          <w:color w:val="auto"/>
          <w:highlight w:val="none"/>
        </w:rPr>
      </w:pPr>
    </w:p>
    <w:p w14:paraId="526C9582">
      <w:pPr>
        <w:pStyle w:val="3"/>
        <w:keepNext w:val="0"/>
        <w:keepLines w:val="0"/>
        <w:pageBreakBefore/>
        <w:numPr>
          <w:ilvl w:val="0"/>
          <w:numId w:val="87"/>
        </w:numPr>
        <w:tabs>
          <w:tab w:val="left" w:pos="284"/>
        </w:tabs>
        <w:spacing w:line="360" w:lineRule="auto"/>
        <w:jc w:val="left"/>
        <w:rPr>
          <w:rStyle w:val="25"/>
          <w:rFonts w:asciiTheme="minorEastAsia" w:hAnsiTheme="minorEastAsia" w:eastAsiaTheme="minorEastAsia"/>
          <w:b/>
          <w:bCs w:val="0"/>
          <w:color w:val="auto"/>
          <w:spacing w:val="12"/>
          <w:sz w:val="21"/>
          <w:szCs w:val="21"/>
          <w:highlight w:val="none"/>
        </w:rPr>
      </w:pPr>
      <w:bookmarkStart w:id="131" w:name="_Toc138770026"/>
      <w:r>
        <w:rPr>
          <w:rStyle w:val="25"/>
          <w:rFonts w:hint="eastAsia" w:asciiTheme="minorEastAsia" w:hAnsiTheme="minorEastAsia" w:eastAsiaTheme="minorEastAsia"/>
          <w:b/>
          <w:bCs w:val="0"/>
          <w:color w:val="auto"/>
          <w:spacing w:val="12"/>
          <w:sz w:val="21"/>
          <w:szCs w:val="21"/>
          <w:highlight w:val="none"/>
        </w:rPr>
        <w:t>响应信封格式</w:t>
      </w:r>
      <w:bookmarkEnd w:id="131"/>
    </w:p>
    <w:p w14:paraId="2AB079F7">
      <w:pPr>
        <w:spacing w:line="360" w:lineRule="auto"/>
        <w:jc w:val="center"/>
        <w:rPr>
          <w:rFonts w:asciiTheme="minorEastAsia" w:hAnsiTheme="minorEastAsia"/>
          <w:bCs/>
          <w:color w:val="auto"/>
          <w:sz w:val="50"/>
          <w:szCs w:val="50"/>
          <w:highlight w:val="none"/>
        </w:rPr>
      </w:pPr>
    </w:p>
    <w:p w14:paraId="4F43B51F">
      <w:pPr>
        <w:spacing w:line="360" w:lineRule="auto"/>
        <w:jc w:val="center"/>
        <w:rPr>
          <w:rFonts w:hint="eastAsia" w:asciiTheme="minorEastAsia" w:hAnsiTheme="minorEastAsia" w:eastAsiaTheme="minorEastAsia"/>
          <w:b/>
          <w:color w:val="auto"/>
          <w:sz w:val="50"/>
          <w:szCs w:val="50"/>
          <w:highlight w:val="none"/>
          <w:lang w:eastAsia="zh-CN"/>
        </w:rPr>
      </w:pPr>
      <w:r>
        <w:rPr>
          <w:rFonts w:hint="eastAsia" w:asciiTheme="minorEastAsia" w:hAnsiTheme="minorEastAsia"/>
          <w:b/>
          <w:color w:val="auto"/>
          <w:sz w:val="50"/>
          <w:szCs w:val="50"/>
          <w:highlight w:val="none"/>
          <w:lang w:eastAsia="zh-CN"/>
        </w:rPr>
        <w:t>东莞市消防救援支队2025年战勤保障中心食材配送服务项目</w:t>
      </w:r>
    </w:p>
    <w:p w14:paraId="73884F88">
      <w:pPr>
        <w:spacing w:line="360" w:lineRule="auto"/>
        <w:jc w:val="center"/>
        <w:rPr>
          <w:rFonts w:asciiTheme="minorEastAsia" w:hAnsiTheme="minorEastAsia"/>
          <w:b/>
          <w:color w:val="auto"/>
          <w:szCs w:val="21"/>
          <w:highlight w:val="none"/>
        </w:rPr>
      </w:pPr>
    </w:p>
    <w:p w14:paraId="4F601C7A">
      <w:pPr>
        <w:spacing w:line="360" w:lineRule="auto"/>
        <w:jc w:val="center"/>
        <w:rPr>
          <w:rFonts w:asciiTheme="minorEastAsia" w:hAnsiTheme="minorEastAsia"/>
          <w:b/>
          <w:color w:val="auto"/>
          <w:szCs w:val="21"/>
          <w:highlight w:val="none"/>
        </w:rPr>
      </w:pPr>
    </w:p>
    <w:p w14:paraId="353148C4">
      <w:pPr>
        <w:spacing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（评选编号：</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u w:val="single"/>
          <w:lang w:eastAsia="zh-CN"/>
        </w:rPr>
        <w:t>ZHDGZC2025028</w:t>
      </w:r>
      <w:r>
        <w:rPr>
          <w:rFonts w:asciiTheme="minorEastAsia" w:hAnsiTheme="minorEastAsia"/>
          <w:b/>
          <w:color w:val="auto"/>
          <w:szCs w:val="21"/>
          <w:highlight w:val="none"/>
          <w:u w:val="single"/>
        </w:rPr>
        <w:t xml:space="preserve"> </w:t>
      </w:r>
      <w:r>
        <w:rPr>
          <w:rFonts w:hint="eastAsia" w:asciiTheme="minorEastAsia" w:hAnsiTheme="minorEastAsia"/>
          <w:b/>
          <w:color w:val="auto"/>
          <w:szCs w:val="21"/>
          <w:highlight w:val="none"/>
        </w:rPr>
        <w:t>）</w:t>
      </w:r>
    </w:p>
    <w:p w14:paraId="3EC155E1">
      <w:pPr>
        <w:spacing w:before="1404" w:beforeLines="450" w:line="360" w:lineRule="auto"/>
        <w:jc w:val="center"/>
        <w:rPr>
          <w:rFonts w:asciiTheme="minorEastAsia" w:hAnsiTheme="minorEastAsia"/>
          <w:b/>
          <w:color w:val="auto"/>
          <w:spacing w:val="60"/>
          <w:sz w:val="72"/>
          <w:szCs w:val="72"/>
          <w:highlight w:val="none"/>
        </w:rPr>
      </w:pPr>
      <w:r>
        <w:rPr>
          <w:rFonts w:hint="eastAsia" w:asciiTheme="minorEastAsia" w:hAnsiTheme="minorEastAsia"/>
          <w:b/>
          <w:color w:val="auto"/>
          <w:spacing w:val="60"/>
          <w:sz w:val="72"/>
          <w:szCs w:val="72"/>
          <w:highlight w:val="none"/>
          <w:lang w:val="en-US" w:eastAsia="zh-CN"/>
        </w:rPr>
        <w:t>响应</w:t>
      </w:r>
      <w:r>
        <w:rPr>
          <w:rFonts w:hint="eastAsia" w:asciiTheme="minorEastAsia" w:hAnsiTheme="minorEastAsia"/>
          <w:b/>
          <w:color w:val="auto"/>
          <w:spacing w:val="60"/>
          <w:sz w:val="72"/>
          <w:szCs w:val="72"/>
          <w:highlight w:val="none"/>
        </w:rPr>
        <w:t>信封</w:t>
      </w:r>
    </w:p>
    <w:p w14:paraId="1A0867F1">
      <w:pPr>
        <w:spacing w:after="2028" w:afterLines="650" w:line="360" w:lineRule="auto"/>
        <w:jc w:val="center"/>
        <w:rPr>
          <w:rFonts w:asciiTheme="minorEastAsia" w:hAnsiTheme="minorEastAsia"/>
          <w:b/>
          <w:color w:val="auto"/>
          <w:szCs w:val="21"/>
          <w:highlight w:val="none"/>
        </w:rPr>
      </w:pPr>
      <w:r>
        <w:rPr>
          <w:rFonts w:hint="eastAsia" w:asciiTheme="minorEastAsia" w:hAnsiTheme="minorEastAsia"/>
          <w:b/>
          <w:color w:val="auto"/>
          <w:szCs w:val="21"/>
          <w:highlight w:val="none"/>
        </w:rPr>
        <w:t>（封面格式仅供参考）</w:t>
      </w:r>
    </w:p>
    <w:tbl>
      <w:tblPr>
        <w:tblStyle w:val="23"/>
        <w:tblW w:w="418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471"/>
        <w:gridCol w:w="4865"/>
      </w:tblGrid>
      <w:tr w14:paraId="7D829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1684" w:type="pct"/>
            <w:vAlign w:val="center"/>
          </w:tcPr>
          <w:p w14:paraId="4F883BCD">
            <w:pPr>
              <w:spacing w:line="360" w:lineRule="auto"/>
              <w:jc w:val="righ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响应供应商名称：</w:t>
            </w:r>
          </w:p>
        </w:tc>
        <w:tc>
          <w:tcPr>
            <w:tcW w:w="3316" w:type="pct"/>
            <w:vAlign w:val="center"/>
          </w:tcPr>
          <w:p w14:paraId="386B0A9B">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r w14:paraId="4522C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6" w:hRule="atLeast"/>
          <w:jc w:val="center"/>
        </w:trPr>
        <w:tc>
          <w:tcPr>
            <w:tcW w:w="1684" w:type="pct"/>
            <w:vAlign w:val="center"/>
          </w:tcPr>
          <w:p w14:paraId="169BEF22">
            <w:pPr>
              <w:spacing w:line="360" w:lineRule="auto"/>
              <w:jc w:val="right"/>
              <w:rPr>
                <w:rFonts w:asciiTheme="minorEastAsia" w:hAnsiTheme="minorEastAsia"/>
                <w:color w:val="auto"/>
                <w:sz w:val="24"/>
                <w:szCs w:val="24"/>
                <w:highlight w:val="none"/>
              </w:rPr>
            </w:pPr>
            <w:r>
              <w:rPr>
                <w:rFonts w:hint="eastAsia" w:asciiTheme="minorEastAsia" w:hAnsiTheme="minorEastAsia"/>
                <w:color w:val="auto"/>
                <w:sz w:val="24"/>
                <w:szCs w:val="24"/>
                <w:highlight w:val="none"/>
              </w:rPr>
              <w:t>响应供应商地址：</w:t>
            </w:r>
          </w:p>
        </w:tc>
        <w:tc>
          <w:tcPr>
            <w:tcW w:w="3316" w:type="pct"/>
            <w:vAlign w:val="center"/>
          </w:tcPr>
          <w:p w14:paraId="77319B61">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r w14:paraId="5A5792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1684" w:type="pct"/>
            <w:vAlign w:val="center"/>
          </w:tcPr>
          <w:p w14:paraId="6191BE5B">
            <w:pPr>
              <w:spacing w:line="360" w:lineRule="auto"/>
              <w:jc w:val="right"/>
              <w:rPr>
                <w:rFonts w:asciiTheme="minorEastAsia" w:hAnsiTheme="minorEastAsia"/>
                <w:color w:val="auto"/>
                <w:spacing w:val="-10"/>
                <w:sz w:val="24"/>
                <w:szCs w:val="24"/>
                <w:highlight w:val="none"/>
              </w:rPr>
            </w:pPr>
            <w:r>
              <w:rPr>
                <w:rFonts w:hint="eastAsia" w:asciiTheme="minorEastAsia" w:hAnsiTheme="minorEastAsia"/>
                <w:color w:val="auto"/>
                <w:sz w:val="24"/>
                <w:szCs w:val="24"/>
                <w:highlight w:val="none"/>
              </w:rPr>
              <w:t>联系人</w:t>
            </w:r>
            <w:r>
              <w:rPr>
                <w:rFonts w:hint="eastAsia" w:asciiTheme="minorEastAsia" w:hAnsiTheme="minorEastAsia"/>
                <w:color w:val="auto"/>
                <w:spacing w:val="-10"/>
                <w:sz w:val="24"/>
                <w:szCs w:val="24"/>
                <w:highlight w:val="none"/>
              </w:rPr>
              <w:t>：</w:t>
            </w:r>
          </w:p>
        </w:tc>
        <w:tc>
          <w:tcPr>
            <w:tcW w:w="3316" w:type="pct"/>
            <w:vAlign w:val="center"/>
          </w:tcPr>
          <w:p w14:paraId="2F408C6A">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r w14:paraId="52348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1684" w:type="pct"/>
            <w:vAlign w:val="center"/>
          </w:tcPr>
          <w:p w14:paraId="6CA7A992">
            <w:pPr>
              <w:tabs>
                <w:tab w:val="left" w:pos="170"/>
              </w:tabs>
              <w:spacing w:line="360" w:lineRule="auto"/>
              <w:jc w:val="right"/>
              <w:rPr>
                <w:rFonts w:asciiTheme="minorEastAsia" w:hAnsiTheme="minorEastAsia"/>
                <w:color w:val="auto"/>
                <w:sz w:val="24"/>
                <w:szCs w:val="24"/>
                <w:highlight w:val="none"/>
              </w:rPr>
            </w:pPr>
            <w:r>
              <w:rPr>
                <w:rFonts w:hint="eastAsia" w:asciiTheme="minorEastAsia" w:hAnsiTheme="minorEastAsia"/>
                <w:color w:val="auto"/>
                <w:spacing w:val="24"/>
                <w:sz w:val="24"/>
                <w:szCs w:val="24"/>
                <w:highlight w:val="none"/>
              </w:rPr>
              <w:t>联系电话</w:t>
            </w:r>
            <w:r>
              <w:rPr>
                <w:rFonts w:hint="eastAsia" w:asciiTheme="minorEastAsia" w:hAnsiTheme="minorEastAsia"/>
                <w:color w:val="auto"/>
                <w:sz w:val="24"/>
                <w:szCs w:val="24"/>
                <w:highlight w:val="none"/>
              </w:rPr>
              <w:t>：</w:t>
            </w:r>
          </w:p>
        </w:tc>
        <w:tc>
          <w:tcPr>
            <w:tcW w:w="3316" w:type="pct"/>
            <w:vAlign w:val="center"/>
          </w:tcPr>
          <w:p w14:paraId="772143D7">
            <w:pPr>
              <w:spacing w:line="360" w:lineRule="auto"/>
              <w:jc w:val="left"/>
              <w:rPr>
                <w:rFonts w:asciiTheme="minorEastAsia" w:hAnsiTheme="minorEastAsia"/>
                <w:color w:val="auto"/>
                <w:sz w:val="24"/>
                <w:szCs w:val="24"/>
                <w:highlight w:val="none"/>
                <w:u w:val="single"/>
              </w:rPr>
            </w:pPr>
            <w:r>
              <w:rPr>
                <w:rFonts w:asciiTheme="minorEastAsia" w:hAnsiTheme="minorEastAsia"/>
                <w:color w:val="auto"/>
                <w:sz w:val="24"/>
                <w:szCs w:val="24"/>
                <w:highlight w:val="none"/>
                <w:u w:val="single"/>
              </w:rPr>
              <w:t xml:space="preserve">                                       </w:t>
            </w:r>
          </w:p>
        </w:tc>
      </w:tr>
    </w:tbl>
    <w:p w14:paraId="45481CFF">
      <w:pPr>
        <w:spacing w:before="468" w:beforeLines="150" w:line="600" w:lineRule="exact"/>
        <w:jc w:val="center"/>
        <w:rPr>
          <w:rFonts w:asciiTheme="minorEastAsia" w:hAnsiTheme="minorEastAsia"/>
          <w:b/>
          <w:bCs/>
          <w:color w:val="auto"/>
          <w:spacing w:val="40"/>
          <w:sz w:val="24"/>
          <w:szCs w:val="24"/>
          <w:highlight w:val="none"/>
        </w:rPr>
      </w:pPr>
      <w:r>
        <w:rPr>
          <w:rFonts w:hint="eastAsia" w:asciiTheme="minorEastAsia" w:hAnsiTheme="minorEastAsia"/>
          <w:b/>
          <w:color w:val="auto"/>
          <w:spacing w:val="40"/>
          <w:sz w:val="24"/>
          <w:szCs w:val="24"/>
          <w:highlight w:val="none"/>
        </w:rPr>
        <w:t>日期：</w:t>
      </w:r>
      <w:r>
        <w:rPr>
          <w:rFonts w:hint="eastAsia" w:asciiTheme="minorEastAsia" w:hAnsiTheme="minorEastAsia"/>
          <w:b/>
          <w:color w:val="auto"/>
          <w:spacing w:val="20"/>
          <w:szCs w:val="21"/>
          <w:highlight w:val="none"/>
        </w:rPr>
        <w:t xml:space="preserve">    </w:t>
      </w:r>
      <w:r>
        <w:rPr>
          <w:rFonts w:hint="eastAsia" w:asciiTheme="minorEastAsia" w:hAnsiTheme="minorEastAsia"/>
          <w:b/>
          <w:color w:val="auto"/>
          <w:spacing w:val="40"/>
          <w:sz w:val="24"/>
          <w:szCs w:val="24"/>
          <w:highlight w:val="none"/>
        </w:rPr>
        <w:t xml:space="preserve">年 </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 xml:space="preserve">月 </w:t>
      </w:r>
      <w:r>
        <w:rPr>
          <w:rFonts w:asciiTheme="minorEastAsia" w:hAnsiTheme="minorEastAsia"/>
          <w:b/>
          <w:color w:val="auto"/>
          <w:spacing w:val="40"/>
          <w:sz w:val="24"/>
          <w:szCs w:val="24"/>
          <w:highlight w:val="none"/>
        </w:rPr>
        <w:t xml:space="preserve"> </w:t>
      </w:r>
      <w:r>
        <w:rPr>
          <w:rFonts w:hint="eastAsia" w:asciiTheme="minorEastAsia" w:hAnsiTheme="minorEastAsia"/>
          <w:b/>
          <w:color w:val="auto"/>
          <w:spacing w:val="40"/>
          <w:sz w:val="24"/>
          <w:szCs w:val="24"/>
          <w:highlight w:val="none"/>
        </w:rPr>
        <w:t>日</w:t>
      </w:r>
    </w:p>
    <w:p w14:paraId="7A8D4E15">
      <w:pPr>
        <w:spacing w:line="360" w:lineRule="auto"/>
        <w:rPr>
          <w:rFonts w:asciiTheme="minorEastAsia" w:hAnsiTheme="minorEastAsia"/>
          <w:color w:val="auto"/>
          <w:highlight w:val="none"/>
        </w:rPr>
      </w:pPr>
    </w:p>
    <w:p w14:paraId="19F9679A">
      <w:pPr>
        <w:spacing w:line="360" w:lineRule="auto"/>
        <w:rPr>
          <w:rFonts w:asciiTheme="minorEastAsia" w:hAnsiTheme="minorEastAsia"/>
          <w:color w:val="auto"/>
          <w:highlight w:val="none"/>
        </w:rPr>
      </w:pPr>
    </w:p>
    <w:p w14:paraId="10084F0C">
      <w:pPr>
        <w:pStyle w:val="33"/>
        <w:numPr>
          <w:ilvl w:val="0"/>
          <w:numId w:val="94"/>
        </w:numPr>
        <w:spacing w:before="312" w:beforeLines="100" w:after="312" w:afterLines="100" w:line="360" w:lineRule="auto"/>
        <w:ind w:firstLineChars="0"/>
        <w:jc w:val="left"/>
        <w:rPr>
          <w:rFonts w:asciiTheme="minorEastAsia" w:hAnsiTheme="minorEastAsia"/>
          <w:b/>
          <w:color w:val="auto"/>
          <w:spacing w:val="20"/>
          <w:sz w:val="28"/>
          <w:szCs w:val="28"/>
          <w:highlight w:val="none"/>
        </w:rPr>
      </w:pPr>
      <w:r>
        <w:rPr>
          <w:rFonts w:hint="eastAsia" w:asciiTheme="minorEastAsia" w:hAnsiTheme="minorEastAsia"/>
          <w:b/>
          <w:color w:val="auto"/>
          <w:spacing w:val="20"/>
          <w:sz w:val="28"/>
          <w:szCs w:val="28"/>
          <w:highlight w:val="none"/>
          <w:lang w:val="en-US" w:eastAsia="zh-CN"/>
        </w:rPr>
        <w:t>响应</w:t>
      </w:r>
      <w:r>
        <w:rPr>
          <w:rFonts w:hint="eastAsia" w:asciiTheme="minorEastAsia" w:hAnsiTheme="minorEastAsia"/>
          <w:b/>
          <w:color w:val="auto"/>
          <w:spacing w:val="20"/>
          <w:sz w:val="28"/>
          <w:szCs w:val="28"/>
          <w:highlight w:val="none"/>
        </w:rPr>
        <w:t>信封内装：</w:t>
      </w:r>
    </w:p>
    <w:p w14:paraId="29CD3981">
      <w:pPr>
        <w:pStyle w:val="33"/>
        <w:numPr>
          <w:ilvl w:val="0"/>
          <w:numId w:val="95"/>
        </w:numPr>
        <w:spacing w:line="360" w:lineRule="auto"/>
        <w:ind w:firstLineChars="0"/>
        <w:rPr>
          <w:rFonts w:asciiTheme="minorEastAsia" w:hAnsiTheme="minorEastAsia"/>
          <w:color w:val="auto"/>
          <w:szCs w:val="21"/>
          <w:highlight w:val="none"/>
        </w:rPr>
      </w:pPr>
      <w:r>
        <w:rPr>
          <w:rFonts w:hint="eastAsia" w:asciiTheme="minorEastAsia" w:hAnsiTheme="minorEastAsia"/>
          <w:color w:val="auto"/>
          <w:szCs w:val="21"/>
          <w:highlight w:val="none"/>
        </w:rPr>
        <w:t>报价一览表加盖响应供应商公章；</w:t>
      </w:r>
    </w:p>
    <w:p w14:paraId="4123E1E7">
      <w:pPr>
        <w:pStyle w:val="33"/>
        <w:numPr>
          <w:ilvl w:val="0"/>
          <w:numId w:val="95"/>
        </w:numPr>
        <w:spacing w:line="360" w:lineRule="auto"/>
        <w:ind w:firstLineChars="0"/>
        <w:rPr>
          <w:rFonts w:asciiTheme="minorEastAsia" w:hAnsiTheme="minorEastAsia"/>
          <w:color w:val="auto"/>
          <w:highlight w:val="none"/>
        </w:rPr>
      </w:pPr>
      <w:r>
        <w:rPr>
          <w:rFonts w:hint="eastAsia" w:asciiTheme="minorEastAsia" w:hAnsiTheme="minorEastAsia"/>
          <w:color w:val="auto"/>
          <w:szCs w:val="21"/>
          <w:highlight w:val="none"/>
        </w:rPr>
        <w:t>法定代表人证明书或法定代表人授权委托书加盖响应供应商公章；</w:t>
      </w:r>
    </w:p>
    <w:p w14:paraId="189E452B">
      <w:pPr>
        <w:pStyle w:val="33"/>
        <w:numPr>
          <w:ilvl w:val="0"/>
          <w:numId w:val="95"/>
        </w:numPr>
        <w:spacing w:line="360" w:lineRule="auto"/>
        <w:ind w:firstLineChars="0"/>
        <w:rPr>
          <w:rFonts w:asciiTheme="minorEastAsia" w:hAnsiTheme="minorEastAsia"/>
          <w:color w:val="auto"/>
          <w:szCs w:val="21"/>
          <w:highlight w:val="none"/>
        </w:rPr>
      </w:pPr>
      <w:r>
        <w:rPr>
          <w:rFonts w:hint="eastAsia" w:asciiTheme="minorEastAsia" w:hAnsiTheme="minorEastAsia"/>
          <w:bCs/>
          <w:color w:val="auto"/>
          <w:szCs w:val="21"/>
          <w:highlight w:val="none"/>
        </w:rPr>
        <w:t>其他格式（如有）</w:t>
      </w:r>
      <w:r>
        <w:rPr>
          <w:rFonts w:hint="eastAsia" w:asciiTheme="minorEastAsia" w:hAnsiTheme="minorEastAsia"/>
          <w:color w:val="auto"/>
          <w:szCs w:val="21"/>
          <w:highlight w:val="none"/>
        </w:rPr>
        <w:t>。</w:t>
      </w:r>
    </w:p>
    <w:p w14:paraId="0AD04BD4">
      <w:pPr>
        <w:spacing w:line="360" w:lineRule="auto"/>
        <w:rPr>
          <w:rFonts w:asciiTheme="minorEastAsia" w:hAnsiTheme="minorEastAsia"/>
          <w:color w:val="auto"/>
          <w:highlight w:val="none"/>
        </w:rPr>
      </w:pPr>
    </w:p>
    <w:sectPr>
      <w:footerReference r:id="rId5" w:type="first"/>
      <w:headerReference r:id="rId3" w:type="default"/>
      <w:footerReference r:id="rId4" w:type="default"/>
      <w:pgSz w:w="11906" w:h="16838"/>
      <w:pgMar w:top="1521" w:right="1558" w:bottom="993" w:left="1797" w:header="851" w:footer="680"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12123494"/>
    </w:sdtPr>
    <w:sdtContent>
      <w:p w14:paraId="12806CAB">
        <w:pPr>
          <w:pStyle w:val="15"/>
          <w:jc w:val="center"/>
        </w:pPr>
        <w:r>
          <w:fldChar w:fldCharType="begin"/>
        </w:r>
        <w:r>
          <w:instrText xml:space="preserve">PAGE   \* MERGEFORMAT</w:instrText>
        </w:r>
        <w:r>
          <w:fldChar w:fldCharType="separate"/>
        </w:r>
        <w:r>
          <w:rPr>
            <w:lang w:val="zh-CN"/>
          </w:rPr>
          <w:t>53</w:t>
        </w:r>
        <w:r>
          <w:fldChar w:fldCharType="end"/>
        </w:r>
      </w:p>
    </w:sdtContent>
  </w:sdt>
  <w:p w14:paraId="63D5A360">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79669008"/>
    </w:sdtPr>
    <w:sdtContent>
      <w:p w14:paraId="03562A4D">
        <w:pPr>
          <w:pStyle w:val="15"/>
          <w:jc w:val="center"/>
        </w:pPr>
      </w:p>
    </w:sdtContent>
  </w:sdt>
  <w:p w14:paraId="1BA16E7A">
    <w:pPr>
      <w:pStyle w:val="1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556E53">
    <w:pPr>
      <w:pStyle w:val="16"/>
      <w:jc w:val="left"/>
      <w:rPr>
        <w:rFonts w:ascii="黑体" w:hAnsi="黑体" w:eastAsia="黑体"/>
        <w:color w:val="FF0000"/>
      </w:rPr>
    </w:pPr>
    <w:r>
      <w:rPr>
        <w:rFonts w:hint="eastAsia" w:ascii="黑体" w:hAnsi="黑体" w:eastAsia="黑体"/>
        <w:sz w:val="21"/>
        <w:szCs w:val="21"/>
      </w:rPr>
      <w:t xml:space="preserve">                                   </w:t>
    </w:r>
    <w:r>
      <w:rPr>
        <w:rFonts w:hint="eastAsia" w:ascii="黑体" w:hAnsi="黑体" w:eastAsia="黑体"/>
        <w:color w:val="FF0000"/>
        <w:sz w:val="21"/>
        <w:szCs w:val="21"/>
      </w:rPr>
      <w:t xml:space="preserve">         </w:t>
    </w:r>
    <w:r>
      <w:rPr>
        <w:rFonts w:ascii="黑体" w:hAnsi="黑体" w:eastAsia="黑体"/>
        <w:color w:val="FF0000"/>
        <w:sz w:val="21"/>
        <w:szCs w:val="21"/>
      </w:rPr>
      <w:t xml:space="preserve">   </w:t>
    </w:r>
    <w:r>
      <w:rPr>
        <w:rFonts w:hint="eastAsia" w:ascii="黑体" w:hAnsi="黑体" w:eastAsia="黑体"/>
        <w:color w:val="FF0000"/>
        <w:sz w:val="21"/>
        <w:szCs w:val="21"/>
      </w:rPr>
      <w:t xml:space="preserve"> </w:t>
    </w:r>
    <w:r>
      <w:rPr>
        <w:rFonts w:ascii="宋体" w:hAnsi="宋体" w:eastAsia="宋体"/>
        <w:b/>
        <w:sz w:val="32"/>
      </w:rPr>
      <w:drawing>
        <wp:inline distT="0" distB="0" distL="0" distR="0">
          <wp:extent cx="436245" cy="262255"/>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hint="eastAsia" w:ascii="黑体" w:hAnsi="黑体" w:eastAsia="黑体"/>
        <w:color w:val="FF0000"/>
      </w:rPr>
      <w:t>广东智汇城市招标采购有限公司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CD65A5"/>
    <w:multiLevelType w:val="singleLevel"/>
    <w:tmpl w:val="84CD65A5"/>
    <w:lvl w:ilvl="0" w:tentative="0">
      <w:start w:val="1"/>
      <w:numFmt w:val="decimal"/>
      <w:suff w:val="space"/>
      <w:lvlText w:val="%1."/>
      <w:lvlJc w:val="left"/>
      <w:pPr>
        <w:ind w:left="425" w:hanging="425"/>
      </w:pPr>
      <w:rPr>
        <w:rFonts w:hint="default"/>
        <w:color w:val="auto"/>
      </w:rPr>
    </w:lvl>
  </w:abstractNum>
  <w:abstractNum w:abstractNumId="1">
    <w:nsid w:val="8A4763B7"/>
    <w:multiLevelType w:val="multilevel"/>
    <w:tmpl w:val="8A4763B7"/>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1999674"/>
    <w:multiLevelType w:val="singleLevel"/>
    <w:tmpl w:val="91999674"/>
    <w:lvl w:ilvl="0" w:tentative="0">
      <w:start w:val="1"/>
      <w:numFmt w:val="decimal"/>
      <w:suff w:val="space"/>
      <w:lvlText w:val="%1."/>
      <w:lvlJc w:val="left"/>
      <w:pPr>
        <w:ind w:left="425" w:hanging="425"/>
      </w:pPr>
      <w:rPr>
        <w:rFonts w:hint="default"/>
        <w:color w:val="auto"/>
      </w:rPr>
    </w:lvl>
  </w:abstractNum>
  <w:abstractNum w:abstractNumId="3">
    <w:nsid w:val="9E89A828"/>
    <w:multiLevelType w:val="singleLevel"/>
    <w:tmpl w:val="9E89A828"/>
    <w:lvl w:ilvl="0" w:tentative="0">
      <w:start w:val="1"/>
      <w:numFmt w:val="decimal"/>
      <w:suff w:val="space"/>
      <w:lvlText w:val="%1."/>
      <w:lvlJc w:val="left"/>
      <w:pPr>
        <w:ind w:left="425" w:hanging="425"/>
      </w:pPr>
      <w:rPr>
        <w:rFonts w:hint="default"/>
        <w:color w:val="auto"/>
      </w:rPr>
    </w:lvl>
  </w:abstractNum>
  <w:abstractNum w:abstractNumId="4">
    <w:nsid w:val="9FB7E2EE"/>
    <w:multiLevelType w:val="singleLevel"/>
    <w:tmpl w:val="9FB7E2EE"/>
    <w:lvl w:ilvl="0" w:tentative="0">
      <w:start w:val="1"/>
      <w:numFmt w:val="decimal"/>
      <w:lvlText w:val="(%1)"/>
      <w:lvlJc w:val="left"/>
      <w:pPr>
        <w:ind w:left="425" w:hanging="425"/>
      </w:pPr>
      <w:rPr>
        <w:rFonts w:hint="default"/>
      </w:rPr>
    </w:lvl>
  </w:abstractNum>
  <w:abstractNum w:abstractNumId="5">
    <w:nsid w:val="A1BA7CE6"/>
    <w:multiLevelType w:val="singleLevel"/>
    <w:tmpl w:val="A1BA7CE6"/>
    <w:lvl w:ilvl="0" w:tentative="0">
      <w:start w:val="1"/>
      <w:numFmt w:val="decimal"/>
      <w:suff w:val="space"/>
      <w:lvlText w:val="%1."/>
      <w:lvlJc w:val="left"/>
      <w:pPr>
        <w:ind w:left="425" w:hanging="425"/>
      </w:pPr>
      <w:rPr>
        <w:rFonts w:hint="default"/>
        <w:color w:val="auto"/>
      </w:rPr>
    </w:lvl>
  </w:abstractNum>
  <w:abstractNum w:abstractNumId="6">
    <w:nsid w:val="B542B06E"/>
    <w:multiLevelType w:val="multilevel"/>
    <w:tmpl w:val="B542B06E"/>
    <w:lvl w:ilvl="0" w:tentative="0">
      <w:start w:val="1"/>
      <w:numFmt w:val="chineseCountingThousand"/>
      <w:suff w:val="space"/>
      <w:lvlText w:val="(%1)"/>
      <w:lvlJc w:val="left"/>
      <w:pPr>
        <w:ind w:left="420" w:hanging="420"/>
      </w:pPr>
      <w:rPr>
        <w:rFonts w:hint="eastAsia"/>
        <w:color w:val="auto"/>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
    <w:nsid w:val="B7E41693"/>
    <w:multiLevelType w:val="singleLevel"/>
    <w:tmpl w:val="B7E41693"/>
    <w:lvl w:ilvl="0" w:tentative="0">
      <w:start w:val="1"/>
      <w:numFmt w:val="decimal"/>
      <w:suff w:val="space"/>
      <w:lvlText w:val="%1."/>
      <w:lvlJc w:val="left"/>
      <w:pPr>
        <w:ind w:left="425" w:hanging="425"/>
      </w:pPr>
      <w:rPr>
        <w:rFonts w:hint="default"/>
        <w:color w:val="auto"/>
      </w:rPr>
    </w:lvl>
  </w:abstractNum>
  <w:abstractNum w:abstractNumId="8">
    <w:nsid w:val="C3C7062C"/>
    <w:multiLevelType w:val="singleLevel"/>
    <w:tmpl w:val="C3C7062C"/>
    <w:lvl w:ilvl="0" w:tentative="0">
      <w:start w:val="1"/>
      <w:numFmt w:val="decimal"/>
      <w:lvlText w:val="(%1)"/>
      <w:lvlJc w:val="left"/>
      <w:pPr>
        <w:ind w:left="425" w:hanging="425"/>
      </w:pPr>
      <w:rPr>
        <w:rFonts w:hint="default"/>
      </w:rPr>
    </w:lvl>
  </w:abstractNum>
  <w:abstractNum w:abstractNumId="9">
    <w:nsid w:val="DBBB6B06"/>
    <w:multiLevelType w:val="singleLevel"/>
    <w:tmpl w:val="DBBB6B06"/>
    <w:lvl w:ilvl="0" w:tentative="0">
      <w:start w:val="1"/>
      <w:numFmt w:val="decimal"/>
      <w:suff w:val="space"/>
      <w:lvlText w:val="%1."/>
      <w:lvlJc w:val="left"/>
      <w:pPr>
        <w:ind w:left="425" w:hanging="425"/>
      </w:pPr>
      <w:rPr>
        <w:rFonts w:hint="default"/>
        <w:color w:val="auto"/>
      </w:rPr>
    </w:lvl>
  </w:abstractNum>
  <w:abstractNum w:abstractNumId="10">
    <w:nsid w:val="EFE20587"/>
    <w:multiLevelType w:val="singleLevel"/>
    <w:tmpl w:val="EFE20587"/>
    <w:lvl w:ilvl="0" w:tentative="0">
      <w:start w:val="1"/>
      <w:numFmt w:val="decimal"/>
      <w:suff w:val="space"/>
      <w:lvlText w:val="%1."/>
      <w:lvlJc w:val="left"/>
      <w:pPr>
        <w:ind w:left="425" w:hanging="425"/>
      </w:pPr>
      <w:rPr>
        <w:rFonts w:hint="default"/>
        <w:color w:val="auto"/>
      </w:rPr>
    </w:lvl>
  </w:abstractNum>
  <w:abstractNum w:abstractNumId="11">
    <w:nsid w:val="F248D9A0"/>
    <w:multiLevelType w:val="singleLevel"/>
    <w:tmpl w:val="F248D9A0"/>
    <w:lvl w:ilvl="0" w:tentative="0">
      <w:start w:val="1"/>
      <w:numFmt w:val="decimal"/>
      <w:suff w:val="space"/>
      <w:lvlText w:val="%1."/>
      <w:lvlJc w:val="left"/>
      <w:pPr>
        <w:ind w:left="425" w:hanging="425"/>
      </w:pPr>
      <w:rPr>
        <w:rFonts w:hint="default"/>
        <w:color w:val="auto"/>
      </w:rPr>
    </w:lvl>
  </w:abstractNum>
  <w:abstractNum w:abstractNumId="12">
    <w:nsid w:val="FE487EE7"/>
    <w:multiLevelType w:val="singleLevel"/>
    <w:tmpl w:val="FE487EE7"/>
    <w:lvl w:ilvl="0" w:tentative="0">
      <w:start w:val="1"/>
      <w:numFmt w:val="decimal"/>
      <w:lvlText w:val="(%1)"/>
      <w:lvlJc w:val="left"/>
      <w:pPr>
        <w:ind w:left="425" w:hanging="425"/>
      </w:pPr>
      <w:rPr>
        <w:rFonts w:hint="default"/>
      </w:rPr>
    </w:lvl>
  </w:abstractNum>
  <w:abstractNum w:abstractNumId="13">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6342F4C"/>
    <w:multiLevelType w:val="multilevel"/>
    <w:tmpl w:val="06342F4C"/>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08AF46D7"/>
    <w:multiLevelType w:val="multilevel"/>
    <w:tmpl w:val="08AF46D7"/>
    <w:lvl w:ilvl="0" w:tentative="0">
      <w:start w:val="1"/>
      <w:numFmt w:val="decimal"/>
      <w:lvlText w:val="3.%1"/>
      <w:lvlJc w:val="left"/>
      <w:pPr>
        <w:ind w:left="941"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B5D1CF6"/>
    <w:multiLevelType w:val="multilevel"/>
    <w:tmpl w:val="0B5D1CF6"/>
    <w:lvl w:ilvl="0" w:tentative="0">
      <w:start w:val="1"/>
      <w:numFmt w:val="decimal"/>
      <w:lvlText w:val="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EE76AD9"/>
    <w:multiLevelType w:val="multilevel"/>
    <w:tmpl w:val="0EE76AD9"/>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12004C9B"/>
    <w:multiLevelType w:val="multilevel"/>
    <w:tmpl w:val="12004C9B"/>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76E0134"/>
    <w:multiLevelType w:val="multilevel"/>
    <w:tmpl w:val="176E0134"/>
    <w:lvl w:ilvl="0" w:tentative="0">
      <w:start w:val="1"/>
      <w:numFmt w:val="decimal"/>
      <w:lvlText w:val="1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183154B4"/>
    <w:multiLevelType w:val="multilevel"/>
    <w:tmpl w:val="183154B4"/>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19CD77AF"/>
    <w:multiLevelType w:val="multilevel"/>
    <w:tmpl w:val="19CD77AF"/>
    <w:lvl w:ilvl="0" w:tentative="0">
      <w:start w:val="1"/>
      <w:numFmt w:val="decimal"/>
      <w:lvlText w:val="19.%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A600377"/>
    <w:multiLevelType w:val="multilevel"/>
    <w:tmpl w:val="1A600377"/>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A973E3B"/>
    <w:multiLevelType w:val="multilevel"/>
    <w:tmpl w:val="1A973E3B"/>
    <w:lvl w:ilvl="0" w:tentative="0">
      <w:start w:val="1"/>
      <w:numFmt w:val="decimal"/>
      <w:lvlText w:val="1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1C4E0595"/>
    <w:multiLevelType w:val="multilevel"/>
    <w:tmpl w:val="1C4E059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1">
    <w:nsid w:val="1DA21561"/>
    <w:multiLevelType w:val="multilevel"/>
    <w:tmpl w:val="1DA21561"/>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2.%3"/>
      <w:lvlJc w:val="left"/>
      <w:pPr>
        <w:ind w:left="709" w:hanging="709"/>
      </w:pPr>
      <w:rPr>
        <w:rFonts w:hint="eastAsia"/>
      </w:rPr>
    </w:lvl>
    <w:lvl w:ilvl="3" w:tentative="0">
      <w:start w:val="1"/>
      <w:numFmt w:val="decimal"/>
      <w:lvlText w:val="30.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2">
    <w:nsid w:val="1E0E2DA0"/>
    <w:multiLevelType w:val="multilevel"/>
    <w:tmpl w:val="1E0E2DA0"/>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7.%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3">
    <w:nsid w:val="205FAAB0"/>
    <w:multiLevelType w:val="singleLevel"/>
    <w:tmpl w:val="205FAAB0"/>
    <w:lvl w:ilvl="0" w:tentative="0">
      <w:start w:val="1"/>
      <w:numFmt w:val="decimal"/>
      <w:lvlText w:val="(%1)"/>
      <w:lvlJc w:val="left"/>
      <w:pPr>
        <w:ind w:left="425" w:hanging="425"/>
      </w:pPr>
      <w:rPr>
        <w:rFonts w:hint="default"/>
      </w:rPr>
    </w:lvl>
  </w:abstractNum>
  <w:abstractNum w:abstractNumId="34">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8.%2"/>
      <w:lvlJc w:val="left"/>
      <w:pPr>
        <w:ind w:left="567" w:hanging="567"/>
      </w:pPr>
      <w:rPr>
        <w:rFonts w:hint="eastAsia"/>
        <w:b/>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5">
    <w:nsid w:val="25321F35"/>
    <w:multiLevelType w:val="multilevel"/>
    <w:tmpl w:val="25321F35"/>
    <w:lvl w:ilvl="0" w:tentative="0">
      <w:start w:val="1"/>
      <w:numFmt w:val="decimal"/>
      <w:lvlText w:val="%1."/>
      <w:lvlJc w:val="left"/>
      <w:pPr>
        <w:ind w:left="842" w:hanging="420"/>
      </w:pPr>
      <w:rPr>
        <w:rFonts w:hint="eastAsia"/>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36">
    <w:nsid w:val="25F566EF"/>
    <w:multiLevelType w:val="multilevel"/>
    <w:tmpl w:val="25F566EF"/>
    <w:lvl w:ilvl="0" w:tentative="0">
      <w:start w:val="1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10.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7">
    <w:nsid w:val="276B6FB6"/>
    <w:multiLevelType w:val="multilevel"/>
    <w:tmpl w:val="276B6FB6"/>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8">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9">
    <w:nsid w:val="2A16535C"/>
    <w:multiLevelType w:val="multilevel"/>
    <w:tmpl w:val="2A16535C"/>
    <w:lvl w:ilvl="0" w:tentative="0">
      <w:start w:val="1"/>
      <w:numFmt w:val="decimal"/>
      <w:lvlText w:val="11.%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0">
    <w:nsid w:val="2B1320B6"/>
    <w:multiLevelType w:val="multilevel"/>
    <w:tmpl w:val="2B1320B6"/>
    <w:lvl w:ilvl="0" w:tentative="0">
      <w:start w:val="1"/>
      <w:numFmt w:val="decimal"/>
      <w:lvlText w:val="17.%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2B8721E3"/>
    <w:multiLevelType w:val="multilevel"/>
    <w:tmpl w:val="2B8721E3"/>
    <w:lvl w:ilvl="0" w:tentative="0">
      <w:start w:val="29"/>
      <w:numFmt w:val="decimal"/>
      <w:lvlText w:val="%1"/>
      <w:lvlJc w:val="left"/>
      <w:pPr>
        <w:ind w:left="425" w:hanging="425"/>
      </w:pPr>
      <w:rPr>
        <w:rFonts w:hint="eastAsia"/>
      </w:rPr>
    </w:lvl>
    <w:lvl w:ilvl="1" w:tentative="0">
      <w:start w:val="3"/>
      <w:numFmt w:val="decimal"/>
      <w:lvlText w:val="%1.%2"/>
      <w:lvlJc w:val="left"/>
      <w:pPr>
        <w:ind w:left="567" w:hanging="567"/>
      </w:pPr>
      <w:rPr>
        <w:rFonts w:hint="eastAsia"/>
      </w:rPr>
    </w:lvl>
    <w:lvl w:ilvl="2" w:tentative="0">
      <w:start w:val="1"/>
      <w:numFmt w:val="decimal"/>
      <w:lvlText w:val="19.3.%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42">
    <w:nsid w:val="2C2B1E1F"/>
    <w:multiLevelType w:val="multilevel"/>
    <w:tmpl w:val="2C2B1E1F"/>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2FF332FE"/>
    <w:multiLevelType w:val="multilevel"/>
    <w:tmpl w:val="2FF332F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4">
    <w:nsid w:val="325B9B73"/>
    <w:multiLevelType w:val="singleLevel"/>
    <w:tmpl w:val="325B9B73"/>
    <w:lvl w:ilvl="0" w:tentative="0">
      <w:start w:val="1"/>
      <w:numFmt w:val="decimal"/>
      <w:suff w:val="space"/>
      <w:lvlText w:val="%1."/>
      <w:lvlJc w:val="left"/>
      <w:pPr>
        <w:ind w:left="425" w:hanging="425"/>
      </w:pPr>
      <w:rPr>
        <w:rFonts w:hint="default"/>
        <w:color w:val="auto"/>
      </w:rPr>
    </w:lvl>
  </w:abstractNum>
  <w:abstractNum w:abstractNumId="45">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6">
    <w:nsid w:val="32BF1864"/>
    <w:multiLevelType w:val="multilevel"/>
    <w:tmpl w:val="32BF1864"/>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4CE7977"/>
    <w:multiLevelType w:val="multilevel"/>
    <w:tmpl w:val="34CE7977"/>
    <w:lvl w:ilvl="0" w:tentative="0">
      <w:start w:val="1"/>
      <w:numFmt w:val="decimal"/>
      <w:lvlText w:val="%1."/>
      <w:lvlJc w:val="left"/>
      <w:pPr>
        <w:ind w:left="360" w:hanging="360"/>
      </w:pPr>
      <w:rPr>
        <w:rFonts w:hint="default"/>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5EA1EC4"/>
    <w:multiLevelType w:val="multilevel"/>
    <w:tmpl w:val="35EA1EC4"/>
    <w:lvl w:ilvl="0" w:tentative="0">
      <w:start w:val="1"/>
      <w:numFmt w:val="chineseCountingThousand"/>
      <w:lvlText w:val="%1 "/>
      <w:lvlJc w:val="left"/>
      <w:pPr>
        <w:ind w:left="420" w:hanging="420"/>
      </w:pPr>
      <w:rPr>
        <w:rFonts w:hint="eastAsia"/>
        <w:b/>
        <w:i w:val="0"/>
        <w:color w:val="auto"/>
        <w:sz w:val="21"/>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9">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D3C7D2C"/>
    <w:multiLevelType w:val="singleLevel"/>
    <w:tmpl w:val="3D3C7D2C"/>
    <w:lvl w:ilvl="0" w:tentative="0">
      <w:start w:val="1"/>
      <w:numFmt w:val="decimal"/>
      <w:lvlText w:val="(%1)"/>
      <w:lvlJc w:val="left"/>
      <w:pPr>
        <w:ind w:left="425" w:hanging="425"/>
      </w:pPr>
      <w:rPr>
        <w:rFonts w:hint="default"/>
      </w:rPr>
    </w:lvl>
  </w:abstractNum>
  <w:abstractNum w:abstractNumId="52">
    <w:nsid w:val="3DB84B5F"/>
    <w:multiLevelType w:val="singleLevel"/>
    <w:tmpl w:val="3DB84B5F"/>
    <w:lvl w:ilvl="0" w:tentative="0">
      <w:start w:val="1"/>
      <w:numFmt w:val="decimal"/>
      <w:suff w:val="space"/>
      <w:lvlText w:val="%1."/>
      <w:lvlJc w:val="left"/>
      <w:pPr>
        <w:ind w:left="425" w:hanging="425"/>
      </w:pPr>
      <w:rPr>
        <w:rFonts w:hint="default"/>
        <w:color w:val="auto"/>
      </w:rPr>
    </w:lvl>
  </w:abstractNum>
  <w:abstractNum w:abstractNumId="53">
    <w:nsid w:val="3E7B3266"/>
    <w:multiLevelType w:val="multilevel"/>
    <w:tmpl w:val="3E7B3266"/>
    <w:lvl w:ilvl="0" w:tentative="0">
      <w:start w:val="1"/>
      <w:numFmt w:val="decimal"/>
      <w:lvlText w:val="2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4">
    <w:nsid w:val="3FB4FECC"/>
    <w:multiLevelType w:val="singleLevel"/>
    <w:tmpl w:val="3FB4FECC"/>
    <w:lvl w:ilvl="0" w:tentative="0">
      <w:start w:val="1"/>
      <w:numFmt w:val="decimal"/>
      <w:suff w:val="space"/>
      <w:lvlText w:val="%1."/>
      <w:lvlJc w:val="left"/>
      <w:pPr>
        <w:ind w:left="425" w:hanging="425"/>
      </w:pPr>
      <w:rPr>
        <w:rFonts w:hint="default"/>
        <w:color w:val="auto"/>
      </w:rPr>
    </w:lvl>
  </w:abstractNum>
  <w:abstractNum w:abstractNumId="55">
    <w:nsid w:val="3FBBA9C5"/>
    <w:multiLevelType w:val="singleLevel"/>
    <w:tmpl w:val="3FBBA9C5"/>
    <w:lvl w:ilvl="0" w:tentative="0">
      <w:start w:val="1"/>
      <w:numFmt w:val="decimal"/>
      <w:lvlText w:val="(%1)"/>
      <w:lvlJc w:val="left"/>
      <w:pPr>
        <w:ind w:left="425" w:hanging="425"/>
      </w:pPr>
      <w:rPr>
        <w:rFonts w:hint="default"/>
      </w:rPr>
    </w:lvl>
  </w:abstractNum>
  <w:abstractNum w:abstractNumId="56">
    <w:nsid w:val="426A2696"/>
    <w:multiLevelType w:val="multilevel"/>
    <w:tmpl w:val="426A2696"/>
    <w:lvl w:ilvl="0" w:tentative="0">
      <w:start w:val="13"/>
      <w:numFmt w:val="decimal"/>
      <w:lvlText w:val="%1"/>
      <w:lvlJc w:val="left"/>
      <w:pPr>
        <w:ind w:left="425" w:hanging="425"/>
      </w:pPr>
      <w:rPr>
        <w:rFonts w:hint="eastAsia"/>
      </w:rPr>
    </w:lvl>
    <w:lvl w:ilvl="1" w:tentative="0">
      <w:start w:val="1"/>
      <w:numFmt w:val="decimal"/>
      <w:lvlText w:val="10.%2"/>
      <w:lvlJc w:val="left"/>
      <w:pPr>
        <w:ind w:left="567" w:hanging="567"/>
      </w:pPr>
      <w:rPr>
        <w:rFonts w:hint="eastAsia"/>
        <w:b w:val="0"/>
      </w:rPr>
    </w:lvl>
    <w:lvl w:ilvl="2" w:tentative="0">
      <w:start w:val="3"/>
      <w:numFmt w:val="decimal"/>
      <w:lvlText w:val="%1.2.1"/>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7">
    <w:nsid w:val="429B7FED"/>
    <w:multiLevelType w:val="multilevel"/>
    <w:tmpl w:val="429B7FED"/>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5B9030C"/>
    <w:multiLevelType w:val="multilevel"/>
    <w:tmpl w:val="45B9030C"/>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9BF5D86"/>
    <w:multiLevelType w:val="multilevel"/>
    <w:tmpl w:val="49BF5D86"/>
    <w:lvl w:ilvl="0" w:tentative="0">
      <w:start w:val="1"/>
      <w:numFmt w:val="decimal"/>
      <w:lvlText w:val="（%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9FB7819"/>
    <w:multiLevelType w:val="multilevel"/>
    <w:tmpl w:val="49FB781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1">
    <w:nsid w:val="4A2DFF66"/>
    <w:multiLevelType w:val="multilevel"/>
    <w:tmpl w:val="4A2DFF66"/>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62">
    <w:nsid w:val="4AD52286"/>
    <w:multiLevelType w:val="multilevel"/>
    <w:tmpl w:val="4AD52286"/>
    <w:lvl w:ilvl="0" w:tentative="0">
      <w:start w:val="1"/>
      <w:numFmt w:val="decimal"/>
      <w:lvlText w:val="1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3">
    <w:nsid w:val="4AE21275"/>
    <w:multiLevelType w:val="multilevel"/>
    <w:tmpl w:val="4AE21275"/>
    <w:lvl w:ilvl="0" w:tentative="0">
      <w:start w:val="8"/>
      <w:numFmt w:val="decimal"/>
      <w:lvlText w:val="%1"/>
      <w:lvlJc w:val="left"/>
      <w:pPr>
        <w:ind w:left="425" w:hanging="425"/>
      </w:pPr>
      <w:rPr>
        <w:rFonts w:hint="eastAsia"/>
      </w:rPr>
    </w:lvl>
    <w:lvl w:ilvl="1" w:tentative="0">
      <w:start w:val="1"/>
      <w:numFmt w:val="decimal"/>
      <w:lvlText w:val="6.%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4">
    <w:nsid w:val="4AF865D7"/>
    <w:multiLevelType w:val="singleLevel"/>
    <w:tmpl w:val="4AF865D7"/>
    <w:lvl w:ilvl="0" w:tentative="0">
      <w:start w:val="1"/>
      <w:numFmt w:val="decimal"/>
      <w:suff w:val="space"/>
      <w:lvlText w:val="%1."/>
      <w:lvlJc w:val="left"/>
      <w:pPr>
        <w:ind w:left="425" w:hanging="425"/>
      </w:pPr>
      <w:rPr>
        <w:rFonts w:hint="default"/>
        <w:color w:val="auto"/>
      </w:rPr>
    </w:lvl>
  </w:abstractNum>
  <w:abstractNum w:abstractNumId="65">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1.%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7">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8">
    <w:nsid w:val="53331BC6"/>
    <w:multiLevelType w:val="multilevel"/>
    <w:tmpl w:val="53331BC6"/>
    <w:lvl w:ilvl="0" w:tentative="0">
      <w:start w:val="3"/>
      <w:numFmt w:val="decimal"/>
      <w:lvlText w:val="%1"/>
      <w:lvlJc w:val="left"/>
      <w:pPr>
        <w:ind w:left="425" w:hanging="425"/>
      </w:pPr>
      <w:rPr>
        <w:rFonts w:hint="eastAsia"/>
      </w:rPr>
    </w:lvl>
    <w:lvl w:ilvl="1" w:tentative="0">
      <w:start w:val="1"/>
      <w:numFmt w:val="decimal"/>
      <w:lvlText w:val="3.%2"/>
      <w:lvlJc w:val="left"/>
      <w:pPr>
        <w:ind w:left="567"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9">
    <w:nsid w:val="537A3F02"/>
    <w:multiLevelType w:val="multilevel"/>
    <w:tmpl w:val="537A3F0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0">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55F09C53"/>
    <w:multiLevelType w:val="multilevel"/>
    <w:tmpl w:val="55F09C53"/>
    <w:lvl w:ilvl="0" w:tentative="0">
      <w:start w:val="1"/>
      <w:numFmt w:val="decimal"/>
      <w:lvlText w:val="3.%1"/>
      <w:lvlJc w:val="left"/>
      <w:pPr>
        <w:ind w:left="420" w:hanging="420"/>
      </w:pPr>
      <w:rPr>
        <w:rFonts w:hint="default"/>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3">
    <w:nsid w:val="58DC2BF5"/>
    <w:multiLevelType w:val="multilevel"/>
    <w:tmpl w:val="58DC2BF5"/>
    <w:lvl w:ilvl="0" w:tentative="0">
      <w:start w:val="1"/>
      <w:numFmt w:val="decimal"/>
      <w:lvlText w:val="8.%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92B198C"/>
    <w:multiLevelType w:val="multilevel"/>
    <w:tmpl w:val="592B198C"/>
    <w:lvl w:ilvl="0" w:tentative="0">
      <w:start w:val="1"/>
      <w:numFmt w:val="chineseCountingThousand"/>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5">
    <w:nsid w:val="5C0E4467"/>
    <w:multiLevelType w:val="multilevel"/>
    <w:tmpl w:val="5C0E4467"/>
    <w:lvl w:ilvl="0" w:tentative="0">
      <w:start w:val="1"/>
      <w:numFmt w:val="decimal"/>
      <w:lvlText w:val="2.%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6">
    <w:nsid w:val="61636B35"/>
    <w:multiLevelType w:val="multilevel"/>
    <w:tmpl w:val="61636B35"/>
    <w:lvl w:ilvl="0" w:tentative="0">
      <w:start w:val="1"/>
      <w:numFmt w:val="decimal"/>
      <w:lvlText w:val="2.2.%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7">
    <w:nsid w:val="63173248"/>
    <w:multiLevelType w:val="multilevel"/>
    <w:tmpl w:val="63173248"/>
    <w:lvl w:ilvl="0" w:tentative="0">
      <w:start w:val="1"/>
      <w:numFmt w:val="decimal"/>
      <w:lvlText w:val="5.%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8">
    <w:nsid w:val="65C87B74"/>
    <w:multiLevelType w:val="multilevel"/>
    <w:tmpl w:val="65C87B74"/>
    <w:lvl w:ilvl="0" w:tentative="0">
      <w:start w:val="1"/>
      <w:numFmt w:val="decimal"/>
      <w:lvlText w:val="1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9">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0">
    <w:nsid w:val="68F30CA9"/>
    <w:multiLevelType w:val="multilevel"/>
    <w:tmpl w:val="68F30CA9"/>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1">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BCC430F"/>
    <w:multiLevelType w:val="multilevel"/>
    <w:tmpl w:val="6BCC43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4">
    <w:nsid w:val="7264255B"/>
    <w:multiLevelType w:val="multilevel"/>
    <w:tmpl w:val="7264255B"/>
    <w:lvl w:ilvl="0" w:tentative="0">
      <w:start w:val="1"/>
      <w:numFmt w:val="chineseCountingThousand"/>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5">
    <w:nsid w:val="728821B6"/>
    <w:multiLevelType w:val="multilevel"/>
    <w:tmpl w:val="728821B6"/>
    <w:lvl w:ilvl="0" w:tentative="0">
      <w:start w:val="1"/>
      <w:numFmt w:val="decimal"/>
      <w:lvlText w:val="6.%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73B36AB0"/>
    <w:multiLevelType w:val="multilevel"/>
    <w:tmpl w:val="73B36AB0"/>
    <w:lvl w:ilvl="0" w:tentative="0">
      <w:start w:val="1"/>
      <w:numFmt w:val="decimal"/>
      <w:lvlText w:val="20.%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755117EA"/>
    <w:multiLevelType w:val="singleLevel"/>
    <w:tmpl w:val="755117EA"/>
    <w:lvl w:ilvl="0" w:tentative="0">
      <w:start w:val="1"/>
      <w:numFmt w:val="decimal"/>
      <w:lvlText w:val="(%1)"/>
      <w:lvlJc w:val="left"/>
      <w:pPr>
        <w:ind w:left="425" w:hanging="425"/>
      </w:pPr>
      <w:rPr>
        <w:rFonts w:hint="default"/>
      </w:rPr>
    </w:lvl>
  </w:abstractNum>
  <w:abstractNum w:abstractNumId="88">
    <w:nsid w:val="7BA40B41"/>
    <w:multiLevelType w:val="multilevel"/>
    <w:tmpl w:val="7BA40B41"/>
    <w:lvl w:ilvl="0" w:tentative="0">
      <w:start w:val="1"/>
      <w:numFmt w:val="decimal"/>
      <w:lvlText w:val="%1"/>
      <w:lvlJc w:val="left"/>
      <w:pPr>
        <w:ind w:left="425" w:hanging="425"/>
      </w:pPr>
      <w:rPr>
        <w:rFonts w:hint="eastAsia"/>
        <w:b/>
        <w:i w:val="0"/>
        <w:color w:val="auto"/>
        <w:sz w:val="21"/>
      </w:rPr>
    </w:lvl>
    <w:lvl w:ilvl="1" w:tentative="0">
      <w:start w:val="1"/>
      <w:numFmt w:val="decimal"/>
      <w:lvlText w:val="29.%2"/>
      <w:lvlJc w:val="left"/>
      <w:pPr>
        <w:ind w:left="567" w:hanging="567"/>
      </w:pPr>
      <w:rPr>
        <w:rFonts w:hint="eastAsia"/>
        <w:b/>
        <w:bCs w:val="0"/>
        <w:color w:val="auto"/>
      </w:rPr>
    </w:lvl>
    <w:lvl w:ilvl="2" w:tentative="0">
      <w:start w:val="1"/>
      <w:numFmt w:val="decimal"/>
      <w:lvlText w:val="19.%2.%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89">
    <w:nsid w:val="7C2C7A19"/>
    <w:multiLevelType w:val="multilevel"/>
    <w:tmpl w:val="7C2C7A19"/>
    <w:lvl w:ilvl="0" w:tentative="0">
      <w:start w:val="1"/>
      <w:numFmt w:val="decimal"/>
      <w:lvlText w:val="%1"/>
      <w:lvlJc w:val="left"/>
      <w:pPr>
        <w:ind w:left="420" w:hanging="420"/>
      </w:pPr>
      <w:rPr>
        <w:rFonts w:hint="default"/>
        <w:b w:val="0"/>
        <w:bCs/>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C9C2E3E"/>
    <w:multiLevelType w:val="multilevel"/>
    <w:tmpl w:val="7C9C2E3E"/>
    <w:lvl w:ilvl="0" w:tentative="0">
      <w:start w:val="2"/>
      <w:numFmt w:val="decimal"/>
      <w:lvlText w:val="%1"/>
      <w:lvlJc w:val="left"/>
      <w:pPr>
        <w:ind w:left="425" w:hanging="425"/>
      </w:pPr>
      <w:rPr>
        <w:rFonts w:hint="eastAsia"/>
      </w:rPr>
    </w:lvl>
    <w:lvl w:ilvl="1" w:tentative="0">
      <w:start w:val="1"/>
      <w:numFmt w:val="decimal"/>
      <w:lvlText w:val="%1.%2"/>
      <w:lvlJc w:val="left"/>
      <w:pPr>
        <w:ind w:left="851" w:hanging="567"/>
      </w:pPr>
      <w:rPr>
        <w:rFonts w:hint="eastAsia"/>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91">
    <w:nsid w:val="7D4753CF"/>
    <w:multiLevelType w:val="multilevel"/>
    <w:tmpl w:val="7D4753CF"/>
    <w:lvl w:ilvl="0" w:tentative="0">
      <w:start w:val="1"/>
      <w:numFmt w:val="chineseCountingThousand"/>
      <w:lvlText w:val="%1、"/>
      <w:lvlJc w:val="left"/>
      <w:pPr>
        <w:ind w:left="420" w:hanging="420"/>
      </w:pPr>
      <w:rPr>
        <w:rFonts w:hint="eastAsia"/>
        <w:b/>
        <w:b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2">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3">
    <w:nsid w:val="7F6CA3CE"/>
    <w:multiLevelType w:val="singleLevel"/>
    <w:tmpl w:val="7F6CA3CE"/>
    <w:lvl w:ilvl="0" w:tentative="0">
      <w:start w:val="1"/>
      <w:numFmt w:val="decimal"/>
      <w:suff w:val="space"/>
      <w:lvlText w:val="%1."/>
      <w:lvlJc w:val="left"/>
      <w:pPr>
        <w:ind w:left="425" w:hanging="425"/>
      </w:pPr>
      <w:rPr>
        <w:rFonts w:hint="default"/>
        <w:color w:val="auto"/>
      </w:rPr>
    </w:lvl>
  </w:abstractNum>
  <w:abstractNum w:abstractNumId="94">
    <w:nsid w:val="7FEF4FD5"/>
    <w:multiLevelType w:val="multilevel"/>
    <w:tmpl w:val="7FEF4FD5"/>
    <w:lvl w:ilvl="0" w:tentative="0">
      <w:start w:val="1"/>
      <w:numFmt w:val="decimal"/>
      <w:lvlText w:val="10.%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8"/>
  </w:num>
  <w:num w:numId="2">
    <w:abstractNumId w:val="35"/>
  </w:num>
  <w:num w:numId="3">
    <w:abstractNumId w:val="23"/>
  </w:num>
  <w:num w:numId="4">
    <w:abstractNumId w:val="45"/>
  </w:num>
  <w:num w:numId="5">
    <w:abstractNumId w:val="71"/>
  </w:num>
  <w:num w:numId="6">
    <w:abstractNumId w:val="22"/>
  </w:num>
  <w:num w:numId="7">
    <w:abstractNumId w:val="89"/>
  </w:num>
  <w:num w:numId="8">
    <w:abstractNumId w:val="91"/>
  </w:num>
  <w:num w:numId="9">
    <w:abstractNumId w:val="80"/>
  </w:num>
  <w:num w:numId="10">
    <w:abstractNumId w:val="6"/>
  </w:num>
  <w:num w:numId="11">
    <w:abstractNumId w:val="93"/>
  </w:num>
  <w:num w:numId="12">
    <w:abstractNumId w:val="9"/>
  </w:num>
  <w:num w:numId="13">
    <w:abstractNumId w:val="37"/>
  </w:num>
  <w:num w:numId="14">
    <w:abstractNumId w:val="11"/>
  </w:num>
  <w:num w:numId="15">
    <w:abstractNumId w:val="3"/>
  </w:num>
  <w:num w:numId="16">
    <w:abstractNumId w:val="55"/>
  </w:num>
  <w:num w:numId="17">
    <w:abstractNumId w:val="4"/>
  </w:num>
  <w:num w:numId="18">
    <w:abstractNumId w:val="12"/>
  </w:num>
  <w:num w:numId="19">
    <w:abstractNumId w:val="54"/>
  </w:num>
  <w:num w:numId="20">
    <w:abstractNumId w:val="44"/>
  </w:num>
  <w:num w:numId="21">
    <w:abstractNumId w:val="33"/>
  </w:num>
  <w:num w:numId="22">
    <w:abstractNumId w:val="10"/>
  </w:num>
  <w:num w:numId="23">
    <w:abstractNumId w:val="46"/>
  </w:num>
  <w:num w:numId="24">
    <w:abstractNumId w:val="32"/>
  </w:num>
  <w:num w:numId="25">
    <w:abstractNumId w:val="75"/>
  </w:num>
  <w:num w:numId="26">
    <w:abstractNumId w:val="20"/>
  </w:num>
  <w:num w:numId="27">
    <w:abstractNumId w:val="28"/>
  </w:num>
  <w:num w:numId="28">
    <w:abstractNumId w:val="77"/>
  </w:num>
  <w:num w:numId="29">
    <w:abstractNumId w:val="85"/>
  </w:num>
  <w:num w:numId="30">
    <w:abstractNumId w:val="73"/>
  </w:num>
  <w:num w:numId="31">
    <w:abstractNumId w:val="21"/>
  </w:num>
  <w:num w:numId="32">
    <w:abstractNumId w:val="94"/>
  </w:num>
  <w:num w:numId="33">
    <w:abstractNumId w:val="36"/>
  </w:num>
  <w:num w:numId="34">
    <w:abstractNumId w:val="39"/>
  </w:num>
  <w:num w:numId="35">
    <w:abstractNumId w:val="29"/>
  </w:num>
  <w:num w:numId="36">
    <w:abstractNumId w:val="26"/>
  </w:num>
  <w:num w:numId="37">
    <w:abstractNumId w:val="25"/>
  </w:num>
  <w:num w:numId="38">
    <w:abstractNumId w:val="62"/>
  </w:num>
  <w:num w:numId="39">
    <w:abstractNumId w:val="78"/>
  </w:num>
  <w:num w:numId="40">
    <w:abstractNumId w:val="40"/>
  </w:num>
  <w:num w:numId="41">
    <w:abstractNumId w:val="27"/>
  </w:num>
  <w:num w:numId="42">
    <w:abstractNumId w:val="88"/>
  </w:num>
  <w:num w:numId="43">
    <w:abstractNumId w:val="31"/>
  </w:num>
  <w:num w:numId="44">
    <w:abstractNumId w:val="41"/>
  </w:num>
  <w:num w:numId="45">
    <w:abstractNumId w:val="86"/>
  </w:num>
  <w:num w:numId="46">
    <w:abstractNumId w:val="57"/>
  </w:num>
  <w:num w:numId="47">
    <w:abstractNumId w:val="59"/>
  </w:num>
  <w:num w:numId="48">
    <w:abstractNumId w:val="19"/>
  </w:num>
  <w:num w:numId="49">
    <w:abstractNumId w:val="53"/>
  </w:num>
  <w:num w:numId="50">
    <w:abstractNumId w:val="47"/>
  </w:num>
  <w:num w:numId="51">
    <w:abstractNumId w:val="74"/>
  </w:num>
  <w:num w:numId="52">
    <w:abstractNumId w:val="72"/>
  </w:num>
  <w:num w:numId="53">
    <w:abstractNumId w:val="66"/>
  </w:num>
  <w:num w:numId="54">
    <w:abstractNumId w:val="90"/>
  </w:num>
  <w:num w:numId="55">
    <w:abstractNumId w:val="76"/>
  </w:num>
  <w:num w:numId="56">
    <w:abstractNumId w:val="68"/>
  </w:num>
  <w:num w:numId="57">
    <w:abstractNumId w:val="63"/>
  </w:num>
  <w:num w:numId="58">
    <w:abstractNumId w:val="34"/>
  </w:num>
  <w:num w:numId="59">
    <w:abstractNumId w:val="67"/>
  </w:num>
  <w:num w:numId="60">
    <w:abstractNumId w:val="56"/>
  </w:num>
  <w:num w:numId="61">
    <w:abstractNumId w:val="83"/>
  </w:num>
  <w:num w:numId="62">
    <w:abstractNumId w:val="30"/>
  </w:num>
  <w:num w:numId="63">
    <w:abstractNumId w:val="61"/>
  </w:num>
  <w:num w:numId="64">
    <w:abstractNumId w:val="14"/>
  </w:num>
  <w:num w:numId="65">
    <w:abstractNumId w:val="58"/>
  </w:num>
  <w:num w:numId="66">
    <w:abstractNumId w:val="1"/>
  </w:num>
  <w:num w:numId="67">
    <w:abstractNumId w:val="82"/>
  </w:num>
  <w:num w:numId="68">
    <w:abstractNumId w:val="65"/>
  </w:num>
  <w:num w:numId="69">
    <w:abstractNumId w:val="5"/>
  </w:num>
  <w:num w:numId="70">
    <w:abstractNumId w:val="52"/>
  </w:num>
  <w:num w:numId="71">
    <w:abstractNumId w:val="8"/>
  </w:num>
  <w:num w:numId="72">
    <w:abstractNumId w:val="87"/>
  </w:num>
  <w:num w:numId="73">
    <w:abstractNumId w:val="7"/>
  </w:num>
  <w:num w:numId="74">
    <w:abstractNumId w:val="0"/>
  </w:num>
  <w:num w:numId="75">
    <w:abstractNumId w:val="51"/>
  </w:num>
  <w:num w:numId="76">
    <w:abstractNumId w:val="64"/>
  </w:num>
  <w:num w:numId="77">
    <w:abstractNumId w:val="13"/>
  </w:num>
  <w:num w:numId="78">
    <w:abstractNumId w:val="2"/>
  </w:num>
  <w:num w:numId="79">
    <w:abstractNumId w:val="15"/>
  </w:num>
  <w:num w:numId="80">
    <w:abstractNumId w:val="18"/>
  </w:num>
  <w:num w:numId="81">
    <w:abstractNumId w:val="38"/>
  </w:num>
  <w:num w:numId="82">
    <w:abstractNumId w:val="50"/>
  </w:num>
  <w:num w:numId="83">
    <w:abstractNumId w:val="81"/>
  </w:num>
  <w:num w:numId="84">
    <w:abstractNumId w:val="16"/>
  </w:num>
  <w:num w:numId="85">
    <w:abstractNumId w:val="17"/>
  </w:num>
  <w:num w:numId="86">
    <w:abstractNumId w:val="24"/>
  </w:num>
  <w:num w:numId="87">
    <w:abstractNumId w:val="69"/>
  </w:num>
  <w:num w:numId="88">
    <w:abstractNumId w:val="42"/>
  </w:num>
  <w:num w:numId="89">
    <w:abstractNumId w:val="79"/>
  </w:num>
  <w:num w:numId="90">
    <w:abstractNumId w:val="84"/>
  </w:num>
  <w:num w:numId="91">
    <w:abstractNumId w:val="49"/>
  </w:num>
  <w:num w:numId="92">
    <w:abstractNumId w:val="92"/>
  </w:num>
  <w:num w:numId="93">
    <w:abstractNumId w:val="60"/>
  </w:num>
  <w:num w:numId="94">
    <w:abstractNumId w:val="43"/>
  </w:num>
  <w:num w:numId="95">
    <w:abstractNumId w:val="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113B06"/>
    <w:rsid w:val="000003F9"/>
    <w:rsid w:val="00001F97"/>
    <w:rsid w:val="00002932"/>
    <w:rsid w:val="00002B11"/>
    <w:rsid w:val="00002E7B"/>
    <w:rsid w:val="00003266"/>
    <w:rsid w:val="00003270"/>
    <w:rsid w:val="00003C75"/>
    <w:rsid w:val="000047C9"/>
    <w:rsid w:val="0000569B"/>
    <w:rsid w:val="0000591B"/>
    <w:rsid w:val="00005C0B"/>
    <w:rsid w:val="00005D02"/>
    <w:rsid w:val="0000736C"/>
    <w:rsid w:val="00007AFD"/>
    <w:rsid w:val="000100E9"/>
    <w:rsid w:val="0001065E"/>
    <w:rsid w:val="00011C70"/>
    <w:rsid w:val="0001212F"/>
    <w:rsid w:val="00012350"/>
    <w:rsid w:val="00012887"/>
    <w:rsid w:val="000129CC"/>
    <w:rsid w:val="000132B0"/>
    <w:rsid w:val="000133AD"/>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74FC"/>
    <w:rsid w:val="00032773"/>
    <w:rsid w:val="000329D9"/>
    <w:rsid w:val="000338CE"/>
    <w:rsid w:val="00033A70"/>
    <w:rsid w:val="00034A59"/>
    <w:rsid w:val="00034B87"/>
    <w:rsid w:val="0003507B"/>
    <w:rsid w:val="0003526D"/>
    <w:rsid w:val="00035599"/>
    <w:rsid w:val="00036324"/>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014"/>
    <w:rsid w:val="00046138"/>
    <w:rsid w:val="00047632"/>
    <w:rsid w:val="00047959"/>
    <w:rsid w:val="000500B4"/>
    <w:rsid w:val="000504E2"/>
    <w:rsid w:val="00050CF5"/>
    <w:rsid w:val="00051B0A"/>
    <w:rsid w:val="00051C4F"/>
    <w:rsid w:val="000527EE"/>
    <w:rsid w:val="00052FD9"/>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7EA1"/>
    <w:rsid w:val="00070C6C"/>
    <w:rsid w:val="00071077"/>
    <w:rsid w:val="0007138C"/>
    <w:rsid w:val="000714D9"/>
    <w:rsid w:val="00071998"/>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BBA"/>
    <w:rsid w:val="00080FAB"/>
    <w:rsid w:val="0008149C"/>
    <w:rsid w:val="000815EF"/>
    <w:rsid w:val="00081949"/>
    <w:rsid w:val="00081DE6"/>
    <w:rsid w:val="00081FD7"/>
    <w:rsid w:val="00084527"/>
    <w:rsid w:val="00084E44"/>
    <w:rsid w:val="0008500E"/>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81"/>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69D"/>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15F"/>
    <w:rsid w:val="000E07AC"/>
    <w:rsid w:val="000E11BC"/>
    <w:rsid w:val="000E203E"/>
    <w:rsid w:val="000E2612"/>
    <w:rsid w:val="000E2C1B"/>
    <w:rsid w:val="000E2CA1"/>
    <w:rsid w:val="000E2ED0"/>
    <w:rsid w:val="000E32B6"/>
    <w:rsid w:val="000E3365"/>
    <w:rsid w:val="000E3C2F"/>
    <w:rsid w:val="000E3F95"/>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067"/>
    <w:rsid w:val="000F4184"/>
    <w:rsid w:val="000F4431"/>
    <w:rsid w:val="000F47AB"/>
    <w:rsid w:val="000F5A7C"/>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1143"/>
    <w:rsid w:val="001114DA"/>
    <w:rsid w:val="00111726"/>
    <w:rsid w:val="0011264A"/>
    <w:rsid w:val="0011289C"/>
    <w:rsid w:val="00112CD1"/>
    <w:rsid w:val="00112D11"/>
    <w:rsid w:val="0011304C"/>
    <w:rsid w:val="001136AE"/>
    <w:rsid w:val="00113B06"/>
    <w:rsid w:val="00114454"/>
    <w:rsid w:val="001144BF"/>
    <w:rsid w:val="00114B8F"/>
    <w:rsid w:val="001158FA"/>
    <w:rsid w:val="00115CFE"/>
    <w:rsid w:val="001165DE"/>
    <w:rsid w:val="001170E9"/>
    <w:rsid w:val="0011792B"/>
    <w:rsid w:val="00120AFE"/>
    <w:rsid w:val="00120EB5"/>
    <w:rsid w:val="0012116F"/>
    <w:rsid w:val="00121E2B"/>
    <w:rsid w:val="00122058"/>
    <w:rsid w:val="0012389E"/>
    <w:rsid w:val="00125CD6"/>
    <w:rsid w:val="00126C77"/>
    <w:rsid w:val="00130554"/>
    <w:rsid w:val="0013097B"/>
    <w:rsid w:val="00130D4F"/>
    <w:rsid w:val="00131000"/>
    <w:rsid w:val="00131D9B"/>
    <w:rsid w:val="00132732"/>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6AE3"/>
    <w:rsid w:val="00146B7B"/>
    <w:rsid w:val="001470A4"/>
    <w:rsid w:val="00150234"/>
    <w:rsid w:val="00150C6F"/>
    <w:rsid w:val="001514DC"/>
    <w:rsid w:val="0015186C"/>
    <w:rsid w:val="00151976"/>
    <w:rsid w:val="00151A3C"/>
    <w:rsid w:val="00151D66"/>
    <w:rsid w:val="0015282A"/>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275"/>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708"/>
    <w:rsid w:val="001A0F34"/>
    <w:rsid w:val="001A1A00"/>
    <w:rsid w:val="001A2059"/>
    <w:rsid w:val="001A23EE"/>
    <w:rsid w:val="001A241E"/>
    <w:rsid w:val="001A336E"/>
    <w:rsid w:val="001A3FD4"/>
    <w:rsid w:val="001A4243"/>
    <w:rsid w:val="001A4347"/>
    <w:rsid w:val="001A45CD"/>
    <w:rsid w:val="001A46DE"/>
    <w:rsid w:val="001A4746"/>
    <w:rsid w:val="001A49B7"/>
    <w:rsid w:val="001A4BDA"/>
    <w:rsid w:val="001A57E8"/>
    <w:rsid w:val="001A5BE3"/>
    <w:rsid w:val="001A6433"/>
    <w:rsid w:val="001A6DF8"/>
    <w:rsid w:val="001A6FD4"/>
    <w:rsid w:val="001A70D7"/>
    <w:rsid w:val="001A7604"/>
    <w:rsid w:val="001A7B69"/>
    <w:rsid w:val="001A7C33"/>
    <w:rsid w:val="001B0384"/>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67"/>
    <w:rsid w:val="001C3AEF"/>
    <w:rsid w:val="001C43B5"/>
    <w:rsid w:val="001C4514"/>
    <w:rsid w:val="001C529F"/>
    <w:rsid w:val="001C59C0"/>
    <w:rsid w:val="001C5C11"/>
    <w:rsid w:val="001C6BBA"/>
    <w:rsid w:val="001C6D02"/>
    <w:rsid w:val="001C700E"/>
    <w:rsid w:val="001C747C"/>
    <w:rsid w:val="001C7550"/>
    <w:rsid w:val="001C79CC"/>
    <w:rsid w:val="001D20A2"/>
    <w:rsid w:val="001D2383"/>
    <w:rsid w:val="001D23D5"/>
    <w:rsid w:val="001D2542"/>
    <w:rsid w:val="001D321C"/>
    <w:rsid w:val="001D3F56"/>
    <w:rsid w:val="001D423C"/>
    <w:rsid w:val="001D4645"/>
    <w:rsid w:val="001D4D1A"/>
    <w:rsid w:val="001D58DC"/>
    <w:rsid w:val="001D5F83"/>
    <w:rsid w:val="001D6257"/>
    <w:rsid w:val="001D6369"/>
    <w:rsid w:val="001D6CB4"/>
    <w:rsid w:val="001D7096"/>
    <w:rsid w:val="001D70AB"/>
    <w:rsid w:val="001D70E2"/>
    <w:rsid w:val="001D7F3B"/>
    <w:rsid w:val="001E1017"/>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0F5"/>
    <w:rsid w:val="001F31F7"/>
    <w:rsid w:val="001F3E3E"/>
    <w:rsid w:val="001F4EFE"/>
    <w:rsid w:val="001F57E3"/>
    <w:rsid w:val="001F6059"/>
    <w:rsid w:val="001F64DC"/>
    <w:rsid w:val="001F6582"/>
    <w:rsid w:val="001F6EE7"/>
    <w:rsid w:val="001F737C"/>
    <w:rsid w:val="001F73CE"/>
    <w:rsid w:val="001F7963"/>
    <w:rsid w:val="001F7C7E"/>
    <w:rsid w:val="00200527"/>
    <w:rsid w:val="00200C6B"/>
    <w:rsid w:val="00201183"/>
    <w:rsid w:val="00201240"/>
    <w:rsid w:val="00201269"/>
    <w:rsid w:val="002012D4"/>
    <w:rsid w:val="0020139E"/>
    <w:rsid w:val="0020271E"/>
    <w:rsid w:val="00202DB5"/>
    <w:rsid w:val="00204087"/>
    <w:rsid w:val="0020462F"/>
    <w:rsid w:val="00205E57"/>
    <w:rsid w:val="0020658C"/>
    <w:rsid w:val="002066DD"/>
    <w:rsid w:val="00206B08"/>
    <w:rsid w:val="00206F32"/>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CDC"/>
    <w:rsid w:val="00212FC2"/>
    <w:rsid w:val="0021302A"/>
    <w:rsid w:val="00214707"/>
    <w:rsid w:val="00214A72"/>
    <w:rsid w:val="00214C58"/>
    <w:rsid w:val="00215084"/>
    <w:rsid w:val="0021580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75"/>
    <w:rsid w:val="00233096"/>
    <w:rsid w:val="002337A9"/>
    <w:rsid w:val="002338E9"/>
    <w:rsid w:val="002339A1"/>
    <w:rsid w:val="00234854"/>
    <w:rsid w:val="00234A4F"/>
    <w:rsid w:val="00235A7E"/>
    <w:rsid w:val="00236077"/>
    <w:rsid w:val="00236F48"/>
    <w:rsid w:val="002370E3"/>
    <w:rsid w:val="0024025C"/>
    <w:rsid w:val="002403BF"/>
    <w:rsid w:val="00240C44"/>
    <w:rsid w:val="002416A8"/>
    <w:rsid w:val="00241D1D"/>
    <w:rsid w:val="00241F39"/>
    <w:rsid w:val="002421C0"/>
    <w:rsid w:val="002423DF"/>
    <w:rsid w:val="00242F8C"/>
    <w:rsid w:val="00243C71"/>
    <w:rsid w:val="00243F51"/>
    <w:rsid w:val="0024507E"/>
    <w:rsid w:val="00246C38"/>
    <w:rsid w:val="00246E57"/>
    <w:rsid w:val="00246E8A"/>
    <w:rsid w:val="00247599"/>
    <w:rsid w:val="00250236"/>
    <w:rsid w:val="00250717"/>
    <w:rsid w:val="002507E3"/>
    <w:rsid w:val="00250EAB"/>
    <w:rsid w:val="00251207"/>
    <w:rsid w:val="0025154B"/>
    <w:rsid w:val="002515E8"/>
    <w:rsid w:val="0025164E"/>
    <w:rsid w:val="00251C83"/>
    <w:rsid w:val="00253370"/>
    <w:rsid w:val="00253546"/>
    <w:rsid w:val="00254329"/>
    <w:rsid w:val="00254A25"/>
    <w:rsid w:val="00255469"/>
    <w:rsid w:val="002554DC"/>
    <w:rsid w:val="00255559"/>
    <w:rsid w:val="00255947"/>
    <w:rsid w:val="00255A4A"/>
    <w:rsid w:val="00255BEF"/>
    <w:rsid w:val="00255D3D"/>
    <w:rsid w:val="00256603"/>
    <w:rsid w:val="0025726A"/>
    <w:rsid w:val="00257EE2"/>
    <w:rsid w:val="00260D08"/>
    <w:rsid w:val="00260D2A"/>
    <w:rsid w:val="002613ED"/>
    <w:rsid w:val="002615A1"/>
    <w:rsid w:val="00261617"/>
    <w:rsid w:val="00261A39"/>
    <w:rsid w:val="0026201B"/>
    <w:rsid w:val="0026213E"/>
    <w:rsid w:val="0026286F"/>
    <w:rsid w:val="002634D2"/>
    <w:rsid w:val="00263550"/>
    <w:rsid w:val="0026533C"/>
    <w:rsid w:val="00265715"/>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3930"/>
    <w:rsid w:val="0027465C"/>
    <w:rsid w:val="00275549"/>
    <w:rsid w:val="00276B74"/>
    <w:rsid w:val="0027765F"/>
    <w:rsid w:val="00277CC1"/>
    <w:rsid w:val="00277E36"/>
    <w:rsid w:val="00280439"/>
    <w:rsid w:val="00280638"/>
    <w:rsid w:val="0028083D"/>
    <w:rsid w:val="00280EAD"/>
    <w:rsid w:val="00281353"/>
    <w:rsid w:val="002825E2"/>
    <w:rsid w:val="00283352"/>
    <w:rsid w:val="0028420E"/>
    <w:rsid w:val="00284A19"/>
    <w:rsid w:val="00285A9C"/>
    <w:rsid w:val="00286245"/>
    <w:rsid w:val="00286319"/>
    <w:rsid w:val="002867E0"/>
    <w:rsid w:val="0028687B"/>
    <w:rsid w:val="00290C97"/>
    <w:rsid w:val="0029144F"/>
    <w:rsid w:val="00291911"/>
    <w:rsid w:val="00292448"/>
    <w:rsid w:val="002927E9"/>
    <w:rsid w:val="00292AD3"/>
    <w:rsid w:val="002932A0"/>
    <w:rsid w:val="00293316"/>
    <w:rsid w:val="0029349C"/>
    <w:rsid w:val="00293CDA"/>
    <w:rsid w:val="00293D3E"/>
    <w:rsid w:val="00294D11"/>
    <w:rsid w:val="002963B4"/>
    <w:rsid w:val="002965DD"/>
    <w:rsid w:val="0029694E"/>
    <w:rsid w:val="00296B5C"/>
    <w:rsid w:val="00297FF0"/>
    <w:rsid w:val="002A0127"/>
    <w:rsid w:val="002A0904"/>
    <w:rsid w:val="002A106B"/>
    <w:rsid w:val="002A1678"/>
    <w:rsid w:val="002A178D"/>
    <w:rsid w:val="002A1796"/>
    <w:rsid w:val="002A2871"/>
    <w:rsid w:val="002A4CF8"/>
    <w:rsid w:val="002A4E95"/>
    <w:rsid w:val="002A4FF9"/>
    <w:rsid w:val="002A5140"/>
    <w:rsid w:val="002A51D4"/>
    <w:rsid w:val="002A6416"/>
    <w:rsid w:val="002A66DA"/>
    <w:rsid w:val="002A6A9C"/>
    <w:rsid w:val="002A76C8"/>
    <w:rsid w:val="002A7850"/>
    <w:rsid w:val="002A7AD7"/>
    <w:rsid w:val="002A7B49"/>
    <w:rsid w:val="002A7DB3"/>
    <w:rsid w:val="002B0BA7"/>
    <w:rsid w:val="002B0DFA"/>
    <w:rsid w:val="002B0EB2"/>
    <w:rsid w:val="002B262B"/>
    <w:rsid w:val="002B3425"/>
    <w:rsid w:val="002B3C61"/>
    <w:rsid w:val="002B4174"/>
    <w:rsid w:val="002B4995"/>
    <w:rsid w:val="002B5493"/>
    <w:rsid w:val="002B70E8"/>
    <w:rsid w:val="002B73B0"/>
    <w:rsid w:val="002B7942"/>
    <w:rsid w:val="002C0A98"/>
    <w:rsid w:val="002C0BCC"/>
    <w:rsid w:val="002C11CB"/>
    <w:rsid w:val="002C25D7"/>
    <w:rsid w:val="002C27B7"/>
    <w:rsid w:val="002C2940"/>
    <w:rsid w:val="002C2BC6"/>
    <w:rsid w:val="002C3064"/>
    <w:rsid w:val="002C3608"/>
    <w:rsid w:val="002C36D9"/>
    <w:rsid w:val="002C69B3"/>
    <w:rsid w:val="002C6B61"/>
    <w:rsid w:val="002C6CCF"/>
    <w:rsid w:val="002C6FEB"/>
    <w:rsid w:val="002C7DB0"/>
    <w:rsid w:val="002C7E0E"/>
    <w:rsid w:val="002D0038"/>
    <w:rsid w:val="002D0053"/>
    <w:rsid w:val="002D0672"/>
    <w:rsid w:val="002D0793"/>
    <w:rsid w:val="002D273A"/>
    <w:rsid w:val="002D2BAA"/>
    <w:rsid w:val="002D330C"/>
    <w:rsid w:val="002D34D6"/>
    <w:rsid w:val="002D375C"/>
    <w:rsid w:val="002D3C57"/>
    <w:rsid w:val="002D3E94"/>
    <w:rsid w:val="002D3F17"/>
    <w:rsid w:val="002D49E7"/>
    <w:rsid w:val="002D4E71"/>
    <w:rsid w:val="002D4EFB"/>
    <w:rsid w:val="002D4F22"/>
    <w:rsid w:val="002D6273"/>
    <w:rsid w:val="002D6E10"/>
    <w:rsid w:val="002D6ECF"/>
    <w:rsid w:val="002E076A"/>
    <w:rsid w:val="002E07E5"/>
    <w:rsid w:val="002E0A8F"/>
    <w:rsid w:val="002E3B14"/>
    <w:rsid w:val="002E3F27"/>
    <w:rsid w:val="002E3FDD"/>
    <w:rsid w:val="002E4973"/>
    <w:rsid w:val="002E4A46"/>
    <w:rsid w:val="002E5CA5"/>
    <w:rsid w:val="002E65A1"/>
    <w:rsid w:val="002E666B"/>
    <w:rsid w:val="002E7B2E"/>
    <w:rsid w:val="002F00FF"/>
    <w:rsid w:val="002F0156"/>
    <w:rsid w:val="002F09AB"/>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754A"/>
    <w:rsid w:val="00307982"/>
    <w:rsid w:val="00311093"/>
    <w:rsid w:val="00311207"/>
    <w:rsid w:val="00311B92"/>
    <w:rsid w:val="00312452"/>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0F66"/>
    <w:rsid w:val="0033104E"/>
    <w:rsid w:val="0033256A"/>
    <w:rsid w:val="00333077"/>
    <w:rsid w:val="00334009"/>
    <w:rsid w:val="0033468A"/>
    <w:rsid w:val="003346D6"/>
    <w:rsid w:val="003351E2"/>
    <w:rsid w:val="003351E6"/>
    <w:rsid w:val="00335EDC"/>
    <w:rsid w:val="00336528"/>
    <w:rsid w:val="00337356"/>
    <w:rsid w:val="00337459"/>
    <w:rsid w:val="00337848"/>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5E"/>
    <w:rsid w:val="0035009D"/>
    <w:rsid w:val="00350258"/>
    <w:rsid w:val="0035054D"/>
    <w:rsid w:val="003505F6"/>
    <w:rsid w:val="0035120B"/>
    <w:rsid w:val="003513E7"/>
    <w:rsid w:val="00351B28"/>
    <w:rsid w:val="00351DDD"/>
    <w:rsid w:val="00351F0E"/>
    <w:rsid w:val="0035253A"/>
    <w:rsid w:val="00352A72"/>
    <w:rsid w:val="003530D5"/>
    <w:rsid w:val="00353B26"/>
    <w:rsid w:val="00353B32"/>
    <w:rsid w:val="00353BF5"/>
    <w:rsid w:val="00353D0D"/>
    <w:rsid w:val="00354383"/>
    <w:rsid w:val="00354DEB"/>
    <w:rsid w:val="0035513C"/>
    <w:rsid w:val="00355B21"/>
    <w:rsid w:val="00355C6C"/>
    <w:rsid w:val="00355D66"/>
    <w:rsid w:val="00356107"/>
    <w:rsid w:val="003563ED"/>
    <w:rsid w:val="00356963"/>
    <w:rsid w:val="00357221"/>
    <w:rsid w:val="003577B3"/>
    <w:rsid w:val="00357D5D"/>
    <w:rsid w:val="00360498"/>
    <w:rsid w:val="00360BC9"/>
    <w:rsid w:val="0036107A"/>
    <w:rsid w:val="0036125B"/>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020A"/>
    <w:rsid w:val="003706AA"/>
    <w:rsid w:val="003718E2"/>
    <w:rsid w:val="003723C0"/>
    <w:rsid w:val="003729AC"/>
    <w:rsid w:val="00373BDD"/>
    <w:rsid w:val="00373CCB"/>
    <w:rsid w:val="0037429D"/>
    <w:rsid w:val="00375540"/>
    <w:rsid w:val="00375CEB"/>
    <w:rsid w:val="003761CC"/>
    <w:rsid w:val="00376254"/>
    <w:rsid w:val="00376792"/>
    <w:rsid w:val="00376B66"/>
    <w:rsid w:val="00380609"/>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87E94"/>
    <w:rsid w:val="003908CE"/>
    <w:rsid w:val="0039092A"/>
    <w:rsid w:val="00391D51"/>
    <w:rsid w:val="0039209A"/>
    <w:rsid w:val="003920BC"/>
    <w:rsid w:val="0039310D"/>
    <w:rsid w:val="00394B59"/>
    <w:rsid w:val="00394D0A"/>
    <w:rsid w:val="00396815"/>
    <w:rsid w:val="00396F97"/>
    <w:rsid w:val="00397524"/>
    <w:rsid w:val="003A0597"/>
    <w:rsid w:val="003A060B"/>
    <w:rsid w:val="003A0760"/>
    <w:rsid w:val="003A0C5B"/>
    <w:rsid w:val="003A138D"/>
    <w:rsid w:val="003A23EE"/>
    <w:rsid w:val="003A286E"/>
    <w:rsid w:val="003A2988"/>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3F9"/>
    <w:rsid w:val="003B4766"/>
    <w:rsid w:val="003B4B26"/>
    <w:rsid w:val="003B4BC3"/>
    <w:rsid w:val="003B50E7"/>
    <w:rsid w:val="003B53B8"/>
    <w:rsid w:val="003B5491"/>
    <w:rsid w:val="003B6F1D"/>
    <w:rsid w:val="003C04D2"/>
    <w:rsid w:val="003C096C"/>
    <w:rsid w:val="003C0A3B"/>
    <w:rsid w:val="003C13B1"/>
    <w:rsid w:val="003C16A4"/>
    <w:rsid w:val="003C1977"/>
    <w:rsid w:val="003C1C6F"/>
    <w:rsid w:val="003C1E05"/>
    <w:rsid w:val="003C1E48"/>
    <w:rsid w:val="003C22CA"/>
    <w:rsid w:val="003C26CF"/>
    <w:rsid w:val="003C2EDD"/>
    <w:rsid w:val="003C3367"/>
    <w:rsid w:val="003C40FB"/>
    <w:rsid w:val="003C490C"/>
    <w:rsid w:val="003C4C7E"/>
    <w:rsid w:val="003C4CF9"/>
    <w:rsid w:val="003C584D"/>
    <w:rsid w:val="003C6811"/>
    <w:rsid w:val="003C6AF7"/>
    <w:rsid w:val="003C6E30"/>
    <w:rsid w:val="003C7489"/>
    <w:rsid w:val="003C787B"/>
    <w:rsid w:val="003C7BA3"/>
    <w:rsid w:val="003C7C73"/>
    <w:rsid w:val="003D033E"/>
    <w:rsid w:val="003D06A7"/>
    <w:rsid w:val="003D0E64"/>
    <w:rsid w:val="003D0FCD"/>
    <w:rsid w:val="003D1049"/>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56D"/>
    <w:rsid w:val="003E3D8A"/>
    <w:rsid w:val="003E41E6"/>
    <w:rsid w:val="003E42C8"/>
    <w:rsid w:val="003E51A3"/>
    <w:rsid w:val="003E64EE"/>
    <w:rsid w:val="003E753A"/>
    <w:rsid w:val="003E7944"/>
    <w:rsid w:val="003F002B"/>
    <w:rsid w:val="003F0666"/>
    <w:rsid w:val="003F2351"/>
    <w:rsid w:val="003F23EF"/>
    <w:rsid w:val="003F270C"/>
    <w:rsid w:val="003F2DE4"/>
    <w:rsid w:val="003F39A7"/>
    <w:rsid w:val="003F3C8B"/>
    <w:rsid w:val="003F47B6"/>
    <w:rsid w:val="003F5009"/>
    <w:rsid w:val="003F55D5"/>
    <w:rsid w:val="003F59F6"/>
    <w:rsid w:val="003F5C83"/>
    <w:rsid w:val="003F5D4D"/>
    <w:rsid w:val="003F678D"/>
    <w:rsid w:val="003F6AD6"/>
    <w:rsid w:val="003F6BE1"/>
    <w:rsid w:val="003F799D"/>
    <w:rsid w:val="0040021D"/>
    <w:rsid w:val="00400222"/>
    <w:rsid w:val="00400F10"/>
    <w:rsid w:val="00400F6E"/>
    <w:rsid w:val="004011DB"/>
    <w:rsid w:val="00401722"/>
    <w:rsid w:val="004022B2"/>
    <w:rsid w:val="00403008"/>
    <w:rsid w:val="004045B1"/>
    <w:rsid w:val="00404FAE"/>
    <w:rsid w:val="00405931"/>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284"/>
    <w:rsid w:val="0042082F"/>
    <w:rsid w:val="00420C78"/>
    <w:rsid w:val="00421109"/>
    <w:rsid w:val="00421463"/>
    <w:rsid w:val="00421A9F"/>
    <w:rsid w:val="00423834"/>
    <w:rsid w:val="0042493E"/>
    <w:rsid w:val="00424959"/>
    <w:rsid w:val="004250EE"/>
    <w:rsid w:val="004253C7"/>
    <w:rsid w:val="004260A6"/>
    <w:rsid w:val="00426631"/>
    <w:rsid w:val="004267CA"/>
    <w:rsid w:val="00426FE4"/>
    <w:rsid w:val="004272A4"/>
    <w:rsid w:val="004272E8"/>
    <w:rsid w:val="00427CAD"/>
    <w:rsid w:val="0043018B"/>
    <w:rsid w:val="004306CD"/>
    <w:rsid w:val="00431246"/>
    <w:rsid w:val="0043147B"/>
    <w:rsid w:val="004328A3"/>
    <w:rsid w:val="004328D8"/>
    <w:rsid w:val="00433B49"/>
    <w:rsid w:val="00433E07"/>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946"/>
    <w:rsid w:val="00460526"/>
    <w:rsid w:val="00460D5A"/>
    <w:rsid w:val="00460D81"/>
    <w:rsid w:val="0046106D"/>
    <w:rsid w:val="0046162F"/>
    <w:rsid w:val="004617D3"/>
    <w:rsid w:val="00461E39"/>
    <w:rsid w:val="00462064"/>
    <w:rsid w:val="004626B9"/>
    <w:rsid w:val="00462752"/>
    <w:rsid w:val="00463E78"/>
    <w:rsid w:val="0046459B"/>
    <w:rsid w:val="00464A24"/>
    <w:rsid w:val="00464A80"/>
    <w:rsid w:val="00464E84"/>
    <w:rsid w:val="00464F1F"/>
    <w:rsid w:val="00465FC5"/>
    <w:rsid w:val="00466001"/>
    <w:rsid w:val="00467062"/>
    <w:rsid w:val="004713AF"/>
    <w:rsid w:val="00472258"/>
    <w:rsid w:val="00472E95"/>
    <w:rsid w:val="00473178"/>
    <w:rsid w:val="00473341"/>
    <w:rsid w:val="00473AFD"/>
    <w:rsid w:val="00476377"/>
    <w:rsid w:val="0047690C"/>
    <w:rsid w:val="004769F0"/>
    <w:rsid w:val="00476F3A"/>
    <w:rsid w:val="004772FE"/>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A0"/>
    <w:rsid w:val="00496011"/>
    <w:rsid w:val="0049722C"/>
    <w:rsid w:val="0049747B"/>
    <w:rsid w:val="004975AF"/>
    <w:rsid w:val="004A05B1"/>
    <w:rsid w:val="004A06B4"/>
    <w:rsid w:val="004A07AC"/>
    <w:rsid w:val="004A11CF"/>
    <w:rsid w:val="004A2A57"/>
    <w:rsid w:val="004A2F57"/>
    <w:rsid w:val="004A3FFD"/>
    <w:rsid w:val="004A4473"/>
    <w:rsid w:val="004A4EB2"/>
    <w:rsid w:val="004A5056"/>
    <w:rsid w:val="004A56D4"/>
    <w:rsid w:val="004A5B63"/>
    <w:rsid w:val="004A68C7"/>
    <w:rsid w:val="004A725D"/>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0E1"/>
    <w:rsid w:val="004C23B4"/>
    <w:rsid w:val="004C24DE"/>
    <w:rsid w:val="004C2938"/>
    <w:rsid w:val="004C2B5C"/>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FC5"/>
    <w:rsid w:val="004D174F"/>
    <w:rsid w:val="004D1E12"/>
    <w:rsid w:val="004D1FAD"/>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73C2"/>
    <w:rsid w:val="004E773F"/>
    <w:rsid w:val="004E7D05"/>
    <w:rsid w:val="004E7D75"/>
    <w:rsid w:val="004F1DEC"/>
    <w:rsid w:val="004F2B73"/>
    <w:rsid w:val="004F2E1C"/>
    <w:rsid w:val="004F32AF"/>
    <w:rsid w:val="004F3D71"/>
    <w:rsid w:val="004F4CA2"/>
    <w:rsid w:val="004F508B"/>
    <w:rsid w:val="004F5AE2"/>
    <w:rsid w:val="004F5D57"/>
    <w:rsid w:val="004F614A"/>
    <w:rsid w:val="004F6680"/>
    <w:rsid w:val="004F6DBE"/>
    <w:rsid w:val="004F740A"/>
    <w:rsid w:val="004F7D80"/>
    <w:rsid w:val="004F7E8F"/>
    <w:rsid w:val="00500663"/>
    <w:rsid w:val="005006FC"/>
    <w:rsid w:val="00500DB4"/>
    <w:rsid w:val="00501B34"/>
    <w:rsid w:val="00501C0F"/>
    <w:rsid w:val="00502230"/>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079"/>
    <w:rsid w:val="005215D5"/>
    <w:rsid w:val="0052164C"/>
    <w:rsid w:val="0052170B"/>
    <w:rsid w:val="00521DDD"/>
    <w:rsid w:val="00522169"/>
    <w:rsid w:val="00522BB2"/>
    <w:rsid w:val="00522BFC"/>
    <w:rsid w:val="00523E15"/>
    <w:rsid w:val="00525ADF"/>
    <w:rsid w:val="00525E80"/>
    <w:rsid w:val="005261ED"/>
    <w:rsid w:val="00526D52"/>
    <w:rsid w:val="00527516"/>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37FD8"/>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61D"/>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55C"/>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61F"/>
    <w:rsid w:val="00592897"/>
    <w:rsid w:val="00593334"/>
    <w:rsid w:val="00593C15"/>
    <w:rsid w:val="0059471F"/>
    <w:rsid w:val="00594E97"/>
    <w:rsid w:val="005959D7"/>
    <w:rsid w:val="00595B5B"/>
    <w:rsid w:val="005971F1"/>
    <w:rsid w:val="005978DE"/>
    <w:rsid w:val="005A0239"/>
    <w:rsid w:val="005A03CF"/>
    <w:rsid w:val="005A041A"/>
    <w:rsid w:val="005A07E8"/>
    <w:rsid w:val="005A0F2A"/>
    <w:rsid w:val="005A1277"/>
    <w:rsid w:val="005A14DF"/>
    <w:rsid w:val="005A1980"/>
    <w:rsid w:val="005A2075"/>
    <w:rsid w:val="005A21D7"/>
    <w:rsid w:val="005A2968"/>
    <w:rsid w:val="005A29BB"/>
    <w:rsid w:val="005A2D64"/>
    <w:rsid w:val="005A2DCC"/>
    <w:rsid w:val="005A32EC"/>
    <w:rsid w:val="005A35F4"/>
    <w:rsid w:val="005A4475"/>
    <w:rsid w:val="005A46AE"/>
    <w:rsid w:val="005A48DB"/>
    <w:rsid w:val="005A4D74"/>
    <w:rsid w:val="005A4EF5"/>
    <w:rsid w:val="005A5772"/>
    <w:rsid w:val="005A5961"/>
    <w:rsid w:val="005A5DFF"/>
    <w:rsid w:val="005A791B"/>
    <w:rsid w:val="005A7CC8"/>
    <w:rsid w:val="005B0B40"/>
    <w:rsid w:val="005B0BD1"/>
    <w:rsid w:val="005B103E"/>
    <w:rsid w:val="005B1994"/>
    <w:rsid w:val="005B1A3B"/>
    <w:rsid w:val="005B1F35"/>
    <w:rsid w:val="005B2024"/>
    <w:rsid w:val="005B2735"/>
    <w:rsid w:val="005B29C2"/>
    <w:rsid w:val="005B2AE0"/>
    <w:rsid w:val="005B31B6"/>
    <w:rsid w:val="005B3A48"/>
    <w:rsid w:val="005B3EA6"/>
    <w:rsid w:val="005B408B"/>
    <w:rsid w:val="005B40AD"/>
    <w:rsid w:val="005B5115"/>
    <w:rsid w:val="005B5700"/>
    <w:rsid w:val="005B5E6B"/>
    <w:rsid w:val="005B5F37"/>
    <w:rsid w:val="005B5FC4"/>
    <w:rsid w:val="005B60D3"/>
    <w:rsid w:val="005B7E7C"/>
    <w:rsid w:val="005C006E"/>
    <w:rsid w:val="005C0393"/>
    <w:rsid w:val="005C0816"/>
    <w:rsid w:val="005C10E0"/>
    <w:rsid w:val="005C149F"/>
    <w:rsid w:val="005C1776"/>
    <w:rsid w:val="005C1FAE"/>
    <w:rsid w:val="005C2D73"/>
    <w:rsid w:val="005C2F0E"/>
    <w:rsid w:val="005C345B"/>
    <w:rsid w:val="005C3DCF"/>
    <w:rsid w:val="005C4038"/>
    <w:rsid w:val="005C42C9"/>
    <w:rsid w:val="005C42F5"/>
    <w:rsid w:val="005C4772"/>
    <w:rsid w:val="005C57B0"/>
    <w:rsid w:val="005C5C22"/>
    <w:rsid w:val="005C5DAC"/>
    <w:rsid w:val="005C6195"/>
    <w:rsid w:val="005C6284"/>
    <w:rsid w:val="005C6B5B"/>
    <w:rsid w:val="005C6DDB"/>
    <w:rsid w:val="005C6EF3"/>
    <w:rsid w:val="005C76F8"/>
    <w:rsid w:val="005C7D42"/>
    <w:rsid w:val="005D0E45"/>
    <w:rsid w:val="005D0E4B"/>
    <w:rsid w:val="005D0EC4"/>
    <w:rsid w:val="005D1A1A"/>
    <w:rsid w:val="005D1EB5"/>
    <w:rsid w:val="005D1ED8"/>
    <w:rsid w:val="005D29DF"/>
    <w:rsid w:val="005D31FE"/>
    <w:rsid w:val="005D3BB9"/>
    <w:rsid w:val="005D3C12"/>
    <w:rsid w:val="005D40E6"/>
    <w:rsid w:val="005D4685"/>
    <w:rsid w:val="005D4961"/>
    <w:rsid w:val="005D4E13"/>
    <w:rsid w:val="005D62F5"/>
    <w:rsid w:val="005D6999"/>
    <w:rsid w:val="005D6B24"/>
    <w:rsid w:val="005D7D69"/>
    <w:rsid w:val="005E0C14"/>
    <w:rsid w:val="005E1779"/>
    <w:rsid w:val="005E2659"/>
    <w:rsid w:val="005E297E"/>
    <w:rsid w:val="005E310E"/>
    <w:rsid w:val="005E35A3"/>
    <w:rsid w:val="005E3731"/>
    <w:rsid w:val="005E3977"/>
    <w:rsid w:val="005E460C"/>
    <w:rsid w:val="005E4669"/>
    <w:rsid w:val="005E5013"/>
    <w:rsid w:val="005E50F0"/>
    <w:rsid w:val="005E50F1"/>
    <w:rsid w:val="005E60C4"/>
    <w:rsid w:val="005E6B5D"/>
    <w:rsid w:val="005E6B87"/>
    <w:rsid w:val="005E70B7"/>
    <w:rsid w:val="005E7159"/>
    <w:rsid w:val="005E75C4"/>
    <w:rsid w:val="005F0EE9"/>
    <w:rsid w:val="005F11CC"/>
    <w:rsid w:val="005F2121"/>
    <w:rsid w:val="005F27AD"/>
    <w:rsid w:val="005F2C74"/>
    <w:rsid w:val="005F30B5"/>
    <w:rsid w:val="005F31FD"/>
    <w:rsid w:val="005F34D0"/>
    <w:rsid w:val="005F3C70"/>
    <w:rsid w:val="005F3F99"/>
    <w:rsid w:val="005F62A3"/>
    <w:rsid w:val="006000F1"/>
    <w:rsid w:val="00601749"/>
    <w:rsid w:val="00601D40"/>
    <w:rsid w:val="00602457"/>
    <w:rsid w:val="006042FE"/>
    <w:rsid w:val="00604305"/>
    <w:rsid w:val="00604640"/>
    <w:rsid w:val="006048BC"/>
    <w:rsid w:val="00604977"/>
    <w:rsid w:val="00605674"/>
    <w:rsid w:val="0060578F"/>
    <w:rsid w:val="00605C67"/>
    <w:rsid w:val="00605F0E"/>
    <w:rsid w:val="0060635A"/>
    <w:rsid w:val="00606577"/>
    <w:rsid w:val="006065DC"/>
    <w:rsid w:val="006069AC"/>
    <w:rsid w:val="00607249"/>
    <w:rsid w:val="006077EA"/>
    <w:rsid w:val="00610A6C"/>
    <w:rsid w:val="00610D57"/>
    <w:rsid w:val="00610DCE"/>
    <w:rsid w:val="00611BED"/>
    <w:rsid w:val="00611D71"/>
    <w:rsid w:val="006122CF"/>
    <w:rsid w:val="00612321"/>
    <w:rsid w:val="0061488B"/>
    <w:rsid w:val="00614C35"/>
    <w:rsid w:val="006156BD"/>
    <w:rsid w:val="00615A52"/>
    <w:rsid w:val="00616F9A"/>
    <w:rsid w:val="00617636"/>
    <w:rsid w:val="00620975"/>
    <w:rsid w:val="00621742"/>
    <w:rsid w:val="0062195D"/>
    <w:rsid w:val="00621BFC"/>
    <w:rsid w:val="00622F77"/>
    <w:rsid w:val="00623101"/>
    <w:rsid w:val="00623FBC"/>
    <w:rsid w:val="00624168"/>
    <w:rsid w:val="006241E0"/>
    <w:rsid w:val="00624A57"/>
    <w:rsid w:val="00624EDB"/>
    <w:rsid w:val="006259C6"/>
    <w:rsid w:val="00625DF2"/>
    <w:rsid w:val="00626AE8"/>
    <w:rsid w:val="00627CDB"/>
    <w:rsid w:val="00627D7A"/>
    <w:rsid w:val="0063044C"/>
    <w:rsid w:val="00630A55"/>
    <w:rsid w:val="00630FB3"/>
    <w:rsid w:val="00631115"/>
    <w:rsid w:val="0063227D"/>
    <w:rsid w:val="006325FC"/>
    <w:rsid w:val="00632707"/>
    <w:rsid w:val="0063311C"/>
    <w:rsid w:val="006333E0"/>
    <w:rsid w:val="0063403F"/>
    <w:rsid w:val="006343EE"/>
    <w:rsid w:val="00634B9A"/>
    <w:rsid w:val="006356BC"/>
    <w:rsid w:val="00635E0C"/>
    <w:rsid w:val="00636C8D"/>
    <w:rsid w:val="0063703D"/>
    <w:rsid w:val="006375F9"/>
    <w:rsid w:val="0063770F"/>
    <w:rsid w:val="00640D62"/>
    <w:rsid w:val="00640F46"/>
    <w:rsid w:val="00641D61"/>
    <w:rsid w:val="00641ECA"/>
    <w:rsid w:val="00642680"/>
    <w:rsid w:val="006428CE"/>
    <w:rsid w:val="00642B6A"/>
    <w:rsid w:val="00643170"/>
    <w:rsid w:val="006433C6"/>
    <w:rsid w:val="00644888"/>
    <w:rsid w:val="0064490B"/>
    <w:rsid w:val="00645020"/>
    <w:rsid w:val="00645525"/>
    <w:rsid w:val="006458E6"/>
    <w:rsid w:val="00645D63"/>
    <w:rsid w:val="00646825"/>
    <w:rsid w:val="00646BCA"/>
    <w:rsid w:val="00646DC1"/>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389A"/>
    <w:rsid w:val="00655663"/>
    <w:rsid w:val="00655F84"/>
    <w:rsid w:val="00656FA5"/>
    <w:rsid w:val="0065703D"/>
    <w:rsid w:val="00657CEB"/>
    <w:rsid w:val="00657CFA"/>
    <w:rsid w:val="0066034A"/>
    <w:rsid w:val="0066089F"/>
    <w:rsid w:val="00660D1A"/>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BE1"/>
    <w:rsid w:val="00672906"/>
    <w:rsid w:val="006757BF"/>
    <w:rsid w:val="00675970"/>
    <w:rsid w:val="00676C7D"/>
    <w:rsid w:val="006773F6"/>
    <w:rsid w:val="00677702"/>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920"/>
    <w:rsid w:val="00690B26"/>
    <w:rsid w:val="00690BDC"/>
    <w:rsid w:val="00690E1D"/>
    <w:rsid w:val="006917FC"/>
    <w:rsid w:val="006922B2"/>
    <w:rsid w:val="00692E47"/>
    <w:rsid w:val="00692FA6"/>
    <w:rsid w:val="006933FC"/>
    <w:rsid w:val="006933FE"/>
    <w:rsid w:val="00693498"/>
    <w:rsid w:val="006946A9"/>
    <w:rsid w:val="006948F1"/>
    <w:rsid w:val="00694EE7"/>
    <w:rsid w:val="0069525C"/>
    <w:rsid w:val="00696069"/>
    <w:rsid w:val="00696081"/>
    <w:rsid w:val="0069629C"/>
    <w:rsid w:val="00696436"/>
    <w:rsid w:val="00696D7F"/>
    <w:rsid w:val="0069743F"/>
    <w:rsid w:val="00697B3C"/>
    <w:rsid w:val="00697EE8"/>
    <w:rsid w:val="006A01D3"/>
    <w:rsid w:val="006A0507"/>
    <w:rsid w:val="006A0721"/>
    <w:rsid w:val="006A0A5C"/>
    <w:rsid w:val="006A0C72"/>
    <w:rsid w:val="006A1618"/>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54E4"/>
    <w:rsid w:val="006B56F1"/>
    <w:rsid w:val="006B610B"/>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2D3"/>
    <w:rsid w:val="006C4FF6"/>
    <w:rsid w:val="006C5680"/>
    <w:rsid w:val="006C649E"/>
    <w:rsid w:val="006C652A"/>
    <w:rsid w:val="006C684E"/>
    <w:rsid w:val="006C76CB"/>
    <w:rsid w:val="006D043F"/>
    <w:rsid w:val="006D067B"/>
    <w:rsid w:val="006D13B1"/>
    <w:rsid w:val="006D1505"/>
    <w:rsid w:val="006D178E"/>
    <w:rsid w:val="006D1C37"/>
    <w:rsid w:val="006D1F2C"/>
    <w:rsid w:val="006D23F3"/>
    <w:rsid w:val="006D2709"/>
    <w:rsid w:val="006D29B1"/>
    <w:rsid w:val="006D2BAA"/>
    <w:rsid w:val="006D2E74"/>
    <w:rsid w:val="006D2F4B"/>
    <w:rsid w:val="006D311C"/>
    <w:rsid w:val="006D3CDA"/>
    <w:rsid w:val="006D4E2E"/>
    <w:rsid w:val="006D512C"/>
    <w:rsid w:val="006D5397"/>
    <w:rsid w:val="006D5E8B"/>
    <w:rsid w:val="006D5EA4"/>
    <w:rsid w:val="006D66CC"/>
    <w:rsid w:val="006D75C8"/>
    <w:rsid w:val="006D7679"/>
    <w:rsid w:val="006E05BE"/>
    <w:rsid w:val="006E0C09"/>
    <w:rsid w:val="006E1174"/>
    <w:rsid w:val="006E1A75"/>
    <w:rsid w:val="006E2A1C"/>
    <w:rsid w:val="006E2C09"/>
    <w:rsid w:val="006E3226"/>
    <w:rsid w:val="006E32A1"/>
    <w:rsid w:val="006E3981"/>
    <w:rsid w:val="006E3F4B"/>
    <w:rsid w:val="006E4DE0"/>
    <w:rsid w:val="006E56E4"/>
    <w:rsid w:val="006E583C"/>
    <w:rsid w:val="006E5886"/>
    <w:rsid w:val="006E670F"/>
    <w:rsid w:val="006E6F07"/>
    <w:rsid w:val="006E7345"/>
    <w:rsid w:val="006F04E8"/>
    <w:rsid w:val="006F0E20"/>
    <w:rsid w:val="006F183B"/>
    <w:rsid w:val="006F190F"/>
    <w:rsid w:val="006F208F"/>
    <w:rsid w:val="006F3458"/>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80D"/>
    <w:rsid w:val="00705959"/>
    <w:rsid w:val="0070737A"/>
    <w:rsid w:val="007075C5"/>
    <w:rsid w:val="00707D80"/>
    <w:rsid w:val="00707F07"/>
    <w:rsid w:val="0071021F"/>
    <w:rsid w:val="00710936"/>
    <w:rsid w:val="007117A0"/>
    <w:rsid w:val="0071188D"/>
    <w:rsid w:val="00712D41"/>
    <w:rsid w:val="007134C0"/>
    <w:rsid w:val="007137A6"/>
    <w:rsid w:val="00714643"/>
    <w:rsid w:val="007148A4"/>
    <w:rsid w:val="0071509B"/>
    <w:rsid w:val="007150AC"/>
    <w:rsid w:val="00715311"/>
    <w:rsid w:val="007156D8"/>
    <w:rsid w:val="00715C8D"/>
    <w:rsid w:val="00716215"/>
    <w:rsid w:val="00716896"/>
    <w:rsid w:val="00716C67"/>
    <w:rsid w:val="00721121"/>
    <w:rsid w:val="00721B07"/>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F3D"/>
    <w:rsid w:val="0073666A"/>
    <w:rsid w:val="00736B8B"/>
    <w:rsid w:val="00737B31"/>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5B3"/>
    <w:rsid w:val="00757879"/>
    <w:rsid w:val="007606BD"/>
    <w:rsid w:val="0076089C"/>
    <w:rsid w:val="007611DF"/>
    <w:rsid w:val="0076130D"/>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5EF"/>
    <w:rsid w:val="007746D4"/>
    <w:rsid w:val="00774F01"/>
    <w:rsid w:val="007750CB"/>
    <w:rsid w:val="00775686"/>
    <w:rsid w:val="00775B8E"/>
    <w:rsid w:val="007765AF"/>
    <w:rsid w:val="0077760A"/>
    <w:rsid w:val="00777FBA"/>
    <w:rsid w:val="00780828"/>
    <w:rsid w:val="007811E5"/>
    <w:rsid w:val="007811F8"/>
    <w:rsid w:val="007812E9"/>
    <w:rsid w:val="00781631"/>
    <w:rsid w:val="00781D94"/>
    <w:rsid w:val="00781DE5"/>
    <w:rsid w:val="00783B18"/>
    <w:rsid w:val="00783EEF"/>
    <w:rsid w:val="0078414B"/>
    <w:rsid w:val="00784616"/>
    <w:rsid w:val="0078481B"/>
    <w:rsid w:val="00785663"/>
    <w:rsid w:val="00785AD3"/>
    <w:rsid w:val="007868C5"/>
    <w:rsid w:val="0078792E"/>
    <w:rsid w:val="00790BF9"/>
    <w:rsid w:val="00790E82"/>
    <w:rsid w:val="00791D93"/>
    <w:rsid w:val="0079218A"/>
    <w:rsid w:val="007921D3"/>
    <w:rsid w:val="00792652"/>
    <w:rsid w:val="00792D84"/>
    <w:rsid w:val="007933D0"/>
    <w:rsid w:val="00793D61"/>
    <w:rsid w:val="00794388"/>
    <w:rsid w:val="00794A7A"/>
    <w:rsid w:val="00794CF3"/>
    <w:rsid w:val="007956B1"/>
    <w:rsid w:val="0079579F"/>
    <w:rsid w:val="0079590A"/>
    <w:rsid w:val="00795D0C"/>
    <w:rsid w:val="00795DB8"/>
    <w:rsid w:val="00796811"/>
    <w:rsid w:val="00797307"/>
    <w:rsid w:val="007A0C99"/>
    <w:rsid w:val="007A0F11"/>
    <w:rsid w:val="007A1BD3"/>
    <w:rsid w:val="007A1DA0"/>
    <w:rsid w:val="007A1F7C"/>
    <w:rsid w:val="007A24D3"/>
    <w:rsid w:val="007A3709"/>
    <w:rsid w:val="007A3D5F"/>
    <w:rsid w:val="007A41F0"/>
    <w:rsid w:val="007A4384"/>
    <w:rsid w:val="007A444A"/>
    <w:rsid w:val="007A444D"/>
    <w:rsid w:val="007A47A0"/>
    <w:rsid w:val="007A4843"/>
    <w:rsid w:val="007A5C24"/>
    <w:rsid w:val="007A6167"/>
    <w:rsid w:val="007A73FB"/>
    <w:rsid w:val="007A772B"/>
    <w:rsid w:val="007A7E95"/>
    <w:rsid w:val="007A7FA1"/>
    <w:rsid w:val="007A7FE1"/>
    <w:rsid w:val="007B0423"/>
    <w:rsid w:val="007B0F82"/>
    <w:rsid w:val="007B1828"/>
    <w:rsid w:val="007B1947"/>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3AB"/>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0A07"/>
    <w:rsid w:val="007D1124"/>
    <w:rsid w:val="007D1B1D"/>
    <w:rsid w:val="007D2A0E"/>
    <w:rsid w:val="007D2CD3"/>
    <w:rsid w:val="007D2DD6"/>
    <w:rsid w:val="007D4062"/>
    <w:rsid w:val="007D42B0"/>
    <w:rsid w:val="007D4334"/>
    <w:rsid w:val="007D4435"/>
    <w:rsid w:val="007D469E"/>
    <w:rsid w:val="007D522F"/>
    <w:rsid w:val="007D5329"/>
    <w:rsid w:val="007D5E57"/>
    <w:rsid w:val="007D62CD"/>
    <w:rsid w:val="007D6AB8"/>
    <w:rsid w:val="007D6FAE"/>
    <w:rsid w:val="007D7038"/>
    <w:rsid w:val="007D75D0"/>
    <w:rsid w:val="007D75ED"/>
    <w:rsid w:val="007D7DE3"/>
    <w:rsid w:val="007E0051"/>
    <w:rsid w:val="007E00DC"/>
    <w:rsid w:val="007E020B"/>
    <w:rsid w:val="007E0A8E"/>
    <w:rsid w:val="007E1104"/>
    <w:rsid w:val="007E2158"/>
    <w:rsid w:val="007E2260"/>
    <w:rsid w:val="007E2E32"/>
    <w:rsid w:val="007E36B0"/>
    <w:rsid w:val="007E4022"/>
    <w:rsid w:val="007E46B6"/>
    <w:rsid w:val="007E4A47"/>
    <w:rsid w:val="007E4FC0"/>
    <w:rsid w:val="007E516A"/>
    <w:rsid w:val="007E570D"/>
    <w:rsid w:val="007E60A0"/>
    <w:rsid w:val="007E6194"/>
    <w:rsid w:val="007E68B8"/>
    <w:rsid w:val="007E745B"/>
    <w:rsid w:val="007F10E0"/>
    <w:rsid w:val="007F118D"/>
    <w:rsid w:val="007F19D7"/>
    <w:rsid w:val="007F1D03"/>
    <w:rsid w:val="007F2431"/>
    <w:rsid w:val="007F2821"/>
    <w:rsid w:val="007F282E"/>
    <w:rsid w:val="007F287A"/>
    <w:rsid w:val="007F2AF5"/>
    <w:rsid w:val="007F2D79"/>
    <w:rsid w:val="007F42B6"/>
    <w:rsid w:val="007F44E1"/>
    <w:rsid w:val="007F4679"/>
    <w:rsid w:val="007F4769"/>
    <w:rsid w:val="007F4B97"/>
    <w:rsid w:val="007F5C9B"/>
    <w:rsid w:val="007F5EE7"/>
    <w:rsid w:val="007F6A5A"/>
    <w:rsid w:val="007F6EB5"/>
    <w:rsid w:val="007F6FED"/>
    <w:rsid w:val="007F706F"/>
    <w:rsid w:val="007F746D"/>
    <w:rsid w:val="007F77E4"/>
    <w:rsid w:val="007F7904"/>
    <w:rsid w:val="007F7964"/>
    <w:rsid w:val="008007D9"/>
    <w:rsid w:val="00801514"/>
    <w:rsid w:val="00803105"/>
    <w:rsid w:val="008038D1"/>
    <w:rsid w:val="00804732"/>
    <w:rsid w:val="00804D49"/>
    <w:rsid w:val="00804DB0"/>
    <w:rsid w:val="00804E26"/>
    <w:rsid w:val="00805A33"/>
    <w:rsid w:val="00805C37"/>
    <w:rsid w:val="0080625E"/>
    <w:rsid w:val="00806314"/>
    <w:rsid w:val="008067F0"/>
    <w:rsid w:val="00806866"/>
    <w:rsid w:val="008074E0"/>
    <w:rsid w:val="00807CC9"/>
    <w:rsid w:val="00810E56"/>
    <w:rsid w:val="00812058"/>
    <w:rsid w:val="00812B0F"/>
    <w:rsid w:val="00812EC1"/>
    <w:rsid w:val="00813087"/>
    <w:rsid w:val="00813279"/>
    <w:rsid w:val="008135FB"/>
    <w:rsid w:val="008138F7"/>
    <w:rsid w:val="00813951"/>
    <w:rsid w:val="00813C06"/>
    <w:rsid w:val="00813F8B"/>
    <w:rsid w:val="00814590"/>
    <w:rsid w:val="0081492C"/>
    <w:rsid w:val="00815512"/>
    <w:rsid w:val="008164A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5F63"/>
    <w:rsid w:val="008371A2"/>
    <w:rsid w:val="0083752C"/>
    <w:rsid w:val="00840371"/>
    <w:rsid w:val="00840A7A"/>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6E1"/>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1565"/>
    <w:rsid w:val="008728E5"/>
    <w:rsid w:val="00873C32"/>
    <w:rsid w:val="0087405A"/>
    <w:rsid w:val="008745A4"/>
    <w:rsid w:val="008752ED"/>
    <w:rsid w:val="008762DD"/>
    <w:rsid w:val="00876303"/>
    <w:rsid w:val="00876875"/>
    <w:rsid w:val="00877686"/>
    <w:rsid w:val="00877B01"/>
    <w:rsid w:val="00877E08"/>
    <w:rsid w:val="008806C6"/>
    <w:rsid w:val="0088097E"/>
    <w:rsid w:val="00880A1E"/>
    <w:rsid w:val="00882B3D"/>
    <w:rsid w:val="00882D1F"/>
    <w:rsid w:val="00883F90"/>
    <w:rsid w:val="00886679"/>
    <w:rsid w:val="00886B47"/>
    <w:rsid w:val="0088770C"/>
    <w:rsid w:val="00887AE8"/>
    <w:rsid w:val="00890467"/>
    <w:rsid w:val="008905FB"/>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5B6C"/>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5A79"/>
    <w:rsid w:val="008A7950"/>
    <w:rsid w:val="008A7997"/>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2A80"/>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4D5"/>
    <w:rsid w:val="008D369C"/>
    <w:rsid w:val="008D3C92"/>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267"/>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495"/>
    <w:rsid w:val="008F686D"/>
    <w:rsid w:val="008F6892"/>
    <w:rsid w:val="008F68AE"/>
    <w:rsid w:val="008F6985"/>
    <w:rsid w:val="008F6E26"/>
    <w:rsid w:val="008F7066"/>
    <w:rsid w:val="008F77FD"/>
    <w:rsid w:val="008F796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5F77"/>
    <w:rsid w:val="00906027"/>
    <w:rsid w:val="009074E0"/>
    <w:rsid w:val="00907506"/>
    <w:rsid w:val="00907812"/>
    <w:rsid w:val="0090781A"/>
    <w:rsid w:val="00907AF2"/>
    <w:rsid w:val="0091002E"/>
    <w:rsid w:val="0091052A"/>
    <w:rsid w:val="00910F16"/>
    <w:rsid w:val="00911898"/>
    <w:rsid w:val="00911A93"/>
    <w:rsid w:val="00913861"/>
    <w:rsid w:val="009138E2"/>
    <w:rsid w:val="00913B86"/>
    <w:rsid w:val="009141E4"/>
    <w:rsid w:val="00914222"/>
    <w:rsid w:val="00914574"/>
    <w:rsid w:val="0091462C"/>
    <w:rsid w:val="009149C2"/>
    <w:rsid w:val="00914B53"/>
    <w:rsid w:val="009156EF"/>
    <w:rsid w:val="00916008"/>
    <w:rsid w:val="00916343"/>
    <w:rsid w:val="00916766"/>
    <w:rsid w:val="00917462"/>
    <w:rsid w:val="00917A60"/>
    <w:rsid w:val="00920921"/>
    <w:rsid w:val="00920B77"/>
    <w:rsid w:val="00921364"/>
    <w:rsid w:val="00921983"/>
    <w:rsid w:val="00921A0C"/>
    <w:rsid w:val="00921D2A"/>
    <w:rsid w:val="0092258F"/>
    <w:rsid w:val="00922C91"/>
    <w:rsid w:val="00923889"/>
    <w:rsid w:val="0092392C"/>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29B"/>
    <w:rsid w:val="00934095"/>
    <w:rsid w:val="00934410"/>
    <w:rsid w:val="009362E3"/>
    <w:rsid w:val="0093696D"/>
    <w:rsid w:val="0094091F"/>
    <w:rsid w:val="0094121F"/>
    <w:rsid w:val="0094156E"/>
    <w:rsid w:val="00941CF5"/>
    <w:rsid w:val="009423E3"/>
    <w:rsid w:val="00942786"/>
    <w:rsid w:val="0094398F"/>
    <w:rsid w:val="00943A9A"/>
    <w:rsid w:val="00943F2D"/>
    <w:rsid w:val="00945187"/>
    <w:rsid w:val="00945C2F"/>
    <w:rsid w:val="00946A15"/>
    <w:rsid w:val="00946C16"/>
    <w:rsid w:val="00947008"/>
    <w:rsid w:val="0094713B"/>
    <w:rsid w:val="00947EBD"/>
    <w:rsid w:val="0095050F"/>
    <w:rsid w:val="00951B2D"/>
    <w:rsid w:val="00951CCB"/>
    <w:rsid w:val="009520B1"/>
    <w:rsid w:val="0095278B"/>
    <w:rsid w:val="0095481B"/>
    <w:rsid w:val="00955C76"/>
    <w:rsid w:val="00955CA3"/>
    <w:rsid w:val="00955DDC"/>
    <w:rsid w:val="00956D16"/>
    <w:rsid w:val="00956E3F"/>
    <w:rsid w:val="0095754A"/>
    <w:rsid w:val="0095755B"/>
    <w:rsid w:val="009578E4"/>
    <w:rsid w:val="00960B5B"/>
    <w:rsid w:val="00961BB3"/>
    <w:rsid w:val="00961D12"/>
    <w:rsid w:val="009620AC"/>
    <w:rsid w:val="009630BF"/>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330C"/>
    <w:rsid w:val="0097393C"/>
    <w:rsid w:val="0097412F"/>
    <w:rsid w:val="00974980"/>
    <w:rsid w:val="009753FC"/>
    <w:rsid w:val="00975515"/>
    <w:rsid w:val="009762CF"/>
    <w:rsid w:val="00976EA2"/>
    <w:rsid w:val="009806C0"/>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5F2D"/>
    <w:rsid w:val="00986835"/>
    <w:rsid w:val="00986BA4"/>
    <w:rsid w:val="00986D0F"/>
    <w:rsid w:val="0098734A"/>
    <w:rsid w:val="00987381"/>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56B"/>
    <w:rsid w:val="009B2A8B"/>
    <w:rsid w:val="009B2D99"/>
    <w:rsid w:val="009B3DDE"/>
    <w:rsid w:val="009B42EE"/>
    <w:rsid w:val="009B4BB3"/>
    <w:rsid w:val="009B5FC6"/>
    <w:rsid w:val="009B6694"/>
    <w:rsid w:val="009B6962"/>
    <w:rsid w:val="009B72F5"/>
    <w:rsid w:val="009C09C9"/>
    <w:rsid w:val="009C0D65"/>
    <w:rsid w:val="009C0E09"/>
    <w:rsid w:val="009C131D"/>
    <w:rsid w:val="009C18B7"/>
    <w:rsid w:val="009C2142"/>
    <w:rsid w:val="009C2302"/>
    <w:rsid w:val="009C29A5"/>
    <w:rsid w:val="009C2D85"/>
    <w:rsid w:val="009C3869"/>
    <w:rsid w:val="009C3920"/>
    <w:rsid w:val="009C402F"/>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0A1"/>
    <w:rsid w:val="009D4745"/>
    <w:rsid w:val="009D4BEE"/>
    <w:rsid w:val="009D6566"/>
    <w:rsid w:val="009D65FB"/>
    <w:rsid w:val="009D6806"/>
    <w:rsid w:val="009D688D"/>
    <w:rsid w:val="009D6F4D"/>
    <w:rsid w:val="009D705A"/>
    <w:rsid w:val="009E0BD0"/>
    <w:rsid w:val="009E13C3"/>
    <w:rsid w:val="009E232C"/>
    <w:rsid w:val="009E2504"/>
    <w:rsid w:val="009E2628"/>
    <w:rsid w:val="009E2C5D"/>
    <w:rsid w:val="009E32B7"/>
    <w:rsid w:val="009E347F"/>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0ED3"/>
    <w:rsid w:val="00A01437"/>
    <w:rsid w:val="00A0239E"/>
    <w:rsid w:val="00A02BD8"/>
    <w:rsid w:val="00A0353A"/>
    <w:rsid w:val="00A03B5A"/>
    <w:rsid w:val="00A040EF"/>
    <w:rsid w:val="00A04694"/>
    <w:rsid w:val="00A04B9A"/>
    <w:rsid w:val="00A052F1"/>
    <w:rsid w:val="00A05461"/>
    <w:rsid w:val="00A055C1"/>
    <w:rsid w:val="00A05D17"/>
    <w:rsid w:val="00A05FF4"/>
    <w:rsid w:val="00A06044"/>
    <w:rsid w:val="00A06E2D"/>
    <w:rsid w:val="00A07169"/>
    <w:rsid w:val="00A07423"/>
    <w:rsid w:val="00A077F2"/>
    <w:rsid w:val="00A10619"/>
    <w:rsid w:val="00A12741"/>
    <w:rsid w:val="00A133F1"/>
    <w:rsid w:val="00A13E3F"/>
    <w:rsid w:val="00A13FF7"/>
    <w:rsid w:val="00A14049"/>
    <w:rsid w:val="00A14276"/>
    <w:rsid w:val="00A149FF"/>
    <w:rsid w:val="00A15C4D"/>
    <w:rsid w:val="00A16150"/>
    <w:rsid w:val="00A164FD"/>
    <w:rsid w:val="00A2018E"/>
    <w:rsid w:val="00A2028A"/>
    <w:rsid w:val="00A21218"/>
    <w:rsid w:val="00A2187D"/>
    <w:rsid w:val="00A2243F"/>
    <w:rsid w:val="00A225DC"/>
    <w:rsid w:val="00A23916"/>
    <w:rsid w:val="00A23EDF"/>
    <w:rsid w:val="00A2423A"/>
    <w:rsid w:val="00A244C6"/>
    <w:rsid w:val="00A247AC"/>
    <w:rsid w:val="00A24CAD"/>
    <w:rsid w:val="00A25F5A"/>
    <w:rsid w:val="00A267E4"/>
    <w:rsid w:val="00A27139"/>
    <w:rsid w:val="00A27783"/>
    <w:rsid w:val="00A3093F"/>
    <w:rsid w:val="00A309B5"/>
    <w:rsid w:val="00A31060"/>
    <w:rsid w:val="00A31114"/>
    <w:rsid w:val="00A31CAE"/>
    <w:rsid w:val="00A31CFE"/>
    <w:rsid w:val="00A31E9D"/>
    <w:rsid w:val="00A3264D"/>
    <w:rsid w:val="00A32EC6"/>
    <w:rsid w:val="00A32FB7"/>
    <w:rsid w:val="00A341F3"/>
    <w:rsid w:val="00A35C5F"/>
    <w:rsid w:val="00A35F58"/>
    <w:rsid w:val="00A36A42"/>
    <w:rsid w:val="00A379D0"/>
    <w:rsid w:val="00A379FD"/>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B28"/>
    <w:rsid w:val="00A50D71"/>
    <w:rsid w:val="00A5109B"/>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8E8"/>
    <w:rsid w:val="00A63B6C"/>
    <w:rsid w:val="00A648AE"/>
    <w:rsid w:val="00A64BC9"/>
    <w:rsid w:val="00A658C2"/>
    <w:rsid w:val="00A65C3D"/>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5FF6"/>
    <w:rsid w:val="00A96DD7"/>
    <w:rsid w:val="00A9734F"/>
    <w:rsid w:val="00A97607"/>
    <w:rsid w:val="00A97967"/>
    <w:rsid w:val="00A97D7D"/>
    <w:rsid w:val="00AA136E"/>
    <w:rsid w:val="00AA228C"/>
    <w:rsid w:val="00AA2304"/>
    <w:rsid w:val="00AA2EAF"/>
    <w:rsid w:val="00AA2F84"/>
    <w:rsid w:val="00AA3289"/>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1548"/>
    <w:rsid w:val="00AB1A94"/>
    <w:rsid w:val="00AB221D"/>
    <w:rsid w:val="00AB271D"/>
    <w:rsid w:val="00AB30C7"/>
    <w:rsid w:val="00AB493A"/>
    <w:rsid w:val="00AB7060"/>
    <w:rsid w:val="00AB7176"/>
    <w:rsid w:val="00AB7C47"/>
    <w:rsid w:val="00AC0B1D"/>
    <w:rsid w:val="00AC0CE3"/>
    <w:rsid w:val="00AC10B1"/>
    <w:rsid w:val="00AC150B"/>
    <w:rsid w:val="00AC17C0"/>
    <w:rsid w:val="00AC1DB2"/>
    <w:rsid w:val="00AC22D5"/>
    <w:rsid w:val="00AC2B73"/>
    <w:rsid w:val="00AC37B4"/>
    <w:rsid w:val="00AC389F"/>
    <w:rsid w:val="00AC3C0F"/>
    <w:rsid w:val="00AC3C76"/>
    <w:rsid w:val="00AC3E9C"/>
    <w:rsid w:val="00AC402A"/>
    <w:rsid w:val="00AC4044"/>
    <w:rsid w:val="00AC460A"/>
    <w:rsid w:val="00AC4DFF"/>
    <w:rsid w:val="00AC5141"/>
    <w:rsid w:val="00AC559D"/>
    <w:rsid w:val="00AC61BC"/>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248A"/>
    <w:rsid w:val="00AE3072"/>
    <w:rsid w:val="00AE3BF7"/>
    <w:rsid w:val="00AE4142"/>
    <w:rsid w:val="00AE4415"/>
    <w:rsid w:val="00AE458A"/>
    <w:rsid w:val="00AE4D6D"/>
    <w:rsid w:val="00AE4DF8"/>
    <w:rsid w:val="00AE4FE6"/>
    <w:rsid w:val="00AE63AE"/>
    <w:rsid w:val="00AE6937"/>
    <w:rsid w:val="00AE6B52"/>
    <w:rsid w:val="00AE7048"/>
    <w:rsid w:val="00AE70AC"/>
    <w:rsid w:val="00AE7922"/>
    <w:rsid w:val="00AE7B17"/>
    <w:rsid w:val="00AE7FE8"/>
    <w:rsid w:val="00AF02DB"/>
    <w:rsid w:val="00AF0A6F"/>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0891"/>
    <w:rsid w:val="00B00A9B"/>
    <w:rsid w:val="00B01500"/>
    <w:rsid w:val="00B016C6"/>
    <w:rsid w:val="00B020A9"/>
    <w:rsid w:val="00B023CB"/>
    <w:rsid w:val="00B02A70"/>
    <w:rsid w:val="00B02C38"/>
    <w:rsid w:val="00B02E9A"/>
    <w:rsid w:val="00B03181"/>
    <w:rsid w:val="00B032EC"/>
    <w:rsid w:val="00B03A8A"/>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90C"/>
    <w:rsid w:val="00B17E7D"/>
    <w:rsid w:val="00B17F65"/>
    <w:rsid w:val="00B20082"/>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8CD"/>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25F"/>
    <w:rsid w:val="00B44530"/>
    <w:rsid w:val="00B44A85"/>
    <w:rsid w:val="00B451E9"/>
    <w:rsid w:val="00B45DE3"/>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3AF4"/>
    <w:rsid w:val="00B74C50"/>
    <w:rsid w:val="00B75D67"/>
    <w:rsid w:val="00B76785"/>
    <w:rsid w:val="00B7788E"/>
    <w:rsid w:val="00B77E4C"/>
    <w:rsid w:val="00B77E9F"/>
    <w:rsid w:val="00B80289"/>
    <w:rsid w:val="00B805EC"/>
    <w:rsid w:val="00B80961"/>
    <w:rsid w:val="00B8187E"/>
    <w:rsid w:val="00B81C70"/>
    <w:rsid w:val="00B82057"/>
    <w:rsid w:val="00B82455"/>
    <w:rsid w:val="00B8292B"/>
    <w:rsid w:val="00B82BEF"/>
    <w:rsid w:val="00B82CF2"/>
    <w:rsid w:val="00B82F0C"/>
    <w:rsid w:val="00B83F21"/>
    <w:rsid w:val="00B84DD3"/>
    <w:rsid w:val="00B8542C"/>
    <w:rsid w:val="00B85505"/>
    <w:rsid w:val="00B855B8"/>
    <w:rsid w:val="00B85604"/>
    <w:rsid w:val="00B85E16"/>
    <w:rsid w:val="00B86738"/>
    <w:rsid w:val="00B87402"/>
    <w:rsid w:val="00B90343"/>
    <w:rsid w:val="00B90B10"/>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46D0"/>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4C7E"/>
    <w:rsid w:val="00BB58D5"/>
    <w:rsid w:val="00BB5BF2"/>
    <w:rsid w:val="00BB5E2F"/>
    <w:rsid w:val="00BB5ED9"/>
    <w:rsid w:val="00BB65B6"/>
    <w:rsid w:val="00BB67B7"/>
    <w:rsid w:val="00BB6D6D"/>
    <w:rsid w:val="00BB71CC"/>
    <w:rsid w:val="00BB731A"/>
    <w:rsid w:val="00BB789D"/>
    <w:rsid w:val="00BB79B3"/>
    <w:rsid w:val="00BC020C"/>
    <w:rsid w:val="00BC08B7"/>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2F6"/>
    <w:rsid w:val="00BD3A1B"/>
    <w:rsid w:val="00BD3E33"/>
    <w:rsid w:val="00BD3FE5"/>
    <w:rsid w:val="00BD4044"/>
    <w:rsid w:val="00BD4943"/>
    <w:rsid w:val="00BD583E"/>
    <w:rsid w:val="00BD6042"/>
    <w:rsid w:val="00BD615D"/>
    <w:rsid w:val="00BD7063"/>
    <w:rsid w:val="00BD7268"/>
    <w:rsid w:val="00BD7270"/>
    <w:rsid w:val="00BD7D82"/>
    <w:rsid w:val="00BE070E"/>
    <w:rsid w:val="00BE0D02"/>
    <w:rsid w:val="00BE1086"/>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7"/>
    <w:rsid w:val="00BF4698"/>
    <w:rsid w:val="00BF59FF"/>
    <w:rsid w:val="00BF6934"/>
    <w:rsid w:val="00BF6A3A"/>
    <w:rsid w:val="00BF6A4C"/>
    <w:rsid w:val="00BF6B6B"/>
    <w:rsid w:val="00BF6E33"/>
    <w:rsid w:val="00BF6FAC"/>
    <w:rsid w:val="00BF7692"/>
    <w:rsid w:val="00BF7F05"/>
    <w:rsid w:val="00C0053C"/>
    <w:rsid w:val="00C00626"/>
    <w:rsid w:val="00C01623"/>
    <w:rsid w:val="00C01E94"/>
    <w:rsid w:val="00C02011"/>
    <w:rsid w:val="00C0211F"/>
    <w:rsid w:val="00C0231A"/>
    <w:rsid w:val="00C02519"/>
    <w:rsid w:val="00C025E6"/>
    <w:rsid w:val="00C03109"/>
    <w:rsid w:val="00C036D0"/>
    <w:rsid w:val="00C037C7"/>
    <w:rsid w:val="00C04121"/>
    <w:rsid w:val="00C04227"/>
    <w:rsid w:val="00C04957"/>
    <w:rsid w:val="00C05D12"/>
    <w:rsid w:val="00C05DC6"/>
    <w:rsid w:val="00C069FB"/>
    <w:rsid w:val="00C06BEA"/>
    <w:rsid w:val="00C06D98"/>
    <w:rsid w:val="00C07759"/>
    <w:rsid w:val="00C07F76"/>
    <w:rsid w:val="00C1071A"/>
    <w:rsid w:val="00C10A48"/>
    <w:rsid w:val="00C10D9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160"/>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48C1"/>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DA1"/>
    <w:rsid w:val="00C33E4A"/>
    <w:rsid w:val="00C34153"/>
    <w:rsid w:val="00C343BD"/>
    <w:rsid w:val="00C344E5"/>
    <w:rsid w:val="00C34D6E"/>
    <w:rsid w:val="00C3528F"/>
    <w:rsid w:val="00C35ED3"/>
    <w:rsid w:val="00C36E2D"/>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3E5"/>
    <w:rsid w:val="00C51FFF"/>
    <w:rsid w:val="00C523C3"/>
    <w:rsid w:val="00C52498"/>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3E1C"/>
    <w:rsid w:val="00C64566"/>
    <w:rsid w:val="00C646F2"/>
    <w:rsid w:val="00C6495F"/>
    <w:rsid w:val="00C64F3C"/>
    <w:rsid w:val="00C66225"/>
    <w:rsid w:val="00C66563"/>
    <w:rsid w:val="00C66BA0"/>
    <w:rsid w:val="00C66D5D"/>
    <w:rsid w:val="00C6709D"/>
    <w:rsid w:val="00C675C9"/>
    <w:rsid w:val="00C717E3"/>
    <w:rsid w:val="00C72084"/>
    <w:rsid w:val="00C72C1C"/>
    <w:rsid w:val="00C72E42"/>
    <w:rsid w:val="00C72F09"/>
    <w:rsid w:val="00C73327"/>
    <w:rsid w:val="00C739BF"/>
    <w:rsid w:val="00C74275"/>
    <w:rsid w:val="00C74CEA"/>
    <w:rsid w:val="00C75370"/>
    <w:rsid w:val="00C7550B"/>
    <w:rsid w:val="00C75D94"/>
    <w:rsid w:val="00C76296"/>
    <w:rsid w:val="00C76303"/>
    <w:rsid w:val="00C76947"/>
    <w:rsid w:val="00C77E9A"/>
    <w:rsid w:val="00C80285"/>
    <w:rsid w:val="00C80DE3"/>
    <w:rsid w:val="00C80F01"/>
    <w:rsid w:val="00C81130"/>
    <w:rsid w:val="00C8170D"/>
    <w:rsid w:val="00C81948"/>
    <w:rsid w:val="00C819DF"/>
    <w:rsid w:val="00C81D7E"/>
    <w:rsid w:val="00C8296E"/>
    <w:rsid w:val="00C82D1B"/>
    <w:rsid w:val="00C83E11"/>
    <w:rsid w:val="00C84418"/>
    <w:rsid w:val="00C84737"/>
    <w:rsid w:val="00C84B89"/>
    <w:rsid w:val="00C84CBC"/>
    <w:rsid w:val="00C85A3A"/>
    <w:rsid w:val="00C85CE4"/>
    <w:rsid w:val="00C8689C"/>
    <w:rsid w:val="00C86CC1"/>
    <w:rsid w:val="00C86E77"/>
    <w:rsid w:val="00C8711E"/>
    <w:rsid w:val="00C8772F"/>
    <w:rsid w:val="00C877BF"/>
    <w:rsid w:val="00C87E46"/>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819"/>
    <w:rsid w:val="00CA2BF7"/>
    <w:rsid w:val="00CA2E03"/>
    <w:rsid w:val="00CA3561"/>
    <w:rsid w:val="00CA3876"/>
    <w:rsid w:val="00CA48A5"/>
    <w:rsid w:val="00CA504A"/>
    <w:rsid w:val="00CA55A2"/>
    <w:rsid w:val="00CA598A"/>
    <w:rsid w:val="00CA5B7C"/>
    <w:rsid w:val="00CA5E19"/>
    <w:rsid w:val="00CA6779"/>
    <w:rsid w:val="00CA6CB9"/>
    <w:rsid w:val="00CA6DFD"/>
    <w:rsid w:val="00CA7018"/>
    <w:rsid w:val="00CA729D"/>
    <w:rsid w:val="00CB02F5"/>
    <w:rsid w:val="00CB0F8B"/>
    <w:rsid w:val="00CB102D"/>
    <w:rsid w:val="00CB1701"/>
    <w:rsid w:val="00CB173F"/>
    <w:rsid w:val="00CB1EB4"/>
    <w:rsid w:val="00CB2F89"/>
    <w:rsid w:val="00CB40E3"/>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29B9"/>
    <w:rsid w:val="00CD41D2"/>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6A5"/>
    <w:rsid w:val="00CE3ADA"/>
    <w:rsid w:val="00CE3DBD"/>
    <w:rsid w:val="00CE5E19"/>
    <w:rsid w:val="00CE6306"/>
    <w:rsid w:val="00CE6844"/>
    <w:rsid w:val="00CE6917"/>
    <w:rsid w:val="00CE6EAF"/>
    <w:rsid w:val="00CE7CCB"/>
    <w:rsid w:val="00CF0281"/>
    <w:rsid w:val="00CF0ABD"/>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3171"/>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91A"/>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CFC"/>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568"/>
    <w:rsid w:val="00D406FD"/>
    <w:rsid w:val="00D40C66"/>
    <w:rsid w:val="00D41514"/>
    <w:rsid w:val="00D41951"/>
    <w:rsid w:val="00D419FD"/>
    <w:rsid w:val="00D41FB1"/>
    <w:rsid w:val="00D420CB"/>
    <w:rsid w:val="00D421A9"/>
    <w:rsid w:val="00D42C57"/>
    <w:rsid w:val="00D4332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23AA"/>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3486"/>
    <w:rsid w:val="00D64CC0"/>
    <w:rsid w:val="00D65165"/>
    <w:rsid w:val="00D670A9"/>
    <w:rsid w:val="00D674AA"/>
    <w:rsid w:val="00D67559"/>
    <w:rsid w:val="00D67A03"/>
    <w:rsid w:val="00D67F30"/>
    <w:rsid w:val="00D70117"/>
    <w:rsid w:val="00D70348"/>
    <w:rsid w:val="00D703E8"/>
    <w:rsid w:val="00D704DD"/>
    <w:rsid w:val="00D7056E"/>
    <w:rsid w:val="00D70B76"/>
    <w:rsid w:val="00D70BCC"/>
    <w:rsid w:val="00D71357"/>
    <w:rsid w:val="00D713F2"/>
    <w:rsid w:val="00D714B2"/>
    <w:rsid w:val="00D716C0"/>
    <w:rsid w:val="00D71A61"/>
    <w:rsid w:val="00D72732"/>
    <w:rsid w:val="00D72DBD"/>
    <w:rsid w:val="00D7313E"/>
    <w:rsid w:val="00D73DD4"/>
    <w:rsid w:val="00D73F9F"/>
    <w:rsid w:val="00D74057"/>
    <w:rsid w:val="00D740B5"/>
    <w:rsid w:val="00D742D5"/>
    <w:rsid w:val="00D75001"/>
    <w:rsid w:val="00D75B27"/>
    <w:rsid w:val="00D76290"/>
    <w:rsid w:val="00D7683D"/>
    <w:rsid w:val="00D769FB"/>
    <w:rsid w:val="00D77B0E"/>
    <w:rsid w:val="00D8010F"/>
    <w:rsid w:val="00D808F8"/>
    <w:rsid w:val="00D81EB8"/>
    <w:rsid w:val="00D820AD"/>
    <w:rsid w:val="00D82E5D"/>
    <w:rsid w:val="00D82F31"/>
    <w:rsid w:val="00D83471"/>
    <w:rsid w:val="00D8382B"/>
    <w:rsid w:val="00D83DEE"/>
    <w:rsid w:val="00D83EEC"/>
    <w:rsid w:val="00D849D2"/>
    <w:rsid w:val="00D84C00"/>
    <w:rsid w:val="00D8540D"/>
    <w:rsid w:val="00D859B2"/>
    <w:rsid w:val="00D85B30"/>
    <w:rsid w:val="00D8649F"/>
    <w:rsid w:val="00D867B9"/>
    <w:rsid w:val="00D86A80"/>
    <w:rsid w:val="00D86C6E"/>
    <w:rsid w:val="00D87B7E"/>
    <w:rsid w:val="00D90172"/>
    <w:rsid w:val="00D92DE4"/>
    <w:rsid w:val="00D92E7C"/>
    <w:rsid w:val="00D93656"/>
    <w:rsid w:val="00D94136"/>
    <w:rsid w:val="00D94A8A"/>
    <w:rsid w:val="00D9554B"/>
    <w:rsid w:val="00D95777"/>
    <w:rsid w:val="00D95894"/>
    <w:rsid w:val="00D95D44"/>
    <w:rsid w:val="00D967CA"/>
    <w:rsid w:val="00D96FA9"/>
    <w:rsid w:val="00D971C3"/>
    <w:rsid w:val="00D97338"/>
    <w:rsid w:val="00D97501"/>
    <w:rsid w:val="00D97CBF"/>
    <w:rsid w:val="00DA06CB"/>
    <w:rsid w:val="00DA0794"/>
    <w:rsid w:val="00DA1CB0"/>
    <w:rsid w:val="00DA1DFD"/>
    <w:rsid w:val="00DA2125"/>
    <w:rsid w:val="00DA3C69"/>
    <w:rsid w:val="00DA4206"/>
    <w:rsid w:val="00DA45E4"/>
    <w:rsid w:val="00DA46F4"/>
    <w:rsid w:val="00DA56C0"/>
    <w:rsid w:val="00DA6300"/>
    <w:rsid w:val="00DA66B0"/>
    <w:rsid w:val="00DA786B"/>
    <w:rsid w:val="00DA7B35"/>
    <w:rsid w:val="00DB031A"/>
    <w:rsid w:val="00DB05F9"/>
    <w:rsid w:val="00DB2446"/>
    <w:rsid w:val="00DB2633"/>
    <w:rsid w:val="00DB493A"/>
    <w:rsid w:val="00DB4F50"/>
    <w:rsid w:val="00DB5001"/>
    <w:rsid w:val="00DB5119"/>
    <w:rsid w:val="00DB51FF"/>
    <w:rsid w:val="00DB5D59"/>
    <w:rsid w:val="00DB6164"/>
    <w:rsid w:val="00DB6E35"/>
    <w:rsid w:val="00DB7504"/>
    <w:rsid w:val="00DB7961"/>
    <w:rsid w:val="00DB7BE1"/>
    <w:rsid w:val="00DB7C0E"/>
    <w:rsid w:val="00DB7E48"/>
    <w:rsid w:val="00DB7F14"/>
    <w:rsid w:val="00DC03EA"/>
    <w:rsid w:val="00DC04EA"/>
    <w:rsid w:val="00DC0589"/>
    <w:rsid w:val="00DC1421"/>
    <w:rsid w:val="00DC2BD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E41"/>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12D"/>
    <w:rsid w:val="00DF3576"/>
    <w:rsid w:val="00DF3BB4"/>
    <w:rsid w:val="00DF3C41"/>
    <w:rsid w:val="00DF4A3E"/>
    <w:rsid w:val="00DF4BA1"/>
    <w:rsid w:val="00DF4F71"/>
    <w:rsid w:val="00DF51A1"/>
    <w:rsid w:val="00DF581A"/>
    <w:rsid w:val="00DF5E64"/>
    <w:rsid w:val="00DF61ED"/>
    <w:rsid w:val="00DF638D"/>
    <w:rsid w:val="00DF6AFA"/>
    <w:rsid w:val="00DF6FE2"/>
    <w:rsid w:val="00DF7609"/>
    <w:rsid w:val="00DF7850"/>
    <w:rsid w:val="00DF7E47"/>
    <w:rsid w:val="00E0051A"/>
    <w:rsid w:val="00E00883"/>
    <w:rsid w:val="00E00B6B"/>
    <w:rsid w:val="00E0193E"/>
    <w:rsid w:val="00E02D42"/>
    <w:rsid w:val="00E035AD"/>
    <w:rsid w:val="00E0595D"/>
    <w:rsid w:val="00E05C4F"/>
    <w:rsid w:val="00E06848"/>
    <w:rsid w:val="00E06C71"/>
    <w:rsid w:val="00E1047D"/>
    <w:rsid w:val="00E1107E"/>
    <w:rsid w:val="00E11B0C"/>
    <w:rsid w:val="00E129F8"/>
    <w:rsid w:val="00E12F4E"/>
    <w:rsid w:val="00E13779"/>
    <w:rsid w:val="00E13A85"/>
    <w:rsid w:val="00E141DF"/>
    <w:rsid w:val="00E14697"/>
    <w:rsid w:val="00E148EF"/>
    <w:rsid w:val="00E14AE5"/>
    <w:rsid w:val="00E1523E"/>
    <w:rsid w:val="00E1590F"/>
    <w:rsid w:val="00E16147"/>
    <w:rsid w:val="00E16368"/>
    <w:rsid w:val="00E16D49"/>
    <w:rsid w:val="00E16DBA"/>
    <w:rsid w:val="00E176E0"/>
    <w:rsid w:val="00E1779F"/>
    <w:rsid w:val="00E1794D"/>
    <w:rsid w:val="00E200E7"/>
    <w:rsid w:val="00E20187"/>
    <w:rsid w:val="00E202E0"/>
    <w:rsid w:val="00E20EDA"/>
    <w:rsid w:val="00E20FFA"/>
    <w:rsid w:val="00E21885"/>
    <w:rsid w:val="00E21F5A"/>
    <w:rsid w:val="00E221EC"/>
    <w:rsid w:val="00E230FF"/>
    <w:rsid w:val="00E23691"/>
    <w:rsid w:val="00E23A03"/>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287"/>
    <w:rsid w:val="00E3147F"/>
    <w:rsid w:val="00E315F1"/>
    <w:rsid w:val="00E319B8"/>
    <w:rsid w:val="00E33454"/>
    <w:rsid w:val="00E3386F"/>
    <w:rsid w:val="00E33E51"/>
    <w:rsid w:val="00E34BFB"/>
    <w:rsid w:val="00E35098"/>
    <w:rsid w:val="00E35A09"/>
    <w:rsid w:val="00E35E6C"/>
    <w:rsid w:val="00E36EE6"/>
    <w:rsid w:val="00E40CB4"/>
    <w:rsid w:val="00E41AA9"/>
    <w:rsid w:val="00E41E94"/>
    <w:rsid w:val="00E42117"/>
    <w:rsid w:val="00E421FB"/>
    <w:rsid w:val="00E4241C"/>
    <w:rsid w:val="00E42637"/>
    <w:rsid w:val="00E428F2"/>
    <w:rsid w:val="00E42DF3"/>
    <w:rsid w:val="00E430F9"/>
    <w:rsid w:val="00E43D7E"/>
    <w:rsid w:val="00E43DAC"/>
    <w:rsid w:val="00E43EB7"/>
    <w:rsid w:val="00E43F18"/>
    <w:rsid w:val="00E44719"/>
    <w:rsid w:val="00E44905"/>
    <w:rsid w:val="00E45BDC"/>
    <w:rsid w:val="00E46CC6"/>
    <w:rsid w:val="00E502D8"/>
    <w:rsid w:val="00E51337"/>
    <w:rsid w:val="00E51A2E"/>
    <w:rsid w:val="00E51E85"/>
    <w:rsid w:val="00E52DD6"/>
    <w:rsid w:val="00E53048"/>
    <w:rsid w:val="00E53A6F"/>
    <w:rsid w:val="00E53AA7"/>
    <w:rsid w:val="00E53F88"/>
    <w:rsid w:val="00E5464D"/>
    <w:rsid w:val="00E54684"/>
    <w:rsid w:val="00E54A33"/>
    <w:rsid w:val="00E54DC4"/>
    <w:rsid w:val="00E555BE"/>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09BF"/>
    <w:rsid w:val="00E7135D"/>
    <w:rsid w:val="00E7255A"/>
    <w:rsid w:val="00E72860"/>
    <w:rsid w:val="00E7312C"/>
    <w:rsid w:val="00E7338B"/>
    <w:rsid w:val="00E7355E"/>
    <w:rsid w:val="00E741D0"/>
    <w:rsid w:val="00E75994"/>
    <w:rsid w:val="00E75AE0"/>
    <w:rsid w:val="00E76097"/>
    <w:rsid w:val="00E76B7F"/>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6FEC"/>
    <w:rsid w:val="00E87D7E"/>
    <w:rsid w:val="00E9016A"/>
    <w:rsid w:val="00E90C8D"/>
    <w:rsid w:val="00E91B3F"/>
    <w:rsid w:val="00E91DA6"/>
    <w:rsid w:val="00E91EE2"/>
    <w:rsid w:val="00E92E50"/>
    <w:rsid w:val="00E9330F"/>
    <w:rsid w:val="00E93ADA"/>
    <w:rsid w:val="00E94A80"/>
    <w:rsid w:val="00E94EC1"/>
    <w:rsid w:val="00E95080"/>
    <w:rsid w:val="00E95153"/>
    <w:rsid w:val="00E95E9A"/>
    <w:rsid w:val="00E95F02"/>
    <w:rsid w:val="00E961BB"/>
    <w:rsid w:val="00E97015"/>
    <w:rsid w:val="00E97445"/>
    <w:rsid w:val="00E97648"/>
    <w:rsid w:val="00E97C18"/>
    <w:rsid w:val="00EA0350"/>
    <w:rsid w:val="00EA0379"/>
    <w:rsid w:val="00EA17EA"/>
    <w:rsid w:val="00EA1ACE"/>
    <w:rsid w:val="00EA218E"/>
    <w:rsid w:val="00EA24CE"/>
    <w:rsid w:val="00EA3149"/>
    <w:rsid w:val="00EA33DD"/>
    <w:rsid w:val="00EA383A"/>
    <w:rsid w:val="00EA3AB4"/>
    <w:rsid w:val="00EA3AEB"/>
    <w:rsid w:val="00EA3F1E"/>
    <w:rsid w:val="00EA5656"/>
    <w:rsid w:val="00EA5C2A"/>
    <w:rsid w:val="00EA6026"/>
    <w:rsid w:val="00EA6128"/>
    <w:rsid w:val="00EA613F"/>
    <w:rsid w:val="00EA6666"/>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14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5AF8"/>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48AD"/>
    <w:rsid w:val="00EF567B"/>
    <w:rsid w:val="00EF591D"/>
    <w:rsid w:val="00EF5EE5"/>
    <w:rsid w:val="00EF6839"/>
    <w:rsid w:val="00EF7684"/>
    <w:rsid w:val="00F0025E"/>
    <w:rsid w:val="00F00719"/>
    <w:rsid w:val="00F00C84"/>
    <w:rsid w:val="00F00E96"/>
    <w:rsid w:val="00F02700"/>
    <w:rsid w:val="00F034B1"/>
    <w:rsid w:val="00F03504"/>
    <w:rsid w:val="00F0455C"/>
    <w:rsid w:val="00F05481"/>
    <w:rsid w:val="00F05FA3"/>
    <w:rsid w:val="00F06390"/>
    <w:rsid w:val="00F06845"/>
    <w:rsid w:val="00F06904"/>
    <w:rsid w:val="00F0790D"/>
    <w:rsid w:val="00F1003F"/>
    <w:rsid w:val="00F10AF2"/>
    <w:rsid w:val="00F10B74"/>
    <w:rsid w:val="00F10D13"/>
    <w:rsid w:val="00F10E7E"/>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6705"/>
    <w:rsid w:val="00F3675D"/>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47400"/>
    <w:rsid w:val="00F50397"/>
    <w:rsid w:val="00F50B34"/>
    <w:rsid w:val="00F50FB7"/>
    <w:rsid w:val="00F512DA"/>
    <w:rsid w:val="00F517E6"/>
    <w:rsid w:val="00F51994"/>
    <w:rsid w:val="00F51C00"/>
    <w:rsid w:val="00F52FFF"/>
    <w:rsid w:val="00F5348E"/>
    <w:rsid w:val="00F53521"/>
    <w:rsid w:val="00F54147"/>
    <w:rsid w:val="00F541CA"/>
    <w:rsid w:val="00F546D0"/>
    <w:rsid w:val="00F54FDF"/>
    <w:rsid w:val="00F5515C"/>
    <w:rsid w:val="00F555F6"/>
    <w:rsid w:val="00F56166"/>
    <w:rsid w:val="00F56E8F"/>
    <w:rsid w:val="00F573C8"/>
    <w:rsid w:val="00F57A5E"/>
    <w:rsid w:val="00F57C10"/>
    <w:rsid w:val="00F57FE1"/>
    <w:rsid w:val="00F60790"/>
    <w:rsid w:val="00F60F7F"/>
    <w:rsid w:val="00F61125"/>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769"/>
    <w:rsid w:val="00F8083C"/>
    <w:rsid w:val="00F8092B"/>
    <w:rsid w:val="00F809ED"/>
    <w:rsid w:val="00F80DB3"/>
    <w:rsid w:val="00F812B0"/>
    <w:rsid w:val="00F815D0"/>
    <w:rsid w:val="00F81A43"/>
    <w:rsid w:val="00F81A96"/>
    <w:rsid w:val="00F823A2"/>
    <w:rsid w:val="00F83315"/>
    <w:rsid w:val="00F833BE"/>
    <w:rsid w:val="00F834BD"/>
    <w:rsid w:val="00F842F0"/>
    <w:rsid w:val="00F84353"/>
    <w:rsid w:val="00F8487F"/>
    <w:rsid w:val="00F84D85"/>
    <w:rsid w:val="00F85AEC"/>
    <w:rsid w:val="00F868B2"/>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581"/>
    <w:rsid w:val="00FA696F"/>
    <w:rsid w:val="00FA79EC"/>
    <w:rsid w:val="00FA7A36"/>
    <w:rsid w:val="00FA7B88"/>
    <w:rsid w:val="00FB10D4"/>
    <w:rsid w:val="00FB138A"/>
    <w:rsid w:val="00FB1D8D"/>
    <w:rsid w:val="00FB2907"/>
    <w:rsid w:val="00FB3CCB"/>
    <w:rsid w:val="00FB5EC1"/>
    <w:rsid w:val="00FB5F13"/>
    <w:rsid w:val="00FB71C7"/>
    <w:rsid w:val="00FB733D"/>
    <w:rsid w:val="00FB7BD2"/>
    <w:rsid w:val="00FC05E6"/>
    <w:rsid w:val="00FC06C8"/>
    <w:rsid w:val="00FC0886"/>
    <w:rsid w:val="00FC1815"/>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AC8"/>
    <w:rsid w:val="00FC7ECA"/>
    <w:rsid w:val="00FD01A4"/>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1B"/>
    <w:rsid w:val="00FD6498"/>
    <w:rsid w:val="00FD708D"/>
    <w:rsid w:val="00FD7D75"/>
    <w:rsid w:val="00FD7DFA"/>
    <w:rsid w:val="00FE01AF"/>
    <w:rsid w:val="00FE07AD"/>
    <w:rsid w:val="00FE0D8C"/>
    <w:rsid w:val="00FE1B8C"/>
    <w:rsid w:val="00FE308B"/>
    <w:rsid w:val="00FE3B24"/>
    <w:rsid w:val="00FE40FD"/>
    <w:rsid w:val="00FE4E7F"/>
    <w:rsid w:val="00FE53AD"/>
    <w:rsid w:val="00FE59E4"/>
    <w:rsid w:val="00FE5BF0"/>
    <w:rsid w:val="00FE764C"/>
    <w:rsid w:val="00FF024D"/>
    <w:rsid w:val="00FF1BD6"/>
    <w:rsid w:val="00FF1E71"/>
    <w:rsid w:val="00FF20D7"/>
    <w:rsid w:val="00FF24A1"/>
    <w:rsid w:val="00FF2CAB"/>
    <w:rsid w:val="00FF353D"/>
    <w:rsid w:val="00FF35F6"/>
    <w:rsid w:val="00FF4237"/>
    <w:rsid w:val="00FF4CD6"/>
    <w:rsid w:val="00FF5F03"/>
    <w:rsid w:val="00FF6B9A"/>
    <w:rsid w:val="00FF6E5F"/>
    <w:rsid w:val="00FF7F68"/>
    <w:rsid w:val="01365799"/>
    <w:rsid w:val="016245C6"/>
    <w:rsid w:val="01992300"/>
    <w:rsid w:val="01B75C6A"/>
    <w:rsid w:val="01D86637"/>
    <w:rsid w:val="02225B04"/>
    <w:rsid w:val="022A3FD7"/>
    <w:rsid w:val="023C4E17"/>
    <w:rsid w:val="0462039F"/>
    <w:rsid w:val="04853043"/>
    <w:rsid w:val="04DF57D0"/>
    <w:rsid w:val="04E05B36"/>
    <w:rsid w:val="04EF5DCF"/>
    <w:rsid w:val="053D01B1"/>
    <w:rsid w:val="05616943"/>
    <w:rsid w:val="05B11678"/>
    <w:rsid w:val="05E57574"/>
    <w:rsid w:val="06870977"/>
    <w:rsid w:val="06915006"/>
    <w:rsid w:val="06B86675"/>
    <w:rsid w:val="071426B7"/>
    <w:rsid w:val="07A5586E"/>
    <w:rsid w:val="08732C15"/>
    <w:rsid w:val="08BA7B9A"/>
    <w:rsid w:val="091755A7"/>
    <w:rsid w:val="097A4477"/>
    <w:rsid w:val="098333B9"/>
    <w:rsid w:val="09B05932"/>
    <w:rsid w:val="09E55D95"/>
    <w:rsid w:val="0A0106F5"/>
    <w:rsid w:val="0A0D05D7"/>
    <w:rsid w:val="0A397E8E"/>
    <w:rsid w:val="0A894972"/>
    <w:rsid w:val="0AC66C76"/>
    <w:rsid w:val="0ACB6A22"/>
    <w:rsid w:val="0B220922"/>
    <w:rsid w:val="0BA67416"/>
    <w:rsid w:val="0BB2614A"/>
    <w:rsid w:val="0BB91406"/>
    <w:rsid w:val="0C1B5A9E"/>
    <w:rsid w:val="0C304C60"/>
    <w:rsid w:val="0C48085D"/>
    <w:rsid w:val="0C7C46CB"/>
    <w:rsid w:val="0CD8398F"/>
    <w:rsid w:val="0CD8573D"/>
    <w:rsid w:val="0D151DAB"/>
    <w:rsid w:val="0D186481"/>
    <w:rsid w:val="0D197B03"/>
    <w:rsid w:val="0D5A0767"/>
    <w:rsid w:val="0D6151BA"/>
    <w:rsid w:val="0D7A0BE3"/>
    <w:rsid w:val="0DDA54E4"/>
    <w:rsid w:val="0E5B4877"/>
    <w:rsid w:val="0E7C35A5"/>
    <w:rsid w:val="0ED43145"/>
    <w:rsid w:val="0F460B7F"/>
    <w:rsid w:val="0F655282"/>
    <w:rsid w:val="10502F5D"/>
    <w:rsid w:val="105C1AD8"/>
    <w:rsid w:val="10A342B4"/>
    <w:rsid w:val="10A51DDA"/>
    <w:rsid w:val="10B45CF5"/>
    <w:rsid w:val="10B7325B"/>
    <w:rsid w:val="11050ACA"/>
    <w:rsid w:val="11483D9C"/>
    <w:rsid w:val="11AD6919"/>
    <w:rsid w:val="11E06E41"/>
    <w:rsid w:val="11E84674"/>
    <w:rsid w:val="12D641E2"/>
    <w:rsid w:val="12ED5CBA"/>
    <w:rsid w:val="12F95CCF"/>
    <w:rsid w:val="13054DB2"/>
    <w:rsid w:val="13A46671"/>
    <w:rsid w:val="1445127B"/>
    <w:rsid w:val="14526852"/>
    <w:rsid w:val="14BF5434"/>
    <w:rsid w:val="153320AA"/>
    <w:rsid w:val="157707EC"/>
    <w:rsid w:val="158F3452"/>
    <w:rsid w:val="162D31F8"/>
    <w:rsid w:val="164F22EB"/>
    <w:rsid w:val="16CD0B5E"/>
    <w:rsid w:val="16EE2585"/>
    <w:rsid w:val="17371DE5"/>
    <w:rsid w:val="17472483"/>
    <w:rsid w:val="17CE7E68"/>
    <w:rsid w:val="186740EE"/>
    <w:rsid w:val="19087C47"/>
    <w:rsid w:val="19541E13"/>
    <w:rsid w:val="19B5242D"/>
    <w:rsid w:val="1A937147"/>
    <w:rsid w:val="1ABA2925"/>
    <w:rsid w:val="1AC13CB4"/>
    <w:rsid w:val="1ADE41AE"/>
    <w:rsid w:val="1AF06347"/>
    <w:rsid w:val="1B063DBD"/>
    <w:rsid w:val="1B0B38BC"/>
    <w:rsid w:val="1C0876C1"/>
    <w:rsid w:val="1C4F6411"/>
    <w:rsid w:val="1C646FED"/>
    <w:rsid w:val="1CB33AD0"/>
    <w:rsid w:val="1D13631D"/>
    <w:rsid w:val="1D6B43AB"/>
    <w:rsid w:val="1DF07FC7"/>
    <w:rsid w:val="1E320A25"/>
    <w:rsid w:val="1E9B4F2D"/>
    <w:rsid w:val="1EAF2075"/>
    <w:rsid w:val="1EB8776E"/>
    <w:rsid w:val="1F5F1CED"/>
    <w:rsid w:val="1FB03BA5"/>
    <w:rsid w:val="201B5C14"/>
    <w:rsid w:val="20580C17"/>
    <w:rsid w:val="208E212B"/>
    <w:rsid w:val="216D6944"/>
    <w:rsid w:val="21A258E7"/>
    <w:rsid w:val="21B05985"/>
    <w:rsid w:val="21E64000"/>
    <w:rsid w:val="224A2F3D"/>
    <w:rsid w:val="22BD5C27"/>
    <w:rsid w:val="22F64717"/>
    <w:rsid w:val="232A616E"/>
    <w:rsid w:val="237A0EF0"/>
    <w:rsid w:val="23B24D6E"/>
    <w:rsid w:val="240C3C26"/>
    <w:rsid w:val="241A61E3"/>
    <w:rsid w:val="252E0198"/>
    <w:rsid w:val="2540611D"/>
    <w:rsid w:val="25661A5B"/>
    <w:rsid w:val="257162D7"/>
    <w:rsid w:val="259105CC"/>
    <w:rsid w:val="25B12B77"/>
    <w:rsid w:val="2629587E"/>
    <w:rsid w:val="266B0F78"/>
    <w:rsid w:val="268D5392"/>
    <w:rsid w:val="26ED5E31"/>
    <w:rsid w:val="27244F45"/>
    <w:rsid w:val="27457A1B"/>
    <w:rsid w:val="275818C5"/>
    <w:rsid w:val="278A18D2"/>
    <w:rsid w:val="279938C3"/>
    <w:rsid w:val="27B859FB"/>
    <w:rsid w:val="27E014F2"/>
    <w:rsid w:val="27E02036"/>
    <w:rsid w:val="28335AC5"/>
    <w:rsid w:val="283C03BE"/>
    <w:rsid w:val="28497097"/>
    <w:rsid w:val="284F6DA3"/>
    <w:rsid w:val="285A2A84"/>
    <w:rsid w:val="285F4B0C"/>
    <w:rsid w:val="28E05C4D"/>
    <w:rsid w:val="29382A41"/>
    <w:rsid w:val="29530A33"/>
    <w:rsid w:val="296F6FD1"/>
    <w:rsid w:val="2996630C"/>
    <w:rsid w:val="2A151926"/>
    <w:rsid w:val="2A351FC9"/>
    <w:rsid w:val="2A677CA8"/>
    <w:rsid w:val="2A717444"/>
    <w:rsid w:val="2A88034A"/>
    <w:rsid w:val="2ABB0720"/>
    <w:rsid w:val="2AF673CA"/>
    <w:rsid w:val="2B267ACE"/>
    <w:rsid w:val="2B275402"/>
    <w:rsid w:val="2B4F0E68"/>
    <w:rsid w:val="2B595B68"/>
    <w:rsid w:val="2B6E4F5A"/>
    <w:rsid w:val="2B794137"/>
    <w:rsid w:val="2BBC7850"/>
    <w:rsid w:val="2BF80D92"/>
    <w:rsid w:val="2C370A57"/>
    <w:rsid w:val="2C412EA7"/>
    <w:rsid w:val="2C82701B"/>
    <w:rsid w:val="2C972AC7"/>
    <w:rsid w:val="2CDF621C"/>
    <w:rsid w:val="2CF972DD"/>
    <w:rsid w:val="2CFC5020"/>
    <w:rsid w:val="2D7D004E"/>
    <w:rsid w:val="2D86358D"/>
    <w:rsid w:val="2DBE2772"/>
    <w:rsid w:val="2DEC6E42"/>
    <w:rsid w:val="2DF53F49"/>
    <w:rsid w:val="2DF81343"/>
    <w:rsid w:val="2E701821"/>
    <w:rsid w:val="2E9C2EE0"/>
    <w:rsid w:val="2ECD0A22"/>
    <w:rsid w:val="2F212B1B"/>
    <w:rsid w:val="2F7E2440"/>
    <w:rsid w:val="2FA37038"/>
    <w:rsid w:val="2FD14FAE"/>
    <w:rsid w:val="2FFB2E91"/>
    <w:rsid w:val="30562C99"/>
    <w:rsid w:val="30F85AFE"/>
    <w:rsid w:val="31062F07"/>
    <w:rsid w:val="31BD2D20"/>
    <w:rsid w:val="31CA56EC"/>
    <w:rsid w:val="31DB5204"/>
    <w:rsid w:val="31F506F7"/>
    <w:rsid w:val="31F938DC"/>
    <w:rsid w:val="322A0475"/>
    <w:rsid w:val="322F554F"/>
    <w:rsid w:val="327F3792"/>
    <w:rsid w:val="3299637A"/>
    <w:rsid w:val="32BE739C"/>
    <w:rsid w:val="32CB213D"/>
    <w:rsid w:val="331E064D"/>
    <w:rsid w:val="3333106F"/>
    <w:rsid w:val="33680D19"/>
    <w:rsid w:val="33773E94"/>
    <w:rsid w:val="33890C8F"/>
    <w:rsid w:val="33C817B8"/>
    <w:rsid w:val="33E67E90"/>
    <w:rsid w:val="346C36CF"/>
    <w:rsid w:val="34BC77D8"/>
    <w:rsid w:val="34BD6E42"/>
    <w:rsid w:val="352275ED"/>
    <w:rsid w:val="352D221A"/>
    <w:rsid w:val="355C6F55"/>
    <w:rsid w:val="357A6B39"/>
    <w:rsid w:val="358F4C83"/>
    <w:rsid w:val="36627E86"/>
    <w:rsid w:val="36C24BE4"/>
    <w:rsid w:val="37151B83"/>
    <w:rsid w:val="375F2433"/>
    <w:rsid w:val="37D14555"/>
    <w:rsid w:val="37D37E88"/>
    <w:rsid w:val="37E56DDC"/>
    <w:rsid w:val="386341A5"/>
    <w:rsid w:val="389044E9"/>
    <w:rsid w:val="396D6ECE"/>
    <w:rsid w:val="39A6259B"/>
    <w:rsid w:val="39D345B0"/>
    <w:rsid w:val="3A824DB6"/>
    <w:rsid w:val="3AB42A96"/>
    <w:rsid w:val="3BB865B6"/>
    <w:rsid w:val="3BBE6635"/>
    <w:rsid w:val="3C2D2B00"/>
    <w:rsid w:val="3C97266F"/>
    <w:rsid w:val="3D000214"/>
    <w:rsid w:val="3D5B369C"/>
    <w:rsid w:val="3D604F23"/>
    <w:rsid w:val="3D6C7658"/>
    <w:rsid w:val="3D771EAB"/>
    <w:rsid w:val="3D932E36"/>
    <w:rsid w:val="3DBF1E7D"/>
    <w:rsid w:val="3DF37D79"/>
    <w:rsid w:val="3EEA4CD8"/>
    <w:rsid w:val="3F2534DA"/>
    <w:rsid w:val="3F316DAB"/>
    <w:rsid w:val="3F571B4C"/>
    <w:rsid w:val="3F836EDA"/>
    <w:rsid w:val="3F9C2171"/>
    <w:rsid w:val="3FB456CB"/>
    <w:rsid w:val="3FD6525C"/>
    <w:rsid w:val="40104C12"/>
    <w:rsid w:val="404025EC"/>
    <w:rsid w:val="40556AC9"/>
    <w:rsid w:val="40827192"/>
    <w:rsid w:val="40B165E5"/>
    <w:rsid w:val="410858E9"/>
    <w:rsid w:val="41110C42"/>
    <w:rsid w:val="415648A7"/>
    <w:rsid w:val="427A6373"/>
    <w:rsid w:val="427F607F"/>
    <w:rsid w:val="431E0B9B"/>
    <w:rsid w:val="435B772B"/>
    <w:rsid w:val="43635059"/>
    <w:rsid w:val="43AF029E"/>
    <w:rsid w:val="442D0F7F"/>
    <w:rsid w:val="4441183E"/>
    <w:rsid w:val="44C6612E"/>
    <w:rsid w:val="44CA7756"/>
    <w:rsid w:val="44E818A0"/>
    <w:rsid w:val="44F93EC7"/>
    <w:rsid w:val="4557299B"/>
    <w:rsid w:val="45A32084"/>
    <w:rsid w:val="465313B5"/>
    <w:rsid w:val="466000AE"/>
    <w:rsid w:val="46696E2A"/>
    <w:rsid w:val="466F3D86"/>
    <w:rsid w:val="466F4B08"/>
    <w:rsid w:val="46922B41"/>
    <w:rsid w:val="46A63BDA"/>
    <w:rsid w:val="46C71DA3"/>
    <w:rsid w:val="46D544C0"/>
    <w:rsid w:val="46E36A08"/>
    <w:rsid w:val="470629D5"/>
    <w:rsid w:val="47086643"/>
    <w:rsid w:val="473C453F"/>
    <w:rsid w:val="473C5246"/>
    <w:rsid w:val="473C62ED"/>
    <w:rsid w:val="47613FA5"/>
    <w:rsid w:val="47881532"/>
    <w:rsid w:val="47F22E4F"/>
    <w:rsid w:val="487B2E3B"/>
    <w:rsid w:val="489E7916"/>
    <w:rsid w:val="48AD79E8"/>
    <w:rsid w:val="48CC4F9A"/>
    <w:rsid w:val="48F0738F"/>
    <w:rsid w:val="495D0879"/>
    <w:rsid w:val="49745A14"/>
    <w:rsid w:val="499C3073"/>
    <w:rsid w:val="49A81A17"/>
    <w:rsid w:val="4A007AA5"/>
    <w:rsid w:val="4A0530C1"/>
    <w:rsid w:val="4A2819C9"/>
    <w:rsid w:val="4A5E4053"/>
    <w:rsid w:val="4A61284F"/>
    <w:rsid w:val="4A6718D3"/>
    <w:rsid w:val="4A8E6E5F"/>
    <w:rsid w:val="4AD30D16"/>
    <w:rsid w:val="4ADD44D3"/>
    <w:rsid w:val="4B91459D"/>
    <w:rsid w:val="4BFE1DC3"/>
    <w:rsid w:val="4C547C35"/>
    <w:rsid w:val="4D07067C"/>
    <w:rsid w:val="4D1F0243"/>
    <w:rsid w:val="4D2138EC"/>
    <w:rsid w:val="4D292E6F"/>
    <w:rsid w:val="4D302450"/>
    <w:rsid w:val="4D9E1AAF"/>
    <w:rsid w:val="4EB175C0"/>
    <w:rsid w:val="4ED26012"/>
    <w:rsid w:val="4EDB463D"/>
    <w:rsid w:val="4F2850F6"/>
    <w:rsid w:val="4F4246BC"/>
    <w:rsid w:val="4FDA48F5"/>
    <w:rsid w:val="4FE319FB"/>
    <w:rsid w:val="50104084"/>
    <w:rsid w:val="504A4535"/>
    <w:rsid w:val="50561D57"/>
    <w:rsid w:val="50C64E79"/>
    <w:rsid w:val="50C874A7"/>
    <w:rsid w:val="51FF0643"/>
    <w:rsid w:val="520F388B"/>
    <w:rsid w:val="52976ACD"/>
    <w:rsid w:val="52C75604"/>
    <w:rsid w:val="52E77A54"/>
    <w:rsid w:val="53545FFA"/>
    <w:rsid w:val="535E56F6"/>
    <w:rsid w:val="5458228C"/>
    <w:rsid w:val="5463310B"/>
    <w:rsid w:val="549E2395"/>
    <w:rsid w:val="54AB2D04"/>
    <w:rsid w:val="54D601BE"/>
    <w:rsid w:val="54E731EB"/>
    <w:rsid w:val="55B40DB3"/>
    <w:rsid w:val="55B41744"/>
    <w:rsid w:val="55C27722"/>
    <w:rsid w:val="56ED6783"/>
    <w:rsid w:val="570E3BC9"/>
    <w:rsid w:val="577473DD"/>
    <w:rsid w:val="578B2426"/>
    <w:rsid w:val="579D4B86"/>
    <w:rsid w:val="57E44562"/>
    <w:rsid w:val="58101008"/>
    <w:rsid w:val="581B27D6"/>
    <w:rsid w:val="584A21AC"/>
    <w:rsid w:val="592616B5"/>
    <w:rsid w:val="59554689"/>
    <w:rsid w:val="5AB50438"/>
    <w:rsid w:val="5ACD5A9A"/>
    <w:rsid w:val="5AF251E8"/>
    <w:rsid w:val="5B7044EE"/>
    <w:rsid w:val="5C2A6C04"/>
    <w:rsid w:val="5C343553"/>
    <w:rsid w:val="5CE6384E"/>
    <w:rsid w:val="5D443CF5"/>
    <w:rsid w:val="5D637AE5"/>
    <w:rsid w:val="5D9B1B67"/>
    <w:rsid w:val="5DDF2F2F"/>
    <w:rsid w:val="5E056FE1"/>
    <w:rsid w:val="5E167440"/>
    <w:rsid w:val="5E7F2B1A"/>
    <w:rsid w:val="5E987F67"/>
    <w:rsid w:val="5ECA3D86"/>
    <w:rsid w:val="5EFD5E9C"/>
    <w:rsid w:val="5F2E2567"/>
    <w:rsid w:val="5FF4703E"/>
    <w:rsid w:val="601B5879"/>
    <w:rsid w:val="602776E2"/>
    <w:rsid w:val="60651FB9"/>
    <w:rsid w:val="60A24FBB"/>
    <w:rsid w:val="60D74AAF"/>
    <w:rsid w:val="60DD5FF3"/>
    <w:rsid w:val="612C0D28"/>
    <w:rsid w:val="61447E20"/>
    <w:rsid w:val="617215D0"/>
    <w:rsid w:val="61A33D7C"/>
    <w:rsid w:val="62757533"/>
    <w:rsid w:val="63190B09"/>
    <w:rsid w:val="63604CB9"/>
    <w:rsid w:val="63626C83"/>
    <w:rsid w:val="636447A9"/>
    <w:rsid w:val="637A1985"/>
    <w:rsid w:val="63833993"/>
    <w:rsid w:val="639E7C98"/>
    <w:rsid w:val="63DB54BA"/>
    <w:rsid w:val="63F21E60"/>
    <w:rsid w:val="644D16E1"/>
    <w:rsid w:val="64C179D9"/>
    <w:rsid w:val="64C64FF0"/>
    <w:rsid w:val="64DB1D80"/>
    <w:rsid w:val="64FA236A"/>
    <w:rsid w:val="653D0B03"/>
    <w:rsid w:val="6545799B"/>
    <w:rsid w:val="65CD0D2C"/>
    <w:rsid w:val="65E64FDE"/>
    <w:rsid w:val="6616660F"/>
    <w:rsid w:val="663761A5"/>
    <w:rsid w:val="663A3EE7"/>
    <w:rsid w:val="66450900"/>
    <w:rsid w:val="665F7066"/>
    <w:rsid w:val="666130C7"/>
    <w:rsid w:val="668E07DC"/>
    <w:rsid w:val="66C814F3"/>
    <w:rsid w:val="66F95B50"/>
    <w:rsid w:val="67936ABF"/>
    <w:rsid w:val="67FC1454"/>
    <w:rsid w:val="695E7EED"/>
    <w:rsid w:val="697F233D"/>
    <w:rsid w:val="69886D18"/>
    <w:rsid w:val="69FD14B4"/>
    <w:rsid w:val="6AF1334A"/>
    <w:rsid w:val="6AF6662F"/>
    <w:rsid w:val="6B160F51"/>
    <w:rsid w:val="6B571736"/>
    <w:rsid w:val="6B8D6867"/>
    <w:rsid w:val="6B9419A4"/>
    <w:rsid w:val="6BAC4881"/>
    <w:rsid w:val="6BD12BF8"/>
    <w:rsid w:val="6C352E5E"/>
    <w:rsid w:val="6C501D6F"/>
    <w:rsid w:val="6C767DC1"/>
    <w:rsid w:val="6C9F4AA4"/>
    <w:rsid w:val="6CAB169B"/>
    <w:rsid w:val="6CDD04AE"/>
    <w:rsid w:val="6D465A44"/>
    <w:rsid w:val="6DFA03B9"/>
    <w:rsid w:val="6E0A419F"/>
    <w:rsid w:val="6E205347"/>
    <w:rsid w:val="6E4C0C5C"/>
    <w:rsid w:val="6E650847"/>
    <w:rsid w:val="6E791F84"/>
    <w:rsid w:val="6E97037E"/>
    <w:rsid w:val="6E9A19C7"/>
    <w:rsid w:val="6F204E84"/>
    <w:rsid w:val="6F87179F"/>
    <w:rsid w:val="6F934101"/>
    <w:rsid w:val="6FA56875"/>
    <w:rsid w:val="6FB0410D"/>
    <w:rsid w:val="6FFA6C73"/>
    <w:rsid w:val="703469C2"/>
    <w:rsid w:val="70432E01"/>
    <w:rsid w:val="705A140E"/>
    <w:rsid w:val="70BB1A19"/>
    <w:rsid w:val="70E67F15"/>
    <w:rsid w:val="71080E6A"/>
    <w:rsid w:val="71153587"/>
    <w:rsid w:val="717209D9"/>
    <w:rsid w:val="71722895"/>
    <w:rsid w:val="718A3BCA"/>
    <w:rsid w:val="719E3129"/>
    <w:rsid w:val="71A60FF6"/>
    <w:rsid w:val="71AD1A11"/>
    <w:rsid w:val="71D51291"/>
    <w:rsid w:val="71F413EE"/>
    <w:rsid w:val="71F9046B"/>
    <w:rsid w:val="720A0C12"/>
    <w:rsid w:val="722021E3"/>
    <w:rsid w:val="727147ED"/>
    <w:rsid w:val="72BA43E6"/>
    <w:rsid w:val="72BF37AA"/>
    <w:rsid w:val="72D27AD4"/>
    <w:rsid w:val="72D60AF4"/>
    <w:rsid w:val="73916BA0"/>
    <w:rsid w:val="73A475C2"/>
    <w:rsid w:val="73C03C7E"/>
    <w:rsid w:val="742842BA"/>
    <w:rsid w:val="746565D3"/>
    <w:rsid w:val="74BB7725"/>
    <w:rsid w:val="74F040EF"/>
    <w:rsid w:val="752D26DF"/>
    <w:rsid w:val="753E571C"/>
    <w:rsid w:val="757E5B9F"/>
    <w:rsid w:val="75952EE8"/>
    <w:rsid w:val="75A63493"/>
    <w:rsid w:val="75A634FC"/>
    <w:rsid w:val="760F67F7"/>
    <w:rsid w:val="76A258BD"/>
    <w:rsid w:val="76CB1B69"/>
    <w:rsid w:val="773D3837"/>
    <w:rsid w:val="775844CE"/>
    <w:rsid w:val="7785114A"/>
    <w:rsid w:val="7814400F"/>
    <w:rsid w:val="78492CDB"/>
    <w:rsid w:val="78EE342C"/>
    <w:rsid w:val="791D122B"/>
    <w:rsid w:val="795F2DA7"/>
    <w:rsid w:val="798E3ED6"/>
    <w:rsid w:val="79DC10E6"/>
    <w:rsid w:val="79F175E4"/>
    <w:rsid w:val="79FC3536"/>
    <w:rsid w:val="7A2D36EF"/>
    <w:rsid w:val="7AEF309B"/>
    <w:rsid w:val="7B2335C6"/>
    <w:rsid w:val="7BCE4A5E"/>
    <w:rsid w:val="7CBE0F77"/>
    <w:rsid w:val="7CEF2EDE"/>
    <w:rsid w:val="7D0C3D15"/>
    <w:rsid w:val="7D54596F"/>
    <w:rsid w:val="7DAA5057"/>
    <w:rsid w:val="7DB67EA0"/>
    <w:rsid w:val="7E03031D"/>
    <w:rsid w:val="7E3314F0"/>
    <w:rsid w:val="7E4A3A13"/>
    <w:rsid w:val="7E611BB9"/>
    <w:rsid w:val="7EB75C7D"/>
    <w:rsid w:val="7F032C71"/>
    <w:rsid w:val="7F0D3AEF"/>
    <w:rsid w:val="7F0F7867"/>
    <w:rsid w:val="7F6E35B7"/>
    <w:rsid w:val="7F8E181D"/>
    <w:rsid w:val="7FBE4232"/>
    <w:rsid w:val="7FFD13D7"/>
    <w:rsid w:val="FEFC8B1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9"/>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0"/>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99"/>
    <w:pPr>
      <w:ind w:firstLine="420"/>
    </w:pPr>
    <w:rPr>
      <w:szCs w:val="20"/>
    </w:rPr>
  </w:style>
  <w:style w:type="paragraph" w:styleId="7">
    <w:name w:val="Document Map"/>
    <w:basedOn w:val="1"/>
    <w:link w:val="59"/>
    <w:semiHidden/>
    <w:unhideWhenUsed/>
    <w:qFormat/>
    <w:uiPriority w:val="99"/>
    <w:rPr>
      <w:rFonts w:ascii="宋体" w:eastAsia="宋体"/>
      <w:sz w:val="18"/>
      <w:szCs w:val="18"/>
    </w:rPr>
  </w:style>
  <w:style w:type="paragraph" w:styleId="8">
    <w:name w:val="annotation text"/>
    <w:basedOn w:val="1"/>
    <w:link w:val="51"/>
    <w:unhideWhenUsed/>
    <w:qFormat/>
    <w:uiPriority w:val="0"/>
    <w:pPr>
      <w:jc w:val="left"/>
    </w:pPr>
  </w:style>
  <w:style w:type="paragraph" w:styleId="9">
    <w:name w:val="Body Text"/>
    <w:basedOn w:val="1"/>
    <w:link w:val="47"/>
    <w:qFormat/>
    <w:uiPriority w:val="0"/>
    <w:pPr>
      <w:spacing w:after="120"/>
    </w:pPr>
    <w:rPr>
      <w:rFonts w:ascii="Times New Roman" w:hAnsi="Times New Roman" w:eastAsia="宋体" w:cs="Times New Roman"/>
      <w:szCs w:val="24"/>
    </w:rPr>
  </w:style>
  <w:style w:type="paragraph" w:styleId="10">
    <w:name w:val="Body Text Indent"/>
    <w:basedOn w:val="1"/>
    <w:semiHidden/>
    <w:unhideWhenUsed/>
    <w:qFormat/>
    <w:uiPriority w:val="99"/>
    <w:pPr>
      <w:spacing w:after="120"/>
      <w:ind w:left="420" w:leftChars="200"/>
    </w:pPr>
    <w:rPr>
      <w:rFonts w:ascii="Calibri" w:hAnsi="Calibri" w:eastAsia="宋体" w:cs="Times New Roman"/>
    </w:rPr>
  </w:style>
  <w:style w:type="paragraph" w:styleId="11">
    <w:name w:val="toc 3"/>
    <w:basedOn w:val="1"/>
    <w:next w:val="1"/>
    <w:unhideWhenUsed/>
    <w:qFormat/>
    <w:uiPriority w:val="39"/>
    <w:pPr>
      <w:widowControl/>
      <w:spacing w:after="100" w:line="276" w:lineRule="auto"/>
      <w:ind w:left="440"/>
      <w:jc w:val="left"/>
    </w:pPr>
    <w:rPr>
      <w:kern w:val="0"/>
      <w:sz w:val="22"/>
    </w:rPr>
  </w:style>
  <w:style w:type="paragraph" w:styleId="12">
    <w:name w:val="Plain Text"/>
    <w:basedOn w:val="1"/>
    <w:link w:val="42"/>
    <w:qFormat/>
    <w:uiPriority w:val="0"/>
    <w:rPr>
      <w:rFonts w:ascii="宋体" w:hAnsi="Courier New" w:eastAsia="宋体"/>
      <w:szCs w:val="24"/>
    </w:rPr>
  </w:style>
  <w:style w:type="paragraph" w:styleId="13">
    <w:name w:val="Date"/>
    <w:basedOn w:val="1"/>
    <w:next w:val="1"/>
    <w:link w:val="32"/>
    <w:unhideWhenUsed/>
    <w:qFormat/>
    <w:uiPriority w:val="0"/>
    <w:pPr>
      <w:ind w:left="100" w:leftChars="2500"/>
    </w:pPr>
  </w:style>
  <w:style w:type="paragraph" w:styleId="14">
    <w:name w:val="Balloon Text"/>
    <w:basedOn w:val="1"/>
    <w:link w:val="31"/>
    <w:semiHidden/>
    <w:unhideWhenUsed/>
    <w:qFormat/>
    <w:uiPriority w:val="99"/>
    <w:rPr>
      <w:sz w:val="18"/>
      <w:szCs w:val="18"/>
    </w:rPr>
  </w:style>
  <w:style w:type="paragraph" w:styleId="15">
    <w:name w:val="footer"/>
    <w:basedOn w:val="1"/>
    <w:link w:val="37"/>
    <w:unhideWhenUsed/>
    <w:qFormat/>
    <w:uiPriority w:val="99"/>
    <w:pPr>
      <w:tabs>
        <w:tab w:val="center" w:pos="4153"/>
        <w:tab w:val="right" w:pos="8306"/>
      </w:tabs>
      <w:snapToGrid w:val="0"/>
      <w:jc w:val="left"/>
    </w:pPr>
    <w:rPr>
      <w:sz w:val="18"/>
      <w:szCs w:val="18"/>
    </w:rPr>
  </w:style>
  <w:style w:type="paragraph" w:styleId="16">
    <w:name w:val="header"/>
    <w:basedOn w:val="1"/>
    <w:link w:val="36"/>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widowControl/>
      <w:tabs>
        <w:tab w:val="right" w:leader="dot" w:pos="8273"/>
      </w:tabs>
      <w:spacing w:line="360" w:lineRule="auto"/>
      <w:jc w:val="left"/>
    </w:pPr>
    <w:rPr>
      <w:rFonts w:eastAsia="黑体"/>
      <w:kern w:val="0"/>
      <w:sz w:val="22"/>
    </w:rPr>
  </w:style>
  <w:style w:type="paragraph" w:styleId="18">
    <w:name w:val="toc 2"/>
    <w:basedOn w:val="1"/>
    <w:next w:val="1"/>
    <w:unhideWhenUsed/>
    <w:qFormat/>
    <w:uiPriority w:val="39"/>
    <w:pPr>
      <w:widowControl/>
      <w:tabs>
        <w:tab w:val="left" w:pos="709"/>
        <w:tab w:val="right" w:leader="dot" w:pos="8302"/>
      </w:tabs>
      <w:spacing w:after="100" w:line="276" w:lineRule="auto"/>
      <w:ind w:left="220"/>
      <w:jc w:val="left"/>
    </w:pPr>
    <w:rPr>
      <w:kern w:val="0"/>
      <w:sz w:val="22"/>
    </w:rPr>
  </w:style>
  <w:style w:type="paragraph" w:styleId="19">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20">
    <w:name w:val="annotation subject"/>
    <w:basedOn w:val="8"/>
    <w:next w:val="8"/>
    <w:link w:val="52"/>
    <w:semiHidden/>
    <w:unhideWhenUsed/>
    <w:qFormat/>
    <w:uiPriority w:val="99"/>
    <w:rPr>
      <w:b/>
      <w:bCs/>
    </w:rPr>
  </w:style>
  <w:style w:type="paragraph" w:styleId="21">
    <w:name w:val="Body Text First Indent 2"/>
    <w:basedOn w:val="10"/>
    <w:unhideWhenUsed/>
    <w:qFormat/>
    <w:uiPriority w:val="99"/>
    <w:pPr>
      <w:ind w:firstLine="420" w:firstLineChars="200"/>
    </w:p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22"/>
    <w:rPr>
      <w:b/>
      <w:bCs/>
    </w:rPr>
  </w:style>
  <w:style w:type="character" w:styleId="26">
    <w:name w:val="page number"/>
    <w:basedOn w:val="24"/>
    <w:qFormat/>
    <w:uiPriority w:val="0"/>
  </w:style>
  <w:style w:type="character" w:styleId="27">
    <w:name w:val="FollowedHyperlink"/>
    <w:basedOn w:val="24"/>
    <w:semiHidden/>
    <w:unhideWhenUsed/>
    <w:qFormat/>
    <w:uiPriority w:val="99"/>
    <w:rPr>
      <w:color w:val="800080" w:themeColor="followedHyperlink"/>
      <w:u w:val="single"/>
      <w14:textFill>
        <w14:solidFill>
          <w14:schemeClr w14:val="folHlink"/>
        </w14:solidFill>
      </w14:textFill>
    </w:rPr>
  </w:style>
  <w:style w:type="character" w:styleId="28">
    <w:name w:val="Emphasis"/>
    <w:basedOn w:val="24"/>
    <w:qFormat/>
    <w:uiPriority w:val="20"/>
    <w:rPr>
      <w:i/>
      <w:iCs/>
    </w:rPr>
  </w:style>
  <w:style w:type="character" w:styleId="29">
    <w:name w:val="Hyperlink"/>
    <w:qFormat/>
    <w:uiPriority w:val="99"/>
    <w:rPr>
      <w:color w:val="0000FF"/>
      <w:u w:val="single"/>
    </w:rPr>
  </w:style>
  <w:style w:type="character" w:styleId="30">
    <w:name w:val="annotation reference"/>
    <w:basedOn w:val="24"/>
    <w:unhideWhenUsed/>
    <w:qFormat/>
    <w:uiPriority w:val="0"/>
    <w:rPr>
      <w:sz w:val="21"/>
      <w:szCs w:val="21"/>
    </w:rPr>
  </w:style>
  <w:style w:type="character" w:customStyle="1" w:styleId="31">
    <w:name w:val="批注框文本 字符"/>
    <w:basedOn w:val="24"/>
    <w:link w:val="14"/>
    <w:semiHidden/>
    <w:qFormat/>
    <w:uiPriority w:val="99"/>
    <w:rPr>
      <w:sz w:val="18"/>
      <w:szCs w:val="18"/>
    </w:rPr>
  </w:style>
  <w:style w:type="character" w:customStyle="1" w:styleId="32">
    <w:name w:val="日期 字符"/>
    <w:basedOn w:val="24"/>
    <w:link w:val="13"/>
    <w:semiHidden/>
    <w:qFormat/>
    <w:uiPriority w:val="99"/>
  </w:style>
  <w:style w:type="paragraph" w:styleId="33">
    <w:name w:val="List Paragraph"/>
    <w:basedOn w:val="1"/>
    <w:link w:val="48"/>
    <w:qFormat/>
    <w:uiPriority w:val="34"/>
    <w:pPr>
      <w:ind w:firstLine="420" w:firstLineChars="200"/>
    </w:pPr>
  </w:style>
  <w:style w:type="character" w:customStyle="1" w:styleId="34">
    <w:name w:val="p141"/>
    <w:qFormat/>
    <w:uiPriority w:val="0"/>
    <w:rPr>
      <w:sz w:val="21"/>
      <w:szCs w:val="21"/>
    </w:rPr>
  </w:style>
  <w:style w:type="character" w:customStyle="1" w:styleId="35">
    <w:name w:val="标题 1 字符"/>
    <w:basedOn w:val="24"/>
    <w:link w:val="2"/>
    <w:qFormat/>
    <w:uiPriority w:val="9"/>
    <w:rPr>
      <w:b/>
      <w:bCs/>
      <w:kern w:val="44"/>
      <w:sz w:val="44"/>
      <w:szCs w:val="44"/>
    </w:rPr>
  </w:style>
  <w:style w:type="character" w:customStyle="1" w:styleId="36">
    <w:name w:val="页眉 字符"/>
    <w:basedOn w:val="24"/>
    <w:link w:val="16"/>
    <w:qFormat/>
    <w:uiPriority w:val="99"/>
    <w:rPr>
      <w:sz w:val="18"/>
      <w:szCs w:val="18"/>
    </w:rPr>
  </w:style>
  <w:style w:type="character" w:customStyle="1" w:styleId="37">
    <w:name w:val="页脚 字符"/>
    <w:basedOn w:val="24"/>
    <w:link w:val="15"/>
    <w:qFormat/>
    <w:uiPriority w:val="99"/>
    <w:rPr>
      <w:sz w:val="18"/>
      <w:szCs w:val="18"/>
    </w:rPr>
  </w:style>
  <w:style w:type="paragraph" w:customStyle="1" w:styleId="3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9">
    <w:name w:val="正文缩进2格"/>
    <w:basedOn w:val="1"/>
    <w:link w:val="40"/>
    <w:qFormat/>
    <w:uiPriority w:val="0"/>
    <w:pPr>
      <w:spacing w:line="600" w:lineRule="exact"/>
      <w:ind w:firstLine="639" w:firstLineChars="206"/>
    </w:pPr>
    <w:rPr>
      <w:rFonts w:ascii="仿宋_GB2312" w:hAnsi="宋体" w:eastAsia="仿宋_GB2312" w:cs="Times New Roman"/>
      <w:sz w:val="31"/>
      <w:szCs w:val="28"/>
    </w:rPr>
  </w:style>
  <w:style w:type="character" w:customStyle="1" w:styleId="40">
    <w:name w:val="正文缩进2格 Char"/>
    <w:link w:val="39"/>
    <w:qFormat/>
    <w:uiPriority w:val="0"/>
    <w:rPr>
      <w:rFonts w:ascii="仿宋_GB2312" w:hAnsi="宋体" w:eastAsia="仿宋_GB2312" w:cs="Times New Roman"/>
      <w:sz w:val="31"/>
      <w:szCs w:val="28"/>
    </w:rPr>
  </w:style>
  <w:style w:type="character" w:customStyle="1" w:styleId="41">
    <w:name w:val="标题 2 字符"/>
    <w:basedOn w:val="24"/>
    <w:link w:val="3"/>
    <w:qFormat/>
    <w:uiPriority w:val="9"/>
    <w:rPr>
      <w:rFonts w:asciiTheme="majorHAnsi" w:hAnsiTheme="majorHAnsi" w:eastAsiaTheme="majorEastAsia" w:cstheme="majorBidi"/>
      <w:b/>
      <w:bCs/>
      <w:sz w:val="32"/>
      <w:szCs w:val="32"/>
    </w:rPr>
  </w:style>
  <w:style w:type="character" w:customStyle="1" w:styleId="42">
    <w:name w:val="纯文本 字符"/>
    <w:basedOn w:val="24"/>
    <w:link w:val="12"/>
    <w:qFormat/>
    <w:uiPriority w:val="0"/>
    <w:rPr>
      <w:rFonts w:ascii="宋体" w:hAnsi="Courier New" w:eastAsia="宋体"/>
      <w:szCs w:val="24"/>
    </w:rPr>
  </w:style>
  <w:style w:type="character" w:customStyle="1" w:styleId="43">
    <w:name w:val="纯文本 Char"/>
    <w:basedOn w:val="24"/>
    <w:semiHidden/>
    <w:qFormat/>
    <w:uiPriority w:val="99"/>
    <w:rPr>
      <w:rFonts w:ascii="宋体" w:hAnsi="Courier New" w:eastAsia="宋体" w:cs="Courier New"/>
      <w:szCs w:val="21"/>
    </w:rPr>
  </w:style>
  <w:style w:type="character" w:customStyle="1" w:styleId="4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45">
    <w:name w:val="正文缩进4格"/>
    <w:basedOn w:val="39"/>
    <w:qFormat/>
    <w:uiPriority w:val="0"/>
    <w:pPr>
      <w:spacing w:line="340" w:lineRule="exact"/>
      <w:ind w:firstLine="315" w:firstLineChars="0"/>
    </w:pPr>
    <w:rPr>
      <w:rFonts w:ascii="宋体" w:eastAsia="宋体"/>
      <w:sz w:val="24"/>
      <w:szCs w:val="24"/>
    </w:rPr>
  </w:style>
  <w:style w:type="character" w:customStyle="1" w:styleId="46">
    <w:name w:val="正文文本 Char"/>
    <w:basedOn w:val="24"/>
    <w:semiHidden/>
    <w:qFormat/>
    <w:uiPriority w:val="99"/>
  </w:style>
  <w:style w:type="character" w:customStyle="1" w:styleId="47">
    <w:name w:val="正文文本 字符"/>
    <w:link w:val="9"/>
    <w:qFormat/>
    <w:uiPriority w:val="0"/>
    <w:rPr>
      <w:rFonts w:ascii="Times New Roman" w:hAnsi="Times New Roman" w:eastAsia="宋体" w:cs="Times New Roman"/>
      <w:szCs w:val="24"/>
    </w:rPr>
  </w:style>
  <w:style w:type="character" w:customStyle="1" w:styleId="48">
    <w:name w:val="列表段落 字符"/>
    <w:link w:val="33"/>
    <w:qFormat/>
    <w:uiPriority w:val="34"/>
  </w:style>
  <w:style w:type="character" w:customStyle="1" w:styleId="49">
    <w:name w:val="标题 3 字符"/>
    <w:basedOn w:val="24"/>
    <w:link w:val="4"/>
    <w:semiHidden/>
    <w:qFormat/>
    <w:uiPriority w:val="9"/>
    <w:rPr>
      <w:b/>
      <w:bCs/>
      <w:sz w:val="32"/>
      <w:szCs w:val="32"/>
    </w:rPr>
  </w:style>
  <w:style w:type="character" w:customStyle="1" w:styleId="50">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51">
    <w:name w:val="批注文字 字符"/>
    <w:basedOn w:val="24"/>
    <w:link w:val="8"/>
    <w:qFormat/>
    <w:uiPriority w:val="0"/>
  </w:style>
  <w:style w:type="character" w:customStyle="1" w:styleId="52">
    <w:name w:val="批注主题 字符"/>
    <w:basedOn w:val="51"/>
    <w:link w:val="20"/>
    <w:semiHidden/>
    <w:qFormat/>
    <w:uiPriority w:val="99"/>
    <w:rPr>
      <w:b/>
      <w:bCs/>
    </w:rPr>
  </w:style>
  <w:style w:type="paragraph" w:customStyle="1" w:styleId="53">
    <w:name w:val="保留正文"/>
    <w:basedOn w:val="9"/>
    <w:qFormat/>
    <w:uiPriority w:val="0"/>
    <w:pPr>
      <w:keepNext/>
      <w:spacing w:after="160"/>
    </w:pPr>
  </w:style>
  <w:style w:type="paragraph" w:customStyle="1" w:styleId="54">
    <w:name w:val="列出段落1"/>
    <w:basedOn w:val="1"/>
    <w:qFormat/>
    <w:uiPriority w:val="0"/>
    <w:pPr>
      <w:ind w:firstLine="420" w:firstLineChars="200"/>
    </w:pPr>
    <w:rPr>
      <w:rFonts w:ascii="Calibri" w:hAnsi="Calibri" w:eastAsia="宋体" w:cs="黑体"/>
    </w:rPr>
  </w:style>
  <w:style w:type="paragraph" w:customStyle="1" w:styleId="55">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56">
    <w:name w:val="_Style 202"/>
    <w:basedOn w:val="1"/>
    <w:qFormat/>
    <w:uiPriority w:val="0"/>
    <w:pPr>
      <w:tabs>
        <w:tab w:val="left" w:pos="360"/>
      </w:tabs>
    </w:pPr>
    <w:rPr>
      <w:rFonts w:ascii="Times New Roman" w:hAnsi="Times New Roman" w:eastAsia="宋体" w:cs="Times New Roman"/>
      <w:szCs w:val="24"/>
    </w:rPr>
  </w:style>
  <w:style w:type="paragraph" w:customStyle="1" w:styleId="57">
    <w:name w:val="Char1 Char Char Char"/>
    <w:basedOn w:val="1"/>
    <w:qFormat/>
    <w:uiPriority w:val="0"/>
    <w:rPr>
      <w:rFonts w:ascii="黑体" w:hAnsi="Verdana" w:eastAsia="黑体" w:cs="Times New Roman"/>
      <w:kern w:val="0"/>
      <w:sz w:val="32"/>
      <w:szCs w:val="32"/>
      <w:lang w:eastAsia="en-US"/>
    </w:rPr>
  </w:style>
  <w:style w:type="paragraph" w:customStyle="1" w:styleId="58">
    <w:name w:val="1 Char Char Char Char"/>
    <w:basedOn w:val="1"/>
    <w:qFormat/>
    <w:uiPriority w:val="0"/>
    <w:pPr>
      <w:spacing w:after="160" w:line="240" w:lineRule="exact"/>
    </w:pPr>
    <w:rPr>
      <w:rFonts w:ascii="Times New Roman" w:hAnsi="Times New Roman" w:eastAsia="宋体" w:cs="Times New Roman"/>
      <w:szCs w:val="24"/>
    </w:rPr>
  </w:style>
  <w:style w:type="character" w:customStyle="1" w:styleId="59">
    <w:name w:val="文档结构图 字符"/>
    <w:basedOn w:val="24"/>
    <w:link w:val="7"/>
    <w:semiHidden/>
    <w:qFormat/>
    <w:uiPriority w:val="99"/>
    <w:rPr>
      <w:rFonts w:ascii="宋体" w:eastAsia="宋体"/>
      <w:sz w:val="18"/>
      <w:szCs w:val="18"/>
    </w:rPr>
  </w:style>
  <w:style w:type="paragraph" w:customStyle="1" w:styleId="60">
    <w:name w:val="样式4"/>
    <w:basedOn w:val="1"/>
    <w:qFormat/>
    <w:uiPriority w:val="0"/>
    <w:pPr>
      <w:tabs>
        <w:tab w:val="left" w:pos="2328"/>
      </w:tabs>
      <w:ind w:left="2328" w:hanging="708"/>
    </w:pPr>
    <w:rPr>
      <w:rFonts w:ascii="Times New Roman" w:hAnsi="Times New Roman" w:eastAsia="宋体" w:cs="Times New Roman"/>
      <w:szCs w:val="24"/>
    </w:rPr>
  </w:style>
  <w:style w:type="paragraph" w:customStyle="1" w:styleId="61">
    <w:name w:val="Char Char Char Char Char Char Char Char Char Char Char Char1 Char Char Char Char"/>
    <w:basedOn w:val="1"/>
    <w:qFormat/>
    <w:uiPriority w:val="0"/>
    <w:pPr>
      <w:widowControl/>
      <w:spacing w:after="160" w:line="240" w:lineRule="exact"/>
      <w:jc w:val="center"/>
    </w:pPr>
    <w:rPr>
      <w:rFonts w:ascii="黑体" w:hAnsi="Verdana" w:eastAsia="黑体" w:cs="Times New Roman"/>
      <w:kern w:val="0"/>
      <w:sz w:val="32"/>
      <w:szCs w:val="32"/>
      <w:lang w:eastAsia="en-US"/>
    </w:rPr>
  </w:style>
  <w:style w:type="character" w:customStyle="1" w:styleId="62">
    <w:name w:val="未处理的提及1"/>
    <w:basedOn w:val="24"/>
    <w:semiHidden/>
    <w:unhideWhenUsed/>
    <w:qFormat/>
    <w:uiPriority w:val="99"/>
    <w:rPr>
      <w:color w:val="605E5C"/>
      <w:shd w:val="clear" w:color="auto" w:fill="E1DFDD"/>
    </w:rPr>
  </w:style>
  <w:style w:type="character" w:customStyle="1" w:styleId="63">
    <w:name w:val="未处理的提及2"/>
    <w:basedOn w:val="24"/>
    <w:semiHidden/>
    <w:unhideWhenUsed/>
    <w:qFormat/>
    <w:uiPriority w:val="99"/>
    <w:rPr>
      <w:color w:val="605E5C"/>
      <w:shd w:val="clear" w:color="auto" w:fill="E1DFDD"/>
    </w:rPr>
  </w:style>
  <w:style w:type="character" w:customStyle="1" w:styleId="64">
    <w:name w:val="NormalCharacter"/>
    <w:qFormat/>
    <w:uiPriority w:val="0"/>
    <w:rPr>
      <w:rFonts w:ascii="Times New Roman" w:hAnsi="Times New Roman" w:eastAsia="宋体" w:cs="Times New Roman"/>
      <w:kern w:val="2"/>
      <w:sz w:val="21"/>
      <w:szCs w:val="24"/>
      <w:lang w:val="en-US" w:eastAsia="zh-CN" w:bidi="ar-SA"/>
    </w:rPr>
  </w:style>
  <w:style w:type="paragraph" w:customStyle="1" w:styleId="65">
    <w:name w:val="正文_0"/>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66">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7">
    <w:name w:val="列出段落2"/>
    <w:basedOn w:val="1"/>
    <w:qFormat/>
    <w:uiPriority w:val="99"/>
    <w:pPr>
      <w:ind w:firstLine="420" w:firstLineChars="200"/>
    </w:pPr>
  </w:style>
  <w:style w:type="table" w:customStyle="1" w:styleId="68">
    <w:name w:val="网格型1"/>
    <w:basedOn w:val="22"/>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9">
    <w:name w:val="列表段落1"/>
    <w:basedOn w:val="1"/>
    <w:qFormat/>
    <w:uiPriority w:val="34"/>
    <w:pPr>
      <w:widowControl/>
      <w:spacing w:after="160" w:line="312" w:lineRule="auto"/>
      <w:ind w:firstLine="420" w:firstLineChars="200"/>
      <w:jc w:val="left"/>
    </w:pPr>
    <w:rPr>
      <w:kern w:val="0"/>
    </w:rPr>
  </w:style>
  <w:style w:type="paragraph" w:customStyle="1" w:styleId="70">
    <w:name w:val="null3"/>
    <w:hidden/>
    <w:qFormat/>
    <w:uiPriority w:val="0"/>
    <w:rPr>
      <w:rFonts w:hint="eastAsia" w:asciiTheme="minorHAnsi" w:hAnsiTheme="minorHAnsi" w:eastAsiaTheme="minorEastAsia" w:cstheme="minorBidi"/>
      <w:kern w:val="0"/>
      <w:sz w:val="20"/>
      <w:szCs w:val="20"/>
      <w:lang w:val="en-US" w:eastAsia="zh-Hans" w:bidi="ar-SA"/>
    </w:rPr>
  </w:style>
  <w:style w:type="table" w:customStyle="1" w:styleId="71">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3CC92-B3CF-4E78-9576-7A3C9FED1F6D}">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53</Pages>
  <Words>9481</Words>
  <Characters>9926</Characters>
  <Lines>226</Lines>
  <Paragraphs>63</Paragraphs>
  <TotalTime>24</TotalTime>
  <ScaleCrop>false</ScaleCrop>
  <LinksUpToDate>false</LinksUpToDate>
  <CharactersWithSpaces>9979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2023-06-21T02:56:00Z</dcterms:created>
  <dc:creator>YD-LING</dc:creator>
  <cp:lastModifiedBy>WPS_1583285465</cp:lastModifiedBy>
  <cp:lastPrinted>2025-04-28T14:29:00Z</cp:lastPrinted>
  <dcterms:modified xsi:type="dcterms:W3CDTF">2025-04-29T06:24:09Z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4E6339AE57AF432E95C5AD3E40C97763_13</vt:lpwstr>
  </property>
  <property fmtid="{D5CDD505-2E9C-101B-9397-08002B2CF9AE}" pid="4" name="KSOTemplateDocerSaveRecord">
    <vt:lpwstr>eyJoZGlkIjoiZmRhMmFmYjM3OWE4N2ViMTFmMDk1NGM5ZGE2M2MzZDciLCJ1c2VySWQiOiI4ODQ5MTAzMjQifQ==</vt:lpwstr>
  </property>
</Properties>
</file>