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bookmarkStart w:id="0" w:name="_Toc391367873"/>
      <w:bookmarkStart w:id="1" w:name="_Toc405313951"/>
      <w:bookmarkStart w:id="2" w:name="_Toc391627747"/>
      <w:r>
        <w:rPr>
          <w:rFonts w:hint="eastAsia" w:ascii="宋体" w:hAnsi="宋体" w:eastAsia="宋体"/>
          <w:b/>
          <w:bCs/>
          <w:snapToGrid w:val="0"/>
          <w:color w:val="auto"/>
          <w:spacing w:val="22"/>
          <w:kern w:val="0"/>
          <w:sz w:val="160"/>
          <w:szCs w:val="160"/>
          <w:highlight w:val="none"/>
          <w:lang w:val="en-US" w:eastAsia="zh-CN"/>
        </w:rPr>
        <w:t>遴选</w:t>
      </w:r>
      <w:r>
        <w:rPr>
          <w:rFonts w:hint="eastAsia" w:ascii="宋体" w:hAnsi="宋体" w:eastAsia="宋体"/>
          <w:b/>
          <w:bCs/>
          <w:snapToGrid w:val="0"/>
          <w:color w:val="auto"/>
          <w:spacing w:val="22"/>
          <w:kern w:val="0"/>
          <w:sz w:val="160"/>
          <w:szCs w:val="160"/>
          <w:highlight w:val="none"/>
        </w:rPr>
        <w:t>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1778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eastAsia" w:ascii="宋体" w:hAnsi="宋体" w:eastAsia="宋体"/>
          <w:color w:val="auto"/>
          <w:sz w:val="35"/>
          <w:szCs w:val="35"/>
          <w:highlight w:val="none"/>
          <w:lang w:eastAsia="zh-CN"/>
        </w:rPr>
      </w:pPr>
      <w:r>
        <w:rPr>
          <w:rFonts w:hint="eastAsia" w:ascii="宋体" w:hAnsi="宋体" w:eastAsia="宋体"/>
          <w:b/>
          <w:color w:val="auto"/>
          <w:sz w:val="35"/>
          <w:szCs w:val="35"/>
          <w:highlight w:val="none"/>
          <w:lang w:val="en-US" w:eastAsia="zh-CN"/>
        </w:rPr>
        <w:t>评选</w:t>
      </w:r>
      <w:r>
        <w:rPr>
          <w:rFonts w:ascii="宋体" w:hAnsi="宋体" w:eastAsia="宋体"/>
          <w:b/>
          <w:color w:val="auto"/>
          <w:sz w:val="35"/>
          <w:szCs w:val="35"/>
          <w:highlight w:val="none"/>
        </w:rPr>
        <w:t>编号：ZHDGZC2025034</w:t>
      </w:r>
    </w:p>
    <w:p w14:paraId="68612354">
      <w:pPr>
        <w:pStyle w:val="70"/>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东莞市消防救援支队消防亮化广告牌宣传运维服务项目</w:t>
      </w:r>
    </w:p>
    <w:p w14:paraId="71953F7B">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东莞市消防救援支队</w:t>
      </w:r>
    </w:p>
    <w:p w14:paraId="05B13617">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5"/>
          <w:szCs w:val="35"/>
          <w:highlight w:val="none"/>
          <w:lang w:eastAsia="zh-CN"/>
        </w:rPr>
      </w:pPr>
      <w:r>
        <w:rPr>
          <w:rFonts w:ascii="宋体" w:hAnsi="宋体" w:eastAsia="宋体"/>
          <w:b/>
          <w:color w:val="auto"/>
          <w:sz w:val="35"/>
          <w:szCs w:val="35"/>
          <w:highlight w:val="none"/>
        </w:rPr>
        <w:t>采购代理机构：广东智汇城市招标采购有限公司</w:t>
      </w:r>
    </w:p>
    <w:p w14:paraId="3C7E2314">
      <w:pPr>
        <w:pStyle w:val="38"/>
        <w:keepNext w:val="0"/>
        <w:keepLines w:val="0"/>
        <w:pageBreakBefore/>
        <w:widowControl w:val="0"/>
        <w:kinsoku/>
        <w:wordWrap/>
        <w:overflowPunct/>
        <w:topLinePunct w:val="0"/>
        <w:autoSpaceDE/>
        <w:autoSpaceDN/>
        <w:bidi w:val="0"/>
        <w:adjustRightInd/>
        <w:snapToGrid/>
        <w:spacing w:before="240" w:line="360" w:lineRule="auto"/>
        <w:jc w:val="center"/>
        <w:textAlignment w:val="auto"/>
        <w:rPr>
          <w:rFonts w:asciiTheme="minorEastAsia" w:hAnsiTheme="minorEastAsia" w:eastAsiaTheme="minorEastAsia"/>
          <w:color w:val="auto"/>
          <w:sz w:val="36"/>
          <w:szCs w:val="36"/>
          <w:highlight w:val="none"/>
        </w:rPr>
      </w:pPr>
      <w:r>
        <w:rPr>
          <w:rFonts w:hint="eastAsia" w:asciiTheme="minorEastAsia" w:hAnsiTheme="minorEastAsia" w:eastAsiaTheme="minorEastAsia"/>
          <w:color w:val="auto"/>
          <w:sz w:val="36"/>
          <w:szCs w:val="36"/>
          <w:highlight w:val="none"/>
          <w:lang w:val="zh-CN"/>
        </w:rPr>
        <w:t>目   录</w:t>
      </w:r>
    </w:p>
    <w:p w14:paraId="5A087946">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"_Toc138770006"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第一部分 邀请函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2216573">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"_Toc138770007"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第二部分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3D9949">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"_Toc138770008"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第三部分 响应须知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96E0204">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"_Toc138770011"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第四部分 评审方法、步骤、标准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C500D72">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"_Toc138770012"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第五部分 合同书格式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20BEE2">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"_Toc138770013"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第六部分 响应文件格式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6733761">
      <w:pPr>
        <w:keepNext w:val="0"/>
        <w:keepLines w:val="0"/>
        <w:pageBreakBefore w:val="0"/>
        <w:tabs>
          <w:tab w:val="right" w:leader="dot" w:pos="8931"/>
        </w:tabs>
        <w:kinsoku/>
        <w:wordWrap/>
        <w:overflowPunct/>
        <w:topLinePunct w:val="0"/>
        <w:autoSpaceDE/>
        <w:autoSpaceDN/>
        <w:bidi w:val="0"/>
        <w:adjustRightInd/>
        <w:snapToGrid w:val="0"/>
        <w:spacing w:line="480" w:lineRule="auto"/>
        <w:textAlignment w:val="auto"/>
        <w:rPr>
          <w:rFonts w:asciiTheme="minorEastAsia" w:hAnsiTheme="minorEastAsia"/>
          <w:color w:val="auto"/>
          <w:szCs w:val="21"/>
          <w:highlight w:val="none"/>
        </w:rPr>
      </w:pPr>
      <w:r>
        <w:rPr>
          <w:rFonts w:hint="eastAsia" w:ascii="宋体" w:hAnsi="宋体" w:eastAsia="宋体" w:cs="宋体"/>
          <w:b/>
          <w:bCs/>
          <w:color w:val="auto"/>
          <w:sz w:val="24"/>
          <w:szCs w:val="24"/>
          <w:highlight w:val="none"/>
          <w:lang w:val="zh-CN"/>
        </w:rPr>
        <w:fldChar w:fldCharType="end"/>
      </w:r>
    </w:p>
    <w:p w14:paraId="6D207D52">
      <w:pPr>
        <w:pStyle w:val="3"/>
        <w:keepNext w:val="0"/>
        <w:keepLines w:val="0"/>
        <w:pageBreakBefore/>
        <w:spacing w:before="120" w:after="120" w:line="360" w:lineRule="auto"/>
        <w:jc w:val="center"/>
        <w:rPr>
          <w:rFonts w:asciiTheme="minorEastAsia" w:hAnsiTheme="minorEastAsia"/>
          <w:color w:val="auto"/>
          <w:spacing w:val="20"/>
          <w:sz w:val="32"/>
          <w:szCs w:val="32"/>
          <w:highlight w:val="none"/>
        </w:rPr>
      </w:pPr>
      <w:bookmarkStart w:id="3" w:name="_Toc138770006"/>
      <w:r>
        <w:rPr>
          <w:rFonts w:hint="eastAsia" w:asciiTheme="minorEastAsia" w:hAnsiTheme="minorEastAsia"/>
          <w:color w:val="auto"/>
          <w:spacing w:val="20"/>
          <w:sz w:val="32"/>
          <w:szCs w:val="32"/>
          <w:highlight w:val="none"/>
        </w:rPr>
        <w:t>第一部分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邀请函</w:t>
      </w:r>
      <w:bookmarkEnd w:id="0"/>
      <w:bookmarkEnd w:id="1"/>
      <w:bookmarkEnd w:id="2"/>
      <w:bookmarkEnd w:id="3"/>
    </w:p>
    <w:p w14:paraId="1274A103">
      <w:pPr>
        <w:widowControl/>
        <w:spacing w:before="156" w:beforeLines="50" w:after="156" w:afterLines="50" w:line="360" w:lineRule="atLeast"/>
        <w:jc w:val="left"/>
        <w:rPr>
          <w:rFonts w:cs="宋体" w:asciiTheme="minorEastAsia" w:hAnsiTheme="minorEastAsia"/>
          <w:b/>
          <w:color w:val="auto"/>
          <w:kern w:val="0"/>
          <w:sz w:val="24"/>
          <w:szCs w:val="24"/>
          <w:highlight w:val="none"/>
        </w:rPr>
      </w:pPr>
      <w:r>
        <w:rPr>
          <w:rFonts w:hint="eastAsia" w:cs="宋体" w:asciiTheme="minorEastAsia" w:hAnsiTheme="minorEastAsia"/>
          <w:b/>
          <w:color w:val="auto"/>
          <w:kern w:val="0"/>
          <w:sz w:val="24"/>
          <w:szCs w:val="24"/>
          <w:highlight w:val="none"/>
        </w:rPr>
        <w:t>项目概况</w:t>
      </w:r>
    </w:p>
    <w:p w14:paraId="1F51AB10">
      <w:pPr>
        <w:tabs>
          <w:tab w:val="left" w:pos="426"/>
        </w:tabs>
        <w:spacing w:before="312" w:beforeLines="100" w:line="360" w:lineRule="auto"/>
        <w:ind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u w:val="single"/>
          <w:lang w:eastAsia="zh-CN"/>
        </w:rPr>
        <w:t>东莞市消防救援支队消防亮化广告牌宣传运维服务项目</w:t>
      </w:r>
      <w:r>
        <w:rPr>
          <w:rFonts w:hint="eastAsia" w:cs="宋体" w:asciiTheme="minorEastAsia" w:hAnsiTheme="minorEastAsia"/>
          <w:color w:val="auto"/>
          <w:kern w:val="0"/>
          <w:szCs w:val="21"/>
          <w:highlight w:val="none"/>
        </w:rPr>
        <w:t>的潜在供应商应在</w:t>
      </w:r>
      <w:r>
        <w:rPr>
          <w:rFonts w:hint="eastAsia" w:cs="宋体" w:asciiTheme="minorEastAsia" w:hAnsiTheme="minorEastAsia"/>
          <w:color w:val="auto"/>
          <w:kern w:val="0"/>
          <w:szCs w:val="21"/>
          <w:highlight w:val="none"/>
          <w:u w:val="none"/>
          <w:lang w:eastAsia="zh-CN"/>
        </w:rPr>
        <w:t>东莞市南城街道雅园产业园区路5号1栋1楼</w:t>
      </w:r>
      <w:r>
        <w:rPr>
          <w:rFonts w:hint="eastAsia" w:cs="宋体" w:asciiTheme="minorEastAsia" w:hAnsiTheme="minorEastAsia"/>
          <w:color w:val="auto"/>
          <w:kern w:val="0"/>
          <w:szCs w:val="21"/>
          <w:highlight w:val="none"/>
          <w:u w:val="none"/>
        </w:rPr>
        <w:t>或微信搜索公众号“广东智汇城市招标采购有限公司”</w:t>
      </w:r>
      <w:r>
        <w:rPr>
          <w:rFonts w:hint="eastAsia" w:cs="宋体" w:asciiTheme="minorEastAsia" w:hAnsiTheme="minorEastAsia"/>
          <w:color w:val="auto"/>
          <w:kern w:val="0"/>
          <w:szCs w:val="21"/>
          <w:highlight w:val="none"/>
        </w:rPr>
        <w:t>获取遴选文件，并于</w:t>
      </w:r>
      <w:r>
        <w:rPr>
          <w:rFonts w:cs="宋体" w:asciiTheme="minorEastAsia" w:hAnsiTheme="minorEastAsia"/>
          <w:color w:val="auto"/>
          <w:kern w:val="0"/>
          <w:szCs w:val="21"/>
          <w:highlight w:val="none"/>
          <w:u w:val="single"/>
        </w:rPr>
        <w:t>202</w:t>
      </w:r>
      <w:r>
        <w:rPr>
          <w:rFonts w:hint="eastAsia" w:cs="宋体" w:asciiTheme="minorEastAsia" w:hAnsiTheme="minorEastAsia"/>
          <w:color w:val="auto"/>
          <w:kern w:val="0"/>
          <w:szCs w:val="21"/>
          <w:highlight w:val="none"/>
          <w:u w:val="single"/>
          <w:lang w:val="en-US" w:eastAsia="zh-CN"/>
        </w:rPr>
        <w:t>5</w:t>
      </w:r>
      <w:r>
        <w:rPr>
          <w:rFonts w:hint="eastAsia" w:cs="宋体" w:asciiTheme="minorEastAsia" w:hAnsiTheme="minorEastAsia"/>
          <w:color w:val="auto"/>
          <w:kern w:val="0"/>
          <w:szCs w:val="21"/>
          <w:highlight w:val="none"/>
        </w:rPr>
        <w:t>年</w:t>
      </w:r>
      <w:r>
        <w:rPr>
          <w:rFonts w:hint="eastAsia" w:cs="宋体" w:asciiTheme="minorEastAsia" w:hAnsiTheme="minorEastAsia"/>
          <w:color w:val="auto"/>
          <w:kern w:val="0"/>
          <w:szCs w:val="21"/>
          <w:highlight w:val="none"/>
          <w:u w:val="single"/>
          <w:lang w:val="en-US" w:eastAsia="zh-CN"/>
        </w:rPr>
        <w:t>06</w:t>
      </w:r>
      <w:r>
        <w:rPr>
          <w:rFonts w:hint="eastAsia" w:cs="宋体" w:asciiTheme="minorEastAsia" w:hAnsiTheme="minorEastAsia"/>
          <w:color w:val="auto"/>
          <w:kern w:val="0"/>
          <w:szCs w:val="21"/>
          <w:highlight w:val="none"/>
        </w:rPr>
        <w:t>月</w:t>
      </w:r>
      <w:r>
        <w:rPr>
          <w:rFonts w:hint="eastAsia" w:cs="宋体" w:asciiTheme="minorEastAsia" w:hAnsiTheme="minorEastAsia"/>
          <w:color w:val="auto"/>
          <w:kern w:val="0"/>
          <w:szCs w:val="21"/>
          <w:highlight w:val="none"/>
          <w:u w:val="single"/>
          <w:lang w:val="en-US" w:eastAsia="zh-CN"/>
        </w:rPr>
        <w:t>10</w:t>
      </w:r>
      <w:r>
        <w:rPr>
          <w:rFonts w:hint="eastAsia" w:cs="宋体" w:asciiTheme="minorEastAsia" w:hAnsiTheme="minorEastAsia"/>
          <w:color w:val="auto"/>
          <w:kern w:val="0"/>
          <w:szCs w:val="21"/>
          <w:highlight w:val="none"/>
        </w:rPr>
        <w:t>日</w:t>
      </w:r>
      <w:r>
        <w:rPr>
          <w:rFonts w:hint="eastAsia" w:cs="宋体" w:asciiTheme="minorEastAsia" w:hAnsiTheme="minorEastAsia"/>
          <w:color w:val="auto"/>
          <w:kern w:val="0"/>
          <w:szCs w:val="21"/>
          <w:highlight w:val="none"/>
          <w:u w:val="single"/>
          <w:lang w:val="en-US" w:eastAsia="zh-CN"/>
        </w:rPr>
        <w:t>09</w:t>
      </w:r>
      <w:r>
        <w:rPr>
          <w:rFonts w:hint="eastAsia" w:cs="宋体" w:asciiTheme="minorEastAsia" w:hAnsiTheme="minorEastAsia"/>
          <w:color w:val="auto"/>
          <w:kern w:val="0"/>
          <w:szCs w:val="21"/>
          <w:highlight w:val="none"/>
        </w:rPr>
        <w:t>点</w:t>
      </w:r>
      <w:r>
        <w:rPr>
          <w:rFonts w:hint="eastAsia" w:cs="宋体" w:asciiTheme="minorEastAsia" w:hAnsiTheme="minorEastAsia"/>
          <w:color w:val="auto"/>
          <w:kern w:val="0"/>
          <w:szCs w:val="21"/>
          <w:highlight w:val="none"/>
          <w:u w:val="single"/>
          <w:lang w:val="en-US" w:eastAsia="zh-CN"/>
        </w:rPr>
        <w:t>30</w:t>
      </w:r>
      <w:r>
        <w:rPr>
          <w:rFonts w:hint="eastAsia" w:cs="宋体" w:asciiTheme="minorEastAsia" w:hAnsiTheme="minorEastAsia"/>
          <w:color w:val="auto"/>
          <w:kern w:val="0"/>
          <w:szCs w:val="21"/>
          <w:highlight w:val="none"/>
        </w:rPr>
        <w:t>分（北京时间）前递交响应文件。</w:t>
      </w:r>
    </w:p>
    <w:p w14:paraId="1B1C366B">
      <w:pPr>
        <w:pStyle w:val="33"/>
        <w:numPr>
          <w:ilvl w:val="0"/>
          <w:numId w:val="1"/>
        </w:numPr>
        <w:tabs>
          <w:tab w:val="left" w:pos="426"/>
        </w:tabs>
        <w:spacing w:before="312" w:beforeLines="100" w:line="360" w:lineRule="auto"/>
        <w:ind w:firstLineChars="0"/>
        <w:rPr>
          <w:rFonts w:asciiTheme="minorEastAsia" w:hAnsiTheme="minorEastAsia"/>
          <w:color w:val="auto"/>
          <w:szCs w:val="21"/>
          <w:highlight w:val="none"/>
        </w:rPr>
      </w:pPr>
      <w:r>
        <w:rPr>
          <w:rFonts w:hint="eastAsia" w:asciiTheme="minorEastAsia" w:hAnsiTheme="minorEastAsia"/>
          <w:b/>
          <w:color w:val="auto"/>
          <w:szCs w:val="21"/>
          <w:highlight w:val="none"/>
        </w:rPr>
        <w:t>项目基本情况：</w:t>
      </w:r>
    </w:p>
    <w:p w14:paraId="246063CA">
      <w:pPr>
        <w:tabs>
          <w:tab w:val="left" w:pos="426"/>
        </w:tabs>
        <w:spacing w:line="360" w:lineRule="auto"/>
        <w:ind w:left="420" w:hanging="420" w:hangingChars="200"/>
        <w:rPr>
          <w:rFonts w:hint="eastAsia" w:asciiTheme="minorEastAsia" w:hAnsiTheme="minorEastAsia" w:eastAsiaTheme="minorEastAsia"/>
          <w:color w:val="auto"/>
          <w:szCs w:val="21"/>
          <w:highlight w:val="none"/>
          <w:u w:val="single"/>
          <w:lang w:eastAsia="zh-CN"/>
        </w:rPr>
      </w:pPr>
      <w:r>
        <w:rPr>
          <w:rFonts w:hint="eastAsia" w:asciiTheme="minorEastAsia" w:hAnsiTheme="minorEastAsia"/>
          <w:color w:val="auto"/>
          <w:szCs w:val="21"/>
          <w:highlight w:val="none"/>
        </w:rPr>
        <w:t>评选编号：ZHDGZC2025034</w:t>
      </w:r>
    </w:p>
    <w:p w14:paraId="20E109B6">
      <w:pPr>
        <w:tabs>
          <w:tab w:val="left" w:pos="426"/>
        </w:tabs>
        <w:spacing w:line="360" w:lineRule="auto"/>
        <w:ind w:left="420" w:hanging="420" w:hangingChars="200"/>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项目名称：</w:t>
      </w:r>
      <w:r>
        <w:rPr>
          <w:rFonts w:hint="eastAsia" w:asciiTheme="minorEastAsia" w:hAnsiTheme="minorEastAsia"/>
          <w:color w:val="auto"/>
          <w:szCs w:val="21"/>
          <w:highlight w:val="none"/>
          <w:lang w:eastAsia="zh-CN"/>
        </w:rPr>
        <w:t>东莞市消防救援支队消防亮化广告牌宣传运维服务项目</w:t>
      </w:r>
    </w:p>
    <w:p w14:paraId="743E4FF9">
      <w:pPr>
        <w:tabs>
          <w:tab w:val="left" w:pos="426"/>
        </w:tabs>
        <w:spacing w:line="360" w:lineRule="auto"/>
        <w:ind w:left="420" w:hanging="420" w:hangingChars="200"/>
        <w:rPr>
          <w:rFonts w:asciiTheme="minorEastAsia" w:hAnsiTheme="minorEastAsia"/>
          <w:color w:val="auto"/>
          <w:szCs w:val="21"/>
          <w:highlight w:val="none"/>
        </w:rPr>
      </w:pPr>
      <w:r>
        <w:rPr>
          <w:rFonts w:hint="eastAsia" w:asciiTheme="minorEastAsia" w:hAnsiTheme="minorEastAsia"/>
          <w:color w:val="auto"/>
          <w:szCs w:val="21"/>
          <w:highlight w:val="none"/>
        </w:rPr>
        <w:t>采购方式：遴选采购</w:t>
      </w:r>
    </w:p>
    <w:p w14:paraId="158F00E4">
      <w:pPr>
        <w:tabs>
          <w:tab w:val="left" w:pos="426"/>
        </w:tabs>
        <w:spacing w:line="360" w:lineRule="auto"/>
        <w:ind w:left="1050" w:hanging="1050" w:hangingChars="500"/>
        <w:rPr>
          <w:rFonts w:asciiTheme="minorEastAsia" w:hAnsiTheme="minorEastAsia"/>
          <w:color w:val="auto"/>
          <w:szCs w:val="21"/>
          <w:highlight w:val="none"/>
        </w:rPr>
      </w:pPr>
      <w:r>
        <w:rPr>
          <w:rFonts w:hint="eastAsia" w:asciiTheme="minorEastAsia" w:hAnsiTheme="minorEastAsia"/>
          <w:color w:val="auto"/>
          <w:szCs w:val="21"/>
          <w:highlight w:val="none"/>
        </w:rPr>
        <w:t>项目预算：</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lang w:eastAsia="zh-CN"/>
        </w:rPr>
        <w:t>175,000.00</w:t>
      </w:r>
      <w:r>
        <w:rPr>
          <w:rFonts w:hint="eastAsia" w:asciiTheme="minorEastAsia" w:hAnsiTheme="minorEastAsia"/>
          <w:color w:val="auto"/>
          <w:highlight w:val="none"/>
        </w:rPr>
        <w:t>元</w:t>
      </w:r>
    </w:p>
    <w:p w14:paraId="2A21E101">
      <w:pPr>
        <w:tabs>
          <w:tab w:val="left" w:pos="426"/>
        </w:tabs>
        <w:spacing w:line="360" w:lineRule="auto"/>
        <w:ind w:left="422" w:hanging="422" w:hangingChars="200"/>
        <w:rPr>
          <w:rFonts w:asciiTheme="minorEastAsia" w:hAnsiTheme="minorEastAsia"/>
          <w:b/>
          <w:bCs/>
          <w:color w:val="auto"/>
          <w:szCs w:val="21"/>
          <w:highlight w:val="none"/>
        </w:rPr>
      </w:pPr>
      <w:r>
        <w:rPr>
          <w:rFonts w:hint="eastAsia" w:asciiTheme="minorEastAsia" w:hAnsiTheme="minorEastAsia"/>
          <w:b/>
          <w:bCs/>
          <w:color w:val="auto"/>
          <w:szCs w:val="21"/>
          <w:highlight w:val="none"/>
        </w:rPr>
        <w:t>采购需求：</w:t>
      </w:r>
    </w:p>
    <w:p w14:paraId="70C1A359">
      <w:pPr>
        <w:pStyle w:val="33"/>
        <w:numPr>
          <w:ilvl w:val="0"/>
          <w:numId w:val="2"/>
        </w:numPr>
        <w:tabs>
          <w:tab w:val="left" w:pos="284"/>
        </w:tabs>
        <w:spacing w:line="360" w:lineRule="auto"/>
        <w:ind w:left="420" w:hangingChars="200"/>
        <w:rPr>
          <w:rFonts w:asciiTheme="minorEastAsia" w:hAnsiTheme="minorEastAsia"/>
          <w:color w:val="auto"/>
          <w:szCs w:val="21"/>
          <w:highlight w:val="none"/>
        </w:rPr>
      </w:pPr>
      <w:r>
        <w:rPr>
          <w:rFonts w:hint="eastAsia" w:asciiTheme="minorEastAsia" w:hAnsiTheme="minorEastAsia"/>
          <w:color w:val="auto"/>
          <w:szCs w:val="21"/>
          <w:highlight w:val="none"/>
        </w:rPr>
        <w:t>标的内容：</w:t>
      </w:r>
    </w:p>
    <w:tbl>
      <w:tblPr>
        <w:tblStyle w:val="2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950"/>
        <w:gridCol w:w="1800"/>
        <w:gridCol w:w="767"/>
        <w:gridCol w:w="750"/>
        <w:gridCol w:w="260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507" w:type="pct"/>
            <w:vAlign w:val="center"/>
          </w:tcPr>
          <w:p w14:paraId="427A8EC7">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113" w:type="pct"/>
            <w:vAlign w:val="center"/>
          </w:tcPr>
          <w:p w14:paraId="72C4323F">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1027" w:type="pct"/>
            <w:vAlign w:val="center"/>
          </w:tcPr>
          <w:p w14:paraId="6BC87F70">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437" w:type="pct"/>
            <w:vAlign w:val="center"/>
          </w:tcPr>
          <w:p w14:paraId="05CDE2E7">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lang w:eastAsia="zh-Hans"/>
              </w:rPr>
            </w:pPr>
            <w:r>
              <w:rPr>
                <w:rFonts w:hint="default" w:ascii="Calibri" w:hAnsi="Calibri" w:eastAsia="宋体" w:cs="Times New Roman"/>
                <w:b/>
                <w:bCs/>
                <w:color w:val="auto"/>
                <w:kern w:val="0"/>
                <w:sz w:val="21"/>
                <w:szCs w:val="21"/>
                <w:highlight w:val="none"/>
                <w:lang w:eastAsia="zh-Hans"/>
              </w:rPr>
              <w:t>数量</w:t>
            </w:r>
          </w:p>
        </w:tc>
        <w:tc>
          <w:tcPr>
            <w:tcW w:w="428" w:type="pct"/>
            <w:vAlign w:val="center"/>
          </w:tcPr>
          <w:p w14:paraId="3DD5745A">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lang w:eastAsia="zh-Hans"/>
              </w:rPr>
            </w:pPr>
            <w:r>
              <w:rPr>
                <w:rFonts w:hint="default" w:ascii="Calibri" w:hAnsi="Calibri" w:eastAsia="宋体" w:cs="Times New Roman"/>
                <w:b/>
                <w:bCs/>
                <w:color w:val="auto"/>
                <w:kern w:val="0"/>
                <w:sz w:val="21"/>
                <w:szCs w:val="21"/>
                <w:highlight w:val="none"/>
                <w:lang w:eastAsia="zh-Hans"/>
              </w:rPr>
              <w:t>单位</w:t>
            </w:r>
          </w:p>
        </w:tc>
        <w:tc>
          <w:tcPr>
            <w:tcW w:w="1486" w:type="pct"/>
            <w:vAlign w:val="center"/>
          </w:tcPr>
          <w:p w14:paraId="46866B18">
            <w:pPr>
              <w:keepNext w:val="0"/>
              <w:keepLines w:val="0"/>
              <w:widowControl/>
              <w:suppressLineNumbers w:val="0"/>
              <w:spacing w:before="0" w:beforeAutospacing="0" w:after="0" w:afterAutospacing="0"/>
              <w:ind w:left="0" w:right="0"/>
              <w:jc w:val="center"/>
              <w:rPr>
                <w:rFonts w:hint="default"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507" w:type="pct"/>
            <w:vAlign w:val="center"/>
          </w:tcPr>
          <w:p w14:paraId="6DC1FBC2">
            <w:pPr>
              <w:keepNext w:val="0"/>
              <w:keepLines w:val="0"/>
              <w:widowControl/>
              <w:suppressLineNumbers w:val="0"/>
              <w:spacing w:before="0" w:beforeAutospacing="0" w:after="0" w:afterAutospacing="0"/>
              <w:ind w:left="0" w:right="0"/>
              <w:jc w:val="center"/>
              <w:rPr>
                <w:rFonts w:hint="default"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113" w:type="pct"/>
            <w:vAlign w:val="center"/>
          </w:tcPr>
          <w:p w14:paraId="45E441AE">
            <w:pPr>
              <w:keepNext w:val="0"/>
              <w:keepLines w:val="0"/>
              <w:widowControl/>
              <w:suppressLineNumbers w:val="0"/>
              <w:spacing w:before="0" w:beforeAutospacing="0" w:after="0" w:afterAutospacing="0"/>
              <w:ind w:left="0" w:right="0"/>
              <w:jc w:val="center"/>
              <w:rPr>
                <w:rFonts w:hint="default" w:ascii="Calibri" w:hAnsi="Calibri" w:eastAsia="宋体" w:cs="Times New Roman"/>
                <w:color w:val="auto"/>
                <w:kern w:val="0"/>
                <w:sz w:val="21"/>
                <w:szCs w:val="21"/>
                <w:highlight w:val="none"/>
                <w:lang w:eastAsia="zh-Hans"/>
              </w:rPr>
            </w:pPr>
            <w:r>
              <w:rPr>
                <w:rFonts w:hint="default" w:ascii="Calibri" w:hAnsi="Calibri" w:eastAsia="宋体" w:cs="Times New Roman"/>
                <w:color w:val="auto"/>
                <w:kern w:val="0"/>
                <w:sz w:val="21"/>
                <w:szCs w:val="21"/>
                <w:highlight w:val="none"/>
                <w:lang w:eastAsia="zh-Hans"/>
              </w:rPr>
              <w:t>消防亮化广告牌宣传运维服务</w:t>
            </w:r>
          </w:p>
        </w:tc>
        <w:tc>
          <w:tcPr>
            <w:tcW w:w="1027" w:type="pct"/>
            <w:vAlign w:val="center"/>
          </w:tcPr>
          <w:p w14:paraId="60B881F5">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lang w:eastAsia="zh-CN"/>
              </w:rPr>
            </w:pPr>
            <w:r>
              <w:rPr>
                <w:rFonts w:hint="eastAsia" w:eastAsia="宋体" w:asciiTheme="minorEastAsia" w:hAnsiTheme="minorEastAsia"/>
                <w:color w:val="auto"/>
                <w:szCs w:val="21"/>
                <w:highlight w:val="none"/>
                <w:lang w:eastAsia="zh-CN"/>
              </w:rPr>
              <w:t>175,000.00</w:t>
            </w:r>
          </w:p>
        </w:tc>
        <w:tc>
          <w:tcPr>
            <w:tcW w:w="437" w:type="pct"/>
            <w:vAlign w:val="center"/>
          </w:tcPr>
          <w:p w14:paraId="215E745D">
            <w:pPr>
              <w:keepNext w:val="0"/>
              <w:keepLines w:val="0"/>
              <w:widowControl/>
              <w:suppressLineNumbers w:val="0"/>
              <w:spacing w:before="0" w:beforeAutospacing="0" w:after="0" w:afterAutospacing="0"/>
              <w:ind w:left="0" w:right="0"/>
              <w:jc w:val="center"/>
              <w:rPr>
                <w:rFonts w:hint="default" w:ascii="宋体" w:hAnsi="宋体" w:eastAsia="宋体" w:cs="Times New Roman"/>
                <w:color w:val="auto"/>
                <w:kern w:val="0"/>
                <w:sz w:val="21"/>
                <w:szCs w:val="21"/>
                <w:highlight w:val="none"/>
                <w:lang w:eastAsia="zh-Hans"/>
              </w:rPr>
            </w:pPr>
            <w:r>
              <w:rPr>
                <w:rFonts w:hint="default" w:ascii="宋体" w:hAnsi="宋体" w:eastAsia="宋体" w:cs="Times New Roman"/>
                <w:color w:val="auto"/>
                <w:kern w:val="0"/>
                <w:sz w:val="21"/>
                <w:szCs w:val="21"/>
                <w:highlight w:val="none"/>
                <w:lang w:eastAsia="zh-Hans"/>
              </w:rPr>
              <w:t>1</w:t>
            </w:r>
          </w:p>
        </w:tc>
        <w:tc>
          <w:tcPr>
            <w:tcW w:w="428" w:type="pct"/>
            <w:vAlign w:val="center"/>
          </w:tcPr>
          <w:p w14:paraId="0D05EEAD">
            <w:pPr>
              <w:keepNext w:val="0"/>
              <w:keepLines w:val="0"/>
              <w:widowControl/>
              <w:suppressLineNumbers w:val="0"/>
              <w:spacing w:before="0" w:beforeAutospacing="0" w:after="0" w:afterAutospacing="0"/>
              <w:ind w:left="0" w:right="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486" w:type="pct"/>
            <w:vAlign w:val="center"/>
          </w:tcPr>
          <w:p w14:paraId="3FA2DDE4">
            <w:pPr>
              <w:keepNext w:val="0"/>
              <w:keepLines w:val="0"/>
              <w:widowControl/>
              <w:suppressLineNumbers w:val="0"/>
              <w:spacing w:before="0" w:beforeAutospacing="0" w:after="0" w:afterAutospacing="0"/>
              <w:ind w:left="0" w:right="0"/>
              <w:jc w:val="center"/>
              <w:rPr>
                <w:rFonts w:hint="default" w:ascii="Calibri" w:hAnsi="Calibri" w:eastAsia="宋体" w:cs="Times New Roman"/>
                <w:color w:val="auto"/>
                <w:kern w:val="0"/>
                <w:sz w:val="21"/>
                <w:szCs w:val="21"/>
                <w:highlight w:val="none"/>
              </w:rPr>
            </w:pPr>
            <w:r>
              <w:rPr>
                <w:rFonts w:hint="default"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49BF13B7">
      <w:pPr>
        <w:pStyle w:val="33"/>
        <w:keepNext w:val="0"/>
        <w:keepLines w:val="0"/>
        <w:pageBreakBefore w:val="0"/>
        <w:widowControl w:val="0"/>
        <w:numPr>
          <w:ilvl w:val="0"/>
          <w:numId w:val="2"/>
        </w:numPr>
        <w:tabs>
          <w:tab w:val="left" w:pos="284"/>
        </w:tabs>
        <w:kinsoku/>
        <w:wordWrap/>
        <w:overflowPunct/>
        <w:topLinePunct w:val="0"/>
        <w:autoSpaceDE/>
        <w:autoSpaceDN/>
        <w:bidi w:val="0"/>
        <w:adjustRightInd/>
        <w:snapToGrid/>
        <w:spacing w:line="360" w:lineRule="auto"/>
        <w:ind w:left="315" w:hanging="315" w:hangingChars="150"/>
        <w:textAlignment w:val="auto"/>
        <w:rPr>
          <w:rFonts w:asciiTheme="minorEastAsia" w:hAnsiTheme="minorEastAsia"/>
          <w:color w:val="auto"/>
          <w:highlight w:val="none"/>
        </w:rPr>
      </w:pPr>
      <w:r>
        <w:rPr>
          <w:rFonts w:hint="eastAsia" w:asciiTheme="minorEastAsia" w:hAnsiTheme="minorEastAsia"/>
          <w:color w:val="auto"/>
          <w:szCs w:val="21"/>
          <w:highlight w:val="none"/>
        </w:rPr>
        <w:t>合同履行期限</w:t>
      </w:r>
      <w:r>
        <w:rPr>
          <w:rFonts w:hint="eastAsia" w:asciiTheme="minorEastAsia" w:hAnsiTheme="minorEastAsia"/>
          <w:color w:val="auto"/>
          <w:szCs w:val="21"/>
          <w:highlight w:val="none"/>
          <w:lang w:eastAsia="zh-CN"/>
        </w:rPr>
        <w:t>：</w:t>
      </w:r>
      <w:r>
        <w:rPr>
          <w:rFonts w:hint="eastAsia"/>
          <w:color w:val="auto"/>
          <w:lang w:val="en-US" w:eastAsia="zh-CN"/>
        </w:rPr>
        <w:t>签订合同后开始计算</w:t>
      </w:r>
      <w:r>
        <w:rPr>
          <w:rFonts w:hint="eastAsia" w:asciiTheme="minorEastAsia" w:hAnsiTheme="minorEastAsia"/>
          <w:color w:val="auto"/>
          <w:szCs w:val="21"/>
          <w:highlight w:val="none"/>
          <w:lang w:val="en-US" w:eastAsia="zh-CN"/>
        </w:rPr>
        <w:t>服务期，服务期内进行</w:t>
      </w:r>
      <w:r>
        <w:rPr>
          <w:rFonts w:hint="eastAsia" w:ascii="宋体" w:hAnsi="宋体" w:eastAsia="宋体" w:cs="宋体"/>
          <w:iCs/>
          <w:color w:val="auto"/>
          <w:sz w:val="21"/>
          <w:szCs w:val="21"/>
          <w:highlight w:val="none"/>
        </w:rPr>
        <w:t>日常巡检、修理、运维</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lang w:eastAsia="zh-CN"/>
        </w:rPr>
        <w:t>服务期为</w:t>
      </w:r>
      <w:r>
        <w:rPr>
          <w:rFonts w:hint="eastAsia" w:asciiTheme="minorEastAsia" w:hAnsiTheme="minorEastAsia"/>
          <w:color w:val="auto"/>
          <w:szCs w:val="21"/>
          <w:highlight w:val="none"/>
          <w:lang w:val="en-US" w:eastAsia="zh-CN"/>
        </w:rPr>
        <w:t>12个月。</w:t>
      </w:r>
    </w:p>
    <w:p w14:paraId="426427C6">
      <w:pPr>
        <w:pStyle w:val="33"/>
        <w:numPr>
          <w:ilvl w:val="0"/>
          <w:numId w:val="2"/>
        </w:numPr>
        <w:tabs>
          <w:tab w:val="left" w:pos="284"/>
        </w:tabs>
        <w:spacing w:line="360" w:lineRule="auto"/>
        <w:ind w:left="420" w:hangingChars="200"/>
        <w:rPr>
          <w:rFonts w:asciiTheme="minorEastAsia" w:hAnsiTheme="minorEastAsia"/>
          <w:color w:val="auto"/>
          <w:szCs w:val="21"/>
          <w:highlight w:val="none"/>
        </w:rPr>
      </w:pPr>
      <w:r>
        <w:rPr>
          <w:rFonts w:hint="eastAsia" w:asciiTheme="minorEastAsia" w:hAnsiTheme="minorEastAsia"/>
          <w:color w:val="auto"/>
          <w:szCs w:val="21"/>
          <w:highlight w:val="none"/>
        </w:rPr>
        <w:t>本项目不接受联合体响应。</w:t>
      </w:r>
    </w:p>
    <w:p w14:paraId="1756BE09">
      <w:pPr>
        <w:pStyle w:val="33"/>
        <w:numPr>
          <w:ilvl w:val="0"/>
          <w:numId w:val="1"/>
        </w:numPr>
        <w:tabs>
          <w:tab w:val="left" w:pos="426"/>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申请人的资格要求</w:t>
      </w:r>
    </w:p>
    <w:p w14:paraId="75C51058">
      <w:pPr>
        <w:pStyle w:val="33"/>
        <w:numPr>
          <w:ilvl w:val="0"/>
          <w:numId w:val="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响应供应商应具备《中华人民共和国政府采购法》第二十二条规定的条件，提供下列材料：</w:t>
      </w:r>
    </w:p>
    <w:p w14:paraId="2410FF33">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具有独立承担民事责任的能力：提供在中华人民共和国境内注册的法人或其他组织的营业执照或事业单位法人证书或社会团体法人登记证书复印件，如响应供应商为自然人的提供自然人身份证明复印件；如国家另有规定的，则从其规定。（分支机构参与响应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B1B0B7D">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有依法缴纳税收和社会保障资金的良好记录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提供资格声明函，详见响应文件格式。</w:t>
      </w:r>
    </w:p>
    <w:p w14:paraId="17948A96">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bookmarkStart w:id="4" w:name="_Hlk90659088"/>
      <w:r>
        <w:rPr>
          <w:rFonts w:hint="eastAsia" w:cs="宋体" w:asciiTheme="minorEastAsia" w:hAnsiTheme="minorEastAsia"/>
          <w:color w:val="auto"/>
          <w:kern w:val="0"/>
          <w:szCs w:val="21"/>
          <w:highlight w:val="none"/>
        </w:rPr>
        <w:t>具有良好的商业信誉和健全的财务会计制度</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提供资格声明函，详见响应文件格式</w:t>
      </w:r>
      <w:bookmarkEnd w:id="4"/>
      <w:r>
        <w:rPr>
          <w:rFonts w:hint="eastAsia" w:cs="宋体" w:asciiTheme="minorEastAsia" w:hAnsiTheme="minorEastAsia"/>
          <w:color w:val="auto"/>
          <w:kern w:val="0"/>
          <w:szCs w:val="21"/>
          <w:highlight w:val="none"/>
        </w:rPr>
        <w:t>。</w:t>
      </w:r>
    </w:p>
    <w:p w14:paraId="38955D9B">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履行合同所必须的设备和专业技术能力：</w:t>
      </w:r>
      <w:bookmarkStart w:id="5" w:name="_Hlk90659431"/>
      <w:r>
        <w:rPr>
          <w:rFonts w:hint="eastAsia" w:cs="宋体" w:asciiTheme="minorEastAsia" w:hAnsiTheme="minorEastAsia"/>
          <w:color w:val="auto"/>
          <w:kern w:val="0"/>
          <w:szCs w:val="21"/>
          <w:highlight w:val="none"/>
        </w:rPr>
        <w:t>提供资格声明函，详见响应文件格式。</w:t>
      </w:r>
      <w:bookmarkEnd w:id="5"/>
    </w:p>
    <w:p w14:paraId="5534D73A">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bookmarkStart w:id="6" w:name="_Hlk81177175"/>
      <w:r>
        <w:rPr>
          <w:rFonts w:hint="eastAsia" w:cs="宋体" w:asciiTheme="minorEastAsia" w:hAnsiTheme="minorEastAsia"/>
          <w:color w:val="auto"/>
          <w:kern w:val="0"/>
          <w:szCs w:val="21"/>
          <w:highlight w:val="none"/>
        </w:rPr>
        <w:t>参加采购活动前</w:t>
      </w:r>
      <w:r>
        <w:rPr>
          <w:rFonts w:cs="宋体" w:asciiTheme="minorEastAsia" w:hAnsiTheme="minorEastAsia"/>
          <w:color w:val="auto"/>
          <w:kern w:val="0"/>
          <w:szCs w:val="21"/>
          <w:highlight w:val="none"/>
        </w:rPr>
        <w:t>3年内，在经营活动中没有重大违法记录：重大违法记录，是指响应供应商因违法经营受到刑事处罚或者责令停产停业、吊销许可证或者执照、较大数额罚款等行政处罚。（较大数额罚款按照发出行政处罚决定</w:t>
      </w:r>
      <w:r>
        <w:rPr>
          <w:rFonts w:hint="eastAsia" w:cs="宋体" w:asciiTheme="minorEastAsia" w:hAnsiTheme="minorEastAsia"/>
          <w:color w:val="auto"/>
          <w:kern w:val="0"/>
          <w:szCs w:val="21"/>
          <w:highlight w:val="none"/>
        </w:rPr>
        <w:t>书部门所在省级政府，或实行垂直领导的国务院有关行政主管部门制定的较大数额罚款标准，或罚款决定之前需要举行听证会的金额标准来认定）</w:t>
      </w:r>
      <w:bookmarkStart w:id="7" w:name="_Hlk79147767"/>
      <w:r>
        <w:rPr>
          <w:rFonts w:hint="eastAsia" w:cs="宋体" w:asciiTheme="minorEastAsia" w:hAnsiTheme="minorEastAsia"/>
          <w:color w:val="auto"/>
          <w:kern w:val="0"/>
          <w:szCs w:val="21"/>
          <w:highlight w:val="none"/>
        </w:rPr>
        <w:t>。</w:t>
      </w:r>
      <w:bookmarkEnd w:id="6"/>
      <w:bookmarkEnd w:id="7"/>
      <w:r>
        <w:rPr>
          <w:rFonts w:hint="eastAsia" w:cs="宋体" w:asciiTheme="minorEastAsia" w:hAnsiTheme="minorEastAsia"/>
          <w:color w:val="auto"/>
          <w:kern w:val="0"/>
          <w:szCs w:val="21"/>
          <w:highlight w:val="none"/>
        </w:rPr>
        <w:t>提供资格声明函，详见响应文件格式。</w:t>
      </w:r>
    </w:p>
    <w:p w14:paraId="75715429">
      <w:pPr>
        <w:pStyle w:val="33"/>
        <w:numPr>
          <w:ilvl w:val="0"/>
          <w:numId w:val="3"/>
        </w:numPr>
        <w:spacing w:line="360" w:lineRule="auto"/>
        <w:ind w:firstLineChars="0"/>
        <w:rPr>
          <w:rFonts w:cs="宋体" w:asciiTheme="minorEastAsia" w:hAnsiTheme="minorEastAsia"/>
          <w:b/>
          <w:bCs/>
          <w:color w:val="auto"/>
          <w:kern w:val="0"/>
          <w:szCs w:val="21"/>
          <w:highlight w:val="none"/>
        </w:rPr>
      </w:pPr>
      <w:r>
        <w:rPr>
          <w:rFonts w:hint="eastAsia" w:asciiTheme="minorEastAsia" w:hAnsiTheme="minorEastAsia"/>
          <w:b/>
          <w:bCs/>
          <w:color w:val="auto"/>
          <w:szCs w:val="21"/>
          <w:highlight w:val="none"/>
        </w:rPr>
        <w:t>落实政府采购政策需满足的资格要求：</w:t>
      </w:r>
      <w:r>
        <w:rPr>
          <w:rFonts w:hint="eastAsia" w:asciiTheme="minorEastAsia" w:hAnsiTheme="minorEastAsia"/>
          <w:b/>
          <w:bCs/>
          <w:color w:val="auto"/>
          <w:szCs w:val="21"/>
          <w:highlight w:val="none"/>
          <w:lang w:val="en-US" w:eastAsia="zh-CN"/>
        </w:rPr>
        <w:t>无</w:t>
      </w:r>
      <w:r>
        <w:rPr>
          <w:rFonts w:hint="eastAsia" w:asciiTheme="minorEastAsia" w:hAnsiTheme="minorEastAsia"/>
          <w:b/>
          <w:bCs/>
          <w:color w:val="auto"/>
          <w:szCs w:val="21"/>
          <w:highlight w:val="none"/>
          <w:lang w:eastAsia="zh-CN"/>
        </w:rPr>
        <w:t>。</w:t>
      </w:r>
    </w:p>
    <w:p w14:paraId="71944253">
      <w:pPr>
        <w:pStyle w:val="33"/>
        <w:numPr>
          <w:ilvl w:val="0"/>
          <w:numId w:val="3"/>
        </w:numPr>
        <w:spacing w:line="360" w:lineRule="auto"/>
        <w:ind w:firstLineChars="0"/>
        <w:rPr>
          <w:rFonts w:cs="宋体" w:asciiTheme="minorEastAsia" w:hAnsiTheme="minorEastAsia"/>
          <w:color w:val="auto"/>
          <w:kern w:val="0"/>
          <w:szCs w:val="21"/>
          <w:highlight w:val="none"/>
        </w:rPr>
      </w:pPr>
      <w:r>
        <w:rPr>
          <w:rFonts w:ascii="Calibri" w:hAnsi="Calibri" w:eastAsia="宋体" w:cs="Times New Roman"/>
          <w:b/>
          <w:color w:val="auto"/>
          <w:kern w:val="0"/>
          <w:szCs w:val="21"/>
          <w:highlight w:val="none"/>
          <w:lang w:eastAsia="zh-Hans"/>
        </w:rPr>
        <w:t>本项目的特定资格要求：</w:t>
      </w:r>
    </w:p>
    <w:p w14:paraId="6731B6B1">
      <w:pPr>
        <w:pStyle w:val="33"/>
        <w:widowControl/>
        <w:numPr>
          <w:ilvl w:val="0"/>
          <w:numId w:val="5"/>
        </w:numPr>
        <w:shd w:val="clear" w:color="auto" w:fill="FFFFFF"/>
        <w:spacing w:line="360" w:lineRule="auto"/>
        <w:ind w:left="420" w:leftChars="0" w:hanging="420" w:firstLineChars="0"/>
        <w:textAlignment w:val="baseline"/>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信用记录：响应供应商未被列入“信用中国”网站(www.creditchina.gov.cn)“记录失信被执行人或重大税收违法失信主体”记录名单；不处于中国政府采购网(www.ccgp.gov.cn)“政府采购严重违法失信行为信息记录”中的禁止参加政府采购活动期间。（以采购代理机构于响应截止时间当天在“信用中国”网站（www.creditchina.gov.cn）及中国政府采购网（http://www.ccgp.gov.cn/）查询结果为准，如相关失信记录已失效，响应供应商需提供相关证明资料）。</w:t>
      </w:r>
    </w:p>
    <w:p w14:paraId="793A9058">
      <w:pPr>
        <w:pStyle w:val="33"/>
        <w:widowControl/>
        <w:numPr>
          <w:ilvl w:val="0"/>
          <w:numId w:val="5"/>
        </w:numPr>
        <w:shd w:val="clear" w:color="auto" w:fill="FFFFFF"/>
        <w:spacing w:line="360" w:lineRule="auto"/>
        <w:ind w:left="420" w:leftChars="0" w:hanging="420" w:firstLineChars="0"/>
        <w:textAlignment w:val="baseline"/>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响应供应商必须符合法律、行政法规规定的其他条件：单位负责人为同一人或者存在直接控股、管理关系的不同响应供应商，不得同时参加本采购项目（或采购包）。为本项目提供整体设计、规范编制或者项目管理、监理、检测等服务的响应供应商，不得再参与本项目。</w:t>
      </w:r>
      <w:bookmarkStart w:id="8" w:name="_Hlk81178057"/>
      <w:r>
        <w:rPr>
          <w:rFonts w:hint="eastAsia" w:cs="宋体" w:asciiTheme="minorEastAsia" w:hAnsiTheme="minorEastAsia"/>
          <w:color w:val="auto"/>
          <w:kern w:val="0"/>
          <w:szCs w:val="21"/>
          <w:highlight w:val="none"/>
        </w:rPr>
        <w:t>提供资格声明函，详见响应文件格式。</w:t>
      </w:r>
      <w:bookmarkEnd w:id="8"/>
    </w:p>
    <w:p w14:paraId="2FFCD373">
      <w:pPr>
        <w:pStyle w:val="33"/>
        <w:numPr>
          <w:ilvl w:val="0"/>
          <w:numId w:val="1"/>
        </w:numPr>
        <w:tabs>
          <w:tab w:val="left" w:pos="426"/>
        </w:tabs>
        <w:spacing w:line="360" w:lineRule="auto"/>
        <w:ind w:firstLineChars="0"/>
        <w:rPr>
          <w:rFonts w:asciiTheme="minorEastAsia" w:hAnsiTheme="minorEastAsia"/>
          <w:b/>
          <w:color w:val="auto"/>
          <w:szCs w:val="21"/>
          <w:highlight w:val="none"/>
        </w:rPr>
      </w:pPr>
      <w:bookmarkStart w:id="9" w:name="_Hlk58185024"/>
      <w:bookmarkStart w:id="10" w:name="_Hlk90918431"/>
      <w:r>
        <w:rPr>
          <w:rFonts w:hint="eastAsia" w:asciiTheme="minorEastAsia" w:hAnsiTheme="minorEastAsia"/>
          <w:b/>
          <w:color w:val="auto"/>
          <w:szCs w:val="21"/>
          <w:highlight w:val="none"/>
        </w:rPr>
        <w:t>获取遴选文件</w:t>
      </w:r>
    </w:p>
    <w:bookmarkEnd w:id="9"/>
    <w:p w14:paraId="11489EA6">
      <w:pPr>
        <w:pStyle w:val="33"/>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color w:val="auto"/>
          <w:szCs w:val="21"/>
          <w:highlight w:val="none"/>
        </w:rPr>
      </w:pPr>
      <w:r>
        <w:rPr>
          <w:rFonts w:hint="eastAsia" w:cs="宋体" w:asciiTheme="minorEastAsia" w:hAnsiTheme="minorEastAsia"/>
          <w:color w:val="auto"/>
          <w:szCs w:val="21"/>
          <w:highlight w:val="none"/>
        </w:rPr>
        <w:t>时间：</w:t>
      </w:r>
      <w:r>
        <w:rPr>
          <w:rFonts w:cs="宋体" w:asciiTheme="minorEastAsia" w:hAnsiTheme="minorEastAsia"/>
          <w:color w:val="auto"/>
          <w:szCs w:val="21"/>
          <w:highlight w:val="none"/>
          <w:u w:val="single"/>
        </w:rPr>
        <w:t>202</w:t>
      </w:r>
      <w:r>
        <w:rPr>
          <w:rFonts w:hint="eastAsia" w:cs="宋体" w:asciiTheme="minorEastAsia" w:hAnsiTheme="minorEastAsia"/>
          <w:color w:val="auto"/>
          <w:szCs w:val="21"/>
          <w:highlight w:val="none"/>
          <w:u w:val="single"/>
          <w:lang w:val="en-US" w:eastAsia="zh-CN"/>
        </w:rPr>
        <w:t>5</w:t>
      </w:r>
      <w:r>
        <w:rPr>
          <w:rFonts w:hint="eastAsia" w:cs="宋体" w:asciiTheme="minorEastAsia" w:hAnsiTheme="minorEastAsia"/>
          <w:color w:val="auto"/>
          <w:szCs w:val="21"/>
          <w:highlight w:val="none"/>
          <w:u w:val="none"/>
        </w:rPr>
        <w:t>年</w:t>
      </w:r>
      <w:r>
        <w:rPr>
          <w:rFonts w:hint="eastAsia" w:cs="宋体" w:asciiTheme="minorEastAsia" w:hAnsiTheme="minorEastAsia"/>
          <w:color w:val="auto"/>
          <w:szCs w:val="21"/>
          <w:highlight w:val="none"/>
          <w:u w:val="single"/>
          <w:lang w:val="en-US" w:eastAsia="zh-CN"/>
        </w:rPr>
        <w:t>05</w:t>
      </w:r>
      <w:r>
        <w:rPr>
          <w:rFonts w:hint="eastAsia" w:cs="宋体" w:asciiTheme="minorEastAsia" w:hAnsiTheme="minorEastAsia"/>
          <w:color w:val="auto"/>
          <w:szCs w:val="21"/>
          <w:highlight w:val="none"/>
          <w:u w:val="none"/>
        </w:rPr>
        <w:t>月</w:t>
      </w:r>
      <w:r>
        <w:rPr>
          <w:rFonts w:hint="eastAsia" w:cs="宋体" w:asciiTheme="minorEastAsia" w:hAnsiTheme="minorEastAsia"/>
          <w:color w:val="auto"/>
          <w:szCs w:val="21"/>
          <w:highlight w:val="none"/>
          <w:u w:val="single"/>
          <w:lang w:val="en-US" w:eastAsia="zh-CN"/>
        </w:rPr>
        <w:t>30</w:t>
      </w:r>
      <w:r>
        <w:rPr>
          <w:rFonts w:hint="eastAsia" w:cs="宋体" w:asciiTheme="minorEastAsia" w:hAnsiTheme="minorEastAsia"/>
          <w:color w:val="auto"/>
          <w:szCs w:val="21"/>
          <w:highlight w:val="none"/>
          <w:u w:val="none"/>
        </w:rPr>
        <w:t>日</w:t>
      </w:r>
      <w:r>
        <w:rPr>
          <w:rFonts w:hint="eastAsia" w:cs="宋体" w:asciiTheme="minorEastAsia" w:hAnsiTheme="minorEastAsia"/>
          <w:color w:val="auto"/>
          <w:szCs w:val="21"/>
          <w:highlight w:val="none"/>
        </w:rPr>
        <w:t>至</w:t>
      </w:r>
      <w:r>
        <w:rPr>
          <w:rFonts w:cs="宋体" w:asciiTheme="minorEastAsia" w:hAnsiTheme="minorEastAsia"/>
          <w:color w:val="auto"/>
          <w:szCs w:val="21"/>
          <w:highlight w:val="none"/>
          <w:u w:val="single"/>
        </w:rPr>
        <w:t>202</w:t>
      </w:r>
      <w:r>
        <w:rPr>
          <w:rFonts w:hint="eastAsia" w:cs="宋体" w:asciiTheme="minorEastAsia" w:hAnsiTheme="minorEastAsia"/>
          <w:color w:val="auto"/>
          <w:szCs w:val="21"/>
          <w:highlight w:val="none"/>
          <w:u w:val="single"/>
          <w:lang w:val="en-US" w:eastAsia="zh-CN"/>
        </w:rPr>
        <w:t>5</w:t>
      </w:r>
      <w:r>
        <w:rPr>
          <w:rFonts w:hint="eastAsia" w:cs="宋体" w:asciiTheme="minorEastAsia" w:hAnsiTheme="minorEastAsia"/>
          <w:color w:val="auto"/>
          <w:szCs w:val="21"/>
          <w:highlight w:val="none"/>
          <w:u w:val="none"/>
        </w:rPr>
        <w:t>年</w:t>
      </w:r>
      <w:r>
        <w:rPr>
          <w:rFonts w:hint="eastAsia" w:cs="宋体" w:asciiTheme="minorEastAsia" w:hAnsiTheme="minorEastAsia"/>
          <w:color w:val="auto"/>
          <w:szCs w:val="21"/>
          <w:highlight w:val="none"/>
          <w:u w:val="single"/>
          <w:lang w:val="en-US" w:eastAsia="zh-CN"/>
        </w:rPr>
        <w:t>06</w:t>
      </w:r>
      <w:r>
        <w:rPr>
          <w:rFonts w:hint="eastAsia" w:cs="宋体" w:asciiTheme="minorEastAsia" w:hAnsiTheme="minorEastAsia"/>
          <w:color w:val="auto"/>
          <w:szCs w:val="21"/>
          <w:highlight w:val="none"/>
          <w:u w:val="none"/>
        </w:rPr>
        <w:t>月</w:t>
      </w:r>
      <w:r>
        <w:rPr>
          <w:rFonts w:hint="eastAsia" w:cs="宋体" w:asciiTheme="minorEastAsia" w:hAnsiTheme="minorEastAsia"/>
          <w:color w:val="auto"/>
          <w:szCs w:val="21"/>
          <w:highlight w:val="none"/>
          <w:u w:val="single"/>
          <w:lang w:val="en-US" w:eastAsia="zh-CN"/>
        </w:rPr>
        <w:t>09</w:t>
      </w:r>
      <w:r>
        <w:rPr>
          <w:rFonts w:hint="eastAsia" w:cs="宋体" w:asciiTheme="minorEastAsia" w:hAnsiTheme="minorEastAsia"/>
          <w:color w:val="auto"/>
          <w:szCs w:val="21"/>
          <w:highlight w:val="none"/>
          <w:u w:val="none"/>
        </w:rPr>
        <w:t>日</w:t>
      </w:r>
      <w:r>
        <w:rPr>
          <w:rFonts w:hint="eastAsia" w:cs="宋体" w:asciiTheme="minorEastAsia" w:hAnsiTheme="minorEastAsia"/>
          <w:iCs/>
          <w:color w:val="auto"/>
          <w:szCs w:val="21"/>
          <w:highlight w:val="none"/>
          <w:u w:val="none"/>
        </w:rPr>
        <w:t>（</w:t>
      </w:r>
      <w:r>
        <w:rPr>
          <w:rFonts w:hint="eastAsia" w:cs="宋体" w:asciiTheme="minorEastAsia" w:hAnsiTheme="minorEastAsia"/>
          <w:color w:val="auto"/>
          <w:szCs w:val="21"/>
          <w:highlight w:val="none"/>
          <w:u w:val="none"/>
        </w:rPr>
        <w:t>提供期限自本公告发布之日起不得少于5个工作日</w:t>
      </w:r>
      <w:r>
        <w:rPr>
          <w:rFonts w:hint="eastAsia" w:cs="宋体" w:asciiTheme="minorEastAsia" w:hAnsiTheme="minorEastAsia"/>
          <w:iCs/>
          <w:color w:val="auto"/>
          <w:szCs w:val="21"/>
          <w:highlight w:val="none"/>
          <w:u w:val="none"/>
        </w:rPr>
        <w:t>）</w:t>
      </w:r>
      <w:r>
        <w:rPr>
          <w:rFonts w:hint="eastAsia" w:cs="宋体" w:asciiTheme="minorEastAsia" w:hAnsiTheme="minorEastAsia"/>
          <w:color w:val="auto"/>
          <w:szCs w:val="21"/>
          <w:highlight w:val="none"/>
        </w:rPr>
        <w:t>，每天上午9：00至12：00，下午2：30至5：30（北京时间，</w:t>
      </w:r>
      <w:r>
        <w:rPr>
          <w:rFonts w:cs="宋体" w:asciiTheme="minorEastAsia" w:hAnsiTheme="minorEastAsia"/>
          <w:color w:val="auto"/>
          <w:szCs w:val="21"/>
          <w:highlight w:val="none"/>
        </w:rPr>
        <w:t>法定节假日</w:t>
      </w:r>
      <w:r>
        <w:rPr>
          <w:rFonts w:hint="eastAsia" w:cs="宋体" w:asciiTheme="minorEastAsia" w:hAnsiTheme="minorEastAsia"/>
          <w:color w:val="auto"/>
          <w:szCs w:val="21"/>
          <w:highlight w:val="none"/>
        </w:rPr>
        <w:t>除外）</w:t>
      </w:r>
    </w:p>
    <w:p w14:paraId="29FAFECD">
      <w:pPr>
        <w:pStyle w:val="33"/>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hint="eastAsia" w:cs="宋体" w:asciiTheme="minorEastAsia" w:hAnsiTheme="minorEastAsia" w:eastAsiaTheme="minorEastAsia"/>
          <w:color w:val="auto"/>
          <w:szCs w:val="21"/>
          <w:highlight w:val="none"/>
          <w:lang w:eastAsia="zh-CN"/>
        </w:rPr>
      </w:pPr>
      <w:r>
        <w:rPr>
          <w:rFonts w:hint="eastAsia" w:cs="宋体" w:asciiTheme="minorEastAsia" w:hAnsiTheme="minorEastAsia"/>
          <w:color w:val="auto"/>
          <w:szCs w:val="21"/>
          <w:highlight w:val="none"/>
        </w:rPr>
        <w:t>地点：</w:t>
      </w:r>
      <w:r>
        <w:rPr>
          <w:rFonts w:hint="eastAsia" w:cs="宋体" w:asciiTheme="minorEastAsia" w:hAnsiTheme="minorEastAsia"/>
          <w:color w:val="auto"/>
          <w:szCs w:val="21"/>
          <w:highlight w:val="none"/>
          <w:lang w:eastAsia="zh-CN"/>
        </w:rPr>
        <w:t>东莞市南城街道雅园产业园区路5号1栋1楼</w:t>
      </w:r>
      <w:r>
        <w:rPr>
          <w:rFonts w:hint="eastAsia" w:cs="宋体" w:asciiTheme="minorEastAsia" w:hAnsiTheme="minorEastAsia"/>
          <w:color w:val="auto"/>
          <w:szCs w:val="21"/>
          <w:highlight w:val="none"/>
        </w:rPr>
        <w:t>或微信搜索公众号“广东智汇城市招标采购有限公司”</w:t>
      </w:r>
    </w:p>
    <w:p w14:paraId="1D0DD6AA">
      <w:pPr>
        <w:pStyle w:val="33"/>
        <w:spacing w:line="360" w:lineRule="auto"/>
        <w:ind w:left="420" w:firstLine="0" w:firstLineChars="0"/>
        <w:rPr>
          <w:rFonts w:cs="宋体" w:asciiTheme="minorEastAsia" w:hAnsiTheme="minorEastAsia"/>
          <w:color w:val="auto"/>
          <w:szCs w:val="21"/>
          <w:highlight w:val="none"/>
          <w:u w:val="single"/>
        </w:rPr>
      </w:pPr>
      <w:r>
        <w:rPr>
          <w:rFonts w:hint="eastAsia" w:cs="宋体" w:asciiTheme="minorEastAsia" w:hAnsiTheme="minorEastAsia"/>
          <w:color w:val="auto"/>
          <w:szCs w:val="21"/>
          <w:highlight w:val="none"/>
        </w:rPr>
        <w:t>方式：现场或线上获取</w:t>
      </w:r>
    </w:p>
    <w:p w14:paraId="36F10995">
      <w:pPr>
        <w:pStyle w:val="33"/>
        <w:spacing w:line="360" w:lineRule="auto"/>
        <w:ind w:left="420" w:firstLine="0" w:firstLineChars="0"/>
        <w:rPr>
          <w:rFonts w:cs="宋体" w:asciiTheme="minorEastAsia" w:hAnsiTheme="minorEastAsia"/>
          <w:color w:val="auto"/>
          <w:szCs w:val="21"/>
          <w:highlight w:val="none"/>
        </w:rPr>
      </w:pPr>
      <w:r>
        <w:rPr>
          <w:rFonts w:hint="eastAsia" w:cs="宋体" w:asciiTheme="minorEastAsia" w:hAnsiTheme="minorEastAsia"/>
          <w:color w:val="auto"/>
          <w:szCs w:val="21"/>
          <w:highlight w:val="none"/>
        </w:rPr>
        <w:t>售价：</w:t>
      </w:r>
      <w:r>
        <w:rPr>
          <w:rFonts w:hint="eastAsia" w:cs="宋体" w:asciiTheme="minorEastAsia" w:hAnsiTheme="minorEastAsia"/>
          <w:color w:val="auto"/>
          <w:szCs w:val="21"/>
          <w:highlight w:val="none"/>
          <w:lang w:val="en-US" w:eastAsia="zh-CN"/>
        </w:rPr>
        <w:t>0</w:t>
      </w:r>
      <w:r>
        <w:rPr>
          <w:rFonts w:cs="宋体" w:asciiTheme="minorEastAsia" w:hAnsiTheme="minorEastAsia"/>
          <w:color w:val="auto"/>
          <w:szCs w:val="21"/>
          <w:highlight w:val="none"/>
        </w:rPr>
        <w:t>.00</w:t>
      </w:r>
      <w:r>
        <w:rPr>
          <w:rFonts w:hint="eastAsia" w:cs="宋体" w:asciiTheme="minorEastAsia" w:hAnsiTheme="minorEastAsia"/>
          <w:color w:val="auto"/>
          <w:szCs w:val="21"/>
          <w:highlight w:val="none"/>
        </w:rPr>
        <w:t>元</w:t>
      </w:r>
    </w:p>
    <w:bookmarkEnd w:id="10"/>
    <w:p w14:paraId="58095A17">
      <w:pPr>
        <w:pStyle w:val="33"/>
        <w:numPr>
          <w:ilvl w:val="0"/>
          <w:numId w:val="1"/>
        </w:numPr>
        <w:tabs>
          <w:tab w:val="left" w:pos="426"/>
        </w:tabs>
        <w:spacing w:line="360" w:lineRule="auto"/>
        <w:ind w:left="0" w:firstLine="0"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提交响应文件截止时间、开标时间和地点</w:t>
      </w:r>
    </w:p>
    <w:p w14:paraId="79D210B3">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color w:val="auto"/>
          <w:szCs w:val="21"/>
          <w:highlight w:val="none"/>
        </w:rPr>
      </w:pPr>
      <w:r>
        <w:rPr>
          <w:rFonts w:hint="eastAsia" w:asciiTheme="minorEastAsia" w:hAnsiTheme="minorEastAsia"/>
          <w:color w:val="auto"/>
          <w:szCs w:val="21"/>
          <w:highlight w:val="none"/>
          <w:u w:val="none"/>
          <w:lang w:val="en-US" w:eastAsia="zh-CN"/>
        </w:rPr>
        <w:t>时间：</w:t>
      </w:r>
      <w:r>
        <w:rPr>
          <w:rFonts w:asciiTheme="minorEastAsia" w:hAnsiTheme="minorEastAsia"/>
          <w:color w:val="auto"/>
          <w:szCs w:val="21"/>
          <w:highlight w:val="none"/>
          <w:u w:val="single"/>
        </w:rPr>
        <w:t>202</w:t>
      </w:r>
      <w:r>
        <w:rPr>
          <w:rFonts w:hint="eastAsia" w:asciiTheme="minorEastAsia" w:hAnsiTheme="minorEastAsia"/>
          <w:color w:val="auto"/>
          <w:szCs w:val="21"/>
          <w:highlight w:val="none"/>
          <w:u w:val="single"/>
          <w:lang w:val="en-US" w:eastAsia="zh-CN"/>
        </w:rPr>
        <w:t>5</w:t>
      </w:r>
      <w:r>
        <w:rPr>
          <w:rFonts w:hint="eastAsia" w:asciiTheme="minorEastAsia" w:hAnsiTheme="minorEastAsia"/>
          <w:color w:val="auto"/>
          <w:szCs w:val="21"/>
          <w:highlight w:val="none"/>
          <w:u w:val="none"/>
        </w:rPr>
        <w:t>年</w:t>
      </w:r>
      <w:r>
        <w:rPr>
          <w:rFonts w:hint="eastAsia" w:asciiTheme="minorEastAsia" w:hAnsiTheme="minorEastAsia"/>
          <w:color w:val="auto"/>
          <w:szCs w:val="21"/>
          <w:highlight w:val="none"/>
          <w:u w:val="single"/>
          <w:lang w:val="en-US" w:eastAsia="zh-CN"/>
        </w:rPr>
        <w:t>06</w:t>
      </w:r>
      <w:r>
        <w:rPr>
          <w:rFonts w:hint="eastAsia" w:asciiTheme="minorEastAsia" w:hAnsiTheme="minorEastAsia"/>
          <w:color w:val="auto"/>
          <w:szCs w:val="21"/>
          <w:highlight w:val="none"/>
          <w:u w:val="none"/>
        </w:rPr>
        <w:t>月</w:t>
      </w:r>
      <w:r>
        <w:rPr>
          <w:rFonts w:hint="eastAsia" w:asciiTheme="minorEastAsia" w:hAnsiTheme="minorEastAsia"/>
          <w:color w:val="auto"/>
          <w:szCs w:val="21"/>
          <w:highlight w:val="none"/>
          <w:u w:val="single"/>
          <w:lang w:val="en-US" w:eastAsia="zh-CN"/>
        </w:rPr>
        <w:t>10</w:t>
      </w:r>
      <w:r>
        <w:rPr>
          <w:rFonts w:hint="eastAsia" w:asciiTheme="minorEastAsia" w:hAnsiTheme="minorEastAsia"/>
          <w:color w:val="auto"/>
          <w:szCs w:val="21"/>
          <w:highlight w:val="none"/>
          <w:u w:val="none"/>
        </w:rPr>
        <w:t>日</w:t>
      </w:r>
      <w:r>
        <w:rPr>
          <w:rFonts w:hint="eastAsia" w:asciiTheme="minorEastAsia" w:hAnsiTheme="minorEastAsia"/>
          <w:color w:val="auto"/>
          <w:szCs w:val="21"/>
          <w:highlight w:val="none"/>
          <w:u w:val="single"/>
          <w:lang w:val="en-US" w:eastAsia="zh-CN"/>
        </w:rPr>
        <w:t>09</w:t>
      </w:r>
      <w:r>
        <w:rPr>
          <w:rFonts w:hint="eastAsia" w:asciiTheme="minorEastAsia" w:hAnsiTheme="minorEastAsia"/>
          <w:color w:val="auto"/>
          <w:szCs w:val="21"/>
          <w:highlight w:val="none"/>
          <w:u w:val="none"/>
        </w:rPr>
        <w:t>点</w:t>
      </w:r>
      <w:r>
        <w:rPr>
          <w:rFonts w:hint="eastAsia" w:asciiTheme="minorEastAsia" w:hAnsiTheme="minorEastAsia"/>
          <w:color w:val="auto"/>
          <w:szCs w:val="21"/>
          <w:highlight w:val="none"/>
          <w:u w:val="single"/>
          <w:lang w:val="en-US" w:eastAsia="zh-CN"/>
        </w:rPr>
        <w:t>30</w:t>
      </w:r>
      <w:r>
        <w:rPr>
          <w:rFonts w:hint="eastAsia" w:asciiTheme="minorEastAsia" w:hAnsiTheme="minorEastAsia"/>
          <w:color w:val="auto"/>
          <w:szCs w:val="21"/>
          <w:highlight w:val="none"/>
          <w:u w:val="none"/>
        </w:rPr>
        <w:t>分</w:t>
      </w:r>
      <w:r>
        <w:rPr>
          <w:rFonts w:hint="eastAsia" w:asciiTheme="minorEastAsia" w:hAnsiTheme="minorEastAsia"/>
          <w:color w:val="auto"/>
          <w:szCs w:val="21"/>
          <w:highlight w:val="none"/>
        </w:rPr>
        <w:t>（北京时间）（自遴选文件开始发出之日起至响应供应商提交响应文件截止之日止，不得少于</w:t>
      </w:r>
      <w:r>
        <w:rPr>
          <w:rFonts w:asciiTheme="minorEastAsia" w:hAnsiTheme="minorEastAsia"/>
          <w:color w:val="auto"/>
          <w:szCs w:val="21"/>
          <w:highlight w:val="none"/>
        </w:rPr>
        <w:t>1</w:t>
      </w:r>
      <w:r>
        <w:rPr>
          <w:rFonts w:hint="eastAsia" w:asciiTheme="minorEastAsia" w:hAnsiTheme="minorEastAsia"/>
          <w:color w:val="auto"/>
          <w:szCs w:val="21"/>
          <w:highlight w:val="none"/>
        </w:rPr>
        <w:t>0日）</w:t>
      </w:r>
    </w:p>
    <w:p w14:paraId="0AD795E5">
      <w:pPr>
        <w:pStyle w:val="33"/>
        <w:tabs>
          <w:tab w:val="left" w:pos="426"/>
        </w:tabs>
        <w:spacing w:line="360" w:lineRule="auto"/>
        <w:ind w:left="420" w:firstLine="0" w:firstLineChars="0"/>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地点：</w:t>
      </w:r>
      <w:r>
        <w:rPr>
          <w:rFonts w:hint="eastAsia" w:asciiTheme="minorEastAsia" w:hAnsiTheme="minorEastAsia"/>
          <w:color w:val="auto"/>
          <w:szCs w:val="21"/>
          <w:highlight w:val="none"/>
          <w:lang w:eastAsia="zh-CN"/>
        </w:rPr>
        <w:t>东莞市南城街道雅园产业园区路5号1栋1楼</w:t>
      </w:r>
    </w:p>
    <w:p w14:paraId="0B9E3734">
      <w:pPr>
        <w:pStyle w:val="33"/>
        <w:numPr>
          <w:ilvl w:val="0"/>
          <w:numId w:val="1"/>
        </w:numPr>
        <w:tabs>
          <w:tab w:val="left" w:pos="426"/>
        </w:tabs>
        <w:spacing w:line="360" w:lineRule="auto"/>
        <w:ind w:left="-2" w:leftChars="-1" w:firstLine="1"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公告期限</w:t>
      </w:r>
    </w:p>
    <w:p w14:paraId="4FB88488">
      <w:pPr>
        <w:pStyle w:val="33"/>
        <w:tabs>
          <w:tab w:val="left" w:pos="426"/>
        </w:tabs>
        <w:spacing w:line="360" w:lineRule="auto"/>
        <w:ind w:left="420" w:firstLine="0" w:firstLineChars="0"/>
        <w:rPr>
          <w:rFonts w:asciiTheme="minorEastAsia" w:hAnsiTheme="minorEastAsia"/>
          <w:color w:val="auto"/>
          <w:szCs w:val="21"/>
          <w:highlight w:val="none"/>
        </w:rPr>
      </w:pPr>
      <w:r>
        <w:rPr>
          <w:rFonts w:hint="eastAsia" w:asciiTheme="minorEastAsia" w:hAnsiTheme="minorEastAsia"/>
          <w:color w:val="auto"/>
          <w:szCs w:val="21"/>
          <w:highlight w:val="none"/>
        </w:rPr>
        <w:t>自本公告发布之日起5个工作日。</w:t>
      </w:r>
    </w:p>
    <w:p w14:paraId="74C1298C">
      <w:pPr>
        <w:pStyle w:val="33"/>
        <w:numPr>
          <w:ilvl w:val="0"/>
          <w:numId w:val="1"/>
        </w:numPr>
        <w:tabs>
          <w:tab w:val="left" w:pos="426"/>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其他补充事宜</w:t>
      </w:r>
    </w:p>
    <w:p w14:paraId="3163DF63">
      <w:pPr>
        <w:pStyle w:val="33"/>
        <w:numPr>
          <w:ilvl w:val="0"/>
          <w:numId w:val="6"/>
        </w:numPr>
        <w:spacing w:line="360" w:lineRule="auto"/>
        <w:ind w:firstLineChars="0"/>
        <w:rPr>
          <w:rFonts w:asciiTheme="minorEastAsia" w:hAnsiTheme="minorEastAsia"/>
          <w:bCs/>
          <w:color w:val="auto"/>
          <w:szCs w:val="21"/>
          <w:highlight w:val="none"/>
        </w:rPr>
      </w:pPr>
      <w:bookmarkStart w:id="11" w:name="_Hlk90919351"/>
      <w:r>
        <w:rPr>
          <w:rFonts w:hint="eastAsia" w:asciiTheme="minorEastAsia" w:hAnsiTheme="minorEastAsia"/>
          <w:bCs/>
          <w:color w:val="auto"/>
          <w:szCs w:val="21"/>
          <w:highlight w:val="none"/>
        </w:rPr>
        <w:t>遴选文件公示/下载媒体</w:t>
      </w:r>
    </w:p>
    <w:p w14:paraId="5F7DB8CC">
      <w:pPr>
        <w:pStyle w:val="33"/>
        <w:keepNext w:val="0"/>
        <w:keepLines w:val="0"/>
        <w:pageBreakBefore w:val="0"/>
        <w:widowControl w:val="0"/>
        <w:tabs>
          <w:tab w:val="left" w:pos="709"/>
        </w:tabs>
        <w:kinsoku/>
        <w:wordWrap w:val="0"/>
        <w:overflowPunct/>
        <w:topLinePunct w:val="0"/>
        <w:autoSpaceDE/>
        <w:autoSpaceDN/>
        <w:bidi w:val="0"/>
        <w:adjustRightInd/>
        <w:snapToGrid/>
        <w:spacing w:line="360" w:lineRule="auto"/>
        <w:ind w:left="420" w:firstLine="0" w:firstLineChars="0"/>
        <w:textAlignment w:val="auto"/>
        <w:rPr>
          <w:rFonts w:asciiTheme="minorEastAsia" w:hAnsiTheme="minorEastAsia"/>
          <w:bCs/>
          <w:color w:val="auto"/>
          <w:szCs w:val="21"/>
          <w:highlight w:val="none"/>
        </w:rPr>
      </w:pPr>
      <w:r>
        <w:rPr>
          <w:rFonts w:hint="eastAsia" w:asciiTheme="minorEastAsia" w:hAnsiTheme="minorEastAsia"/>
          <w:color w:val="auto"/>
          <w:spacing w:val="-4"/>
          <w:szCs w:val="21"/>
          <w:highlight w:val="none"/>
        </w:rPr>
        <w:t>中国政府采购网(http://www.ccgp.gov.cn)、中国采购与招标网（https://zbdt.chinabidding.cn/）、广东智汇城市招标采购有限公司网站(http://www.gdzhcity.com/)</w:t>
      </w:r>
    </w:p>
    <w:p w14:paraId="75275029">
      <w:pPr>
        <w:pStyle w:val="33"/>
        <w:numPr>
          <w:ilvl w:val="0"/>
          <w:numId w:val="6"/>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拟参加本项目的响应供应商须在规定时间内按要求获取遴选文件后方可参与本项目。获取遴选文件后而不参加响应的响应供应商，请在开标日期三日前以书面形式通知采购代理机构。</w:t>
      </w:r>
    </w:p>
    <w:p w14:paraId="003B1DE0">
      <w:pPr>
        <w:pStyle w:val="33"/>
        <w:numPr>
          <w:ilvl w:val="0"/>
          <w:numId w:val="6"/>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获取遴选文件联系人及联系方式：</w:t>
      </w:r>
      <w:r>
        <w:rPr>
          <w:rFonts w:hint="eastAsia" w:asciiTheme="minorEastAsia" w:hAnsiTheme="minorEastAsia"/>
          <w:bCs/>
          <w:color w:val="auto"/>
          <w:szCs w:val="21"/>
          <w:highlight w:val="none"/>
          <w:lang w:val="en-US" w:eastAsia="zh-CN"/>
        </w:rPr>
        <w:t>黄</w:t>
      </w:r>
      <w:r>
        <w:rPr>
          <w:rFonts w:hint="eastAsia" w:asciiTheme="minorEastAsia" w:hAnsiTheme="minorEastAsia"/>
          <w:bCs/>
          <w:color w:val="auto"/>
          <w:szCs w:val="21"/>
          <w:highlight w:val="none"/>
        </w:rPr>
        <w:t>小姐</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0769</w:t>
      </w:r>
      <w:r>
        <w:rPr>
          <w:rFonts w:hint="eastAsia" w:asciiTheme="minorEastAsia" w:hAnsiTheme="minorEastAsia"/>
          <w:bCs/>
          <w:color w:val="auto"/>
          <w:szCs w:val="21"/>
          <w:highlight w:val="none"/>
          <w:lang w:val="en-US" w:eastAsia="zh-CN"/>
        </w:rPr>
        <w:t>-</w:t>
      </w:r>
      <w:r>
        <w:rPr>
          <w:rFonts w:asciiTheme="minorEastAsia" w:hAnsiTheme="minorEastAsia"/>
          <w:bCs/>
          <w:color w:val="auto"/>
          <w:szCs w:val="21"/>
          <w:highlight w:val="none"/>
        </w:rPr>
        <w:t xml:space="preserve">22367009 </w:t>
      </w:r>
      <w:bookmarkStart w:id="12" w:name="_Hlk90986682"/>
      <w:r>
        <w:rPr>
          <w:rFonts w:hint="eastAsia" w:asciiTheme="minorEastAsia" w:hAnsiTheme="minorEastAsia"/>
          <w:bCs/>
          <w:color w:val="auto"/>
          <w:szCs w:val="21"/>
          <w:highlight w:val="none"/>
        </w:rPr>
        <w:t>邮箱：</w:t>
      </w:r>
      <w:r>
        <w:rPr>
          <w:rFonts w:asciiTheme="minorEastAsia" w:hAnsiTheme="minorEastAsia"/>
          <w:color w:val="auto"/>
          <w:highlight w:val="none"/>
        </w:rPr>
        <w:t>zhcity_gd@163.com</w:t>
      </w:r>
      <w:r>
        <w:rPr>
          <w:rFonts w:hint="eastAsia" w:asciiTheme="minorEastAsia" w:hAnsiTheme="minorEastAsia"/>
          <w:bCs/>
          <w:color w:val="auto"/>
          <w:szCs w:val="21"/>
          <w:highlight w:val="none"/>
        </w:rPr>
        <w:t>。</w:t>
      </w:r>
      <w:bookmarkEnd w:id="12"/>
    </w:p>
    <w:bookmarkEnd w:id="11"/>
    <w:p w14:paraId="76F5B9EB">
      <w:pPr>
        <w:pStyle w:val="33"/>
        <w:numPr>
          <w:ilvl w:val="0"/>
          <w:numId w:val="1"/>
        </w:numPr>
        <w:tabs>
          <w:tab w:val="left" w:pos="567"/>
        </w:tabs>
        <w:spacing w:before="156" w:beforeLines="50"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对本项目提出询问，请按以下方式联系。</w:t>
      </w:r>
    </w:p>
    <w:p w14:paraId="4BEA5845">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采购人信息</w:t>
      </w:r>
    </w:p>
    <w:p w14:paraId="78492681">
      <w:pPr>
        <w:tabs>
          <w:tab w:val="left" w:pos="567"/>
        </w:tabs>
        <w:spacing w:line="360" w:lineRule="auto"/>
        <w:ind w:left="424" w:leftChars="202"/>
        <w:rPr>
          <w:rFonts w:asciiTheme="minorEastAsia" w:hAnsiTheme="minorEastAsia"/>
          <w:bCs/>
          <w:color w:val="auto"/>
          <w:szCs w:val="21"/>
          <w:highlight w:val="none"/>
        </w:rPr>
      </w:pPr>
      <w:r>
        <w:rPr>
          <w:rFonts w:hint="eastAsia" w:asciiTheme="minorEastAsia" w:hAnsiTheme="minorEastAsia"/>
          <w:bCs/>
          <w:color w:val="auto"/>
          <w:szCs w:val="21"/>
          <w:highlight w:val="none"/>
        </w:rPr>
        <w:t>名</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称：东莞市消防救援支队</w:t>
      </w:r>
    </w:p>
    <w:p w14:paraId="29572218">
      <w:pPr>
        <w:tabs>
          <w:tab w:val="left" w:pos="567"/>
        </w:tabs>
        <w:spacing w:line="360" w:lineRule="auto"/>
        <w:ind w:left="424" w:leftChars="202"/>
        <w:rPr>
          <w:rFonts w:asciiTheme="minorEastAsia" w:hAnsiTheme="minorEastAsia"/>
          <w:bCs/>
          <w:color w:val="auto"/>
          <w:szCs w:val="21"/>
          <w:highlight w:val="none"/>
        </w:rPr>
      </w:pPr>
      <w:r>
        <w:rPr>
          <w:rFonts w:hint="eastAsia" w:asciiTheme="minorEastAsia" w:hAnsiTheme="minorEastAsia"/>
          <w:bCs/>
          <w:color w:val="auto"/>
          <w:szCs w:val="21"/>
          <w:highlight w:val="none"/>
        </w:rPr>
        <w:t>地</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址：东莞市东城街道莞长路立新路段23号</w:t>
      </w:r>
    </w:p>
    <w:p w14:paraId="0EC3B6AF">
      <w:pPr>
        <w:tabs>
          <w:tab w:val="left" w:pos="567"/>
        </w:tabs>
        <w:spacing w:line="360" w:lineRule="auto"/>
        <w:ind w:left="424" w:leftChars="202"/>
        <w:rPr>
          <w:rFonts w:asciiTheme="minorEastAsia" w:hAnsiTheme="minorEastAsia"/>
          <w:b/>
          <w:color w:val="auto"/>
          <w:szCs w:val="21"/>
          <w:highlight w:val="none"/>
        </w:rPr>
      </w:pPr>
      <w:r>
        <w:rPr>
          <w:rFonts w:hint="eastAsia" w:asciiTheme="minorEastAsia" w:hAnsiTheme="minorEastAsia"/>
          <w:bCs/>
          <w:color w:val="auto"/>
          <w:szCs w:val="21"/>
          <w:highlight w:val="none"/>
        </w:rPr>
        <w:t>联系方式：潘助理</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23119069</w:t>
      </w:r>
    </w:p>
    <w:p w14:paraId="05440163">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采购代理机构信息</w:t>
      </w:r>
    </w:p>
    <w:p w14:paraId="1CF5F414">
      <w:pPr>
        <w:tabs>
          <w:tab w:val="left" w:pos="567"/>
        </w:tabs>
        <w:spacing w:line="360" w:lineRule="auto"/>
        <w:ind w:left="424" w:leftChars="202"/>
        <w:rPr>
          <w:rFonts w:asciiTheme="minorEastAsia" w:hAnsiTheme="minorEastAsia"/>
          <w:bCs/>
          <w:color w:val="auto"/>
          <w:szCs w:val="21"/>
          <w:highlight w:val="none"/>
        </w:rPr>
      </w:pPr>
      <w:bookmarkStart w:id="13" w:name="_Hlk90986307"/>
      <w:r>
        <w:rPr>
          <w:rFonts w:hint="eastAsia" w:asciiTheme="minorEastAsia" w:hAnsiTheme="minorEastAsia"/>
          <w:bCs/>
          <w:color w:val="auto"/>
          <w:szCs w:val="21"/>
          <w:highlight w:val="none"/>
        </w:rPr>
        <w:t xml:space="preserve">名 </w:t>
      </w:r>
      <w:r>
        <w:rPr>
          <w:rFonts w:asciiTheme="minorEastAsia" w:hAnsiTheme="minorEastAsia"/>
          <w:bCs/>
          <w:color w:val="auto"/>
          <w:szCs w:val="21"/>
          <w:highlight w:val="none"/>
        </w:rPr>
        <w:t xml:space="preserve"> </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称：广东智汇城市招标采购有限公司</w:t>
      </w:r>
    </w:p>
    <w:p w14:paraId="22A17730">
      <w:pPr>
        <w:tabs>
          <w:tab w:val="left" w:pos="567"/>
        </w:tabs>
        <w:spacing w:line="360" w:lineRule="auto"/>
        <w:ind w:left="424" w:leftChars="202"/>
        <w:rPr>
          <w:rFonts w:hint="eastAsia" w:asciiTheme="minorEastAsia" w:hAnsiTheme="minorEastAsia" w:eastAsiaTheme="minorEastAsia"/>
          <w:bCs/>
          <w:color w:val="auto"/>
          <w:szCs w:val="21"/>
          <w:highlight w:val="none"/>
          <w:lang w:eastAsia="zh-CN"/>
        </w:rPr>
      </w:pPr>
      <w:r>
        <w:rPr>
          <w:rFonts w:hint="eastAsia" w:asciiTheme="minorEastAsia" w:hAnsiTheme="minorEastAsia"/>
          <w:bCs/>
          <w:color w:val="auto"/>
          <w:szCs w:val="21"/>
          <w:highlight w:val="none"/>
        </w:rPr>
        <w:t>地</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址：</w:t>
      </w:r>
      <w:r>
        <w:rPr>
          <w:rFonts w:hint="eastAsia" w:asciiTheme="minorEastAsia" w:hAnsiTheme="minorEastAsia"/>
          <w:bCs/>
          <w:color w:val="auto"/>
          <w:szCs w:val="21"/>
          <w:highlight w:val="none"/>
          <w:lang w:eastAsia="zh-CN"/>
        </w:rPr>
        <w:t>东莞市南城街道雅园产业园区路5号1栋1楼</w:t>
      </w:r>
    </w:p>
    <w:p w14:paraId="276630B3">
      <w:pPr>
        <w:tabs>
          <w:tab w:val="left" w:pos="567"/>
        </w:tabs>
        <w:spacing w:line="360" w:lineRule="auto"/>
        <w:ind w:left="424" w:leftChars="202"/>
        <w:rPr>
          <w:rFonts w:asciiTheme="minorEastAsia" w:hAnsiTheme="minorEastAsia"/>
          <w:b/>
          <w:color w:val="auto"/>
          <w:szCs w:val="21"/>
          <w:highlight w:val="none"/>
        </w:rPr>
      </w:pPr>
      <w:r>
        <w:rPr>
          <w:rFonts w:hint="eastAsia" w:asciiTheme="minorEastAsia" w:hAnsiTheme="minorEastAsia"/>
          <w:bCs/>
          <w:color w:val="auto"/>
          <w:szCs w:val="21"/>
          <w:highlight w:val="none"/>
        </w:rPr>
        <w:t>联系方式：0769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22367009</w:t>
      </w:r>
    </w:p>
    <w:bookmarkEnd w:id="13"/>
    <w:p w14:paraId="166708B7">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项目联系方式</w:t>
      </w:r>
    </w:p>
    <w:p w14:paraId="09C6051D">
      <w:pPr>
        <w:tabs>
          <w:tab w:val="left" w:pos="567"/>
        </w:tabs>
        <w:spacing w:line="360" w:lineRule="auto"/>
        <w:ind w:left="283" w:leftChars="135" w:firstLine="142" w:firstLineChars="68"/>
        <w:rPr>
          <w:rFonts w:hint="default" w:asciiTheme="minorEastAsia" w:hAnsiTheme="minorEastAsia" w:eastAsiaTheme="minorEastAsia"/>
          <w:bCs/>
          <w:color w:val="auto"/>
          <w:szCs w:val="21"/>
          <w:highlight w:val="none"/>
          <w:lang w:val="en-US" w:eastAsia="zh-CN"/>
        </w:rPr>
      </w:pPr>
      <w:r>
        <w:rPr>
          <w:rFonts w:hint="eastAsia" w:asciiTheme="minorEastAsia" w:hAnsiTheme="minorEastAsia"/>
          <w:bCs/>
          <w:color w:val="auto"/>
          <w:szCs w:val="21"/>
          <w:highlight w:val="none"/>
        </w:rPr>
        <w:t>项目联系人：</w:t>
      </w:r>
      <w:r>
        <w:rPr>
          <w:rFonts w:hint="eastAsia" w:asciiTheme="minorEastAsia" w:hAnsiTheme="minorEastAsia"/>
          <w:bCs/>
          <w:color w:val="auto"/>
          <w:szCs w:val="21"/>
          <w:highlight w:val="none"/>
          <w:lang w:val="en-US" w:eastAsia="zh-CN"/>
        </w:rPr>
        <w:t>何舜禹</w:t>
      </w:r>
    </w:p>
    <w:p w14:paraId="0CBED898">
      <w:pPr>
        <w:tabs>
          <w:tab w:val="left" w:pos="567"/>
        </w:tabs>
        <w:spacing w:line="360" w:lineRule="auto"/>
        <w:ind w:left="283" w:leftChars="135" w:firstLine="142" w:firstLineChars="68"/>
        <w:rPr>
          <w:rFonts w:asciiTheme="minorEastAsia" w:hAnsiTheme="minorEastAsia"/>
          <w:b/>
          <w:color w:val="auto"/>
          <w:szCs w:val="21"/>
          <w:highlight w:val="none"/>
        </w:rPr>
      </w:pPr>
      <w:r>
        <w:rPr>
          <w:rFonts w:hint="eastAsia" w:asciiTheme="minorEastAsia" w:hAnsiTheme="minorEastAsia"/>
          <w:bCs/>
          <w:color w:val="auto"/>
          <w:szCs w:val="21"/>
          <w:highlight w:val="none"/>
        </w:rPr>
        <w:t>电</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话：0769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22367009</w:t>
      </w:r>
    </w:p>
    <w:p w14:paraId="1087F565">
      <w:pPr>
        <w:tabs>
          <w:tab w:val="left" w:pos="567"/>
        </w:tabs>
        <w:spacing w:before="840" w:line="360" w:lineRule="auto"/>
        <w:jc w:val="right"/>
        <w:rPr>
          <w:rFonts w:asciiTheme="minorEastAsia" w:hAnsiTheme="minorEastAsia"/>
          <w:b/>
          <w:color w:val="auto"/>
          <w:szCs w:val="21"/>
          <w:highlight w:val="none"/>
        </w:rPr>
      </w:pPr>
      <w:r>
        <w:rPr>
          <w:rFonts w:hint="eastAsia" w:asciiTheme="minorEastAsia" w:hAnsiTheme="minorEastAsia"/>
          <w:b/>
          <w:color w:val="auto"/>
          <w:szCs w:val="21"/>
          <w:highlight w:val="none"/>
        </w:rPr>
        <w:t>发布人：广东智汇城市招标采购有限公司</w:t>
      </w:r>
    </w:p>
    <w:p w14:paraId="4ADDE3AE">
      <w:pPr>
        <w:tabs>
          <w:tab w:val="left" w:pos="567"/>
        </w:tabs>
        <w:spacing w:before="156" w:line="360" w:lineRule="auto"/>
        <w:jc w:val="right"/>
        <w:rPr>
          <w:rFonts w:asciiTheme="minorEastAsia" w:hAnsiTheme="minorEastAsia"/>
          <w:b/>
          <w:color w:val="auto"/>
          <w:szCs w:val="21"/>
          <w:highlight w:val="none"/>
        </w:rPr>
      </w:pPr>
      <w:r>
        <w:rPr>
          <w:rFonts w:hint="eastAsia" w:asciiTheme="minorEastAsia" w:hAnsiTheme="minorEastAsia"/>
          <w:b/>
          <w:color w:val="auto"/>
          <w:szCs w:val="21"/>
          <w:highlight w:val="none"/>
        </w:rPr>
        <w:t>发布时间：</w:t>
      </w:r>
      <w:r>
        <w:rPr>
          <w:rFonts w:asciiTheme="minorEastAsia" w:hAnsiTheme="minorEastAsia"/>
          <w:b/>
          <w:color w:val="auto"/>
          <w:szCs w:val="21"/>
          <w:highlight w:val="none"/>
        </w:rPr>
        <w:t>202</w:t>
      </w:r>
      <w:r>
        <w:rPr>
          <w:rFonts w:hint="eastAsia" w:asciiTheme="minorEastAsia" w:hAnsiTheme="minorEastAsia"/>
          <w:b/>
          <w:color w:val="auto"/>
          <w:szCs w:val="21"/>
          <w:highlight w:val="none"/>
          <w:lang w:val="en-US" w:eastAsia="zh-CN"/>
        </w:rPr>
        <w:t>5</w:t>
      </w:r>
      <w:r>
        <w:rPr>
          <w:rFonts w:hint="eastAsia" w:asciiTheme="minorEastAsia" w:hAnsiTheme="minorEastAsia"/>
          <w:b/>
          <w:color w:val="auto"/>
          <w:szCs w:val="21"/>
          <w:highlight w:val="none"/>
        </w:rPr>
        <w:t>年</w:t>
      </w:r>
      <w:r>
        <w:rPr>
          <w:rFonts w:hint="eastAsia" w:asciiTheme="minorEastAsia" w:hAnsiTheme="minorEastAsia"/>
          <w:b/>
          <w:color w:val="auto"/>
          <w:szCs w:val="21"/>
          <w:highlight w:val="none"/>
          <w:lang w:val="en-US" w:eastAsia="zh-CN"/>
        </w:rPr>
        <w:t>05</w:t>
      </w:r>
      <w:r>
        <w:rPr>
          <w:rFonts w:hint="eastAsia" w:asciiTheme="minorEastAsia" w:hAnsiTheme="minorEastAsia"/>
          <w:b/>
          <w:color w:val="auto"/>
          <w:szCs w:val="21"/>
          <w:highlight w:val="none"/>
        </w:rPr>
        <w:t>月</w:t>
      </w:r>
      <w:r>
        <w:rPr>
          <w:rFonts w:hint="eastAsia" w:asciiTheme="minorEastAsia" w:hAnsiTheme="minorEastAsia"/>
          <w:b/>
          <w:color w:val="auto"/>
          <w:szCs w:val="21"/>
          <w:highlight w:val="none"/>
          <w:lang w:val="en-US" w:eastAsia="zh-CN"/>
        </w:rPr>
        <w:t>30</w:t>
      </w:r>
      <w:r>
        <w:rPr>
          <w:rFonts w:hint="eastAsia" w:asciiTheme="minorEastAsia" w:hAnsiTheme="minorEastAsia"/>
          <w:b/>
          <w:color w:val="auto"/>
          <w:szCs w:val="21"/>
          <w:highlight w:val="none"/>
        </w:rPr>
        <w:t>日</w:t>
      </w:r>
    </w:p>
    <w:p w14:paraId="3D7468B2">
      <w:pPr>
        <w:pStyle w:val="3"/>
        <w:keepNext w:val="0"/>
        <w:keepLines w:val="0"/>
        <w:pageBreakBefore/>
        <w:spacing w:line="360" w:lineRule="auto"/>
        <w:jc w:val="center"/>
        <w:rPr>
          <w:rFonts w:asciiTheme="minorEastAsia" w:hAnsiTheme="minorEastAsia"/>
          <w:color w:val="auto"/>
          <w:spacing w:val="20"/>
          <w:sz w:val="32"/>
          <w:szCs w:val="32"/>
          <w:highlight w:val="none"/>
        </w:rPr>
      </w:pPr>
      <w:bookmarkStart w:id="14" w:name="_Toc138770007"/>
      <w:bookmarkStart w:id="15" w:name="_Toc405313952"/>
      <w:bookmarkStart w:id="16" w:name="_Hlk90986704"/>
      <w:r>
        <w:rPr>
          <w:rFonts w:hint="eastAsia" w:asciiTheme="minorEastAsia" w:hAnsiTheme="minorEastAsia"/>
          <w:color w:val="auto"/>
          <w:spacing w:val="20"/>
          <w:sz w:val="32"/>
          <w:szCs w:val="32"/>
          <w:highlight w:val="none"/>
        </w:rPr>
        <w:t>第二部分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采购需求</w:t>
      </w:r>
      <w:bookmarkEnd w:id="14"/>
      <w:bookmarkEnd w:id="15"/>
    </w:p>
    <w:p w14:paraId="35E15061">
      <w:pPr>
        <w:numPr>
          <w:ilvl w:val="0"/>
          <w:numId w:val="8"/>
        </w:numPr>
        <w:tabs>
          <w:tab w:val="left" w:pos="567"/>
        </w:tabs>
        <w:spacing w:before="100" w:beforeAutospacing="1" w:line="360" w:lineRule="auto"/>
        <w:rPr>
          <w:rFonts w:hint="eastAsia" w:ascii="宋体" w:hAnsi="宋体" w:eastAsia="宋体" w:cs="宋体"/>
          <w:b/>
          <w:color w:val="auto"/>
          <w:sz w:val="21"/>
          <w:szCs w:val="21"/>
          <w:highlight w:val="none"/>
        </w:rPr>
      </w:pPr>
      <w:bookmarkStart w:id="17" w:name="_Hlk90919605"/>
      <w:r>
        <w:rPr>
          <w:rFonts w:hint="eastAsia" w:ascii="宋体" w:hAnsi="宋体" w:eastAsia="宋体" w:cs="宋体"/>
          <w:b/>
          <w:color w:val="auto"/>
          <w:sz w:val="21"/>
          <w:szCs w:val="21"/>
          <w:highlight w:val="none"/>
        </w:rPr>
        <w:t>项目概况</w:t>
      </w:r>
    </w:p>
    <w:p w14:paraId="7236592B">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等线"/>
          <w:color w:val="auto"/>
          <w:sz w:val="21"/>
          <w:szCs w:val="21"/>
        </w:rPr>
        <w:t>针对近期火灾事故频发的严峻形势，落实“以防为主、防消结合”的方针，做好消防防范宣传工作，东莞消防支队通过消防亮化字体宣传，</w:t>
      </w:r>
      <w:r>
        <w:rPr>
          <w:rFonts w:hint="eastAsia" w:ascii="宋体" w:hAnsi="宋体" w:eastAsia="宋体"/>
          <w:color w:val="auto"/>
          <w:sz w:val="21"/>
          <w:szCs w:val="21"/>
        </w:rPr>
        <w:t>在人流众多的主要干道、公园等人车流密集位置，设立警示性消防标语，提醒人民群众注意日常的消防注意事项，提升人民群众的消防安全意识，从而降低消防隐患，减少火灾事故的发生。</w:t>
      </w:r>
      <w:r>
        <w:rPr>
          <w:rFonts w:hint="eastAsia" w:ascii="宋体" w:hAnsi="宋体" w:eastAsia="宋体" w:cs="宋体"/>
          <w:color w:val="auto"/>
          <w:sz w:val="21"/>
          <w:szCs w:val="21"/>
          <w:highlight w:val="none"/>
          <w:lang w:val="en-US" w:eastAsia="zh-CN"/>
        </w:rPr>
        <w:t>拟通过遴选采购方式选定1家供应商提供</w:t>
      </w:r>
      <w:r>
        <w:rPr>
          <w:rFonts w:hint="eastAsia" w:ascii="Calibri" w:hAnsi="Calibri" w:eastAsia="宋体" w:cs="Times New Roman"/>
          <w:color w:val="auto"/>
          <w:kern w:val="0"/>
          <w:sz w:val="21"/>
          <w:szCs w:val="21"/>
          <w:highlight w:val="none"/>
          <w:lang w:eastAsia="zh-Hans"/>
        </w:rPr>
        <w:t>消防亮化广告牌运维服务</w:t>
      </w:r>
      <w:r>
        <w:rPr>
          <w:rFonts w:hint="eastAsia" w:ascii="宋体" w:hAnsi="宋体" w:eastAsia="宋体"/>
          <w:color w:val="auto"/>
          <w:sz w:val="21"/>
          <w:szCs w:val="21"/>
        </w:rPr>
        <w:t>。</w:t>
      </w:r>
    </w:p>
    <w:p w14:paraId="56CFC46D">
      <w:pPr>
        <w:numPr>
          <w:ilvl w:val="0"/>
          <w:numId w:val="8"/>
        </w:numPr>
        <w:tabs>
          <w:tab w:val="left" w:pos="567"/>
        </w:tabs>
        <w:spacing w:before="100" w:beforeAutospacing="1"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采购标的</w:t>
      </w:r>
    </w:p>
    <w:p w14:paraId="7EF97B1D">
      <w:pPr>
        <w:pStyle w:val="33"/>
        <w:numPr>
          <w:ilvl w:val="0"/>
          <w:numId w:val="9"/>
        </w:numPr>
        <w:snapToGrid w:val="0"/>
        <w:spacing w:line="360" w:lineRule="auto"/>
        <w:ind w:firstLineChars="0"/>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采购标的</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3860"/>
        <w:gridCol w:w="1061"/>
        <w:gridCol w:w="1038"/>
        <w:gridCol w:w="1941"/>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92" w:type="pct"/>
            <w:vAlign w:val="center"/>
          </w:tcPr>
          <w:p w14:paraId="43F50A7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序号</w:t>
            </w:r>
          </w:p>
        </w:tc>
        <w:tc>
          <w:tcPr>
            <w:tcW w:w="2202" w:type="pct"/>
            <w:vAlign w:val="center"/>
          </w:tcPr>
          <w:p w14:paraId="2A9F9AA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标的名称</w:t>
            </w:r>
          </w:p>
        </w:tc>
        <w:tc>
          <w:tcPr>
            <w:tcW w:w="605" w:type="pct"/>
            <w:vAlign w:val="center"/>
          </w:tcPr>
          <w:p w14:paraId="47FCB23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数量</w:t>
            </w:r>
          </w:p>
        </w:tc>
        <w:tc>
          <w:tcPr>
            <w:tcW w:w="592" w:type="pct"/>
            <w:vAlign w:val="center"/>
          </w:tcPr>
          <w:p w14:paraId="444DAE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单位</w:t>
            </w:r>
          </w:p>
        </w:tc>
        <w:tc>
          <w:tcPr>
            <w:tcW w:w="1107" w:type="pct"/>
            <w:vAlign w:val="center"/>
          </w:tcPr>
          <w:p w14:paraId="7331881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采购标的所属行业</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92" w:type="pct"/>
            <w:vAlign w:val="center"/>
          </w:tcPr>
          <w:p w14:paraId="36E3E0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1</w:t>
            </w:r>
          </w:p>
        </w:tc>
        <w:tc>
          <w:tcPr>
            <w:tcW w:w="2202" w:type="pct"/>
            <w:vAlign w:val="center"/>
          </w:tcPr>
          <w:p w14:paraId="5F368A8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eastAsia="zh-CN"/>
              </w:rPr>
              <w:t>消防亮化广告牌宣传运维服务</w:t>
            </w:r>
          </w:p>
        </w:tc>
        <w:tc>
          <w:tcPr>
            <w:tcW w:w="605" w:type="pct"/>
            <w:vAlign w:val="center"/>
          </w:tcPr>
          <w:p w14:paraId="4A6E1E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w:t>
            </w:r>
          </w:p>
        </w:tc>
        <w:tc>
          <w:tcPr>
            <w:tcW w:w="592" w:type="pct"/>
            <w:vAlign w:val="center"/>
          </w:tcPr>
          <w:p w14:paraId="7D8BBE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项</w:t>
            </w:r>
          </w:p>
        </w:tc>
        <w:tc>
          <w:tcPr>
            <w:tcW w:w="1107" w:type="pct"/>
            <w:vAlign w:val="center"/>
          </w:tcPr>
          <w:p w14:paraId="7514CC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其他未列明行业</w:t>
            </w:r>
          </w:p>
        </w:tc>
      </w:tr>
    </w:tbl>
    <w:p w14:paraId="571BB56A">
      <w:pPr>
        <w:pStyle w:val="33"/>
        <w:numPr>
          <w:ilvl w:val="0"/>
          <w:numId w:val="0"/>
        </w:numPr>
        <w:tabs>
          <w:tab w:val="left" w:pos="7140"/>
        </w:tabs>
        <w:snapToGrid w:val="0"/>
        <w:spacing w:line="360" w:lineRule="auto"/>
        <w:ind w:firstLineChars="0"/>
        <w:contextualSpacing/>
        <w:rPr>
          <w:rFonts w:hint="eastAsia" w:ascii="宋体" w:hAnsi="宋体" w:eastAsia="宋体" w:cs="宋体"/>
          <w:b/>
          <w:bCs/>
          <w:color w:val="auto"/>
          <w:kern w:val="2"/>
          <w:sz w:val="21"/>
          <w:szCs w:val="21"/>
          <w:highlight w:val="none"/>
          <w:lang w:val="en-US" w:eastAsia="zh-CN" w:bidi="ar-SA"/>
        </w:rPr>
      </w:pPr>
    </w:p>
    <w:p w14:paraId="5221DE76">
      <w:pPr>
        <w:pStyle w:val="33"/>
        <w:numPr>
          <w:ilvl w:val="0"/>
          <w:numId w:val="0"/>
        </w:numPr>
        <w:tabs>
          <w:tab w:val="left" w:pos="7140"/>
        </w:tabs>
        <w:snapToGrid w:val="0"/>
        <w:spacing w:line="360" w:lineRule="auto"/>
        <w:ind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kern w:val="2"/>
          <w:sz w:val="21"/>
          <w:szCs w:val="21"/>
          <w:highlight w:val="none"/>
          <w:lang w:val="en-US" w:eastAsia="zh-CN" w:bidi="ar-SA"/>
        </w:rPr>
        <w:t>三、</w:t>
      </w:r>
      <w:r>
        <w:rPr>
          <w:rFonts w:hint="eastAsia" w:ascii="宋体" w:hAnsi="宋体" w:eastAsia="宋体" w:cs="宋体"/>
          <w:b/>
          <w:bCs/>
          <w:color w:val="auto"/>
          <w:sz w:val="21"/>
          <w:szCs w:val="21"/>
          <w:highlight w:val="none"/>
        </w:rPr>
        <w:t>商务要求</w:t>
      </w:r>
    </w:p>
    <w:p w14:paraId="034D862C">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服务期</w:t>
      </w:r>
    </w:p>
    <w:p w14:paraId="78602975">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highlight w:val="none"/>
        </w:rPr>
      </w:pPr>
      <w:r>
        <w:rPr>
          <w:rFonts w:hint="eastAsia" w:asciiTheme="minorHAnsi" w:eastAsiaTheme="minorEastAsia"/>
          <w:color w:val="auto"/>
          <w:lang w:val="en-US" w:eastAsia="zh-CN"/>
        </w:rPr>
        <w:t>签订合同后开始计算</w:t>
      </w:r>
      <w:r>
        <w:rPr>
          <w:rFonts w:hint="eastAsia" w:asciiTheme="minorEastAsia" w:hAnsiTheme="minorEastAsia"/>
          <w:color w:val="auto"/>
          <w:szCs w:val="21"/>
          <w:highlight w:val="none"/>
          <w:lang w:val="en-US" w:eastAsia="zh-CN"/>
        </w:rPr>
        <w:t>服务期，服务期内进行</w:t>
      </w:r>
      <w:r>
        <w:rPr>
          <w:rFonts w:hint="eastAsia" w:ascii="宋体" w:hAnsi="宋体" w:eastAsia="宋体" w:cs="宋体"/>
          <w:iCs/>
          <w:color w:val="auto"/>
          <w:sz w:val="21"/>
          <w:szCs w:val="21"/>
          <w:highlight w:val="none"/>
        </w:rPr>
        <w:t>日常巡检、修理、运维</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lang w:eastAsia="zh-CN"/>
        </w:rPr>
        <w:t>服务期为</w:t>
      </w:r>
      <w:r>
        <w:rPr>
          <w:rFonts w:hint="eastAsia" w:asciiTheme="minorEastAsia" w:hAnsiTheme="minorEastAsia"/>
          <w:color w:val="auto"/>
          <w:szCs w:val="21"/>
          <w:highlight w:val="none"/>
          <w:lang w:val="en-US" w:eastAsia="zh-CN"/>
        </w:rPr>
        <w:t>12个月。</w:t>
      </w:r>
    </w:p>
    <w:p w14:paraId="1C23707B">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服务</w:t>
      </w:r>
      <w:r>
        <w:rPr>
          <w:rFonts w:hint="eastAsia" w:ascii="宋体" w:hAnsi="宋体" w:eastAsia="宋体" w:cs="宋体"/>
          <w:iCs/>
          <w:color w:val="auto"/>
          <w:sz w:val="21"/>
          <w:szCs w:val="21"/>
          <w:highlight w:val="none"/>
        </w:rPr>
        <w:t>地点</w:t>
      </w:r>
    </w:p>
    <w:tbl>
      <w:tblPr>
        <w:tblStyle w:val="22"/>
        <w:tblW w:w="5000" w:type="pct"/>
        <w:jc w:val="right"/>
        <w:tblLayout w:type="autofit"/>
        <w:tblCellMar>
          <w:top w:w="0" w:type="dxa"/>
          <w:left w:w="108" w:type="dxa"/>
          <w:bottom w:w="0" w:type="dxa"/>
          <w:right w:w="108" w:type="dxa"/>
        </w:tblCellMar>
      </w:tblPr>
      <w:tblGrid>
        <w:gridCol w:w="636"/>
        <w:gridCol w:w="2526"/>
        <w:gridCol w:w="1266"/>
        <w:gridCol w:w="1266"/>
        <w:gridCol w:w="3073"/>
      </w:tblGrid>
      <w:tr w14:paraId="3A944E8D">
        <w:tblPrEx>
          <w:tblCellMar>
            <w:top w:w="0" w:type="dxa"/>
            <w:left w:w="108" w:type="dxa"/>
            <w:bottom w:w="0" w:type="dxa"/>
            <w:right w:w="108" w:type="dxa"/>
          </w:tblCellMar>
        </w:tblPrEx>
        <w:trPr>
          <w:trHeight w:val="270" w:hRule="atLeast"/>
          <w:jc w:val="right"/>
        </w:trPr>
        <w:tc>
          <w:tcPr>
            <w:tcW w:w="362" w:type="pct"/>
            <w:tcBorders>
              <w:top w:val="single" w:color="auto" w:sz="4" w:space="0"/>
              <w:left w:val="single" w:color="auto" w:sz="4" w:space="0"/>
              <w:bottom w:val="single" w:color="auto" w:sz="4" w:space="0"/>
              <w:right w:val="single" w:color="auto" w:sz="4" w:space="0"/>
            </w:tcBorders>
            <w:noWrap/>
            <w:vAlign w:val="center"/>
          </w:tcPr>
          <w:p w14:paraId="2B8E44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序号</w:t>
            </w:r>
          </w:p>
        </w:tc>
        <w:tc>
          <w:tcPr>
            <w:tcW w:w="1440" w:type="pct"/>
            <w:tcBorders>
              <w:top w:val="single" w:color="auto" w:sz="4" w:space="0"/>
              <w:left w:val="nil"/>
              <w:bottom w:val="single" w:color="auto" w:sz="4" w:space="0"/>
              <w:right w:val="single" w:color="auto" w:sz="4" w:space="0"/>
            </w:tcBorders>
            <w:noWrap/>
            <w:vAlign w:val="center"/>
          </w:tcPr>
          <w:p w14:paraId="528260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规划点</w:t>
            </w:r>
          </w:p>
        </w:tc>
        <w:tc>
          <w:tcPr>
            <w:tcW w:w="722" w:type="pct"/>
            <w:tcBorders>
              <w:top w:val="single" w:color="auto" w:sz="4" w:space="0"/>
              <w:left w:val="nil"/>
              <w:bottom w:val="single" w:color="auto" w:sz="4" w:space="0"/>
              <w:right w:val="single" w:color="auto" w:sz="4" w:space="0"/>
            </w:tcBorders>
            <w:noWrap/>
            <w:vAlign w:val="center"/>
          </w:tcPr>
          <w:p w14:paraId="61E444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经度</w:t>
            </w:r>
          </w:p>
        </w:tc>
        <w:tc>
          <w:tcPr>
            <w:tcW w:w="722" w:type="pct"/>
            <w:tcBorders>
              <w:top w:val="single" w:color="auto" w:sz="4" w:space="0"/>
              <w:left w:val="nil"/>
              <w:bottom w:val="single" w:color="auto" w:sz="4" w:space="0"/>
              <w:right w:val="single" w:color="auto" w:sz="4" w:space="0"/>
            </w:tcBorders>
            <w:noWrap/>
            <w:vAlign w:val="center"/>
          </w:tcPr>
          <w:p w14:paraId="63C428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纬度</w:t>
            </w:r>
          </w:p>
        </w:tc>
        <w:tc>
          <w:tcPr>
            <w:tcW w:w="1752" w:type="pct"/>
            <w:tcBorders>
              <w:top w:val="single" w:color="auto" w:sz="4" w:space="0"/>
              <w:left w:val="nil"/>
              <w:bottom w:val="single" w:color="auto" w:sz="4" w:space="0"/>
              <w:right w:val="single" w:color="auto" w:sz="4" w:space="0"/>
            </w:tcBorders>
            <w:noWrap/>
            <w:vAlign w:val="center"/>
          </w:tcPr>
          <w:p w14:paraId="27C59B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地址信息</w:t>
            </w:r>
          </w:p>
        </w:tc>
      </w:tr>
      <w:tr w14:paraId="45053798">
        <w:tblPrEx>
          <w:tblCellMar>
            <w:top w:w="0" w:type="dxa"/>
            <w:left w:w="108" w:type="dxa"/>
            <w:bottom w:w="0" w:type="dxa"/>
            <w:right w:w="108" w:type="dxa"/>
          </w:tblCellMar>
        </w:tblPrEx>
        <w:trPr>
          <w:trHeight w:val="270" w:hRule="atLeast"/>
          <w:jc w:val="right"/>
        </w:trPr>
        <w:tc>
          <w:tcPr>
            <w:tcW w:w="362" w:type="pct"/>
            <w:tcBorders>
              <w:top w:val="nil"/>
              <w:left w:val="single" w:color="auto" w:sz="4" w:space="0"/>
              <w:bottom w:val="single" w:color="auto" w:sz="4" w:space="0"/>
              <w:right w:val="single" w:color="auto" w:sz="4" w:space="0"/>
            </w:tcBorders>
            <w:noWrap/>
            <w:vAlign w:val="center"/>
          </w:tcPr>
          <w:p w14:paraId="31FC3C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w:t>
            </w:r>
          </w:p>
        </w:tc>
        <w:tc>
          <w:tcPr>
            <w:tcW w:w="1440" w:type="pct"/>
            <w:tcBorders>
              <w:top w:val="nil"/>
              <w:left w:val="nil"/>
              <w:bottom w:val="single" w:color="auto" w:sz="4" w:space="0"/>
              <w:right w:val="single" w:color="auto" w:sz="4" w:space="0"/>
            </w:tcBorders>
            <w:noWrap/>
            <w:vAlign w:val="center"/>
          </w:tcPr>
          <w:p w14:paraId="58EB59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寮步东部快速干线绿化带</w:t>
            </w:r>
          </w:p>
        </w:tc>
        <w:tc>
          <w:tcPr>
            <w:tcW w:w="722" w:type="pct"/>
            <w:tcBorders>
              <w:top w:val="nil"/>
              <w:left w:val="nil"/>
              <w:bottom w:val="single" w:color="auto" w:sz="4" w:space="0"/>
              <w:right w:val="single" w:color="auto" w:sz="4" w:space="0"/>
            </w:tcBorders>
            <w:noWrap/>
            <w:vAlign w:val="center"/>
          </w:tcPr>
          <w:p w14:paraId="2CE1BE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113.891403</w:t>
            </w:r>
          </w:p>
        </w:tc>
        <w:tc>
          <w:tcPr>
            <w:tcW w:w="722" w:type="pct"/>
            <w:tcBorders>
              <w:top w:val="nil"/>
              <w:left w:val="nil"/>
              <w:bottom w:val="single" w:color="auto" w:sz="4" w:space="0"/>
              <w:right w:val="single" w:color="auto" w:sz="4" w:space="0"/>
            </w:tcBorders>
            <w:noWrap/>
            <w:vAlign w:val="center"/>
          </w:tcPr>
          <w:p w14:paraId="4E1819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23.0309696</w:t>
            </w:r>
          </w:p>
        </w:tc>
        <w:tc>
          <w:tcPr>
            <w:tcW w:w="1752" w:type="pct"/>
            <w:tcBorders>
              <w:top w:val="nil"/>
              <w:left w:val="nil"/>
              <w:bottom w:val="single" w:color="auto" w:sz="4" w:space="0"/>
              <w:right w:val="single" w:color="auto" w:sz="4" w:space="0"/>
            </w:tcBorders>
            <w:noWrap w:val="0"/>
            <w:vAlign w:val="center"/>
          </w:tcPr>
          <w:p w14:paraId="7F8D82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东莞市寮步镇东部快速干线旁绿化带</w:t>
            </w:r>
          </w:p>
        </w:tc>
      </w:tr>
      <w:tr w14:paraId="31DDBBAB">
        <w:tblPrEx>
          <w:tblCellMar>
            <w:top w:w="0" w:type="dxa"/>
            <w:left w:w="108" w:type="dxa"/>
            <w:bottom w:w="0" w:type="dxa"/>
            <w:right w:w="108" w:type="dxa"/>
          </w:tblCellMar>
        </w:tblPrEx>
        <w:trPr>
          <w:trHeight w:val="540" w:hRule="atLeast"/>
          <w:jc w:val="right"/>
        </w:trPr>
        <w:tc>
          <w:tcPr>
            <w:tcW w:w="362" w:type="pct"/>
            <w:tcBorders>
              <w:top w:val="nil"/>
              <w:left w:val="single" w:color="auto" w:sz="4" w:space="0"/>
              <w:bottom w:val="single" w:color="auto" w:sz="4" w:space="0"/>
              <w:right w:val="single" w:color="auto" w:sz="4" w:space="0"/>
            </w:tcBorders>
            <w:noWrap/>
            <w:vAlign w:val="center"/>
          </w:tcPr>
          <w:p w14:paraId="32743B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w:t>
            </w:r>
          </w:p>
        </w:tc>
        <w:tc>
          <w:tcPr>
            <w:tcW w:w="1440" w:type="pct"/>
            <w:tcBorders>
              <w:top w:val="nil"/>
              <w:left w:val="nil"/>
              <w:bottom w:val="single" w:color="auto" w:sz="4" w:space="0"/>
              <w:right w:val="single" w:color="auto" w:sz="4" w:space="0"/>
            </w:tcBorders>
            <w:noWrap/>
            <w:vAlign w:val="center"/>
          </w:tcPr>
          <w:p w14:paraId="383DEC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东城泰升工业路</w:t>
            </w:r>
          </w:p>
        </w:tc>
        <w:tc>
          <w:tcPr>
            <w:tcW w:w="722" w:type="pct"/>
            <w:tcBorders>
              <w:top w:val="nil"/>
              <w:left w:val="nil"/>
              <w:bottom w:val="single" w:color="auto" w:sz="4" w:space="0"/>
              <w:right w:val="single" w:color="auto" w:sz="4" w:space="0"/>
            </w:tcBorders>
            <w:noWrap/>
            <w:vAlign w:val="center"/>
          </w:tcPr>
          <w:p w14:paraId="2C2423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113.793881</w:t>
            </w:r>
          </w:p>
        </w:tc>
        <w:tc>
          <w:tcPr>
            <w:tcW w:w="722" w:type="pct"/>
            <w:tcBorders>
              <w:top w:val="nil"/>
              <w:left w:val="nil"/>
              <w:bottom w:val="single" w:color="auto" w:sz="4" w:space="0"/>
              <w:right w:val="single" w:color="auto" w:sz="4" w:space="0"/>
            </w:tcBorders>
            <w:noWrap/>
            <w:vAlign w:val="center"/>
          </w:tcPr>
          <w:p w14:paraId="229644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23.082841</w:t>
            </w:r>
          </w:p>
        </w:tc>
        <w:tc>
          <w:tcPr>
            <w:tcW w:w="1752" w:type="pct"/>
            <w:tcBorders>
              <w:top w:val="nil"/>
              <w:left w:val="nil"/>
              <w:bottom w:val="single" w:color="auto" w:sz="4" w:space="0"/>
              <w:right w:val="single" w:color="auto" w:sz="4" w:space="0"/>
            </w:tcBorders>
            <w:noWrap w:val="0"/>
            <w:vAlign w:val="center"/>
          </w:tcPr>
          <w:p w14:paraId="1BAC34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东莞市东城区珠三角环线高速与运河路交界处</w:t>
            </w:r>
          </w:p>
        </w:tc>
      </w:tr>
      <w:tr w14:paraId="624AD455">
        <w:tblPrEx>
          <w:tblCellMar>
            <w:top w:w="0" w:type="dxa"/>
            <w:left w:w="108" w:type="dxa"/>
            <w:bottom w:w="0" w:type="dxa"/>
            <w:right w:w="108" w:type="dxa"/>
          </w:tblCellMar>
        </w:tblPrEx>
        <w:trPr>
          <w:trHeight w:val="551"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016759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3</w:t>
            </w:r>
          </w:p>
        </w:tc>
        <w:tc>
          <w:tcPr>
            <w:tcW w:w="1440" w:type="pct"/>
            <w:tcBorders>
              <w:top w:val="nil"/>
              <w:left w:val="nil"/>
              <w:bottom w:val="single" w:color="auto" w:sz="4" w:space="0"/>
              <w:right w:val="single" w:color="auto" w:sz="4" w:space="0"/>
            </w:tcBorders>
            <w:shd w:val="clear" w:color="000000" w:fill="FFFFFF"/>
            <w:noWrap/>
            <w:vAlign w:val="center"/>
          </w:tcPr>
          <w:p w14:paraId="28F5F1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环城路东安花园路段</w:t>
            </w:r>
          </w:p>
        </w:tc>
        <w:tc>
          <w:tcPr>
            <w:tcW w:w="722" w:type="pct"/>
            <w:tcBorders>
              <w:top w:val="nil"/>
              <w:left w:val="nil"/>
              <w:bottom w:val="single" w:color="auto" w:sz="4" w:space="0"/>
              <w:right w:val="single" w:color="auto" w:sz="4" w:space="0"/>
            </w:tcBorders>
            <w:noWrap/>
            <w:vAlign w:val="center"/>
          </w:tcPr>
          <w:p w14:paraId="05B767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113.807299</w:t>
            </w:r>
          </w:p>
        </w:tc>
        <w:tc>
          <w:tcPr>
            <w:tcW w:w="722" w:type="pct"/>
            <w:tcBorders>
              <w:top w:val="nil"/>
              <w:left w:val="nil"/>
              <w:bottom w:val="single" w:color="auto" w:sz="4" w:space="0"/>
              <w:right w:val="single" w:color="auto" w:sz="4" w:space="0"/>
            </w:tcBorders>
            <w:noWrap/>
            <w:vAlign w:val="center"/>
          </w:tcPr>
          <w:p w14:paraId="171C9A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23.023694</w:t>
            </w:r>
          </w:p>
        </w:tc>
        <w:tc>
          <w:tcPr>
            <w:tcW w:w="1752" w:type="pct"/>
            <w:tcBorders>
              <w:top w:val="nil"/>
              <w:left w:val="nil"/>
              <w:bottom w:val="single" w:color="auto" w:sz="4" w:space="0"/>
              <w:right w:val="single" w:color="auto" w:sz="4" w:space="0"/>
            </w:tcBorders>
            <w:noWrap w:val="0"/>
            <w:vAlign w:val="center"/>
          </w:tcPr>
          <w:p w14:paraId="6205AC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东莞市寮步镇环城东路辅路旁</w:t>
            </w:r>
          </w:p>
        </w:tc>
      </w:tr>
      <w:tr w14:paraId="177899BF">
        <w:tblPrEx>
          <w:tblCellMar>
            <w:top w:w="0" w:type="dxa"/>
            <w:left w:w="108" w:type="dxa"/>
            <w:bottom w:w="0" w:type="dxa"/>
            <w:right w:w="108" w:type="dxa"/>
          </w:tblCellMar>
        </w:tblPrEx>
        <w:trPr>
          <w:trHeight w:val="540"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5C8EC6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4</w:t>
            </w:r>
          </w:p>
        </w:tc>
        <w:tc>
          <w:tcPr>
            <w:tcW w:w="1440" w:type="pct"/>
            <w:tcBorders>
              <w:top w:val="nil"/>
              <w:left w:val="nil"/>
              <w:bottom w:val="single" w:color="auto" w:sz="4" w:space="0"/>
              <w:right w:val="single" w:color="auto" w:sz="4" w:space="0"/>
            </w:tcBorders>
            <w:shd w:val="clear" w:color="000000" w:fill="FFFFFF"/>
            <w:noWrap/>
            <w:vAlign w:val="center"/>
          </w:tcPr>
          <w:p w14:paraId="44CB75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万江环城西路停车场</w:t>
            </w:r>
          </w:p>
        </w:tc>
        <w:tc>
          <w:tcPr>
            <w:tcW w:w="722" w:type="pct"/>
            <w:tcBorders>
              <w:top w:val="nil"/>
              <w:left w:val="nil"/>
              <w:bottom w:val="single" w:color="auto" w:sz="4" w:space="0"/>
              <w:right w:val="single" w:color="auto" w:sz="4" w:space="0"/>
            </w:tcBorders>
            <w:noWrap/>
            <w:vAlign w:val="center"/>
          </w:tcPr>
          <w:p w14:paraId="39E308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113.699992</w:t>
            </w:r>
          </w:p>
        </w:tc>
        <w:tc>
          <w:tcPr>
            <w:tcW w:w="722" w:type="pct"/>
            <w:tcBorders>
              <w:top w:val="nil"/>
              <w:left w:val="nil"/>
              <w:bottom w:val="single" w:color="auto" w:sz="4" w:space="0"/>
              <w:right w:val="single" w:color="auto" w:sz="4" w:space="0"/>
            </w:tcBorders>
            <w:noWrap/>
            <w:vAlign w:val="center"/>
          </w:tcPr>
          <w:p w14:paraId="126CE8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23.022617</w:t>
            </w:r>
          </w:p>
        </w:tc>
        <w:tc>
          <w:tcPr>
            <w:tcW w:w="1752" w:type="pct"/>
            <w:tcBorders>
              <w:top w:val="nil"/>
              <w:left w:val="nil"/>
              <w:bottom w:val="single" w:color="auto" w:sz="4" w:space="0"/>
              <w:right w:val="single" w:color="auto" w:sz="4" w:space="0"/>
            </w:tcBorders>
            <w:noWrap w:val="0"/>
            <w:vAlign w:val="center"/>
          </w:tcPr>
          <w:p w14:paraId="2C5D7D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东莞市万江区翰林实验学校旁环城西路停车场内</w:t>
            </w:r>
          </w:p>
        </w:tc>
      </w:tr>
      <w:tr w14:paraId="13E43EE2">
        <w:tblPrEx>
          <w:tblCellMar>
            <w:top w:w="0" w:type="dxa"/>
            <w:left w:w="108" w:type="dxa"/>
            <w:bottom w:w="0" w:type="dxa"/>
            <w:right w:w="108" w:type="dxa"/>
          </w:tblCellMar>
        </w:tblPrEx>
        <w:trPr>
          <w:trHeight w:val="451"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0337E7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5</w:t>
            </w:r>
          </w:p>
        </w:tc>
        <w:tc>
          <w:tcPr>
            <w:tcW w:w="1440" w:type="pct"/>
            <w:tcBorders>
              <w:top w:val="nil"/>
              <w:left w:val="nil"/>
              <w:bottom w:val="single" w:color="auto" w:sz="4" w:space="0"/>
              <w:right w:val="single" w:color="auto" w:sz="4" w:space="0"/>
            </w:tcBorders>
            <w:shd w:val="clear" w:color="000000" w:fill="FFFFFF"/>
            <w:noWrap/>
            <w:vAlign w:val="center"/>
          </w:tcPr>
          <w:p w14:paraId="71B1AE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东莞大道中心公园路段</w:t>
            </w:r>
          </w:p>
        </w:tc>
        <w:tc>
          <w:tcPr>
            <w:tcW w:w="722" w:type="pct"/>
            <w:tcBorders>
              <w:top w:val="nil"/>
              <w:left w:val="nil"/>
              <w:bottom w:val="single" w:color="auto" w:sz="4" w:space="0"/>
              <w:right w:val="single" w:color="auto" w:sz="4" w:space="0"/>
            </w:tcBorders>
            <w:noWrap/>
            <w:vAlign w:val="center"/>
          </w:tcPr>
          <w:p w14:paraId="265DA1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113.735111</w:t>
            </w:r>
          </w:p>
        </w:tc>
        <w:tc>
          <w:tcPr>
            <w:tcW w:w="722" w:type="pct"/>
            <w:tcBorders>
              <w:top w:val="nil"/>
              <w:left w:val="nil"/>
              <w:bottom w:val="single" w:color="auto" w:sz="4" w:space="0"/>
              <w:right w:val="single" w:color="auto" w:sz="4" w:space="0"/>
            </w:tcBorders>
            <w:noWrap/>
            <w:vAlign w:val="center"/>
          </w:tcPr>
          <w:p w14:paraId="015657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22.991811</w:t>
            </w:r>
          </w:p>
        </w:tc>
        <w:tc>
          <w:tcPr>
            <w:tcW w:w="1752" w:type="pct"/>
            <w:tcBorders>
              <w:top w:val="nil"/>
              <w:left w:val="nil"/>
              <w:bottom w:val="single" w:color="auto" w:sz="4" w:space="0"/>
              <w:right w:val="single" w:color="auto" w:sz="4" w:space="0"/>
            </w:tcBorders>
            <w:noWrap w:val="0"/>
            <w:vAlign w:val="center"/>
          </w:tcPr>
          <w:p w14:paraId="58E0F7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东莞市南城区东莞大道中心公园路段</w:t>
            </w:r>
          </w:p>
        </w:tc>
      </w:tr>
    </w:tbl>
    <w:p w14:paraId="43A5538A">
      <w:pPr>
        <w:pStyle w:val="33"/>
        <w:numPr>
          <w:ilvl w:val="0"/>
          <w:numId w:val="0"/>
        </w:numPr>
        <w:snapToGrid w:val="0"/>
        <w:spacing w:line="360" w:lineRule="auto"/>
        <w:ind w:leftChars="0"/>
        <w:contextualSpacing/>
        <w:rPr>
          <w:rFonts w:hint="eastAsia" w:ascii="宋体" w:hAnsi="宋体" w:eastAsia="宋体" w:cs="宋体"/>
          <w:iCs/>
          <w:color w:val="auto"/>
          <w:sz w:val="21"/>
          <w:szCs w:val="21"/>
          <w:highlight w:val="none"/>
        </w:rPr>
      </w:pPr>
      <w:r>
        <w:rPr>
          <w:rFonts w:hint="default" w:ascii="Times New Roman" w:hAnsi="Times New Roman" w:eastAsia="宋体" w:cs="Times New Roman"/>
          <w:color w:val="auto"/>
          <w:kern w:val="2"/>
          <w:sz w:val="21"/>
          <w:szCs w:val="24"/>
          <w:lang w:eastAsia="zh-CN" w:bidi="ar"/>
        </w:rPr>
        <w:drawing>
          <wp:inline distT="0" distB="0" distL="114300" distR="114300">
            <wp:extent cx="5486400" cy="297180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5486400" cy="2971800"/>
                    </a:xfrm>
                    <a:prstGeom prst="rect">
                      <a:avLst/>
                    </a:prstGeom>
                    <a:noFill/>
                    <a:ln>
                      <a:noFill/>
                    </a:ln>
                  </pic:spPr>
                </pic:pic>
              </a:graphicData>
            </a:graphic>
          </wp:inline>
        </w:drawing>
      </w:r>
    </w:p>
    <w:p w14:paraId="169EE5A5">
      <w:pPr>
        <w:pStyle w:val="33"/>
        <w:numPr>
          <w:ilvl w:val="0"/>
          <w:numId w:val="10"/>
        </w:numPr>
        <w:snapToGrid w:val="0"/>
        <w:spacing w:line="360" w:lineRule="auto"/>
        <w:ind w:firstLineChars="0"/>
        <w:contextualSpacing/>
        <w:rPr>
          <w:rFonts w:hint="eastAsia" w:ascii="宋体" w:hAnsi="宋体" w:eastAsia="宋体" w:cs="宋体"/>
          <w:b/>
          <w:bCs/>
          <w:iCs/>
          <w:color w:val="auto"/>
          <w:sz w:val="21"/>
          <w:szCs w:val="21"/>
          <w:highlight w:val="none"/>
        </w:rPr>
      </w:pPr>
      <w:r>
        <w:rPr>
          <w:rFonts w:hint="eastAsia" w:ascii="宋体" w:hAnsi="宋体" w:eastAsia="宋体" w:cs="宋体"/>
          <w:b/>
          <w:bCs/>
          <w:iCs/>
          <w:color w:val="auto"/>
          <w:sz w:val="21"/>
          <w:szCs w:val="21"/>
          <w:highlight w:val="none"/>
        </w:rPr>
        <w:t>付款方式</w:t>
      </w:r>
    </w:p>
    <w:p w14:paraId="3F8C80BD">
      <w:pPr>
        <w:keepNext w:val="0"/>
        <w:keepLines w:val="0"/>
        <w:pageBreakBefore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lang w:val="en-US" w:eastAsia="zh-Hans"/>
        </w:rPr>
      </w:pPr>
      <w:r>
        <w:rPr>
          <w:rFonts w:hint="eastAsia" w:ascii="宋体" w:hAnsi="宋体" w:eastAsia="宋体" w:cs="宋体"/>
          <w:color w:val="auto"/>
          <w:sz w:val="21"/>
          <w:szCs w:val="21"/>
          <w:lang w:val="en-US" w:eastAsia="zh-Hans"/>
        </w:rPr>
        <w:t>成交供应商服务每满3个月为一个服务周期，共4期，每期的服务费为合同金额的25%；</w:t>
      </w:r>
    </w:p>
    <w:p w14:paraId="52F9C5C2">
      <w:pPr>
        <w:keepNext w:val="0"/>
        <w:keepLines w:val="0"/>
        <w:pageBreakBefore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lang w:val="en-US" w:eastAsia="zh-Hans"/>
        </w:rPr>
      </w:pPr>
      <w:r>
        <w:rPr>
          <w:rFonts w:hint="eastAsia" w:ascii="宋体" w:hAnsi="宋体" w:eastAsia="宋体" w:cs="宋体"/>
          <w:color w:val="auto"/>
          <w:lang w:val="en-US" w:eastAsia="zh-Hans"/>
        </w:rPr>
        <w:t>前3期按每一服务周期起始月进行请款支付，成交供应商向采购人提供请款资料及有效发票，经采购人确认无误后于10个工作日内向成交供应商支付当期的服务费；</w:t>
      </w:r>
    </w:p>
    <w:p w14:paraId="1F60ADB7">
      <w:pPr>
        <w:keepNext w:val="0"/>
        <w:keepLines w:val="0"/>
        <w:pageBreakBefore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color w:val="auto"/>
          <w:lang w:val="en-US" w:eastAsia="zh-Hans"/>
        </w:rPr>
      </w:pPr>
      <w:r>
        <w:rPr>
          <w:rFonts w:hint="eastAsia" w:ascii="宋体" w:hAnsi="宋体" w:eastAsia="宋体" w:cs="宋体"/>
          <w:color w:val="auto"/>
          <w:lang w:val="en-US" w:eastAsia="zh-Hans"/>
        </w:rPr>
        <w:t>最后1期服务履约完成并经采购人验收后，成交供应商向采购人提供请款资料及有效发票，经采购人确认无误后于15个</w:t>
      </w:r>
      <w:r>
        <w:rPr>
          <w:rFonts w:hint="eastAsia" w:ascii="宋体" w:hAnsi="宋体" w:eastAsia="宋体" w:cs="宋体"/>
          <w:color w:val="auto"/>
          <w:lang w:val="en-US" w:eastAsia="zh-CN"/>
        </w:rPr>
        <w:t>工作</w:t>
      </w:r>
      <w:r>
        <w:rPr>
          <w:rFonts w:hint="eastAsia" w:ascii="宋体" w:hAnsi="宋体" w:eastAsia="宋体" w:cs="宋体"/>
          <w:color w:val="auto"/>
          <w:lang w:val="en-US" w:eastAsia="zh-Hans"/>
        </w:rPr>
        <w:t>日内向成交供应商支付剩余服务费</w:t>
      </w:r>
      <w:r>
        <w:rPr>
          <w:rFonts w:hint="eastAsia"/>
          <w:color w:val="auto"/>
          <w:lang w:val="en-US" w:eastAsia="zh-Hans"/>
        </w:rPr>
        <w:t>。</w:t>
      </w:r>
    </w:p>
    <w:p w14:paraId="1D3C998A">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报价说明</w:t>
      </w:r>
    </w:p>
    <w:p w14:paraId="327CFCE4">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报价应包含完成本次项目所有服务内容的费用，包括但不限于宣传标语挂载展示的杆塔及用电资源，以及广告宣传字体</w:t>
      </w:r>
      <w:r>
        <w:rPr>
          <w:rFonts w:hint="eastAsia" w:ascii="宋体" w:hAnsi="宋体" w:eastAsia="宋体" w:cs="宋体"/>
          <w:iCs/>
          <w:color w:val="auto"/>
          <w:sz w:val="21"/>
          <w:szCs w:val="21"/>
          <w:highlight w:val="none"/>
          <w:lang w:val="en-US" w:eastAsia="zh-CN"/>
        </w:rPr>
        <w:t>的</w:t>
      </w:r>
      <w:r>
        <w:rPr>
          <w:rFonts w:hint="eastAsia" w:ascii="宋体" w:hAnsi="宋体" w:eastAsia="宋体" w:cs="宋体"/>
          <w:iCs/>
          <w:color w:val="auto"/>
          <w:sz w:val="21"/>
          <w:szCs w:val="21"/>
          <w:highlight w:val="none"/>
        </w:rPr>
        <w:t>日常巡检、修理、运维、电费等各项服务、全额含税发票及合同实施过程中的应预见和不可预见费用等，以及完成合同规定责任和义务、达到合同目的的一切费用。</w:t>
      </w:r>
    </w:p>
    <w:p w14:paraId="66FF73CF">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验收要求</w:t>
      </w:r>
    </w:p>
    <w:p w14:paraId="66745286">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成交供应商</w:t>
      </w:r>
      <w:r>
        <w:rPr>
          <w:rFonts w:hint="eastAsia" w:ascii="宋体" w:hAnsi="宋体" w:eastAsia="宋体" w:cs="宋体"/>
          <w:iCs/>
          <w:color w:val="auto"/>
          <w:sz w:val="21"/>
          <w:szCs w:val="21"/>
          <w:highlight w:val="none"/>
        </w:rPr>
        <w:t>须</w:t>
      </w:r>
      <w:r>
        <w:rPr>
          <w:rFonts w:hint="eastAsia" w:ascii="宋体" w:hAnsi="宋体" w:eastAsia="宋体" w:cs="宋体"/>
          <w:iCs/>
          <w:color w:val="auto"/>
          <w:sz w:val="21"/>
          <w:szCs w:val="21"/>
          <w:highlight w:val="none"/>
          <w:lang w:val="en-US" w:eastAsia="zh-CN"/>
        </w:rPr>
        <w:t>在每个</w:t>
      </w:r>
      <w:r>
        <w:rPr>
          <w:rFonts w:hint="eastAsia" w:ascii="宋体" w:hAnsi="宋体" w:eastAsia="宋体" w:cs="宋体"/>
          <w:color w:val="auto"/>
          <w:sz w:val="21"/>
          <w:szCs w:val="21"/>
          <w:lang w:val="en-US" w:eastAsia="zh-Hans"/>
        </w:rPr>
        <w:t>服务周期</w:t>
      </w:r>
      <w:r>
        <w:rPr>
          <w:rFonts w:hint="eastAsia" w:ascii="宋体" w:hAnsi="宋体" w:eastAsia="宋体" w:cs="宋体"/>
          <w:color w:val="auto"/>
          <w:sz w:val="21"/>
          <w:szCs w:val="21"/>
          <w:lang w:val="en-US" w:eastAsia="zh-CN"/>
        </w:rPr>
        <w:t>结束后7个工作日内提供验收报告</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rPr>
        <w:t>包含</w:t>
      </w:r>
      <w:r>
        <w:rPr>
          <w:rFonts w:hint="eastAsia" w:ascii="宋体" w:hAnsi="宋体" w:eastAsia="宋体" w:cs="宋体"/>
          <w:iCs/>
          <w:color w:val="auto"/>
          <w:sz w:val="21"/>
          <w:szCs w:val="21"/>
          <w:highlight w:val="none"/>
          <w:lang w:val="en-US" w:eastAsia="zh-CN"/>
        </w:rPr>
        <w:t>日常巡检照片（含地点和时间水印）、巡检报告</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rPr>
        <w:t>，</w:t>
      </w:r>
      <w:r>
        <w:rPr>
          <w:rFonts w:hint="eastAsia" w:ascii="宋体" w:hAnsi="宋体" w:eastAsia="宋体" w:cs="宋体"/>
          <w:iCs/>
          <w:color w:val="auto"/>
          <w:sz w:val="21"/>
          <w:szCs w:val="21"/>
          <w:highlight w:val="none"/>
          <w:lang w:val="en-US" w:eastAsia="zh-CN"/>
        </w:rPr>
        <w:t>采购人收到成交供应商提供的</w:t>
      </w:r>
      <w:r>
        <w:rPr>
          <w:rFonts w:hint="eastAsia" w:ascii="宋体" w:hAnsi="宋体" w:eastAsia="宋体" w:cs="宋体"/>
          <w:color w:val="auto"/>
          <w:sz w:val="21"/>
          <w:szCs w:val="21"/>
          <w:lang w:val="en-US" w:eastAsia="zh-CN"/>
        </w:rPr>
        <w:t>验收报告</w:t>
      </w:r>
      <w:r>
        <w:rPr>
          <w:rFonts w:hint="eastAsia" w:ascii="宋体" w:hAnsi="宋体" w:eastAsia="宋体" w:cs="宋体"/>
          <w:iCs/>
          <w:color w:val="auto"/>
          <w:sz w:val="21"/>
          <w:szCs w:val="21"/>
          <w:highlight w:val="none"/>
          <w:lang w:val="en-US" w:eastAsia="zh-CN"/>
        </w:rPr>
        <w:t>后于7个工作日内</w:t>
      </w:r>
      <w:r>
        <w:rPr>
          <w:rFonts w:hint="eastAsia" w:ascii="宋体" w:hAnsi="宋体" w:eastAsia="宋体" w:cs="宋体"/>
          <w:iCs/>
          <w:color w:val="auto"/>
          <w:sz w:val="21"/>
          <w:szCs w:val="21"/>
          <w:highlight w:val="none"/>
        </w:rPr>
        <w:t>完成验收。</w:t>
      </w:r>
    </w:p>
    <w:p w14:paraId="7A012BA3">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验收应在采购人与</w:t>
      </w:r>
      <w:r>
        <w:rPr>
          <w:rFonts w:hint="eastAsia" w:ascii="宋体" w:hAnsi="宋体" w:eastAsia="宋体" w:cs="宋体"/>
          <w:iCs/>
          <w:color w:val="auto"/>
          <w:sz w:val="21"/>
          <w:szCs w:val="21"/>
          <w:highlight w:val="none"/>
          <w:lang w:val="en-US" w:eastAsia="zh-CN"/>
        </w:rPr>
        <w:t>成交供应商</w:t>
      </w:r>
      <w:r>
        <w:rPr>
          <w:rFonts w:hint="eastAsia" w:ascii="宋体" w:hAnsi="宋体" w:eastAsia="宋体" w:cs="宋体"/>
          <w:iCs/>
          <w:color w:val="auto"/>
          <w:sz w:val="21"/>
          <w:szCs w:val="21"/>
          <w:highlight w:val="none"/>
        </w:rPr>
        <w:t>双方共同参加下进行，依据</w:t>
      </w:r>
      <w:r>
        <w:rPr>
          <w:rFonts w:hint="eastAsia" w:ascii="宋体" w:hAnsi="宋体" w:eastAsia="宋体" w:cs="宋体"/>
          <w:iCs/>
          <w:color w:val="auto"/>
          <w:sz w:val="21"/>
          <w:szCs w:val="21"/>
          <w:highlight w:val="none"/>
          <w:lang w:val="en-US" w:eastAsia="zh-CN"/>
        </w:rPr>
        <w:t>遴选</w:t>
      </w:r>
      <w:r>
        <w:rPr>
          <w:rFonts w:hint="eastAsia" w:ascii="宋体" w:hAnsi="宋体" w:eastAsia="宋体" w:cs="宋体"/>
          <w:iCs/>
          <w:color w:val="auto"/>
          <w:sz w:val="21"/>
          <w:szCs w:val="21"/>
          <w:highlight w:val="none"/>
        </w:rPr>
        <w:t>文件及本合同的有关规定制定的方案进行验收，并按国家有关规定、规范进行。</w:t>
      </w:r>
    </w:p>
    <w:p w14:paraId="7D7D3EAD">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color w:val="auto"/>
        </w:rPr>
        <w:t>采购人组织项目验收小组按国家有关规定、规范进行验收。</w:t>
      </w:r>
    </w:p>
    <w:p w14:paraId="09877B86">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color w:val="auto"/>
        </w:rPr>
        <w:t>对验收不合格的部分，</w:t>
      </w:r>
      <w:r>
        <w:rPr>
          <w:rFonts w:hint="eastAsia" w:ascii="宋体" w:hAnsi="宋体" w:eastAsia="宋体" w:cs="宋体"/>
          <w:iCs/>
          <w:color w:val="auto"/>
          <w:sz w:val="21"/>
          <w:szCs w:val="21"/>
          <w:highlight w:val="none"/>
          <w:lang w:val="en-US" w:eastAsia="zh-CN"/>
        </w:rPr>
        <w:t>成交供应商</w:t>
      </w:r>
      <w:r>
        <w:rPr>
          <w:color w:val="auto"/>
        </w:rPr>
        <w:t>应在采购人规定时间内及时整改完善直至合格。</w:t>
      </w:r>
    </w:p>
    <w:p w14:paraId="6B871D1B">
      <w:pPr>
        <w:pStyle w:val="33"/>
        <w:numPr>
          <w:ilvl w:val="0"/>
          <w:numId w:val="0"/>
        </w:numPr>
        <w:snapToGrid w:val="0"/>
        <w:spacing w:line="360" w:lineRule="auto"/>
        <w:ind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kern w:val="2"/>
          <w:sz w:val="21"/>
          <w:szCs w:val="21"/>
          <w:highlight w:val="none"/>
          <w:lang w:val="en-US" w:eastAsia="zh-CN" w:bidi="ar-SA"/>
        </w:rPr>
        <w:t>四、</w:t>
      </w:r>
      <w:r>
        <w:rPr>
          <w:rFonts w:hint="eastAsia" w:ascii="宋体" w:hAnsi="宋体" w:eastAsia="宋体" w:cs="宋体"/>
          <w:b/>
          <w:bCs/>
          <w:color w:val="auto"/>
          <w:sz w:val="21"/>
          <w:szCs w:val="21"/>
          <w:highlight w:val="none"/>
        </w:rPr>
        <w:t>技术要求</w:t>
      </w:r>
    </w:p>
    <w:p w14:paraId="51C54A5C">
      <w:pPr>
        <w:pStyle w:val="33"/>
        <w:numPr>
          <w:ilvl w:val="0"/>
          <w:numId w:val="13"/>
        </w:numPr>
        <w:snapToGrid w:val="0"/>
        <w:spacing w:line="360" w:lineRule="auto"/>
        <w:ind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olor w:val="auto"/>
          <w:sz w:val="21"/>
          <w:szCs w:val="21"/>
        </w:rPr>
        <w:t>项目具体</w:t>
      </w:r>
      <w:r>
        <w:rPr>
          <w:rFonts w:hint="eastAsia" w:ascii="宋体" w:hAnsi="宋体" w:eastAsia="宋体"/>
          <w:color w:val="auto"/>
          <w:sz w:val="21"/>
          <w:szCs w:val="21"/>
          <w:lang w:val="en-US" w:eastAsia="zh-CN"/>
        </w:rPr>
        <w:t>情况</w:t>
      </w:r>
    </w:p>
    <w:p w14:paraId="4657932A">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olor w:val="auto"/>
          <w:sz w:val="21"/>
          <w:szCs w:val="21"/>
        </w:rPr>
        <w:t>宣传标语大小规格</w:t>
      </w:r>
    </w:p>
    <w:p w14:paraId="4156378F">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每个通信铁塔（或广告杆塔）上悬挂一组亮化字广告牌，共计5组（5个宣传站点），每个宣传点设置两面广告牌，供两个方向行驶的车流和人流观看。</w:t>
      </w:r>
    </w:p>
    <w:p w14:paraId="527766D8">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olor w:val="auto"/>
          <w:sz w:val="21"/>
          <w:szCs w:val="21"/>
        </w:rPr>
        <w:t>字体大小：“家中常备灭火器”等七字标语大小为1米</w:t>
      </w:r>
      <w:r>
        <w:rPr>
          <w:rFonts w:hint="eastAsia" w:ascii="宋体" w:hAnsi="宋体" w:eastAsia="宋体"/>
          <w:color w:val="auto"/>
          <w:sz w:val="21"/>
          <w:szCs w:val="21"/>
          <w:lang w:val="en-US" w:eastAsia="zh-CN"/>
        </w:rPr>
        <w:t>×</w:t>
      </w:r>
      <w:r>
        <w:rPr>
          <w:rFonts w:hint="eastAsia" w:ascii="宋体" w:hAnsi="宋体" w:eastAsia="宋体"/>
          <w:color w:val="auto"/>
          <w:sz w:val="21"/>
          <w:szCs w:val="21"/>
        </w:rPr>
        <w:t>1米；“东莞消防宣”大小为0.4</w:t>
      </w:r>
      <w:r>
        <w:rPr>
          <w:rFonts w:hint="eastAsia" w:ascii="宋体" w:hAnsi="宋体" w:eastAsia="宋体"/>
          <w:color w:val="auto"/>
          <w:sz w:val="21"/>
          <w:szCs w:val="21"/>
          <w:lang w:val="en-US" w:eastAsia="zh-CN"/>
        </w:rPr>
        <w:t>×</w:t>
      </w:r>
      <w:r>
        <w:rPr>
          <w:rFonts w:hint="eastAsia" w:ascii="宋体" w:hAnsi="宋体" w:eastAsia="宋体"/>
          <w:color w:val="auto"/>
          <w:sz w:val="21"/>
          <w:szCs w:val="21"/>
        </w:rPr>
        <w:t>0.4米，宣传标语应为红色镂空字体，带LED灯，可在夜晚亮灯发光展示。</w:t>
      </w:r>
    </w:p>
    <w:p w14:paraId="63B80386">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textAlignment w:val="auto"/>
        <w:rPr>
          <w:rFonts w:hint="eastAsia" w:ascii="宋体" w:hAnsi="宋体" w:eastAsia="宋体" w:cs="宋体"/>
          <w:iCs/>
          <w:color w:val="auto"/>
          <w:sz w:val="21"/>
          <w:szCs w:val="21"/>
          <w:highlight w:val="none"/>
          <w:lang w:val="en-US" w:eastAsia="zh-CN"/>
        </w:rPr>
      </w:pPr>
      <w:r>
        <w:rPr>
          <w:rFonts w:ascii="宋体" w:hAnsi="宋体" w:eastAsia="宋体"/>
          <w:color w:val="auto"/>
          <w:sz w:val="21"/>
          <w:szCs w:val="21"/>
        </w:rPr>
        <w:drawing>
          <wp:inline distT="0" distB="0" distL="114300" distR="114300">
            <wp:extent cx="5712460" cy="1659890"/>
            <wp:effectExtent l="0" t="0" r="2540" b="16510"/>
            <wp:docPr id="1" name="图片 1" descr="F:\微信\WeChat Files\achong2012\FileStorage\Temp\f8a9e8af556ef134dd656d88e9cd5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微信\WeChat Files\achong2012\FileStorage\Temp\f8a9e8af556ef134dd656d88e9cd54e.jpg"/>
                    <pic:cNvPicPr>
                      <a:picLocks noChangeAspect="1"/>
                    </pic:cNvPicPr>
                  </pic:nvPicPr>
                  <pic:blipFill>
                    <a:blip r:embed="rId9"/>
                    <a:stretch>
                      <a:fillRect/>
                    </a:stretch>
                  </pic:blipFill>
                  <pic:spPr>
                    <a:xfrm>
                      <a:off x="0" y="0"/>
                      <a:ext cx="5712460" cy="1659890"/>
                    </a:xfrm>
                    <a:prstGeom prst="rect">
                      <a:avLst/>
                    </a:prstGeom>
                    <a:noFill/>
                    <a:ln>
                      <a:noFill/>
                    </a:ln>
                  </pic:spPr>
                </pic:pic>
              </a:graphicData>
            </a:graphic>
          </wp:inline>
        </w:drawing>
      </w:r>
    </w:p>
    <w:p w14:paraId="5D9E2E39">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展示时间</w:t>
      </w:r>
    </w:p>
    <w:p w14:paraId="15D456F6">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服务期间，除白天展示外，每天晚上6时至晚上11时开灯展示。</w:t>
      </w:r>
    </w:p>
    <w:p w14:paraId="13D73F4A">
      <w:pPr>
        <w:pStyle w:val="33"/>
        <w:numPr>
          <w:ilvl w:val="0"/>
          <w:numId w:val="13"/>
        </w:numPr>
        <w:snapToGrid w:val="0"/>
        <w:spacing w:line="360" w:lineRule="auto"/>
        <w:ind w:firstLineChars="0"/>
        <w:contextualSpacing/>
        <w:rPr>
          <w:rFonts w:hint="eastAsia" w:ascii="宋体" w:hAnsi="宋体" w:eastAsia="宋体"/>
          <w:color w:val="auto"/>
          <w:sz w:val="21"/>
          <w:szCs w:val="21"/>
        </w:rPr>
      </w:pPr>
      <w:r>
        <w:rPr>
          <w:rFonts w:hint="eastAsia" w:ascii="宋体" w:hAnsi="宋体" w:eastAsia="宋体"/>
          <w:color w:val="auto"/>
          <w:sz w:val="21"/>
          <w:szCs w:val="21"/>
          <w:lang w:val="en-US" w:eastAsia="zh-CN"/>
        </w:rPr>
        <w:t>质量要求</w:t>
      </w:r>
    </w:p>
    <w:p w14:paraId="3C01AD03">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bookmarkStart w:id="18" w:name="OLE_LINK4"/>
      <w:bookmarkStart w:id="19" w:name="OLE_LINK3"/>
      <w:r>
        <w:rPr>
          <w:rFonts w:hint="eastAsia" w:ascii="宋体" w:hAnsi="宋体" w:eastAsia="宋体" w:cs="宋体"/>
          <w:iCs/>
          <w:color w:val="auto"/>
          <w:sz w:val="21"/>
          <w:szCs w:val="21"/>
          <w:highlight w:val="none"/>
          <w:lang w:val="en-US" w:eastAsia="zh-CN"/>
        </w:rPr>
        <w:t>供应商需提供</w:t>
      </w:r>
      <w:r>
        <w:rPr>
          <w:rFonts w:hint="eastAsia" w:cs="Times New Roman" w:asciiTheme="minorEastAsia" w:hAnsiTheme="minorEastAsia"/>
          <w:color w:val="auto"/>
          <w:kern w:val="0"/>
          <w:szCs w:val="21"/>
          <w:highlight w:val="none"/>
          <w:lang w:val="en-US" w:eastAsia="zh-CN"/>
        </w:rPr>
        <w:t>质量保证措施方案（包括但不仅限于质量目标、质量控制措施、质量保证体系及措施、质量保障管理及制度等内容），确保广告牌的质量和日常服务能满足采购人要求。</w:t>
      </w:r>
    </w:p>
    <w:p w14:paraId="1E2B8580">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运维期内如成交供应商发现运维的广告标识有损坏，需在采购人指定时间内进行修理、调换等服务，产生的费用由成交供应商负责。</w:t>
      </w:r>
      <w:bookmarkEnd w:id="18"/>
      <w:bookmarkEnd w:id="19"/>
    </w:p>
    <w:p w14:paraId="03CB703F">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bookmarkStart w:id="20" w:name="OLE_LINK5"/>
      <w:bookmarkStart w:id="21" w:name="OLE_LINK6"/>
      <w:r>
        <w:rPr>
          <w:rFonts w:hint="eastAsia" w:ascii="宋体" w:hAnsi="宋体" w:eastAsia="宋体" w:cs="宋体"/>
          <w:iCs/>
          <w:color w:val="auto"/>
          <w:sz w:val="21"/>
          <w:szCs w:val="21"/>
          <w:highlight w:val="none"/>
          <w:lang w:val="en-US" w:eastAsia="zh-CN"/>
        </w:rPr>
        <w:t>若成交供应商不能在采购人约定期限内按以上要求替代、维修设备，采购人和成交供应商双方协商替代解决方案，更换同类型同价值产品，保障宣传工作的正常进行，由此产生的费用由成交供应商支付。</w:t>
      </w:r>
      <w:bookmarkEnd w:id="20"/>
      <w:bookmarkEnd w:id="21"/>
    </w:p>
    <w:p w14:paraId="6D781BF4">
      <w:pPr>
        <w:pStyle w:val="33"/>
        <w:numPr>
          <w:ilvl w:val="0"/>
          <w:numId w:val="13"/>
        </w:numPr>
        <w:snapToGrid w:val="0"/>
        <w:spacing w:line="360" w:lineRule="auto"/>
        <w:ind w:firstLineChars="0"/>
        <w:contextualSpacing/>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其他要求</w:t>
      </w:r>
    </w:p>
    <w:p w14:paraId="30DE8CC5">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供应商需提供</w:t>
      </w:r>
      <w:r>
        <w:rPr>
          <w:rFonts w:hint="eastAsia" w:cs="黑体" w:asciiTheme="minorEastAsia" w:hAnsiTheme="minorEastAsia"/>
          <w:bCs/>
          <w:color w:val="auto"/>
          <w:szCs w:val="21"/>
          <w:highlight w:val="none"/>
          <w:lang w:val="en-US" w:eastAsia="zh-CN"/>
        </w:rPr>
        <w:t>人员安排及技术保障方案（包含但不限于：服务人员完善的配置、明确的人员岗位职责、健全的人员内部管理制度、充足的技术保障能力等），确保日常巡检和维修工作能</w:t>
      </w:r>
      <w:r>
        <w:rPr>
          <w:rFonts w:hint="eastAsia" w:cs="Times New Roman" w:asciiTheme="minorEastAsia" w:hAnsiTheme="minorEastAsia"/>
          <w:color w:val="auto"/>
          <w:szCs w:val="20"/>
          <w:highlight w:val="none"/>
          <w:lang w:val="en-US" w:eastAsia="zh-CN"/>
        </w:rPr>
        <w:t>有效保障项目的顺利进行。</w:t>
      </w:r>
    </w:p>
    <w:p w14:paraId="2ECE62E1">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需提供有应对突发事件应急服务保障，快速响应，及时与采购人沟通，妥当处理突发事件，服务期内，成交供应商需提供热线和长期服务支持，如遇到广告牌损坏、故障等紧急情况，应在接到采购人紧急服务通知后3小时内到达采购人指定地点，24小时内进行维修完成，如设备需要进行更换的，应提前告知采购人，成交供应商按双方约定好期限内进行更换，以保障项目的顺利实施。</w:t>
      </w:r>
    </w:p>
    <w:p w14:paraId="38DC2899">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因本项目的广告牌需要挂载在</w:t>
      </w:r>
      <w:r>
        <w:rPr>
          <w:rFonts w:hint="eastAsia" w:ascii="宋体" w:hAnsi="宋体" w:eastAsia="宋体"/>
          <w:color w:val="auto"/>
          <w:sz w:val="21"/>
          <w:szCs w:val="21"/>
        </w:rPr>
        <w:t>杆塔</w:t>
      </w:r>
      <w:r>
        <w:rPr>
          <w:rFonts w:hint="eastAsia" w:ascii="宋体" w:hAnsi="宋体" w:eastAsia="宋体"/>
          <w:color w:val="auto"/>
          <w:sz w:val="21"/>
          <w:szCs w:val="21"/>
          <w:lang w:val="en-US" w:eastAsia="zh-CN"/>
        </w:rPr>
        <w:t>上，高空巡检、维修作业前需注意应对作业区域进行清理，确保无杂物、油污等易滑、易燃物质。作业现场应设置安全警戒线，禁止非作业人员进入。作业现场应配备足够的照明设备，确保作业区域光线充足。在雷电、大风、浓雾等恶劣天气条件下，禁止进行铁塔高空作业。作业前应由现场负责人组织对作业人员进行安全技术交底，确保每位作业人员了解作业内容、作业程序和相应的安全措施。根据作业内容，制定详细的作业方案和作业指导书，明确作业步骤、作业时间、作业人员职责及作业中的注意事项。检查作业工具和设备，确保其安全可靠，不得使用有损坏、故障或不符合安全标准的工具和设备。</w:t>
      </w:r>
    </w:p>
    <w:p w14:paraId="55D634A2">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成交供应商需按采购人要求进行运维巡检，巡检结束后按验收要求提供巡检报告等采购人认为需要提供的其他资料。</w:t>
      </w:r>
    </w:p>
    <w:p w14:paraId="358642D1">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应确保其从事高空作业的施工人员持有有效的特种作业操作证，并在服务开始前向采购人提交相关证件复印件备案。服务期间，因成交供应商行为导致成交供应商人员或任何第三方遭受人身伤害或财产损失的，全部责任及后果均由成交供应商承担。</w:t>
      </w:r>
    </w:p>
    <w:bookmarkEnd w:id="16"/>
    <w:bookmarkEnd w:id="17"/>
    <w:p w14:paraId="11C753CC">
      <w:pPr>
        <w:pStyle w:val="3"/>
        <w:keepNext w:val="0"/>
        <w:keepLines w:val="0"/>
        <w:pageBreakBefore/>
        <w:spacing w:line="360" w:lineRule="auto"/>
        <w:jc w:val="center"/>
        <w:rPr>
          <w:rFonts w:asciiTheme="minorEastAsia" w:hAnsiTheme="minorEastAsia"/>
          <w:color w:val="auto"/>
          <w:spacing w:val="20"/>
          <w:sz w:val="32"/>
          <w:szCs w:val="32"/>
          <w:highlight w:val="none"/>
        </w:rPr>
      </w:pPr>
      <w:bookmarkStart w:id="22" w:name="_Toc391627750"/>
      <w:bookmarkStart w:id="23" w:name="_Toc405313954"/>
      <w:bookmarkStart w:id="24" w:name="_Toc138770008"/>
      <w:r>
        <w:rPr>
          <w:rFonts w:hint="eastAsia" w:asciiTheme="minorEastAsia" w:hAnsiTheme="minorEastAsia"/>
          <w:color w:val="auto"/>
          <w:spacing w:val="20"/>
          <w:sz w:val="32"/>
          <w:szCs w:val="32"/>
          <w:highlight w:val="none"/>
        </w:rPr>
        <w:t>第三部分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响应须知</w:t>
      </w:r>
      <w:bookmarkEnd w:id="22"/>
      <w:bookmarkEnd w:id="23"/>
      <w:bookmarkEnd w:id="24"/>
    </w:p>
    <w:p w14:paraId="26E66F36">
      <w:pPr>
        <w:pStyle w:val="33"/>
        <w:numPr>
          <w:ilvl w:val="0"/>
          <w:numId w:val="19"/>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说明</w:t>
      </w:r>
    </w:p>
    <w:p w14:paraId="714523A3">
      <w:pPr>
        <w:pStyle w:val="33"/>
        <w:numPr>
          <w:ilvl w:val="0"/>
          <w:numId w:val="20"/>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总则</w:t>
      </w:r>
    </w:p>
    <w:p w14:paraId="047506D3">
      <w:pPr>
        <w:spacing w:line="360" w:lineRule="auto"/>
        <w:ind w:firstLine="420" w:firstLineChars="200"/>
        <w:rPr>
          <w:rFonts w:asciiTheme="minorEastAsia" w:hAnsiTheme="minorEastAsia"/>
          <w:bCs/>
          <w:color w:val="auto"/>
          <w:highlight w:val="none"/>
        </w:rPr>
      </w:pPr>
      <w:r>
        <w:rPr>
          <w:rFonts w:hint="eastAsia" w:asciiTheme="minorEastAsia" w:hAnsiTheme="minorEastAsia"/>
          <w:bCs/>
          <w:color w:val="auto"/>
          <w:highlight w:val="none"/>
        </w:rPr>
        <w:t>采购人、采购代理机构及响应供应商进行的本次采购活动参考《</w:t>
      </w:r>
      <w:bookmarkStart w:id="25" w:name="_Hlk75725950"/>
      <w:r>
        <w:rPr>
          <w:rFonts w:hint="eastAsia" w:asciiTheme="minorEastAsia" w:hAnsiTheme="minorEastAsia"/>
          <w:bCs/>
          <w:color w:val="auto"/>
          <w:highlight w:val="none"/>
        </w:rPr>
        <w:t>中华人民共和国</w:t>
      </w:r>
      <w:bookmarkEnd w:id="25"/>
      <w:r>
        <w:rPr>
          <w:rFonts w:hint="eastAsia" w:asciiTheme="minorEastAsia" w:hAnsiTheme="minorEastAsia"/>
          <w:bCs/>
          <w:color w:val="auto"/>
          <w:highlight w:val="none"/>
        </w:rPr>
        <w:t>政府采购法》及其配套的法规、规章、政策。响应供应商应仔细阅读本项目遴选公告及遴选文件的所有内容（包括变更、补充、澄清以及修改等，且均为遴选文件的组成部分），按照遴选文件要求以及格式编制响应文件，并保证其真实性，否则一切后果自负。</w:t>
      </w:r>
    </w:p>
    <w:p w14:paraId="189381A1">
      <w:pPr>
        <w:spacing w:line="360" w:lineRule="auto"/>
        <w:ind w:firstLine="420" w:firstLineChars="200"/>
        <w:rPr>
          <w:rFonts w:asciiTheme="minorEastAsia" w:hAnsiTheme="minorEastAsia"/>
          <w:bCs/>
          <w:color w:val="auto"/>
          <w:highlight w:val="none"/>
        </w:rPr>
      </w:pPr>
    </w:p>
    <w:p w14:paraId="6DE0C112">
      <w:pPr>
        <w:pStyle w:val="33"/>
        <w:numPr>
          <w:ilvl w:val="0"/>
          <w:numId w:val="20"/>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适用范围</w:t>
      </w:r>
    </w:p>
    <w:p w14:paraId="625BC998">
      <w:pPr>
        <w:pStyle w:val="33"/>
        <w:numPr>
          <w:ilvl w:val="0"/>
          <w:numId w:val="21"/>
        </w:numPr>
        <w:spacing w:line="360" w:lineRule="auto"/>
        <w:ind w:firstLineChars="0"/>
        <w:rPr>
          <w:rFonts w:asciiTheme="minorEastAsia" w:hAnsiTheme="minorEastAsia"/>
          <w:color w:val="auto"/>
          <w:highlight w:val="none"/>
        </w:rPr>
      </w:pPr>
      <w:r>
        <w:rPr>
          <w:rFonts w:hint="eastAsia" w:asciiTheme="minorEastAsia" w:hAnsiTheme="minorEastAsia"/>
          <w:color w:val="auto"/>
          <w:highlight w:val="none"/>
        </w:rPr>
        <w:t>本遴选文件仅适用于本次遴选公告中所涉及的项目和内容。</w:t>
      </w:r>
    </w:p>
    <w:p w14:paraId="7651C85F">
      <w:pPr>
        <w:pStyle w:val="33"/>
        <w:numPr>
          <w:ilvl w:val="0"/>
          <w:numId w:val="21"/>
        </w:numPr>
        <w:spacing w:line="360" w:lineRule="auto"/>
        <w:ind w:firstLineChars="0"/>
        <w:rPr>
          <w:rFonts w:asciiTheme="minorEastAsia" w:hAnsiTheme="minorEastAsia"/>
          <w:b/>
          <w:color w:val="auto"/>
          <w:highlight w:val="none"/>
          <w:u w:val="single"/>
        </w:rPr>
      </w:pPr>
      <w:r>
        <w:rPr>
          <w:rFonts w:hint="eastAsia" w:asciiTheme="minorEastAsia" w:hAnsiTheme="minorEastAsia"/>
          <w:color w:val="auto"/>
          <w:highlight w:val="none"/>
        </w:rPr>
        <w:t>资金来源：</w:t>
      </w:r>
      <w:r>
        <w:rPr>
          <w:rFonts w:hint="eastAsia" w:asciiTheme="minorEastAsia" w:hAnsiTheme="minorEastAsia"/>
          <w:b/>
          <w:color w:val="auto"/>
          <w:highlight w:val="none"/>
          <w:u w:val="single"/>
        </w:rPr>
        <w:t>财政资金</w:t>
      </w:r>
      <w:r>
        <w:rPr>
          <w:rFonts w:hint="eastAsia" w:asciiTheme="minorEastAsia" w:hAnsiTheme="minorEastAsia"/>
          <w:color w:val="auto"/>
          <w:highlight w:val="none"/>
        </w:rPr>
        <w:t>。</w:t>
      </w:r>
    </w:p>
    <w:p w14:paraId="3A80E3E4">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定义</w:t>
      </w:r>
    </w:p>
    <w:p w14:paraId="7DB37392">
      <w:pPr>
        <w:pStyle w:val="33"/>
        <w:numPr>
          <w:ilvl w:val="0"/>
          <w:numId w:val="22"/>
        </w:numPr>
        <w:tabs>
          <w:tab w:val="left" w:pos="426"/>
        </w:tabs>
        <w:spacing w:line="360" w:lineRule="auto"/>
        <w:ind w:left="426" w:hanging="426" w:firstLineChars="0"/>
        <w:rPr>
          <w:rFonts w:asciiTheme="minorEastAsia" w:hAnsiTheme="minorEastAsia"/>
          <w:color w:val="auto"/>
          <w:highlight w:val="none"/>
        </w:rPr>
      </w:pPr>
      <w:r>
        <w:rPr>
          <w:rFonts w:asciiTheme="minorEastAsia" w:hAnsiTheme="minorEastAsia"/>
          <w:color w:val="auto"/>
          <w:highlight w:val="none"/>
        </w:rPr>
        <w:t>采购人</w:t>
      </w:r>
      <w:r>
        <w:rPr>
          <w:rFonts w:hint="eastAsia" w:asciiTheme="minorEastAsia" w:hAnsiTheme="minorEastAsia"/>
          <w:color w:val="auto"/>
          <w:highlight w:val="none"/>
        </w:rPr>
        <w:t>：是采购活动当事人之一，负责项目的整体规划、技术方案可行性设计论证与实施，作为合同采购方（用户）的主体承担质疑回复、履行合同、验收与评价等义务。</w:t>
      </w:r>
    </w:p>
    <w:p w14:paraId="6865AEC2">
      <w:pPr>
        <w:pStyle w:val="33"/>
        <w:numPr>
          <w:ilvl w:val="0"/>
          <w:numId w:val="22"/>
        </w:numPr>
        <w:tabs>
          <w:tab w:val="left" w:pos="426"/>
        </w:tabs>
        <w:spacing w:line="360" w:lineRule="auto"/>
        <w:ind w:left="426" w:hanging="426" w:firstLineChars="0"/>
        <w:rPr>
          <w:rFonts w:asciiTheme="minorEastAsia" w:hAnsiTheme="minorEastAsia"/>
          <w:color w:val="auto"/>
          <w:highlight w:val="none"/>
        </w:rPr>
      </w:pPr>
      <w:r>
        <w:rPr>
          <w:rFonts w:hint="eastAsia" w:asciiTheme="minorEastAsia" w:hAnsiTheme="minorEastAsia"/>
          <w:color w:val="auto"/>
          <w:highlight w:val="none"/>
        </w:rPr>
        <w:t>采购代理机构：负责整个采购活动的组织，依法负责编制和发布遴选文件，对遴选文件拥有最终的解释权，不以任何身份出任评审委员会成员。</w:t>
      </w:r>
    </w:p>
    <w:p w14:paraId="1FEE3919">
      <w:pPr>
        <w:pStyle w:val="33"/>
        <w:numPr>
          <w:ilvl w:val="0"/>
          <w:numId w:val="22"/>
        </w:numPr>
        <w:tabs>
          <w:tab w:val="left" w:pos="426"/>
        </w:tabs>
        <w:spacing w:line="360" w:lineRule="auto"/>
        <w:ind w:hanging="941" w:firstLineChars="0"/>
        <w:rPr>
          <w:rFonts w:asciiTheme="minorEastAsia" w:hAnsiTheme="minorEastAsia"/>
          <w:color w:val="auto"/>
          <w:highlight w:val="none"/>
        </w:rPr>
      </w:pPr>
      <w:r>
        <w:rPr>
          <w:rFonts w:hint="eastAsia" w:asciiTheme="minorEastAsia" w:hAnsiTheme="minorEastAsia"/>
          <w:color w:val="auto"/>
          <w:highlight w:val="none"/>
        </w:rPr>
        <w:t>响应供应商：是本项目参加响应竞争的法人或其他组织或自然人。</w:t>
      </w:r>
    </w:p>
    <w:p w14:paraId="111127C9">
      <w:pPr>
        <w:pStyle w:val="33"/>
        <w:numPr>
          <w:ilvl w:val="0"/>
          <w:numId w:val="22"/>
        </w:numPr>
        <w:tabs>
          <w:tab w:val="left" w:pos="426"/>
        </w:tabs>
        <w:spacing w:line="360" w:lineRule="auto"/>
        <w:ind w:hanging="941" w:firstLineChars="0"/>
        <w:rPr>
          <w:rFonts w:asciiTheme="minorEastAsia" w:hAnsiTheme="minorEastAsia"/>
          <w:color w:val="auto"/>
          <w:highlight w:val="none"/>
        </w:rPr>
      </w:pPr>
      <w:r>
        <w:rPr>
          <w:rFonts w:asciiTheme="minorEastAsia" w:hAnsiTheme="minorEastAsia"/>
          <w:color w:val="auto"/>
          <w:highlight w:val="none"/>
        </w:rPr>
        <w:t>合格的</w:t>
      </w:r>
      <w:r>
        <w:rPr>
          <w:rFonts w:hint="eastAsia" w:asciiTheme="minorEastAsia" w:hAnsiTheme="minorEastAsia"/>
          <w:color w:val="auto"/>
          <w:highlight w:val="none"/>
        </w:rPr>
        <w:t>响应供应商是指：详见《第一部分邀请函》申请人的资格要求</w:t>
      </w:r>
    </w:p>
    <w:p w14:paraId="5A300A3B">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合格的服务</w:t>
      </w:r>
    </w:p>
    <w:p w14:paraId="00056CD4">
      <w:pPr>
        <w:pStyle w:val="33"/>
        <w:numPr>
          <w:ilvl w:val="0"/>
          <w:numId w:val="2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服务是指除货物和工程以外的其他政府采购对象，且满足实质性采购需求。</w:t>
      </w:r>
    </w:p>
    <w:p w14:paraId="6B2CAA00">
      <w:pPr>
        <w:pStyle w:val="33"/>
        <w:numPr>
          <w:ilvl w:val="0"/>
          <w:numId w:val="2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响应供应商提供的所有服务，其质量、技术等特征必须符合国家、行业现行法律、法规的相关标准和《中华人民共和国政府采购法》的有关规定及采购需求。</w:t>
      </w:r>
    </w:p>
    <w:p w14:paraId="2B82A98E">
      <w:pPr>
        <w:pStyle w:val="33"/>
        <w:numPr>
          <w:ilvl w:val="0"/>
          <w:numId w:val="2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pacing w:val="-6"/>
          <w:szCs w:val="21"/>
          <w:highlight w:val="none"/>
        </w:rPr>
        <w:t>采购人有权拒绝接受任何不合格的服务，由此产生的费用及相关后果均由响应供应商自行承担；</w:t>
      </w:r>
    </w:p>
    <w:p w14:paraId="4EAF6F0C">
      <w:pPr>
        <w:pStyle w:val="33"/>
        <w:numPr>
          <w:ilvl w:val="0"/>
          <w:numId w:val="2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保证本项目的响应技术、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14:paraId="3B43FD9F">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费用</w:t>
      </w:r>
    </w:p>
    <w:p w14:paraId="3A658392">
      <w:pPr>
        <w:pStyle w:val="33"/>
        <w:numPr>
          <w:ilvl w:val="0"/>
          <w:numId w:val="2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w:t>
      </w:r>
      <w:r>
        <w:rPr>
          <w:rFonts w:asciiTheme="minorEastAsia" w:hAnsiTheme="minorEastAsia"/>
          <w:bCs/>
          <w:color w:val="auto"/>
          <w:szCs w:val="21"/>
          <w:highlight w:val="none"/>
        </w:rPr>
        <w:t>应承担所有与准备和参加</w:t>
      </w:r>
      <w:r>
        <w:rPr>
          <w:rFonts w:hint="eastAsia" w:asciiTheme="minorEastAsia" w:hAnsiTheme="minorEastAsia"/>
          <w:bCs/>
          <w:color w:val="auto"/>
          <w:szCs w:val="21"/>
          <w:highlight w:val="none"/>
        </w:rPr>
        <w:t>响应</w:t>
      </w:r>
      <w:r>
        <w:rPr>
          <w:rFonts w:asciiTheme="minorEastAsia" w:hAnsiTheme="minorEastAsia"/>
          <w:bCs/>
          <w:color w:val="auto"/>
          <w:szCs w:val="21"/>
          <w:highlight w:val="none"/>
        </w:rPr>
        <w:t>有关的费用。不论</w:t>
      </w:r>
      <w:r>
        <w:rPr>
          <w:rFonts w:hint="eastAsia" w:asciiTheme="minorEastAsia" w:hAnsiTheme="minorEastAsia"/>
          <w:bCs/>
          <w:color w:val="auto"/>
          <w:szCs w:val="21"/>
          <w:highlight w:val="none"/>
        </w:rPr>
        <w:t>响应</w:t>
      </w:r>
      <w:r>
        <w:rPr>
          <w:rFonts w:asciiTheme="minorEastAsia" w:hAnsiTheme="minorEastAsia"/>
          <w:bCs/>
          <w:color w:val="auto"/>
          <w:szCs w:val="21"/>
          <w:highlight w:val="none"/>
        </w:rPr>
        <w:t>的结果如何，采购代理机构和采购人均无义务和责任承担</w:t>
      </w:r>
      <w:r>
        <w:rPr>
          <w:rFonts w:hint="eastAsia" w:asciiTheme="minorEastAsia" w:hAnsiTheme="minorEastAsia"/>
          <w:bCs/>
          <w:color w:val="auto"/>
          <w:szCs w:val="21"/>
          <w:highlight w:val="none"/>
        </w:rPr>
        <w:t>相关</w:t>
      </w:r>
      <w:r>
        <w:rPr>
          <w:rFonts w:asciiTheme="minorEastAsia" w:hAnsiTheme="minorEastAsia"/>
          <w:bCs/>
          <w:color w:val="auto"/>
          <w:szCs w:val="21"/>
          <w:highlight w:val="none"/>
        </w:rPr>
        <w:t>费用</w:t>
      </w:r>
      <w:r>
        <w:rPr>
          <w:rFonts w:hint="eastAsia" w:asciiTheme="minorEastAsia" w:hAnsiTheme="minorEastAsia"/>
          <w:bCs/>
          <w:color w:val="auto"/>
          <w:szCs w:val="21"/>
          <w:highlight w:val="none"/>
        </w:rPr>
        <w:t>。</w:t>
      </w:r>
    </w:p>
    <w:p w14:paraId="63754477">
      <w:pPr>
        <w:pStyle w:val="33"/>
        <w:numPr>
          <w:ilvl w:val="0"/>
          <w:numId w:val="19"/>
        </w:numPr>
        <w:spacing w:before="312" w:beforeLines="100" w:line="360" w:lineRule="auto"/>
        <w:ind w:firstLineChars="0"/>
        <w:rPr>
          <w:rFonts w:asciiTheme="minorEastAsia" w:hAnsiTheme="minorEastAsia"/>
          <w:b/>
          <w:bCs/>
          <w:color w:val="auto"/>
          <w:sz w:val="24"/>
          <w:szCs w:val="24"/>
          <w:highlight w:val="none"/>
        </w:rPr>
      </w:pPr>
      <w:bookmarkStart w:id="26" w:name="_Toc357676115"/>
      <w:r>
        <w:rPr>
          <w:rFonts w:hint="eastAsia" w:asciiTheme="minorEastAsia" w:hAnsiTheme="minorEastAsia"/>
          <w:b/>
          <w:bCs/>
          <w:color w:val="auto"/>
          <w:sz w:val="24"/>
          <w:szCs w:val="24"/>
          <w:highlight w:val="none"/>
        </w:rPr>
        <w:t>遴选文件</w:t>
      </w:r>
    </w:p>
    <w:p w14:paraId="24D06D90">
      <w:pPr>
        <w:pStyle w:val="33"/>
        <w:numPr>
          <w:ilvl w:val="0"/>
          <w:numId w:val="20"/>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遴选文件的编制依据与构成</w:t>
      </w:r>
      <w:bookmarkEnd w:id="26"/>
    </w:p>
    <w:p w14:paraId="6B07E91A">
      <w:pPr>
        <w:pStyle w:val="33"/>
        <w:numPr>
          <w:ilvl w:val="0"/>
          <w:numId w:val="25"/>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本遴选文件的编制依据是参考</w:t>
      </w:r>
      <w:r>
        <w:rPr>
          <w:rFonts w:hint="eastAsia" w:asciiTheme="minorEastAsia" w:hAnsiTheme="minorEastAsia"/>
          <w:color w:val="auto"/>
          <w:szCs w:val="21"/>
          <w:highlight w:val="none"/>
        </w:rPr>
        <w:t>《中华人民共和国政府采购法》、《中华人民共和国政府采购法实施条例》、财政部《政府采购货物和服务招标投标管理办法》</w:t>
      </w:r>
      <w:r>
        <w:rPr>
          <w:rFonts w:hint="eastAsia" w:asciiTheme="minorEastAsia" w:hAnsiTheme="minorEastAsia"/>
          <w:bCs/>
          <w:color w:val="auto"/>
          <w:szCs w:val="21"/>
          <w:highlight w:val="none"/>
        </w:rPr>
        <w:t>等法律法规。</w:t>
      </w:r>
    </w:p>
    <w:p w14:paraId="298688B4">
      <w:pPr>
        <w:pStyle w:val="33"/>
        <w:numPr>
          <w:ilvl w:val="0"/>
          <w:numId w:val="25"/>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认真阅读、并充分理解遴选文件的全部内容（包括所有的补充、修改内容重要事项、格式、条款和服务要求等）。响应供应商没有按照遴选文件要求提交全部资料，或者响应文件没有对遴选文件在各方面都作出实质性响应是响应供应商的风险，有可能导致其被拒绝，或被认定为无效响应。</w:t>
      </w:r>
    </w:p>
    <w:p w14:paraId="2937176A">
      <w:pPr>
        <w:pStyle w:val="33"/>
        <w:numPr>
          <w:ilvl w:val="0"/>
          <w:numId w:val="25"/>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本遴选文件的解释权归“广东智汇城市招标采购有限公司”所有。</w:t>
      </w:r>
    </w:p>
    <w:p w14:paraId="418A15EC">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遴选文件的澄清或修改</w:t>
      </w:r>
    </w:p>
    <w:p w14:paraId="6977E575">
      <w:pPr>
        <w:pStyle w:val="33"/>
        <w:numPr>
          <w:ilvl w:val="2"/>
          <w:numId w:val="2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响应供应商在规定的时间内未对遴选文件提出澄清或疑问的，采购代理机构将视其为无异议。</w:t>
      </w:r>
    </w:p>
    <w:p w14:paraId="37AABAD5">
      <w:pPr>
        <w:pStyle w:val="33"/>
        <w:numPr>
          <w:ilvl w:val="2"/>
          <w:numId w:val="2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可以对已发出的遴选文件进行必要的澄清或者修改。澄清或者修改的内容可能影响响应文件编制的，采购人应当在递交响应文件截止时间3个工作日前，以同一互联网媒体或直接向邀请的供应商发布更正公告，不足3个工作日的，应当顺延提交响应文件截止时间。</w:t>
      </w:r>
    </w:p>
    <w:p w14:paraId="2BCE447D">
      <w:pPr>
        <w:pStyle w:val="33"/>
        <w:numPr>
          <w:ilvl w:val="2"/>
          <w:numId w:val="2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对遴选文件中描述有歧义或前后不一致的地方，评审委员会有权进行评判，但对同一条款的评判应适用于每个响应供应商。</w:t>
      </w:r>
    </w:p>
    <w:p w14:paraId="23263159">
      <w:pPr>
        <w:pStyle w:val="33"/>
        <w:numPr>
          <w:ilvl w:val="2"/>
          <w:numId w:val="20"/>
        </w:numPr>
        <w:spacing w:line="360" w:lineRule="auto"/>
        <w:ind w:left="426" w:hanging="426" w:firstLineChars="0"/>
        <w:rPr>
          <w:rFonts w:asciiTheme="minorEastAsia" w:hAnsiTheme="minorEastAsia"/>
          <w:bCs/>
          <w:color w:val="auto"/>
          <w:szCs w:val="21"/>
          <w:highlight w:val="none"/>
        </w:rPr>
      </w:pPr>
      <w:r>
        <w:rPr>
          <w:rFonts w:asciiTheme="minorEastAsia" w:hAnsiTheme="minorEastAsia"/>
          <w:bCs/>
          <w:color w:val="auto"/>
          <w:szCs w:val="21"/>
          <w:highlight w:val="none"/>
        </w:rPr>
        <w:t>遴选文件的</w:t>
      </w:r>
      <w:r>
        <w:rPr>
          <w:rFonts w:hint="eastAsia" w:asciiTheme="minorEastAsia" w:hAnsiTheme="minorEastAsia"/>
          <w:bCs/>
          <w:color w:val="auto"/>
          <w:szCs w:val="21"/>
          <w:highlight w:val="none"/>
        </w:rPr>
        <w:t>澄清或</w:t>
      </w:r>
      <w:r>
        <w:rPr>
          <w:rFonts w:asciiTheme="minorEastAsia" w:hAnsiTheme="minorEastAsia"/>
          <w:bCs/>
          <w:color w:val="auto"/>
          <w:szCs w:val="21"/>
          <w:highlight w:val="none"/>
        </w:rPr>
        <w:t>修改内容作为遴选文件的组成部分，具有约束作用</w:t>
      </w:r>
      <w:r>
        <w:rPr>
          <w:rFonts w:hint="eastAsia" w:asciiTheme="minorEastAsia" w:hAnsiTheme="minorEastAsia"/>
          <w:bCs/>
          <w:color w:val="auto"/>
          <w:szCs w:val="21"/>
          <w:highlight w:val="none"/>
        </w:rPr>
        <w:t>。</w:t>
      </w:r>
      <w:r>
        <w:rPr>
          <w:rFonts w:asciiTheme="minorEastAsia" w:hAnsiTheme="minorEastAsia"/>
          <w:bCs/>
          <w:color w:val="auto"/>
          <w:szCs w:val="21"/>
          <w:highlight w:val="none"/>
        </w:rPr>
        <w:t>当遴选文件、遴选文件的澄清</w:t>
      </w:r>
      <w:r>
        <w:rPr>
          <w:rFonts w:hint="eastAsia" w:asciiTheme="minorEastAsia" w:hAnsiTheme="minorEastAsia"/>
          <w:bCs/>
          <w:color w:val="auto"/>
          <w:szCs w:val="21"/>
          <w:highlight w:val="none"/>
        </w:rPr>
        <w:t>或</w:t>
      </w:r>
      <w:r>
        <w:rPr>
          <w:rFonts w:asciiTheme="minorEastAsia" w:hAnsiTheme="minorEastAsia"/>
          <w:bCs/>
          <w:color w:val="auto"/>
          <w:szCs w:val="21"/>
          <w:highlight w:val="none"/>
        </w:rPr>
        <w:t>修改等在同一内容的表述上不一致时，以最后发出的书面文件为准。</w:t>
      </w:r>
    </w:p>
    <w:p w14:paraId="0B3FF72E">
      <w:pPr>
        <w:pStyle w:val="33"/>
        <w:numPr>
          <w:ilvl w:val="2"/>
          <w:numId w:val="2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评选期间，响应供应商有义务上网查看，公告一经上网发布，即视为送达。</w:t>
      </w:r>
      <w:r>
        <w:rPr>
          <w:rFonts w:asciiTheme="minorEastAsia" w:hAnsiTheme="minorEastAsia"/>
          <w:bCs/>
          <w:color w:val="auto"/>
          <w:szCs w:val="21"/>
          <w:highlight w:val="none"/>
        </w:rPr>
        <w:t>响应供应商应于收到该</w:t>
      </w:r>
      <w:r>
        <w:rPr>
          <w:rFonts w:hint="eastAsia" w:asciiTheme="minorEastAsia" w:hAnsiTheme="minorEastAsia"/>
          <w:bCs/>
          <w:color w:val="auto"/>
          <w:szCs w:val="21"/>
          <w:highlight w:val="none"/>
        </w:rPr>
        <w:t>澄清或</w:t>
      </w:r>
      <w:r>
        <w:rPr>
          <w:rFonts w:asciiTheme="minorEastAsia" w:hAnsiTheme="minorEastAsia"/>
          <w:bCs/>
          <w:color w:val="auto"/>
          <w:szCs w:val="21"/>
          <w:highlight w:val="none"/>
        </w:rPr>
        <w:t>修改文件的</w:t>
      </w:r>
      <w:r>
        <w:rPr>
          <w:rFonts w:hint="eastAsia" w:asciiTheme="minorEastAsia" w:hAnsiTheme="minorEastAsia"/>
          <w:bCs/>
          <w:color w:val="auto"/>
          <w:szCs w:val="21"/>
          <w:highlight w:val="none"/>
        </w:rPr>
        <w:t>二十四小时</w:t>
      </w:r>
      <w:r>
        <w:rPr>
          <w:rFonts w:asciiTheme="minorEastAsia" w:hAnsiTheme="minorEastAsia"/>
          <w:bCs/>
          <w:color w:val="auto"/>
          <w:szCs w:val="21"/>
          <w:highlight w:val="none"/>
        </w:rPr>
        <w:t>内以书面形式给予确认</w:t>
      </w:r>
      <w:r>
        <w:rPr>
          <w:rFonts w:hint="eastAsia" w:asciiTheme="minorEastAsia" w:hAnsiTheme="minorEastAsia"/>
          <w:bCs/>
          <w:color w:val="auto"/>
          <w:szCs w:val="21"/>
          <w:highlight w:val="none"/>
        </w:rPr>
        <w:t>。</w:t>
      </w:r>
    </w:p>
    <w:p w14:paraId="2FFA5D01">
      <w:pPr>
        <w:pStyle w:val="33"/>
        <w:numPr>
          <w:ilvl w:val="0"/>
          <w:numId w:val="19"/>
        </w:numPr>
        <w:spacing w:before="312" w:beforeLines="100" w:line="360" w:lineRule="auto"/>
        <w:ind w:firstLineChars="0"/>
        <w:rPr>
          <w:rFonts w:asciiTheme="minorEastAsia" w:hAnsiTheme="minorEastAsia"/>
          <w:bCs/>
          <w:color w:val="auto"/>
          <w:szCs w:val="21"/>
          <w:highlight w:val="none"/>
        </w:rPr>
      </w:pPr>
      <w:r>
        <w:rPr>
          <w:rFonts w:hint="eastAsia" w:asciiTheme="minorEastAsia" w:hAnsiTheme="minorEastAsia"/>
          <w:b/>
          <w:bCs/>
          <w:color w:val="auto"/>
          <w:sz w:val="24"/>
          <w:szCs w:val="24"/>
          <w:highlight w:val="none"/>
        </w:rPr>
        <w:t>响应文件的编制</w:t>
      </w:r>
    </w:p>
    <w:p w14:paraId="32CEB92B">
      <w:pPr>
        <w:pStyle w:val="33"/>
        <w:numPr>
          <w:ilvl w:val="0"/>
          <w:numId w:val="20"/>
        </w:numPr>
        <w:spacing w:line="360" w:lineRule="auto"/>
        <w:ind w:firstLineChars="0"/>
        <w:rPr>
          <w:rFonts w:asciiTheme="minorEastAsia" w:hAnsiTheme="minorEastAsia"/>
          <w:b/>
          <w:color w:val="auto"/>
          <w:highlight w:val="none"/>
        </w:rPr>
      </w:pPr>
      <w:bookmarkStart w:id="27" w:name="_Toc357676120"/>
      <w:r>
        <w:rPr>
          <w:rFonts w:hint="eastAsia" w:asciiTheme="minorEastAsia" w:hAnsiTheme="minorEastAsia"/>
          <w:b/>
          <w:color w:val="auto"/>
          <w:highlight w:val="none"/>
        </w:rPr>
        <w:t>响应文件的构成</w:t>
      </w:r>
      <w:bookmarkEnd w:id="27"/>
    </w:p>
    <w:p w14:paraId="3FA27D3D">
      <w:pPr>
        <w:pStyle w:val="33"/>
        <w:numPr>
          <w:ilvl w:val="0"/>
          <w:numId w:val="26"/>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响应供应商编写的响应文件，编排顺序参见响应文件格式。</w:t>
      </w:r>
    </w:p>
    <w:p w14:paraId="57AB6619">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响应文件的编写</w:t>
      </w:r>
    </w:p>
    <w:p w14:paraId="6578BE39">
      <w:pPr>
        <w:pStyle w:val="33"/>
        <w:numPr>
          <w:ilvl w:val="0"/>
          <w:numId w:val="27"/>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响应供应商应完整、真实、准确地填写遴选文件中提供的响应函、报价一览表、明细报价表（如适用）以及遴选文件中规定的其它所有内容。</w:t>
      </w:r>
    </w:p>
    <w:p w14:paraId="6426752F">
      <w:pPr>
        <w:pStyle w:val="33"/>
        <w:numPr>
          <w:ilvl w:val="0"/>
          <w:numId w:val="27"/>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响应供应商应当对响应文件进行装订，对未经装订的响应文件可能发生的文件散落或缺损，由此造成的后果和责任由响应供应商承担。</w:t>
      </w:r>
    </w:p>
    <w:p w14:paraId="326A7C2B">
      <w:pPr>
        <w:pStyle w:val="33"/>
        <w:numPr>
          <w:ilvl w:val="0"/>
          <w:numId w:val="27"/>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响应供应商必须对响应文件所提供的全部资料的真实性承担法律责任，并无条件接受采购人对其中任何资料进行核实（核对原件）的要求。</w:t>
      </w:r>
    </w:p>
    <w:p w14:paraId="3A2A4D45">
      <w:pPr>
        <w:pStyle w:val="33"/>
        <w:numPr>
          <w:ilvl w:val="0"/>
          <w:numId w:val="27"/>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如果因为响应供应商的响应文件只填写和提供了本遴选文件要求的部分内容和附件，或没有提供遴选文件中所要求的全部资料及数据，由此造成的后果和责任由响应供应商承担。</w:t>
      </w:r>
    </w:p>
    <w:p w14:paraId="03E32D22">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报价</w:t>
      </w:r>
    </w:p>
    <w:p w14:paraId="3D471564">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响应供应商应按照“第二部分</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采购需求”中采购项目服务要求规定的内容、责任范围进行报价。并按《报价一览表》及《明细报价表》（如适用）的要求报出总价和分项价格。</w:t>
      </w:r>
    </w:p>
    <w:p w14:paraId="6B0C8554">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分项报价表内容应包含：</w:t>
      </w:r>
    </w:p>
    <w:p w14:paraId="5A63C5D9">
      <w:pPr>
        <w:pStyle w:val="33"/>
        <w:numPr>
          <w:ilvl w:val="2"/>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遴选文件要求全部货物及服务所需的费用；</w:t>
      </w:r>
    </w:p>
    <w:p w14:paraId="40AA0A0C">
      <w:pPr>
        <w:pStyle w:val="33"/>
        <w:numPr>
          <w:ilvl w:val="2"/>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报价包含履行合同所有相关内容所需的费用；</w:t>
      </w:r>
    </w:p>
    <w:p w14:paraId="56503DA2">
      <w:pPr>
        <w:pStyle w:val="33"/>
        <w:numPr>
          <w:ilvl w:val="2"/>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报价均应包含所有的税费；</w:t>
      </w:r>
    </w:p>
    <w:p w14:paraId="5F59506F">
      <w:pPr>
        <w:pStyle w:val="33"/>
        <w:numPr>
          <w:ilvl w:val="2"/>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其他一切隐含及不可预见的费用。</w:t>
      </w:r>
    </w:p>
    <w:p w14:paraId="006F9156">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报价为本项目内容的总价包干，报价即为合同价，不得在成交后提出任何增加费用要求，响应供应商在响应时应充分考虑相关风险性因素。</w:t>
      </w:r>
    </w:p>
    <w:p w14:paraId="53275001">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响应供应商在成交并签署合同后，服务期限内出现的任何遗漏，均由成交人负责，采购人将不再支付任何费用。</w:t>
      </w:r>
    </w:p>
    <w:p w14:paraId="2635264F">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响应供应商所报的价格在合同执行过程中是固定不变的，不得以任何理由予以变更。任何包含价格调整要求的响应被认为是非实质性响应而予以拒绝。</w:t>
      </w:r>
    </w:p>
    <w:p w14:paraId="600B71E0">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本项目不接受选择性报价，否则将被视为无效响应。</w:t>
      </w:r>
    </w:p>
    <w:p w14:paraId="321C7BA9">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
          <w:bCs/>
          <w:color w:val="auto"/>
          <w:spacing w:val="-6"/>
          <w:szCs w:val="21"/>
          <w:highlight w:val="none"/>
        </w:rPr>
        <w:t>响应供应商的报价高于采购预算或最高单价限价的，该响应供应商的响应文件将被视为非响应性报价作无效响应处理。</w:t>
      </w:r>
    </w:p>
    <w:p w14:paraId="09C0E1B5">
      <w:pPr>
        <w:pStyle w:val="33"/>
        <w:numPr>
          <w:ilvl w:val="0"/>
          <w:numId w:val="2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成交人向采购代理机构交纳成交服务费，成交服务费不在报价中单列。</w:t>
      </w:r>
    </w:p>
    <w:p w14:paraId="479F9207">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响应有效期</w:t>
      </w:r>
    </w:p>
    <w:p w14:paraId="4FB1F600">
      <w:pPr>
        <w:pStyle w:val="33"/>
        <w:numPr>
          <w:ilvl w:val="0"/>
          <w:numId w:val="30"/>
        </w:numPr>
        <w:spacing w:line="360" w:lineRule="auto"/>
        <w:ind w:left="567" w:hanging="567" w:firstLineChars="0"/>
        <w:rPr>
          <w:rFonts w:asciiTheme="minorEastAsia" w:hAnsiTheme="minorEastAsia"/>
          <w:bCs/>
          <w:color w:val="auto"/>
          <w:spacing w:val="-2"/>
          <w:szCs w:val="21"/>
          <w:highlight w:val="none"/>
        </w:rPr>
      </w:pPr>
      <w:r>
        <w:rPr>
          <w:rFonts w:hint="eastAsia" w:asciiTheme="minorEastAsia" w:hAnsiTheme="minorEastAsia"/>
          <w:bCs/>
          <w:color w:val="auto"/>
          <w:spacing w:val="-2"/>
          <w:szCs w:val="21"/>
          <w:highlight w:val="none"/>
        </w:rPr>
        <w:t>响应</w:t>
      </w:r>
      <w:r>
        <w:rPr>
          <w:rFonts w:hint="eastAsia" w:asciiTheme="minorEastAsia" w:hAnsiTheme="minorEastAsia"/>
          <w:color w:val="auto"/>
          <w:highlight w:val="none"/>
        </w:rPr>
        <w:t>有效期自遴选文件规定的</w:t>
      </w:r>
      <w:r>
        <w:rPr>
          <w:rFonts w:hint="eastAsia" w:asciiTheme="minorEastAsia" w:hAnsiTheme="minorEastAsia"/>
          <w:bCs/>
          <w:color w:val="auto"/>
          <w:spacing w:val="-2"/>
          <w:szCs w:val="21"/>
          <w:highlight w:val="none"/>
        </w:rPr>
        <w:t>响应文件</w:t>
      </w:r>
      <w:r>
        <w:rPr>
          <w:rFonts w:hint="eastAsia" w:asciiTheme="minorEastAsia" w:hAnsiTheme="minorEastAsia"/>
          <w:color w:val="auto"/>
          <w:highlight w:val="none"/>
        </w:rPr>
        <w:t>递交截止时间起算</w:t>
      </w:r>
      <w:r>
        <w:rPr>
          <w:rFonts w:hint="eastAsia" w:asciiTheme="minorEastAsia" w:hAnsiTheme="minorEastAsia"/>
          <w:bCs/>
          <w:color w:val="auto"/>
          <w:spacing w:val="-2"/>
          <w:szCs w:val="21"/>
          <w:highlight w:val="none"/>
        </w:rPr>
        <w:t>。响应有效期</w:t>
      </w:r>
      <w:r>
        <w:rPr>
          <w:rFonts w:hint="eastAsia" w:asciiTheme="minorEastAsia" w:hAnsiTheme="minorEastAsia"/>
          <w:color w:val="auto"/>
          <w:highlight w:val="none"/>
        </w:rPr>
        <w:t>比规定时间短</w:t>
      </w:r>
      <w:r>
        <w:rPr>
          <w:rFonts w:hint="eastAsia" w:asciiTheme="minorEastAsia" w:hAnsiTheme="minorEastAsia"/>
          <w:bCs/>
          <w:color w:val="auto"/>
          <w:spacing w:val="-2"/>
          <w:szCs w:val="21"/>
          <w:highlight w:val="none"/>
        </w:rPr>
        <w:t>的响应将被视为非实质性响应，视为无效响应。</w:t>
      </w:r>
    </w:p>
    <w:p w14:paraId="79374792">
      <w:pPr>
        <w:pStyle w:val="33"/>
        <w:numPr>
          <w:ilvl w:val="0"/>
          <w:numId w:val="20"/>
        </w:numPr>
        <w:spacing w:before="312" w:beforeLines="100" w:line="360" w:lineRule="auto"/>
        <w:ind w:firstLineChars="0"/>
        <w:rPr>
          <w:rFonts w:asciiTheme="minorEastAsia" w:hAnsiTheme="minorEastAsia"/>
          <w:b/>
          <w:color w:val="auto"/>
          <w:highlight w:val="none"/>
        </w:rPr>
      </w:pPr>
      <w:bookmarkStart w:id="28" w:name="_Toc357676129"/>
      <w:r>
        <w:rPr>
          <w:rFonts w:hint="eastAsia" w:asciiTheme="minorEastAsia" w:hAnsiTheme="minorEastAsia"/>
          <w:b/>
          <w:color w:val="auto"/>
          <w:highlight w:val="none"/>
        </w:rPr>
        <w:t>响应文件的式样和签署</w:t>
      </w:r>
      <w:bookmarkEnd w:id="28"/>
    </w:p>
    <w:p w14:paraId="58C1A99E">
      <w:pPr>
        <w:pStyle w:val="33"/>
        <w:numPr>
          <w:ilvl w:val="0"/>
          <w:numId w:val="31"/>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文件的正本需打印或用不褪色墨水书写，响应文件要求签名的由法定代表人或经其正式授权的代表签字，响应文件要求盖章的需加盖响应供应商公章，副本可由正本复印而成，与正本具有同等法律效力。授权代表须将以书面形式出具的《法定代表人授权委托书》附在响应文件中。</w:t>
      </w:r>
    </w:p>
    <w:p w14:paraId="1894FCB9">
      <w:pPr>
        <w:pStyle w:val="33"/>
        <w:numPr>
          <w:ilvl w:val="0"/>
          <w:numId w:val="31"/>
        </w:numPr>
        <w:spacing w:line="360" w:lineRule="auto"/>
        <w:ind w:left="567" w:hanging="567" w:firstLineChars="0"/>
        <w:rPr>
          <w:rFonts w:asciiTheme="minorEastAsia" w:hAnsiTheme="minorEastAsia"/>
          <w:color w:val="auto"/>
          <w:highlight w:val="none"/>
        </w:rPr>
      </w:pPr>
      <w:r>
        <w:rPr>
          <w:rFonts w:hint="eastAsia" w:asciiTheme="minorEastAsia" w:hAnsiTheme="minorEastAsia"/>
          <w:bCs/>
          <w:color w:val="auto"/>
          <w:szCs w:val="21"/>
          <w:highlight w:val="none"/>
        </w:rPr>
        <w:t>响应文件中的任何重要的插字、涂改和增删，必须由法定代表人或经其正式授权的代表在旁边签署。</w:t>
      </w:r>
    </w:p>
    <w:p w14:paraId="26B01562">
      <w:pPr>
        <w:pStyle w:val="33"/>
        <w:numPr>
          <w:ilvl w:val="0"/>
          <w:numId w:val="19"/>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响应文件的递交</w:t>
      </w:r>
    </w:p>
    <w:p w14:paraId="4C3111B7">
      <w:pPr>
        <w:pStyle w:val="33"/>
        <w:numPr>
          <w:ilvl w:val="0"/>
          <w:numId w:val="20"/>
        </w:numPr>
        <w:spacing w:line="360" w:lineRule="auto"/>
        <w:ind w:firstLineChars="0"/>
        <w:rPr>
          <w:rFonts w:asciiTheme="minorEastAsia" w:hAnsiTheme="minorEastAsia"/>
          <w:b/>
          <w:color w:val="auto"/>
          <w:highlight w:val="none"/>
        </w:rPr>
      </w:pPr>
      <w:bookmarkStart w:id="29" w:name="_Toc357676131"/>
      <w:r>
        <w:rPr>
          <w:rFonts w:hint="eastAsia" w:asciiTheme="minorEastAsia" w:hAnsiTheme="minorEastAsia"/>
          <w:b/>
          <w:color w:val="auto"/>
          <w:highlight w:val="none"/>
        </w:rPr>
        <w:t>响应文件的装订、密封和标记</w:t>
      </w:r>
      <w:bookmarkEnd w:id="29"/>
    </w:p>
    <w:p w14:paraId="11816D67">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响应供应商应当对响应文件进行装订（所有文件均不允许采用活动夹方式装订）。</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338"/>
        <w:gridCol w:w="1455"/>
        <w:gridCol w:w="5280"/>
      </w:tblGrid>
      <w:tr w14:paraId="7F114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2D4ECCAE">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763" w:type="pct"/>
            <w:vAlign w:val="center"/>
          </w:tcPr>
          <w:p w14:paraId="430EF4E5">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文件名称</w:t>
            </w:r>
          </w:p>
        </w:tc>
        <w:tc>
          <w:tcPr>
            <w:tcW w:w="830" w:type="pct"/>
            <w:vAlign w:val="center"/>
          </w:tcPr>
          <w:p w14:paraId="2FD5CC2F">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装订</w:t>
            </w:r>
          </w:p>
        </w:tc>
        <w:tc>
          <w:tcPr>
            <w:tcW w:w="3011" w:type="pct"/>
            <w:vAlign w:val="center"/>
          </w:tcPr>
          <w:p w14:paraId="3806FC7E">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包装</w:t>
            </w:r>
          </w:p>
        </w:tc>
      </w:tr>
      <w:tr w14:paraId="6FA29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555C9F0D">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1</w:t>
            </w:r>
          </w:p>
        </w:tc>
        <w:tc>
          <w:tcPr>
            <w:tcW w:w="763" w:type="pct"/>
            <w:vAlign w:val="center"/>
          </w:tcPr>
          <w:p w14:paraId="5D4E945B">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响应文件</w:t>
            </w:r>
          </w:p>
        </w:tc>
        <w:tc>
          <w:tcPr>
            <w:tcW w:w="830" w:type="pct"/>
            <w:vAlign w:val="center"/>
          </w:tcPr>
          <w:p w14:paraId="2A9E50B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独立装订</w:t>
            </w:r>
          </w:p>
        </w:tc>
        <w:tc>
          <w:tcPr>
            <w:tcW w:w="3011" w:type="pct"/>
            <w:vAlign w:val="center"/>
          </w:tcPr>
          <w:p w14:paraId="168B0DF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正本、副本一起密封包装，其中正本一份、副本五份</w:t>
            </w:r>
          </w:p>
        </w:tc>
      </w:tr>
      <w:tr w14:paraId="592A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4B704AE0">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2</w:t>
            </w:r>
          </w:p>
        </w:tc>
        <w:tc>
          <w:tcPr>
            <w:tcW w:w="763" w:type="pct"/>
            <w:vAlign w:val="center"/>
          </w:tcPr>
          <w:p w14:paraId="2DF55768">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响应信封</w:t>
            </w:r>
          </w:p>
        </w:tc>
        <w:tc>
          <w:tcPr>
            <w:tcW w:w="830" w:type="pct"/>
            <w:vAlign w:val="center"/>
          </w:tcPr>
          <w:p w14:paraId="3826F71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独立装订</w:t>
            </w:r>
          </w:p>
        </w:tc>
        <w:tc>
          <w:tcPr>
            <w:tcW w:w="3011" w:type="pct"/>
            <w:vAlign w:val="center"/>
          </w:tcPr>
          <w:p w14:paraId="49E10930">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单独密封包装</w:t>
            </w:r>
          </w:p>
        </w:tc>
      </w:tr>
    </w:tbl>
    <w:p w14:paraId="477BE3C9">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响应供应商应将响应函、报价一览表、明细报价表（如适用）、法定代表人身份证明书或法定代表人授权委托书一起密封提交，并在信封上标明“</w:t>
      </w:r>
      <w:r>
        <w:rPr>
          <w:rFonts w:hint="eastAsia" w:asciiTheme="minorEastAsia" w:hAnsiTheme="minorEastAsia"/>
          <w:bCs/>
          <w:color w:val="auto"/>
          <w:szCs w:val="21"/>
          <w:highlight w:val="none"/>
          <w:lang w:val="en-US" w:eastAsia="zh-CN"/>
        </w:rPr>
        <w:t>响应</w:t>
      </w:r>
      <w:r>
        <w:rPr>
          <w:rFonts w:hint="eastAsia" w:asciiTheme="minorEastAsia" w:hAnsiTheme="minorEastAsia"/>
          <w:bCs/>
          <w:color w:val="auto"/>
          <w:szCs w:val="21"/>
          <w:highlight w:val="none"/>
        </w:rPr>
        <w:t>信封”的字样。</w:t>
      </w:r>
    </w:p>
    <w:p w14:paraId="76DE6032">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响应文件包装密封</w:t>
      </w:r>
    </w:p>
    <w:p w14:paraId="4C1D579F">
      <w:pPr>
        <w:pStyle w:val="33"/>
        <w:numPr>
          <w:ilvl w:val="0"/>
          <w:numId w:val="33"/>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响应供应商应将响应文件密封包装；</w:t>
      </w:r>
    </w:p>
    <w:p w14:paraId="1CB75989">
      <w:pPr>
        <w:pStyle w:val="33"/>
        <w:numPr>
          <w:ilvl w:val="0"/>
          <w:numId w:val="33"/>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不足以造成响应文件可从外包装内散出而导致响应文件泄密的，不认定为响应文件未密封。</w:t>
      </w:r>
    </w:p>
    <w:p w14:paraId="40F2B064">
      <w:pPr>
        <w:pStyle w:val="33"/>
        <w:numPr>
          <w:ilvl w:val="0"/>
          <w:numId w:val="33"/>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包装封套均应注明：</w:t>
      </w:r>
    </w:p>
    <w:p w14:paraId="3965BB14">
      <w:pPr>
        <w:pStyle w:val="33"/>
        <w:spacing w:line="360" w:lineRule="auto"/>
        <w:ind w:left="567" w:firstLine="0" w:firstLineChars="0"/>
        <w:rPr>
          <w:rFonts w:asciiTheme="minorEastAsia" w:hAnsiTheme="minorEastAsia"/>
          <w:color w:val="auto"/>
          <w:szCs w:val="21"/>
          <w:highlight w:val="none"/>
          <w:u w:val="single"/>
        </w:rPr>
      </w:pPr>
      <w:r>
        <w:rPr>
          <w:rFonts w:hint="eastAsia" w:asciiTheme="minorEastAsia" w:hAnsiTheme="minorEastAsia"/>
          <w:bCs/>
          <w:color w:val="auto"/>
          <w:szCs w:val="21"/>
          <w:highlight w:val="none"/>
        </w:rPr>
        <w:t>收件人名称：</w:t>
      </w:r>
      <w:r>
        <w:rPr>
          <w:rFonts w:asciiTheme="minorEastAsia" w:hAnsiTheme="minorEastAsia"/>
          <w:color w:val="auto"/>
          <w:szCs w:val="21"/>
          <w:highlight w:val="none"/>
          <w:u w:val="single"/>
        </w:rPr>
        <w:t xml:space="preserve">广东智汇城市招标采购有限公司         </w:t>
      </w:r>
    </w:p>
    <w:p w14:paraId="0EC6C47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color w:val="auto"/>
          <w:szCs w:val="21"/>
          <w:highlight w:val="none"/>
        </w:rPr>
        <w:t>响应供应商名称：</w:t>
      </w:r>
      <w:r>
        <w:rPr>
          <w:rFonts w:asciiTheme="minorEastAsia" w:hAnsiTheme="minorEastAsia"/>
          <w:color w:val="auto"/>
          <w:szCs w:val="21"/>
          <w:highlight w:val="none"/>
          <w:u w:val="single"/>
        </w:rPr>
        <w:t xml:space="preserve">                                 </w:t>
      </w:r>
    </w:p>
    <w:p w14:paraId="7A6AABD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项目名称：</w:t>
      </w:r>
      <w:r>
        <w:rPr>
          <w:rFonts w:asciiTheme="minorEastAsia" w:hAnsiTheme="minorEastAsia"/>
          <w:bCs/>
          <w:color w:val="auto"/>
          <w:szCs w:val="21"/>
          <w:highlight w:val="none"/>
          <w:u w:val="single"/>
        </w:rPr>
        <w:t xml:space="preserve">        （详见邀请函）         </w:t>
      </w:r>
    </w:p>
    <w:p w14:paraId="694E546E">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评选编号：</w:t>
      </w:r>
      <w:r>
        <w:rPr>
          <w:rFonts w:asciiTheme="minorEastAsia" w:hAnsiTheme="minorEastAsia"/>
          <w:bCs/>
          <w:color w:val="auto"/>
          <w:szCs w:val="21"/>
          <w:highlight w:val="none"/>
          <w:u w:val="single"/>
        </w:rPr>
        <w:t xml:space="preserve">        （详见邀请函）         </w:t>
      </w:r>
    </w:p>
    <w:p w14:paraId="7D09E23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注明：“</w:t>
      </w:r>
      <w:r>
        <w:rPr>
          <w:rFonts w:hint="eastAsia" w:asciiTheme="minorEastAsia" w:hAnsiTheme="minorEastAsia"/>
          <w:bCs/>
          <w:color w:val="auto"/>
          <w:szCs w:val="21"/>
          <w:highlight w:val="none"/>
          <w:u w:val="single"/>
        </w:rPr>
        <w:t>于</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年</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月</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日北京时间</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 xml:space="preserve"> </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rPr>
        <w:t>（详见邀请函）之前不得启封”的字样。</w:t>
      </w:r>
    </w:p>
    <w:p w14:paraId="7F3750A8">
      <w:pPr>
        <w:pStyle w:val="33"/>
        <w:numPr>
          <w:ilvl w:val="0"/>
          <w:numId w:val="33"/>
        </w:numPr>
        <w:tabs>
          <w:tab w:val="left" w:pos="567"/>
        </w:tabs>
        <w:spacing w:line="360" w:lineRule="auto"/>
        <w:ind w:left="567" w:hanging="567" w:firstLineChars="0"/>
        <w:rPr>
          <w:rFonts w:asciiTheme="minorEastAsia" w:hAnsiTheme="minorEastAsia"/>
          <w:bCs/>
          <w:color w:val="auto"/>
          <w:spacing w:val="-4"/>
          <w:szCs w:val="21"/>
          <w:highlight w:val="none"/>
        </w:rPr>
      </w:pPr>
      <w:r>
        <w:rPr>
          <w:rFonts w:hint="eastAsia" w:asciiTheme="minorEastAsia" w:hAnsiTheme="minorEastAsia"/>
          <w:bCs/>
          <w:color w:val="auto"/>
          <w:spacing w:val="-4"/>
          <w:szCs w:val="21"/>
          <w:highlight w:val="none"/>
        </w:rPr>
        <w:t>如果未按本须知上款要求加写标记和密封，采购代理机构对误投或提前启封概不负责。</w:t>
      </w:r>
    </w:p>
    <w:p w14:paraId="081E3BBD">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提交响应</w:t>
      </w:r>
      <w:r>
        <w:rPr>
          <w:rFonts w:asciiTheme="minorEastAsia" w:hAnsiTheme="minorEastAsia"/>
          <w:b/>
          <w:color w:val="auto"/>
          <w:highlight w:val="none"/>
        </w:rPr>
        <w:t>文件</w:t>
      </w:r>
      <w:r>
        <w:rPr>
          <w:rFonts w:hint="eastAsia" w:asciiTheme="minorEastAsia" w:hAnsiTheme="minorEastAsia"/>
          <w:b/>
          <w:color w:val="auto"/>
          <w:highlight w:val="none"/>
        </w:rPr>
        <w:t>截止期</w:t>
      </w:r>
    </w:p>
    <w:p w14:paraId="0AE67B22">
      <w:pPr>
        <w:pStyle w:val="33"/>
        <w:numPr>
          <w:ilvl w:val="0"/>
          <w:numId w:val="34"/>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响应供应商应在不迟于</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中规定的截止日期和时间将响应文件递交至采购代理机构，递交地点应是</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中指明的地址。</w:t>
      </w:r>
    </w:p>
    <w:p w14:paraId="470E870A">
      <w:pPr>
        <w:pStyle w:val="33"/>
        <w:numPr>
          <w:ilvl w:val="0"/>
          <w:numId w:val="34"/>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采购代理机构将拒绝在规定的响应截止期后收到的任何响应文件。</w:t>
      </w:r>
    </w:p>
    <w:p w14:paraId="135F739C">
      <w:pPr>
        <w:pStyle w:val="33"/>
        <w:numPr>
          <w:ilvl w:val="0"/>
          <w:numId w:val="19"/>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开标与评审准则</w:t>
      </w:r>
    </w:p>
    <w:p w14:paraId="4FE2ED81">
      <w:pPr>
        <w:pStyle w:val="33"/>
        <w:numPr>
          <w:ilvl w:val="0"/>
          <w:numId w:val="20"/>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开标</w:t>
      </w:r>
    </w:p>
    <w:p w14:paraId="4FBE52CB">
      <w:pPr>
        <w:pStyle w:val="33"/>
        <w:numPr>
          <w:ilvl w:val="0"/>
          <w:numId w:val="35"/>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采购代理机构按</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中规定的日期、时间和地点组织公开开标。开标时邀请所有响应供应商代表参加。参加开标的法定代表人或其授权代表携带有效身份证签名报到以证明其出席。</w:t>
      </w:r>
    </w:p>
    <w:p w14:paraId="537B02EC">
      <w:pPr>
        <w:pStyle w:val="33"/>
        <w:numPr>
          <w:ilvl w:val="0"/>
          <w:numId w:val="35"/>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响应供应商不足</w:t>
      </w:r>
      <w:r>
        <w:rPr>
          <w:rFonts w:asciiTheme="minorEastAsia" w:hAnsiTheme="minorEastAsia"/>
          <w:bCs/>
          <w:color w:val="auto"/>
          <w:szCs w:val="21"/>
          <w:highlight w:val="none"/>
        </w:rPr>
        <w:t>3家的，不得开标。</w:t>
      </w:r>
    </w:p>
    <w:p w14:paraId="312BF505">
      <w:pPr>
        <w:pStyle w:val="33"/>
        <w:numPr>
          <w:ilvl w:val="0"/>
          <w:numId w:val="35"/>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开标过程应当由采购人或者采购代理机构负责记录，由参加开标的各响应供应商代表和相关工作人员签字确认。</w:t>
      </w:r>
    </w:p>
    <w:p w14:paraId="7E63A01F">
      <w:pPr>
        <w:pStyle w:val="33"/>
        <w:numPr>
          <w:ilvl w:val="0"/>
          <w:numId w:val="35"/>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响应供应商未参加开标的，视同认可开标结果。</w:t>
      </w:r>
    </w:p>
    <w:p w14:paraId="4F02C743">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评审委员会和评审方法</w:t>
      </w:r>
    </w:p>
    <w:p w14:paraId="38A334E0">
      <w:pPr>
        <w:pStyle w:val="33"/>
        <w:numPr>
          <w:ilvl w:val="0"/>
          <w:numId w:val="36"/>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评审由评审委员会负责。</w:t>
      </w:r>
    </w:p>
    <w:p w14:paraId="68303F8D">
      <w:pPr>
        <w:pStyle w:val="33"/>
        <w:numPr>
          <w:ilvl w:val="0"/>
          <w:numId w:val="36"/>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评审委员会由采购人代表组成，成员人数应为</w:t>
      </w:r>
      <w:r>
        <w:rPr>
          <w:rFonts w:asciiTheme="minorEastAsia" w:hAnsiTheme="minorEastAsia"/>
          <w:b/>
          <w:color w:val="auto"/>
          <w:szCs w:val="21"/>
          <w:highlight w:val="none"/>
          <w:u w:val="single"/>
        </w:rPr>
        <w:t>3</w:t>
      </w:r>
      <w:r>
        <w:rPr>
          <w:rFonts w:hint="eastAsia" w:asciiTheme="minorEastAsia" w:hAnsiTheme="minorEastAsia"/>
          <w:b/>
          <w:color w:val="auto"/>
          <w:szCs w:val="21"/>
          <w:highlight w:val="none"/>
          <w:u w:val="single"/>
        </w:rPr>
        <w:t>人</w:t>
      </w:r>
      <w:r>
        <w:rPr>
          <w:rFonts w:hint="eastAsia" w:asciiTheme="minorEastAsia" w:hAnsiTheme="minorEastAsia"/>
          <w:bCs/>
          <w:color w:val="auto"/>
          <w:szCs w:val="21"/>
          <w:highlight w:val="none"/>
        </w:rPr>
        <w:t>。</w:t>
      </w:r>
    </w:p>
    <w:p w14:paraId="1E02FDAF">
      <w:pPr>
        <w:pStyle w:val="33"/>
        <w:numPr>
          <w:ilvl w:val="0"/>
          <w:numId w:val="36"/>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评审委员会将按照遴选文件确定的评审方法进行评审。评审委员会对响应文件的评审分为符合性检查和商务评审、技术评审、价格评审。</w:t>
      </w:r>
    </w:p>
    <w:p w14:paraId="73CAE6E8">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响应文件的澄清</w:t>
      </w:r>
    </w:p>
    <w:p w14:paraId="4A09454C">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8.1 </w:t>
      </w:r>
      <w:r>
        <w:rPr>
          <w:rFonts w:hint="eastAsia" w:asciiTheme="minorEastAsia" w:hAnsiTheme="minorEastAsia"/>
          <w:bCs/>
          <w:color w:val="auto"/>
          <w:szCs w:val="21"/>
          <w:highlight w:val="none"/>
        </w:rPr>
        <w:t>评审期间，对于响应文件中含义不明确、同类问题表述不一致或者有明显文字和计算错误的内容，评审委员会以书面的形式要求响应供应商作出必要的澄清、说明或者补正。</w:t>
      </w:r>
    </w:p>
    <w:p w14:paraId="60B4478E">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8.2 </w:t>
      </w:r>
      <w:r>
        <w:rPr>
          <w:rFonts w:hint="eastAsia" w:asciiTheme="minorEastAsia" w:hAnsiTheme="minorEastAsia"/>
          <w:bCs/>
          <w:color w:val="auto"/>
          <w:szCs w:val="21"/>
          <w:highlight w:val="none"/>
        </w:rPr>
        <w:t>响应供应商的澄清、说明或者补正采用书面形式，并加盖公章，或者由法定代表人或其授权的代表签字。响应供应商的澄清、说明或者补正不得超出响应文件的范围或者改变响应文件的实质性内容。</w:t>
      </w:r>
    </w:p>
    <w:p w14:paraId="7F29EF58">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8.3 </w:t>
      </w:r>
      <w:r>
        <w:rPr>
          <w:rFonts w:hint="eastAsia" w:asciiTheme="minorEastAsia" w:hAnsiTheme="minorEastAsia"/>
          <w:bCs/>
          <w:color w:val="auto"/>
          <w:szCs w:val="21"/>
          <w:highlight w:val="none"/>
        </w:rPr>
        <w:t>响应供应商的澄清文件是其响应文件的组成部分。</w:t>
      </w:r>
    </w:p>
    <w:p w14:paraId="06CFFE3B">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询问、质疑</w:t>
      </w:r>
    </w:p>
    <w:p w14:paraId="7458C944">
      <w:pPr>
        <w:pStyle w:val="33"/>
        <w:numPr>
          <w:ilvl w:val="0"/>
          <w:numId w:val="3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询问</w:t>
      </w:r>
    </w:p>
    <w:p w14:paraId="0D2E1983">
      <w:pPr>
        <w:pStyle w:val="33"/>
        <w:numPr>
          <w:ilvl w:val="2"/>
          <w:numId w:val="3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响应供应商对政府采购活动事项有疑问的，可以向采购人或者采购代理机构提出询问，询问可以口头方式提出，也可以书面方式提出。</w:t>
      </w:r>
    </w:p>
    <w:p w14:paraId="3C9567F8">
      <w:pPr>
        <w:pStyle w:val="33"/>
        <w:numPr>
          <w:ilvl w:val="2"/>
          <w:numId w:val="3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如采用书面方式提出询问，响应供应商为自然人的，询问函应当由本人签字；响应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AC26378">
      <w:pPr>
        <w:pStyle w:val="33"/>
        <w:numPr>
          <w:ilvl w:val="2"/>
          <w:numId w:val="3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采购人或者采购代理机构在三个工作日内对响应供应商依法提出的询问作出答复。</w:t>
      </w:r>
    </w:p>
    <w:p w14:paraId="1E6ECC49">
      <w:pPr>
        <w:pStyle w:val="33"/>
        <w:numPr>
          <w:ilvl w:val="0"/>
          <w:numId w:val="3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质疑</w:t>
      </w:r>
    </w:p>
    <w:p w14:paraId="1B9FD042">
      <w:pPr>
        <w:pStyle w:val="33"/>
        <w:numPr>
          <w:ilvl w:val="2"/>
          <w:numId w:val="39"/>
        </w:numPr>
        <w:spacing w:line="360" w:lineRule="auto"/>
        <w:ind w:firstLineChars="0"/>
        <w:rPr>
          <w:rFonts w:asciiTheme="minorEastAsia" w:hAnsiTheme="minorEastAsia"/>
          <w:bCs/>
          <w:color w:val="auto"/>
          <w:szCs w:val="21"/>
          <w:highlight w:val="none"/>
        </w:rPr>
      </w:pPr>
      <w:r>
        <w:rPr>
          <w:rFonts w:hint="eastAsia" w:cs="宋体" w:asciiTheme="minorEastAsia" w:hAnsiTheme="minorEastAsia"/>
          <w:color w:val="auto"/>
          <w:kern w:val="0"/>
          <w:szCs w:val="21"/>
          <w:highlight w:val="none"/>
        </w:rPr>
        <w:t>响应供应商认为遴选文件、采购过程、中标或者成交结果使自己的权益受到损害的，可以在知道或者应知其权益受到损害之日起7个工作日内，以书面形式向采购人、采购代理机构提出质疑。</w:t>
      </w:r>
    </w:p>
    <w:p w14:paraId="5D052F3E">
      <w:pPr>
        <w:pStyle w:val="33"/>
        <w:numPr>
          <w:ilvl w:val="2"/>
          <w:numId w:val="3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提出质疑的响应供应商应当是参与所质疑项目采购活动的响应供应商。</w:t>
      </w:r>
    </w:p>
    <w:p w14:paraId="2AF2515D">
      <w:pPr>
        <w:pStyle w:val="33"/>
        <w:numPr>
          <w:ilvl w:val="0"/>
          <w:numId w:val="3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提交要求：</w:t>
      </w:r>
    </w:p>
    <w:p w14:paraId="2D282F95">
      <w:pPr>
        <w:pStyle w:val="33"/>
        <w:numPr>
          <w:ilvl w:val="2"/>
          <w:numId w:val="4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以书面形式向采购人或者采购代理机构一次性提出针对同一采购程序环节的质疑。</w:t>
      </w:r>
    </w:p>
    <w:p w14:paraId="79B635F3">
      <w:pPr>
        <w:pStyle w:val="33"/>
        <w:numPr>
          <w:ilvl w:val="2"/>
          <w:numId w:val="4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pacing w:val="-4"/>
          <w:szCs w:val="21"/>
          <w:highlight w:val="none"/>
        </w:rPr>
        <w:t>以联合体形式参加政府采购活动的，其质疑应当由组成联合体的所有响应供应商共同提出</w:t>
      </w:r>
      <w:r>
        <w:rPr>
          <w:rFonts w:hint="eastAsia" w:asciiTheme="minorEastAsia" w:hAnsiTheme="minorEastAsia"/>
          <w:bCs/>
          <w:color w:val="auto"/>
          <w:szCs w:val="21"/>
          <w:highlight w:val="none"/>
        </w:rPr>
        <w:t>。</w:t>
      </w:r>
    </w:p>
    <w:p w14:paraId="5E40AEC6">
      <w:pPr>
        <w:pStyle w:val="33"/>
        <w:numPr>
          <w:ilvl w:val="2"/>
          <w:numId w:val="4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质疑函内容：应包括响应供应商的姓名或者名称、地址、邮编、联系人及联系电话；质疑项目的名称及编号；具体且明确的质疑事项和与质疑事项相关的请求；事实依据、必要的法律依据、提出质疑的日期。响应供应商为自然人的，质疑函应当由本人签字；响应供应商为法人或者其他组织的，应当由法定代表人、主要负责人或授权代表签字或者盖章，并加盖公章。响应响应供应商递交质疑函时非法定代表人亲自办理的需提供法定代表人授权委托书（应载明授权代表的姓名或者名称、代理事项、具体权限、期限和相关事项）及授权代表身份证复印件。</w:t>
      </w:r>
    </w:p>
    <w:p w14:paraId="727DD9BD">
      <w:pPr>
        <w:pStyle w:val="33"/>
        <w:numPr>
          <w:ilvl w:val="2"/>
          <w:numId w:val="4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响应供应商捏造事实、提供虚假材料或者以非法手段取得证明材料不能作为质疑的证明材料。采购人或者采购代理机构在收到响应供应商的书面质疑后</w:t>
      </w:r>
      <w:r>
        <w:rPr>
          <w:rFonts w:asciiTheme="minorEastAsia" w:hAnsiTheme="minorEastAsia"/>
          <w:bCs/>
          <w:color w:val="auto"/>
          <w:szCs w:val="21"/>
          <w:highlight w:val="none"/>
        </w:rPr>
        <w:t>7个工作日内作出答复，并以书面形式通知质疑响应供应商和其他有关响应供应商，但答复内容不涉及商业秘密。质疑响应供应商须提供相关证明材料，包括但不限于权益受损害的情况说明及受损害的原因、证据内容等，并对质疑内容的真实性承担责任。</w:t>
      </w:r>
    </w:p>
    <w:p w14:paraId="61171282">
      <w:pPr>
        <w:pStyle w:val="33"/>
        <w:numPr>
          <w:ilvl w:val="2"/>
          <w:numId w:val="4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采购人或采购代理机构接收以书面形式递交的质疑函，接收质疑函的联系人、联系方式和通讯地址：</w:t>
      </w:r>
    </w:p>
    <w:p w14:paraId="4D2DDFF7">
      <w:pPr>
        <w:rPr>
          <w:rFonts w:asciiTheme="minorEastAsia" w:hAnsiTheme="minorEastAsia"/>
          <w:color w:val="auto"/>
          <w:szCs w:val="21"/>
          <w:highlight w:val="none"/>
        </w:rPr>
      </w:pPr>
      <w:r>
        <w:rPr>
          <w:rFonts w:hint="eastAsia" w:asciiTheme="minorEastAsia" w:hAnsiTheme="minorEastAsia"/>
          <w:color w:val="auto"/>
          <w:szCs w:val="21"/>
          <w:highlight w:val="none"/>
        </w:rPr>
        <w:t>联</w:t>
      </w:r>
      <w:r>
        <w:rPr>
          <w:rFonts w:hint="eastAsia" w:asciiTheme="minorEastAsia" w:hAnsiTheme="minorEastAsia"/>
          <w:color w:val="auto"/>
          <w:szCs w:val="21"/>
          <w:highlight w:val="none"/>
          <w:lang w:val="en-US" w:eastAsia="zh-CN"/>
        </w:rPr>
        <w:t xml:space="preserve"> </w:t>
      </w:r>
      <w:r>
        <w:rPr>
          <w:rFonts w:hint="eastAsia" w:asciiTheme="minorEastAsia" w:hAnsiTheme="minorEastAsia"/>
          <w:color w:val="auto"/>
          <w:szCs w:val="21"/>
          <w:highlight w:val="none"/>
        </w:rPr>
        <w:t>系</w:t>
      </w:r>
      <w:r>
        <w:rPr>
          <w:rFonts w:hint="eastAsia" w:asciiTheme="minorEastAsia" w:hAnsiTheme="minorEastAsia"/>
          <w:color w:val="auto"/>
          <w:szCs w:val="21"/>
          <w:highlight w:val="none"/>
          <w:lang w:val="en-US" w:eastAsia="zh-CN"/>
        </w:rPr>
        <w:t xml:space="preserve"> </w:t>
      </w:r>
      <w:r>
        <w:rPr>
          <w:rFonts w:hint="eastAsia" w:asciiTheme="minorEastAsia" w:hAnsiTheme="minorEastAsia"/>
          <w:color w:val="auto"/>
          <w:szCs w:val="21"/>
          <w:highlight w:val="none"/>
        </w:rPr>
        <w:t>人：黄小姐</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联系电话：0769</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rPr>
        <w:t>22367009</w:t>
      </w:r>
    </w:p>
    <w:p w14:paraId="73F5DF4B">
      <w:pPr>
        <w:spacing w:line="360" w:lineRule="auto"/>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联系地址：</w:t>
      </w:r>
      <w:r>
        <w:rPr>
          <w:rFonts w:hint="eastAsia" w:asciiTheme="minorEastAsia" w:hAnsiTheme="minorEastAsia"/>
          <w:color w:val="auto"/>
          <w:szCs w:val="21"/>
          <w:highlight w:val="none"/>
          <w:lang w:eastAsia="zh-CN"/>
        </w:rPr>
        <w:t>东莞市南城街道雅园产业园区路5号1栋1楼</w:t>
      </w:r>
    </w:p>
    <w:p w14:paraId="3A8434E9">
      <w:pPr>
        <w:pStyle w:val="33"/>
        <w:numPr>
          <w:ilvl w:val="0"/>
          <w:numId w:val="20"/>
        </w:numPr>
        <w:ind w:firstLineChars="0"/>
        <w:rPr>
          <w:rFonts w:asciiTheme="minorEastAsia" w:hAnsiTheme="minorEastAsia"/>
          <w:b/>
          <w:color w:val="auto"/>
          <w:highlight w:val="none"/>
        </w:rPr>
      </w:pPr>
      <w:bookmarkStart w:id="30" w:name="_Toc357676148"/>
      <w:r>
        <w:rPr>
          <w:rFonts w:hint="eastAsia" w:asciiTheme="minorEastAsia" w:hAnsiTheme="minorEastAsia"/>
          <w:b/>
          <w:color w:val="auto"/>
          <w:highlight w:val="none"/>
        </w:rPr>
        <w:t>特别说明</w:t>
      </w:r>
    </w:p>
    <w:p w14:paraId="7CEEA170">
      <w:pPr>
        <w:pStyle w:val="33"/>
        <w:numPr>
          <w:ilvl w:val="0"/>
          <w:numId w:val="41"/>
        </w:numPr>
        <w:ind w:firstLineChars="0"/>
        <w:rPr>
          <w:rFonts w:asciiTheme="minorEastAsia" w:hAnsiTheme="minorEastAsia"/>
          <w:b/>
          <w:color w:val="auto"/>
          <w:highlight w:val="none"/>
        </w:rPr>
      </w:pPr>
      <w:r>
        <w:rPr>
          <w:rFonts w:hint="eastAsia" w:asciiTheme="minorEastAsia" w:hAnsiTheme="minorEastAsia"/>
          <w:b/>
          <w:bCs/>
          <w:color w:val="auto"/>
          <w:szCs w:val="21"/>
          <w:highlight w:val="none"/>
        </w:rPr>
        <w:t>有下列情形之一的，视为响应供应商串通投标，其投标无效：</w:t>
      </w:r>
    </w:p>
    <w:p w14:paraId="69B43AE0">
      <w:pPr>
        <w:pStyle w:val="33"/>
        <w:widowControl/>
        <w:numPr>
          <w:ilvl w:val="0"/>
          <w:numId w:val="42"/>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不同响应供应商的响应文件由同一单位或者个人编制；</w:t>
      </w:r>
    </w:p>
    <w:p w14:paraId="42438083">
      <w:pPr>
        <w:pStyle w:val="33"/>
        <w:widowControl/>
        <w:numPr>
          <w:ilvl w:val="0"/>
          <w:numId w:val="42"/>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不同响应供应商委托同一单位或者个人办理投标事宜；</w:t>
      </w:r>
    </w:p>
    <w:p w14:paraId="32A5F2F7">
      <w:pPr>
        <w:pStyle w:val="33"/>
        <w:widowControl/>
        <w:numPr>
          <w:ilvl w:val="0"/>
          <w:numId w:val="42"/>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不同响应供应商的响应文件载明的项目管理成员或者联系人员为同一人；</w:t>
      </w:r>
    </w:p>
    <w:p w14:paraId="2366AB40">
      <w:pPr>
        <w:pStyle w:val="33"/>
        <w:widowControl/>
        <w:numPr>
          <w:ilvl w:val="0"/>
          <w:numId w:val="42"/>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不同响应供应商的响应文件异常一致或者投标报价呈规律性差异；</w:t>
      </w:r>
    </w:p>
    <w:p w14:paraId="34C46E99">
      <w:pPr>
        <w:pStyle w:val="33"/>
        <w:widowControl/>
        <w:numPr>
          <w:ilvl w:val="0"/>
          <w:numId w:val="42"/>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不同响应供应商的响应文件相互混装；</w:t>
      </w:r>
    </w:p>
    <w:p w14:paraId="6ED3ADD5">
      <w:pPr>
        <w:pStyle w:val="33"/>
        <w:numPr>
          <w:ilvl w:val="0"/>
          <w:numId w:val="41"/>
        </w:numPr>
        <w:spacing w:line="360" w:lineRule="auto"/>
        <w:ind w:left="442" w:hanging="442"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响应供应商存在下列情况之一的，投标无效：</w:t>
      </w:r>
    </w:p>
    <w:p w14:paraId="49C0C4CE">
      <w:pPr>
        <w:pStyle w:val="7"/>
        <w:numPr>
          <w:ilvl w:val="0"/>
          <w:numId w:val="43"/>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响文件未按遴选文件要求签署、盖章的；</w:t>
      </w:r>
    </w:p>
    <w:p w14:paraId="034AF991">
      <w:pPr>
        <w:pStyle w:val="7"/>
        <w:numPr>
          <w:ilvl w:val="0"/>
          <w:numId w:val="43"/>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不具备遴选文件中规定的资格要求的；</w:t>
      </w:r>
    </w:p>
    <w:p w14:paraId="6E54E446">
      <w:pPr>
        <w:pStyle w:val="7"/>
        <w:numPr>
          <w:ilvl w:val="0"/>
          <w:numId w:val="43"/>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报价超过遴选文件中规定的预算金额或者最高限价的；</w:t>
      </w:r>
    </w:p>
    <w:p w14:paraId="49C63EE7">
      <w:pPr>
        <w:pStyle w:val="7"/>
        <w:numPr>
          <w:ilvl w:val="0"/>
          <w:numId w:val="43"/>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响应文件含有采购人不能接受的附加条件的；</w:t>
      </w:r>
    </w:p>
    <w:p w14:paraId="5567FCDB">
      <w:pPr>
        <w:pStyle w:val="7"/>
        <w:numPr>
          <w:ilvl w:val="0"/>
          <w:numId w:val="43"/>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法律、法规和遴选文件规定的其他无效情形。</w:t>
      </w:r>
    </w:p>
    <w:p w14:paraId="115C4EB4">
      <w:pPr>
        <w:pStyle w:val="33"/>
        <w:numPr>
          <w:ilvl w:val="0"/>
          <w:numId w:val="41"/>
        </w:numPr>
        <w:spacing w:line="360" w:lineRule="auto"/>
        <w:ind w:left="442" w:hanging="442"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废标</w:t>
      </w:r>
    </w:p>
    <w:p w14:paraId="1D440D82">
      <w:pPr>
        <w:pStyle w:val="7"/>
        <w:numPr>
          <w:ilvl w:val="0"/>
          <w:numId w:val="44"/>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在遴选采购中，出现下列情形之一的，应予废标。</w:t>
      </w:r>
    </w:p>
    <w:p w14:paraId="56C6FDF4">
      <w:pPr>
        <w:pStyle w:val="7"/>
        <w:numPr>
          <w:ilvl w:val="0"/>
          <w:numId w:val="44"/>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符合专业条件的供应商或者对遴选文件作实质响应的供应商不足三家的；</w:t>
      </w:r>
    </w:p>
    <w:p w14:paraId="2B096FA7">
      <w:pPr>
        <w:pStyle w:val="7"/>
        <w:numPr>
          <w:ilvl w:val="0"/>
          <w:numId w:val="44"/>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出现影响采购公正的违法、违规行为的；</w:t>
      </w:r>
    </w:p>
    <w:p w14:paraId="240D36BB">
      <w:pPr>
        <w:pStyle w:val="7"/>
        <w:numPr>
          <w:ilvl w:val="0"/>
          <w:numId w:val="44"/>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响应供应商的报价均超过了采购预算，采购人不能支付的；</w:t>
      </w:r>
    </w:p>
    <w:p w14:paraId="29F96E57">
      <w:pPr>
        <w:pStyle w:val="7"/>
        <w:numPr>
          <w:ilvl w:val="0"/>
          <w:numId w:val="44"/>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因重大变故，采购任务取消的。</w:t>
      </w:r>
    </w:p>
    <w:p w14:paraId="610AC13E">
      <w:pPr>
        <w:pStyle w:val="33"/>
        <w:numPr>
          <w:ilvl w:val="0"/>
          <w:numId w:val="20"/>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lang w:val="en-US" w:eastAsia="zh-CN"/>
        </w:rPr>
        <w:t>采购</w:t>
      </w:r>
      <w:r>
        <w:rPr>
          <w:rFonts w:hint="eastAsia" w:asciiTheme="minorEastAsia" w:hAnsiTheme="minorEastAsia"/>
          <w:b/>
          <w:color w:val="auto"/>
          <w:highlight w:val="none"/>
        </w:rPr>
        <w:t>代理服务费</w:t>
      </w:r>
      <w:bookmarkEnd w:id="30"/>
    </w:p>
    <w:p w14:paraId="74A445DB">
      <w:pPr>
        <w:pStyle w:val="33"/>
        <w:numPr>
          <w:ilvl w:val="0"/>
          <w:numId w:val="45"/>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成交人应在领取《成交通知书》原件时向采购代理机构一次性支付</w:t>
      </w:r>
      <w:r>
        <w:rPr>
          <w:rFonts w:hint="eastAsia" w:asciiTheme="minorEastAsia" w:hAnsiTheme="minorEastAsia"/>
          <w:bCs/>
          <w:color w:val="auto"/>
          <w:szCs w:val="21"/>
          <w:highlight w:val="none"/>
          <w:lang w:val="en-US" w:eastAsia="zh-CN"/>
        </w:rPr>
        <w:t>采购</w:t>
      </w:r>
      <w:r>
        <w:rPr>
          <w:rFonts w:hint="eastAsia" w:asciiTheme="minorEastAsia" w:hAnsiTheme="minorEastAsia"/>
          <w:bCs/>
          <w:color w:val="auto"/>
          <w:szCs w:val="21"/>
          <w:highlight w:val="none"/>
        </w:rPr>
        <w:t>代理服务费</w:t>
      </w:r>
      <w:r>
        <w:rPr>
          <w:rFonts w:hint="eastAsia" w:asciiTheme="minorEastAsia" w:hAnsiTheme="minorEastAsia"/>
          <w:bCs/>
          <w:color w:val="auto"/>
          <w:szCs w:val="21"/>
          <w:highlight w:val="none"/>
          <w:lang w:eastAsia="zh-CN"/>
        </w:rPr>
        <w:t>：</w:t>
      </w:r>
      <w:r>
        <w:rPr>
          <w:rFonts w:hint="eastAsia" w:asciiTheme="minorEastAsia" w:hAnsiTheme="minorEastAsia"/>
          <w:bCs/>
          <w:color w:val="auto"/>
          <w:szCs w:val="21"/>
          <w:highlight w:val="none"/>
        </w:rPr>
        <w:t>人民币</w:t>
      </w:r>
      <w:r>
        <w:rPr>
          <w:rFonts w:hint="eastAsia" w:asciiTheme="minorEastAsia" w:hAnsiTheme="minorEastAsia"/>
          <w:bCs/>
          <w:color w:val="auto"/>
          <w:szCs w:val="21"/>
          <w:highlight w:val="none"/>
          <w:lang w:val="en-US" w:eastAsia="zh-CN"/>
        </w:rPr>
        <w:t>贰仟伍佰肆拾元整</w:t>
      </w:r>
      <w:r>
        <w:rPr>
          <w:rFonts w:hint="eastAsia" w:asciiTheme="minorEastAsia" w:hAnsiTheme="minorEastAsia"/>
          <w:bCs/>
          <w:color w:val="auto"/>
          <w:szCs w:val="21"/>
          <w:highlight w:val="none"/>
        </w:rPr>
        <w:t>（小写：</w:t>
      </w:r>
      <w:r>
        <w:rPr>
          <w:rFonts w:hint="eastAsia" w:asciiTheme="minorEastAsia" w:hAnsiTheme="minorEastAsia"/>
          <w:bCs/>
          <w:color w:val="auto"/>
          <w:szCs w:val="21"/>
          <w:highlight w:val="none"/>
          <w:lang w:val="en-US" w:eastAsia="zh-CN"/>
        </w:rPr>
        <w:t>¥2,540.00</w:t>
      </w:r>
      <w:r>
        <w:rPr>
          <w:rFonts w:hint="eastAsia" w:asciiTheme="minorEastAsia" w:hAnsiTheme="minorEastAsia"/>
          <w:bCs/>
          <w:color w:val="auto"/>
          <w:szCs w:val="21"/>
          <w:highlight w:val="none"/>
        </w:rPr>
        <w:t>元</w:t>
      </w:r>
      <w:r>
        <w:rPr>
          <w:rFonts w:asciiTheme="minorEastAsia" w:hAnsiTheme="minorEastAsia"/>
          <w:bCs/>
          <w:color w:val="auto"/>
          <w:szCs w:val="21"/>
          <w:highlight w:val="none"/>
        </w:rPr>
        <w:t>）</w:t>
      </w:r>
      <w:r>
        <w:rPr>
          <w:rFonts w:hint="eastAsia" w:asciiTheme="minorEastAsia" w:hAnsiTheme="minorEastAsia"/>
          <w:bCs/>
          <w:color w:val="auto"/>
          <w:szCs w:val="21"/>
          <w:highlight w:val="none"/>
        </w:rPr>
        <w:t>。</w:t>
      </w:r>
    </w:p>
    <w:p w14:paraId="5D18D6B2">
      <w:pPr>
        <w:pStyle w:val="33"/>
        <w:numPr>
          <w:ilvl w:val="0"/>
          <w:numId w:val="45"/>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lang w:val="en-US" w:eastAsia="zh-CN"/>
        </w:rPr>
        <w:t>采购</w:t>
      </w:r>
      <w:r>
        <w:rPr>
          <w:rFonts w:hint="eastAsia" w:asciiTheme="minorEastAsia" w:hAnsiTheme="minorEastAsia"/>
          <w:bCs/>
          <w:color w:val="auto"/>
          <w:szCs w:val="21"/>
          <w:highlight w:val="none"/>
        </w:rPr>
        <w:t>服务费只收现金、银行转账或电汇。</w:t>
      </w:r>
    </w:p>
    <w:p w14:paraId="1CF1597C">
      <w:pPr>
        <w:pStyle w:val="33"/>
        <w:numPr>
          <w:ilvl w:val="0"/>
          <w:numId w:val="45"/>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lang w:val="en-US" w:eastAsia="zh-CN"/>
        </w:rPr>
        <w:t>采购</w:t>
      </w:r>
      <w:r>
        <w:rPr>
          <w:rFonts w:asciiTheme="minorEastAsia" w:hAnsiTheme="minorEastAsia"/>
          <w:bCs/>
          <w:color w:val="auto"/>
          <w:szCs w:val="21"/>
          <w:highlight w:val="none"/>
        </w:rPr>
        <w:t>代理服务费收取</w:t>
      </w:r>
      <w:r>
        <w:rPr>
          <w:rFonts w:hint="eastAsia" w:asciiTheme="minorEastAsia" w:hAnsiTheme="minorEastAsia"/>
          <w:bCs/>
          <w:color w:val="auto"/>
          <w:szCs w:val="21"/>
          <w:highlight w:val="none"/>
        </w:rPr>
        <w:t>账户：</w:t>
      </w:r>
    </w:p>
    <w:p w14:paraId="7202B652">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收款单位名称：广东智汇城市招标采购有限公司东莞分公司</w:t>
      </w:r>
    </w:p>
    <w:p w14:paraId="6D19648B">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开户银行：中国光大银行股份有限公司东莞分行</w:t>
      </w:r>
    </w:p>
    <w:p w14:paraId="023312F9">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收款账号：38790188000286195</w:t>
      </w:r>
    </w:p>
    <w:p w14:paraId="7C6B9246">
      <w:pPr>
        <w:pStyle w:val="4"/>
        <w:keepNext w:val="0"/>
        <w:keepLines w:val="0"/>
        <w:pageBreakBefore/>
        <w:tabs>
          <w:tab w:val="left" w:pos="426"/>
          <w:tab w:val="left" w:pos="567"/>
        </w:tabs>
        <w:spacing w:line="360" w:lineRule="auto"/>
        <w:jc w:val="left"/>
        <w:rPr>
          <w:rStyle w:val="25"/>
          <w:rFonts w:asciiTheme="minorEastAsia" w:hAnsiTheme="minorEastAsia" w:eastAsiaTheme="minorEastAsia"/>
          <w:b/>
          <w:bCs/>
          <w:color w:val="auto"/>
          <w:spacing w:val="12"/>
          <w:sz w:val="21"/>
          <w:szCs w:val="21"/>
          <w:highlight w:val="none"/>
        </w:rPr>
      </w:pPr>
      <w:bookmarkStart w:id="31" w:name="_Toc138770009"/>
      <w:bookmarkStart w:id="32" w:name="_Toc515040753"/>
      <w:bookmarkStart w:id="33" w:name="_Toc515363625"/>
      <w:r>
        <w:rPr>
          <w:rStyle w:val="25"/>
          <w:rFonts w:hint="eastAsia" w:asciiTheme="minorEastAsia" w:hAnsiTheme="minorEastAsia" w:eastAsiaTheme="minorEastAsia"/>
          <w:b/>
          <w:bCs/>
          <w:color w:val="auto"/>
          <w:spacing w:val="12"/>
          <w:sz w:val="21"/>
          <w:szCs w:val="21"/>
          <w:highlight w:val="none"/>
        </w:rPr>
        <w:t>附件1  询问函格式</w:t>
      </w:r>
      <w:bookmarkEnd w:id="31"/>
      <w:bookmarkEnd w:id="32"/>
      <w:bookmarkEnd w:id="33"/>
    </w:p>
    <w:p w14:paraId="45D793FF">
      <w:pPr>
        <w:spacing w:before="312" w:beforeLines="100" w:after="312" w:afterLines="100"/>
        <w:jc w:val="center"/>
        <w:rPr>
          <w:rFonts w:cs="Times New Roman" w:asciiTheme="minorEastAsia" w:hAnsiTheme="minorEastAsia"/>
          <w:b/>
          <w:bCs/>
          <w:color w:val="auto"/>
          <w:spacing w:val="20"/>
          <w:sz w:val="28"/>
          <w:szCs w:val="28"/>
          <w:highlight w:val="none"/>
        </w:rPr>
      </w:pPr>
      <w:r>
        <w:rPr>
          <w:rFonts w:hint="eastAsia" w:cs="Times New Roman" w:asciiTheme="minorEastAsia" w:hAnsiTheme="minorEastAsia"/>
          <w:b/>
          <w:bCs/>
          <w:color w:val="auto"/>
          <w:spacing w:val="20"/>
          <w:sz w:val="28"/>
          <w:szCs w:val="28"/>
          <w:highlight w:val="none"/>
        </w:rPr>
        <w:t>询问函</w:t>
      </w:r>
    </w:p>
    <w:p w14:paraId="7A558542">
      <w:pPr>
        <w:widowControl/>
        <w:adjustRightInd w:val="0"/>
        <w:spacing w:after="156" w:afterLines="50" w:line="360" w:lineRule="auto"/>
        <w:rPr>
          <w:rFonts w:asciiTheme="minorEastAsia" w:hAnsiTheme="minorEastAsia"/>
          <w:color w:val="auto"/>
          <w:szCs w:val="21"/>
          <w:highlight w:val="none"/>
        </w:rPr>
      </w:pPr>
      <w:r>
        <w:rPr>
          <w:rFonts w:asciiTheme="minorEastAsia" w:hAnsiTheme="minorEastAsia"/>
          <w:color w:val="auto"/>
          <w:szCs w:val="21"/>
          <w:highlight w:val="none"/>
          <w:u w:val="single"/>
        </w:rPr>
        <w:t>广东智汇城市招标采购有限公司</w:t>
      </w:r>
      <w:r>
        <w:rPr>
          <w:rFonts w:hint="eastAsia" w:asciiTheme="minorEastAsia" w:hAnsiTheme="minorEastAsia"/>
          <w:color w:val="auto"/>
          <w:szCs w:val="21"/>
          <w:highlight w:val="none"/>
        </w:rPr>
        <w:t>：</w:t>
      </w:r>
    </w:p>
    <w:p w14:paraId="3DE63D32">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我单位已获取遴选文件并准备参与</w:t>
      </w:r>
      <w:r>
        <w:rPr>
          <w:rFonts w:asciiTheme="minorEastAsia" w:hAnsiTheme="minorEastAsia"/>
          <w:i/>
          <w:color w:val="auto"/>
          <w:szCs w:val="21"/>
          <w:highlight w:val="none"/>
          <w:u w:val="single"/>
        </w:rPr>
        <w:t xml:space="preserve">           </w:t>
      </w:r>
      <w:r>
        <w:rPr>
          <w:rFonts w:hint="eastAsia" w:asciiTheme="minorEastAsia" w:hAnsiTheme="minorEastAsia"/>
          <w:color w:val="auto"/>
          <w:szCs w:val="21"/>
          <w:highlight w:val="none"/>
        </w:rPr>
        <w:t>项目（评选编号</w:t>
      </w:r>
      <w:r>
        <w:rPr>
          <w:rFonts w:hint="eastAsia" w:asciiTheme="minorEastAsia" w:hAnsiTheme="minorEastAsia"/>
          <w:color w:val="auto"/>
          <w:szCs w:val="21"/>
          <w:highlight w:val="none"/>
          <w:u w:val="single"/>
        </w:rPr>
        <w:t>：</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）的响应（或报价）活动，现有以下几个内容（或条款）存在疑问（或无法理解），特提出询问。</w:t>
      </w:r>
    </w:p>
    <w:p w14:paraId="44C689B2">
      <w:pPr>
        <w:widowControl/>
        <w:tabs>
          <w:tab w:val="center" w:pos="5019"/>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一、</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（事项一）</w:t>
      </w:r>
      <w:r>
        <w:rPr>
          <w:rFonts w:asciiTheme="minorEastAsia" w:hAnsiTheme="minorEastAsia"/>
          <w:color w:val="auto"/>
          <w:szCs w:val="21"/>
          <w:highlight w:val="none"/>
        </w:rPr>
        <w:tab/>
      </w:r>
    </w:p>
    <w:p w14:paraId="0F9D4609">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1）</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（问题或条款内容）</w:t>
      </w:r>
    </w:p>
    <w:p w14:paraId="1F948EFA">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2）</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（说明疑问或无法理解原因）</w:t>
      </w:r>
    </w:p>
    <w:p w14:paraId="213DE025">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3）</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（建议）</w:t>
      </w:r>
    </w:p>
    <w:p w14:paraId="5DCC9E51">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二、</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 xml:space="preserve"> （事项二）</w:t>
      </w:r>
    </w:p>
    <w:p w14:paraId="0DE27015">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p>
    <w:p w14:paraId="42F28343">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随附相关证明材料如下：（目录）。</w:t>
      </w:r>
    </w:p>
    <w:p w14:paraId="6CA26C91">
      <w:pPr>
        <w:widowControl/>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询问人：（公章）</w:t>
      </w:r>
    </w:p>
    <w:p w14:paraId="2E2BDE9A">
      <w:pPr>
        <w:widowControl/>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法定代表人（授权代表）：</w:t>
      </w:r>
    </w:p>
    <w:p w14:paraId="64079162">
      <w:pPr>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地址</w:t>
      </w:r>
      <w:r>
        <w:rPr>
          <w:rFonts w:asciiTheme="minorEastAsia" w:hAnsiTheme="minorEastAsia"/>
          <w:color w:val="auto"/>
          <w:szCs w:val="21"/>
          <w:highlight w:val="none"/>
        </w:rPr>
        <w:t>/邮编：</w:t>
      </w:r>
    </w:p>
    <w:p w14:paraId="11615BD5">
      <w:pPr>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电话</w:t>
      </w:r>
      <w:r>
        <w:rPr>
          <w:rFonts w:asciiTheme="minorEastAsia" w:hAnsiTheme="minorEastAsia"/>
          <w:color w:val="auto"/>
          <w:szCs w:val="21"/>
          <w:highlight w:val="none"/>
        </w:rPr>
        <w:t>/传真：</w:t>
      </w:r>
    </w:p>
    <w:p w14:paraId="5F0CBE30">
      <w:pPr>
        <w:adjustRightInd w:val="0"/>
        <w:spacing w:before="624" w:beforeLines="200" w:line="360" w:lineRule="auto"/>
        <w:jc w:val="right"/>
        <w:rPr>
          <w:rFonts w:asciiTheme="minorEastAsia" w:hAnsiTheme="minorEastAsia"/>
          <w:color w:val="auto"/>
          <w:szCs w:val="21"/>
          <w:highlight w:val="none"/>
        </w:rPr>
      </w:pPr>
      <w:r>
        <w:rPr>
          <w:rFonts w:hint="eastAsia" w:asciiTheme="minorEastAsia" w:hAnsiTheme="minorEastAsia"/>
          <w:color w:val="auto"/>
          <w:szCs w:val="21"/>
          <w:highlight w:val="none"/>
        </w:rPr>
        <w:t>年</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月</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日</w:t>
      </w:r>
    </w:p>
    <w:p w14:paraId="06E9200B">
      <w:pPr>
        <w:snapToGrid w:val="0"/>
        <w:spacing w:line="360" w:lineRule="auto"/>
        <w:ind w:firstLine="422" w:firstLineChars="201"/>
        <w:rPr>
          <w:rFonts w:asciiTheme="minorEastAsia" w:hAnsiTheme="minorEastAsia"/>
          <w:color w:val="auto"/>
          <w:szCs w:val="21"/>
          <w:highlight w:val="none"/>
        </w:rPr>
      </w:pPr>
    </w:p>
    <w:p w14:paraId="387EE8FD">
      <w:pPr>
        <w:pStyle w:val="4"/>
        <w:keepNext w:val="0"/>
        <w:keepLines w:val="0"/>
        <w:pageBreakBefore/>
        <w:tabs>
          <w:tab w:val="left" w:pos="426"/>
          <w:tab w:val="left" w:pos="567"/>
        </w:tabs>
        <w:spacing w:line="360" w:lineRule="auto"/>
        <w:jc w:val="left"/>
        <w:rPr>
          <w:rStyle w:val="25"/>
          <w:rFonts w:asciiTheme="minorEastAsia" w:hAnsiTheme="minorEastAsia" w:eastAsiaTheme="minorEastAsia"/>
          <w:b/>
          <w:bCs w:val="0"/>
          <w:color w:val="auto"/>
          <w:spacing w:val="12"/>
          <w:sz w:val="21"/>
          <w:szCs w:val="21"/>
          <w:highlight w:val="none"/>
        </w:rPr>
      </w:pPr>
      <w:bookmarkStart w:id="34" w:name="_Toc515363626"/>
      <w:bookmarkStart w:id="35" w:name="_Toc515040754"/>
      <w:bookmarkStart w:id="36" w:name="_Toc138770010"/>
      <w:r>
        <w:rPr>
          <w:rStyle w:val="25"/>
          <w:rFonts w:hint="eastAsia" w:asciiTheme="minorEastAsia" w:hAnsiTheme="minorEastAsia" w:eastAsiaTheme="minorEastAsia"/>
          <w:b/>
          <w:bCs w:val="0"/>
          <w:color w:val="auto"/>
          <w:spacing w:val="12"/>
          <w:sz w:val="21"/>
          <w:szCs w:val="21"/>
          <w:highlight w:val="none"/>
        </w:rPr>
        <w:t>附件2  质疑函格式</w:t>
      </w:r>
      <w:bookmarkEnd w:id="34"/>
      <w:bookmarkEnd w:id="35"/>
      <w:bookmarkEnd w:id="36"/>
    </w:p>
    <w:p w14:paraId="77BD0514">
      <w:pPr>
        <w:spacing w:before="312" w:beforeLines="100" w:after="312" w:afterLines="100"/>
        <w:jc w:val="center"/>
        <w:rPr>
          <w:rFonts w:cs="Times New Roman" w:asciiTheme="minorEastAsia" w:hAnsiTheme="minorEastAsia"/>
          <w:b/>
          <w:color w:val="auto"/>
          <w:spacing w:val="20"/>
          <w:sz w:val="28"/>
          <w:szCs w:val="28"/>
          <w:highlight w:val="none"/>
        </w:rPr>
      </w:pPr>
      <w:r>
        <w:rPr>
          <w:rFonts w:hint="eastAsia" w:cs="Times New Roman" w:asciiTheme="minorEastAsia" w:hAnsiTheme="minorEastAsia"/>
          <w:b/>
          <w:color w:val="auto"/>
          <w:spacing w:val="20"/>
          <w:sz w:val="28"/>
          <w:szCs w:val="28"/>
          <w:highlight w:val="none"/>
        </w:rPr>
        <w:t>质疑函</w:t>
      </w:r>
    </w:p>
    <w:p w14:paraId="2978C1EF">
      <w:pPr>
        <w:adjustRightInd w:val="0"/>
        <w:snapToGrid w:val="0"/>
        <w:spacing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一、质疑响应供应商基本信息</w:t>
      </w:r>
    </w:p>
    <w:p w14:paraId="18B4B66F">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质疑响应供应商：</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7C7742C">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地址：</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邮编：</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9C0B07F">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联系人：</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联系电话：</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203FE349">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授权代表：</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4DFF379E">
      <w:pPr>
        <w:adjustRightInd w:val="0"/>
        <w:snapToGrid w:val="0"/>
        <w:spacing w:line="360" w:lineRule="auto"/>
        <w:rPr>
          <w:rFonts w:cs="仿宋" w:asciiTheme="minorEastAsia" w:hAnsiTheme="minorEastAsia"/>
          <w:b/>
          <w:color w:val="auto"/>
          <w:szCs w:val="21"/>
          <w:highlight w:val="none"/>
        </w:rPr>
      </w:pPr>
      <w:r>
        <w:rPr>
          <w:rFonts w:hint="eastAsia" w:cs="仿宋" w:asciiTheme="minorEastAsia" w:hAnsiTheme="minorEastAsia"/>
          <w:color w:val="auto"/>
          <w:szCs w:val="21"/>
          <w:highlight w:val="none"/>
        </w:rPr>
        <w:t>联系电话：</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530588E8">
      <w:pPr>
        <w:adjustRightInd w:val="0"/>
        <w:snapToGrid w:val="0"/>
        <w:spacing w:line="360" w:lineRule="auto"/>
        <w:rPr>
          <w:rFonts w:cs="仿宋" w:asciiTheme="minorEastAsia" w:hAnsiTheme="minorEastAsia"/>
          <w:b/>
          <w:color w:val="auto"/>
          <w:szCs w:val="21"/>
          <w:highlight w:val="none"/>
        </w:rPr>
      </w:pPr>
      <w:r>
        <w:rPr>
          <w:rFonts w:hint="eastAsia" w:cs="仿宋" w:asciiTheme="minorEastAsia" w:hAnsiTheme="minorEastAsia"/>
          <w:color w:val="auto"/>
          <w:szCs w:val="21"/>
          <w:highlight w:val="none"/>
        </w:rPr>
        <w:t>地   址：</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邮编：</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16620453">
      <w:pPr>
        <w:adjustRightInd w:val="0"/>
        <w:snapToGrid w:val="0"/>
        <w:spacing w:before="156" w:beforeLines="50"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 xml:space="preserve">二、质疑项目基本情况 </w:t>
      </w:r>
    </w:p>
    <w:p w14:paraId="494CA80A">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质疑项目的名称：</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1CD750D7">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质疑项目的编号：</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包号：</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0B450D58">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采购人名称：</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731D9626">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遴选文件获取日期：</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51161DF3">
      <w:pPr>
        <w:adjustRightInd w:val="0"/>
        <w:snapToGrid w:val="0"/>
        <w:spacing w:before="156" w:beforeLines="50"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三、质疑事项具体内容</w:t>
      </w:r>
    </w:p>
    <w:p w14:paraId="5887CDB7">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质疑事项</w:t>
      </w:r>
      <w:r>
        <w:rPr>
          <w:rFonts w:cs="仿宋" w:asciiTheme="minorEastAsia" w:hAnsiTheme="minorEastAsia"/>
          <w:color w:val="auto"/>
          <w:szCs w:val="21"/>
          <w:highlight w:val="none"/>
        </w:rPr>
        <w:t>1：</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CEBC889">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事实依据：</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2C790E8E">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法律依据：</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3B302EE2">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质疑事项</w:t>
      </w:r>
      <w:r>
        <w:rPr>
          <w:rFonts w:cs="仿宋" w:asciiTheme="minorEastAsia" w:hAnsiTheme="minorEastAsia"/>
          <w:color w:val="auto"/>
          <w:szCs w:val="21"/>
          <w:highlight w:val="none"/>
        </w:rPr>
        <w:t>2</w:t>
      </w:r>
    </w:p>
    <w:p w14:paraId="42837103">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w:t>
      </w:r>
    </w:p>
    <w:p w14:paraId="479362EC">
      <w:pPr>
        <w:adjustRightInd w:val="0"/>
        <w:snapToGrid w:val="0"/>
        <w:spacing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四、与质疑事项相关的质疑请求</w:t>
      </w:r>
    </w:p>
    <w:p w14:paraId="7C46C19C">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请求：</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417E819F">
      <w:pPr>
        <w:adjustRightInd w:val="0"/>
        <w:snapToGri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签字</w:t>
      </w:r>
      <w:r>
        <w:rPr>
          <w:rFonts w:asciiTheme="minorEastAsia" w:hAnsiTheme="minorEastAsia"/>
          <w:color w:val="auto"/>
          <w:szCs w:val="21"/>
          <w:highlight w:val="none"/>
        </w:rPr>
        <w:t xml:space="preserve">(签章)：                   公章：                      </w:t>
      </w:r>
    </w:p>
    <w:p w14:paraId="2D3F85A8">
      <w:pPr>
        <w:adjustRightInd w:val="0"/>
        <w:snapToGri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    期：</w:t>
      </w:r>
    </w:p>
    <w:p w14:paraId="78F75026">
      <w:pPr>
        <w:adjustRightInd w:val="0"/>
        <w:snapToGrid w:val="0"/>
        <w:spacing w:line="360" w:lineRule="auto"/>
        <w:rPr>
          <w:rFonts w:cs="仿宋" w:asciiTheme="minorEastAsia" w:hAnsiTheme="minorEastAsia"/>
          <w:color w:val="auto"/>
          <w:szCs w:val="21"/>
          <w:highlight w:val="none"/>
        </w:rPr>
      </w:pPr>
    </w:p>
    <w:p w14:paraId="42CAC501">
      <w:pPr>
        <w:adjustRightInd w:val="0"/>
        <w:snapToGrid w:val="0"/>
        <w:spacing w:line="360" w:lineRule="auto"/>
        <w:rPr>
          <w:rFonts w:asciiTheme="minorEastAsia" w:hAnsiTheme="minorEastAsia"/>
          <w:b/>
          <w:color w:val="auto"/>
          <w:szCs w:val="21"/>
          <w:highlight w:val="none"/>
        </w:rPr>
      </w:pPr>
      <w:r>
        <w:rPr>
          <w:rFonts w:hint="eastAsia" w:asciiTheme="minorEastAsia" w:hAnsiTheme="minorEastAsia"/>
          <w:b/>
          <w:color w:val="auto"/>
          <w:szCs w:val="21"/>
          <w:highlight w:val="none"/>
        </w:rPr>
        <w:t>质疑函制作说明：</w:t>
      </w:r>
    </w:p>
    <w:p w14:paraId="77F4934C">
      <w:pPr>
        <w:pStyle w:val="33"/>
        <w:widowControl/>
        <w:numPr>
          <w:ilvl w:val="0"/>
          <w:numId w:val="46"/>
        </w:numPr>
        <w:adjustRightInd w:val="0"/>
        <w:snapToGrid w:val="0"/>
        <w:spacing w:line="360" w:lineRule="auto"/>
        <w:ind w:firstLineChars="0"/>
        <w:jc w:val="left"/>
        <w:rPr>
          <w:rFonts w:asciiTheme="minorEastAsia" w:hAnsiTheme="minorEastAsia"/>
          <w:b/>
          <w:color w:val="auto"/>
          <w:szCs w:val="21"/>
          <w:highlight w:val="none"/>
        </w:rPr>
      </w:pPr>
      <w:r>
        <w:rPr>
          <w:rFonts w:asciiTheme="minorEastAsia" w:hAnsiTheme="minorEastAsia"/>
          <w:color w:val="auto"/>
          <w:szCs w:val="21"/>
          <w:highlight w:val="none"/>
        </w:rPr>
        <w:t>响应供应商提出质疑时，应提交质疑函和必要的证明材料。</w:t>
      </w:r>
    </w:p>
    <w:p w14:paraId="7CC3C5F0">
      <w:pPr>
        <w:pStyle w:val="33"/>
        <w:widowControl/>
        <w:numPr>
          <w:ilvl w:val="0"/>
          <w:numId w:val="46"/>
        </w:numPr>
        <w:adjustRightInd w:val="0"/>
        <w:snapToGrid w:val="0"/>
        <w:spacing w:line="360" w:lineRule="auto"/>
        <w:ind w:firstLineChars="0"/>
        <w:jc w:val="left"/>
        <w:rPr>
          <w:rFonts w:asciiTheme="minorEastAsia" w:hAnsiTheme="minorEastAsia"/>
          <w:b/>
          <w:color w:val="auto"/>
          <w:szCs w:val="21"/>
          <w:highlight w:val="none"/>
        </w:rPr>
      </w:pPr>
      <w:r>
        <w:rPr>
          <w:rFonts w:hint="eastAsia" w:asciiTheme="minorEastAsia" w:hAnsiTheme="minorEastAsia"/>
          <w:color w:val="auto"/>
          <w:szCs w:val="21"/>
          <w:highlight w:val="none"/>
        </w:rPr>
        <w:t>质疑函的质疑事项应具体、明确，并有必要的事实依据和法律依据。</w:t>
      </w:r>
    </w:p>
    <w:p w14:paraId="7D8D87C9">
      <w:pPr>
        <w:pStyle w:val="33"/>
        <w:widowControl/>
        <w:numPr>
          <w:ilvl w:val="0"/>
          <w:numId w:val="46"/>
        </w:numPr>
        <w:adjustRightInd w:val="0"/>
        <w:snapToGrid w:val="0"/>
        <w:spacing w:line="360" w:lineRule="auto"/>
        <w:ind w:firstLineChars="0"/>
        <w:jc w:val="left"/>
        <w:rPr>
          <w:rFonts w:asciiTheme="minorEastAsia" w:hAnsiTheme="minorEastAsia"/>
          <w:b/>
          <w:color w:val="auto"/>
          <w:szCs w:val="21"/>
          <w:highlight w:val="none"/>
        </w:rPr>
      </w:pPr>
      <w:r>
        <w:rPr>
          <w:rFonts w:hint="eastAsia" w:asciiTheme="minorEastAsia" w:hAnsiTheme="minorEastAsia"/>
          <w:color w:val="auto"/>
          <w:szCs w:val="21"/>
          <w:highlight w:val="none"/>
        </w:rPr>
        <w:t>质疑函的质疑请求应与质疑事项相关。</w:t>
      </w:r>
    </w:p>
    <w:p w14:paraId="399F371C">
      <w:pPr>
        <w:pStyle w:val="33"/>
        <w:widowControl/>
        <w:numPr>
          <w:ilvl w:val="0"/>
          <w:numId w:val="46"/>
        </w:numPr>
        <w:adjustRightInd w:val="0"/>
        <w:snapToGrid w:val="0"/>
        <w:spacing w:line="360" w:lineRule="auto"/>
        <w:ind w:firstLineChars="0"/>
        <w:jc w:val="left"/>
        <w:rPr>
          <w:rFonts w:asciiTheme="minorEastAsia" w:hAnsiTheme="minorEastAsia"/>
          <w:bCs/>
          <w:color w:val="auto"/>
          <w:szCs w:val="21"/>
          <w:highlight w:val="none"/>
        </w:rPr>
      </w:pPr>
      <w:r>
        <w:rPr>
          <w:rFonts w:hint="eastAsia" w:asciiTheme="minorEastAsia" w:hAnsiTheme="minorEastAsia"/>
          <w:color w:val="auto"/>
          <w:szCs w:val="21"/>
          <w:highlight w:val="none"/>
        </w:rPr>
        <w:t>质疑响应供应商为自然人的，质疑函应由本人签字；质疑响应供应商为法人或者其他组织的，质疑函应由法定代表人、主要负责人，或者其授权代表签字或者盖章，并加盖公章。</w:t>
      </w:r>
    </w:p>
    <w:p w14:paraId="2C120836">
      <w:pPr>
        <w:pStyle w:val="3"/>
        <w:keepNext w:val="0"/>
        <w:keepLines w:val="0"/>
        <w:pageBreakBefore/>
        <w:spacing w:line="360" w:lineRule="auto"/>
        <w:jc w:val="center"/>
        <w:rPr>
          <w:rFonts w:asciiTheme="minorEastAsia" w:hAnsiTheme="minorEastAsia"/>
          <w:color w:val="auto"/>
          <w:spacing w:val="20"/>
          <w:sz w:val="32"/>
          <w:szCs w:val="32"/>
          <w:highlight w:val="none"/>
        </w:rPr>
      </w:pPr>
      <w:bookmarkStart w:id="37" w:name="_Toc138770011"/>
      <w:bookmarkStart w:id="38" w:name="_Toc391627751"/>
      <w:bookmarkStart w:id="39" w:name="_Toc405313955"/>
      <w:r>
        <w:rPr>
          <w:rFonts w:hint="eastAsia" w:asciiTheme="minorEastAsia" w:hAnsiTheme="minorEastAsia"/>
          <w:color w:val="auto"/>
          <w:spacing w:val="20"/>
          <w:sz w:val="32"/>
          <w:szCs w:val="32"/>
          <w:highlight w:val="none"/>
        </w:rPr>
        <w:t>第四部分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评审方法、步骤、标准</w:t>
      </w:r>
      <w:bookmarkEnd w:id="37"/>
      <w:bookmarkEnd w:id="38"/>
      <w:bookmarkEnd w:id="39"/>
    </w:p>
    <w:p w14:paraId="4AD1CDB1">
      <w:pPr>
        <w:pStyle w:val="33"/>
        <w:numPr>
          <w:ilvl w:val="0"/>
          <w:numId w:val="47"/>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总则</w:t>
      </w:r>
    </w:p>
    <w:p w14:paraId="6DCCE37A">
      <w:pPr>
        <w:pStyle w:val="33"/>
        <w:numPr>
          <w:ilvl w:val="0"/>
          <w:numId w:val="48"/>
        </w:numPr>
        <w:spacing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评审委员会</w:t>
      </w:r>
    </w:p>
    <w:p w14:paraId="683FB9E7">
      <w:pPr>
        <w:pStyle w:val="33"/>
        <w:numPr>
          <w:ilvl w:val="1"/>
          <w:numId w:val="4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评审委员会负责具体评审事务，并独立履行下列职责：</w:t>
      </w:r>
    </w:p>
    <w:p w14:paraId="6FCBB30C">
      <w:pPr>
        <w:pStyle w:val="33"/>
        <w:widowControl/>
        <w:numPr>
          <w:ilvl w:val="2"/>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审查、评价响应文件是否符合遴选文件的商务、技术等实质性要求；</w:t>
      </w:r>
    </w:p>
    <w:p w14:paraId="74A0D548">
      <w:pPr>
        <w:pStyle w:val="33"/>
        <w:widowControl/>
        <w:numPr>
          <w:ilvl w:val="2"/>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要求响应供应商对响应文件有关事项作出澄清或者说明；</w:t>
      </w:r>
    </w:p>
    <w:p w14:paraId="59232A29">
      <w:pPr>
        <w:pStyle w:val="33"/>
        <w:widowControl/>
        <w:numPr>
          <w:ilvl w:val="2"/>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对响应文件进行比较和评价；</w:t>
      </w:r>
    </w:p>
    <w:p w14:paraId="35153C3D">
      <w:pPr>
        <w:pStyle w:val="33"/>
        <w:widowControl/>
        <w:numPr>
          <w:ilvl w:val="2"/>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确定</w:t>
      </w:r>
      <w:r>
        <w:rPr>
          <w:rFonts w:hint="eastAsia" w:cs="宋体" w:asciiTheme="minorEastAsia" w:hAnsiTheme="minorEastAsia"/>
          <w:color w:val="auto"/>
          <w:szCs w:val="21"/>
          <w:highlight w:val="none"/>
        </w:rPr>
        <w:t>成交</w:t>
      </w:r>
      <w:r>
        <w:rPr>
          <w:rFonts w:hint="eastAsia" w:cs="宋体" w:asciiTheme="minorEastAsia" w:hAnsiTheme="minorEastAsia"/>
          <w:color w:val="auto"/>
          <w:szCs w:val="21"/>
          <w:highlight w:val="none"/>
          <w:lang w:eastAsia="zh-TW"/>
        </w:rPr>
        <w:t>候选人名单；</w:t>
      </w:r>
    </w:p>
    <w:p w14:paraId="0AB4C5BB">
      <w:pPr>
        <w:pStyle w:val="33"/>
        <w:widowControl/>
        <w:numPr>
          <w:ilvl w:val="2"/>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向采购人、采购代理机构或者有关部门报告评审中发现的违法行为。</w:t>
      </w:r>
    </w:p>
    <w:p w14:paraId="54125B0B">
      <w:pPr>
        <w:pStyle w:val="33"/>
        <w:widowControl/>
        <w:numPr>
          <w:ilvl w:val="1"/>
          <w:numId w:val="49"/>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对于响应文件中含义不明确、同类问题表述不一致或者有明显文字和计算错误的内容，评审委员会应当以书面形式要求响应供应商作出必要的澄清、说明或者补正。</w:t>
      </w:r>
    </w:p>
    <w:p w14:paraId="5F3B931B">
      <w:pPr>
        <w:pStyle w:val="33"/>
        <w:numPr>
          <w:ilvl w:val="1"/>
          <w:numId w:val="4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评审委员会成员对需要共同认定的事项存在争议的，应当按照少数服从多数的原则作出结论。持不同意见的评审委员会成员应当在评审报告上签署不同意见及理由，否则视为同意评审报告。</w:t>
      </w:r>
    </w:p>
    <w:p w14:paraId="0B87520C">
      <w:pPr>
        <w:pStyle w:val="33"/>
        <w:numPr>
          <w:ilvl w:val="0"/>
          <w:numId w:val="48"/>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评审方法</w:t>
      </w:r>
    </w:p>
    <w:p w14:paraId="616344AA">
      <w:pPr>
        <w:pStyle w:val="33"/>
        <w:numPr>
          <w:ilvl w:val="1"/>
          <w:numId w:val="5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本项目按照</w:t>
      </w:r>
      <w:r>
        <w:rPr>
          <w:rFonts w:hint="eastAsia" w:asciiTheme="minorEastAsia" w:hAnsiTheme="minorEastAsia"/>
          <w:b/>
          <w:bCs/>
          <w:color w:val="auto"/>
          <w:szCs w:val="21"/>
          <w:highlight w:val="none"/>
          <w:u w:val="single"/>
        </w:rPr>
        <w:t>综合评分法</w:t>
      </w:r>
      <w:r>
        <w:rPr>
          <w:rFonts w:hint="eastAsia" w:asciiTheme="minorEastAsia" w:hAnsiTheme="minorEastAsia"/>
          <w:bCs/>
          <w:color w:val="auto"/>
          <w:szCs w:val="21"/>
          <w:highlight w:val="none"/>
        </w:rPr>
        <w:t>的评审方法进行评审。</w:t>
      </w:r>
    </w:p>
    <w:p w14:paraId="384E1157">
      <w:pPr>
        <w:pStyle w:val="33"/>
        <w:numPr>
          <w:ilvl w:val="1"/>
          <w:numId w:val="50"/>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综合评分法：是指响应文件满足遴选文件全部实质性要求，且按照评审因素的量化指标评审得分最高的响应供应商为成交候选人的评审方法。</w:t>
      </w:r>
    </w:p>
    <w:p w14:paraId="25FBF972">
      <w:pPr>
        <w:pStyle w:val="33"/>
        <w:numPr>
          <w:ilvl w:val="0"/>
          <w:numId w:val="51"/>
        </w:numPr>
        <w:tabs>
          <w:tab w:val="left" w:pos="567"/>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各项得分按四舍五入原则精确到小数点后两位。</w:t>
      </w:r>
    </w:p>
    <w:p w14:paraId="4E9D3ECA">
      <w:pPr>
        <w:pStyle w:val="33"/>
        <w:numPr>
          <w:ilvl w:val="0"/>
          <w:numId w:val="48"/>
        </w:numPr>
        <w:spacing w:before="312" w:beforeLines="100" w:line="360" w:lineRule="auto"/>
        <w:ind w:firstLineChars="0"/>
        <w:rPr>
          <w:rFonts w:asciiTheme="minorEastAsia" w:hAnsiTheme="minorEastAsia"/>
          <w:bCs/>
          <w:color w:val="auto"/>
          <w:szCs w:val="21"/>
          <w:highlight w:val="none"/>
        </w:rPr>
      </w:pPr>
      <w:r>
        <w:rPr>
          <w:rFonts w:hint="eastAsia" w:asciiTheme="minorEastAsia" w:hAnsiTheme="minorEastAsia"/>
          <w:b/>
          <w:bCs/>
          <w:color w:val="auto"/>
          <w:szCs w:val="21"/>
          <w:highlight w:val="none"/>
        </w:rPr>
        <w:t>评审步骤</w:t>
      </w:r>
    </w:p>
    <w:p w14:paraId="017EA3F4">
      <w:pPr>
        <w:pStyle w:val="33"/>
        <w:numPr>
          <w:ilvl w:val="1"/>
          <w:numId w:val="52"/>
        </w:numPr>
        <w:spacing w:line="360" w:lineRule="auto"/>
        <w:ind w:left="426" w:hanging="426" w:firstLineChars="0"/>
        <w:rPr>
          <w:rFonts w:asciiTheme="minorEastAsia" w:hAnsiTheme="minorEastAsia"/>
          <w:color w:val="auto"/>
          <w:highlight w:val="none"/>
        </w:rPr>
      </w:pPr>
      <w:r>
        <w:rPr>
          <w:rFonts w:hint="eastAsia" w:asciiTheme="minorEastAsia" w:hAnsiTheme="minorEastAsia"/>
          <w:bCs/>
          <w:color w:val="auto"/>
          <w:szCs w:val="21"/>
          <w:highlight w:val="none"/>
        </w:rPr>
        <w:t>综合评分法：</w:t>
      </w:r>
      <w:bookmarkStart w:id="40" w:name="_Hlk81182166"/>
      <w:bookmarkStart w:id="41" w:name="_Hlk81181953"/>
      <w:r>
        <w:rPr>
          <w:rFonts w:hint="eastAsia" w:asciiTheme="minorEastAsia" w:hAnsiTheme="minorEastAsia"/>
          <w:bCs/>
          <w:color w:val="auto"/>
          <w:szCs w:val="21"/>
          <w:highlight w:val="none"/>
        </w:rPr>
        <w:t>项目开标结束后，</w:t>
      </w:r>
      <w:r>
        <w:rPr>
          <w:rFonts w:hint="eastAsia" w:asciiTheme="minorEastAsia" w:hAnsiTheme="minorEastAsia"/>
          <w:color w:val="auto"/>
          <w:highlight w:val="none"/>
        </w:rPr>
        <w:t>由评审委员会对所有响应文件进行初步审查，只有通过初步审查才能进入详细的评审和价格评审，最后评审委员会出具评审报告</w:t>
      </w:r>
      <w:bookmarkEnd w:id="40"/>
      <w:bookmarkEnd w:id="41"/>
      <w:r>
        <w:rPr>
          <w:rFonts w:hint="eastAsia" w:asciiTheme="minorEastAsia" w:hAnsiTheme="minorEastAsia"/>
          <w:color w:val="auto"/>
          <w:highlight w:val="none"/>
        </w:rPr>
        <w:t>。</w:t>
      </w:r>
    </w:p>
    <w:p w14:paraId="72646F93">
      <w:pPr>
        <w:pStyle w:val="33"/>
        <w:numPr>
          <w:ilvl w:val="1"/>
          <w:numId w:val="52"/>
        </w:numPr>
        <w:spacing w:line="360" w:lineRule="auto"/>
        <w:ind w:left="426" w:hanging="426" w:firstLineChars="0"/>
        <w:rPr>
          <w:rFonts w:asciiTheme="minorEastAsia" w:hAnsiTheme="minorEastAsia"/>
          <w:color w:val="auto"/>
          <w:highlight w:val="none"/>
        </w:rPr>
      </w:pPr>
      <w:r>
        <w:rPr>
          <w:rFonts w:hint="eastAsia" w:asciiTheme="minorEastAsia" w:hAnsiTheme="minorEastAsia"/>
          <w:color w:val="auto"/>
          <w:highlight w:val="none"/>
        </w:rPr>
        <w:t>评审时，评审委员会各成员应当独立对每个响应供应商的响应文件进行评价，并汇总每个响应供应商的得分。</w:t>
      </w:r>
    </w:p>
    <w:p w14:paraId="1219537E">
      <w:pPr>
        <w:pStyle w:val="33"/>
        <w:numPr>
          <w:ilvl w:val="0"/>
          <w:numId w:val="47"/>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响应无效的情形</w:t>
      </w:r>
    </w:p>
    <w:p w14:paraId="70A4B5CD">
      <w:pPr>
        <w:pStyle w:val="33"/>
        <w:numPr>
          <w:ilvl w:val="0"/>
          <w:numId w:val="4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详见</w:t>
      </w:r>
      <w:r>
        <w:rPr>
          <w:rFonts w:hint="eastAsia" w:asciiTheme="minorEastAsia" w:hAnsiTheme="minorEastAsia"/>
          <w:color w:val="auto"/>
          <w:highlight w:val="none"/>
        </w:rPr>
        <w:t>初步审查</w:t>
      </w:r>
      <w:r>
        <w:rPr>
          <w:rFonts w:hint="eastAsia" w:asciiTheme="minorEastAsia" w:hAnsiTheme="minorEastAsia"/>
          <w:bCs/>
          <w:color w:val="auto"/>
          <w:szCs w:val="21"/>
          <w:highlight w:val="none"/>
        </w:rPr>
        <w:t>和遴选文件其他响应无效条款。</w:t>
      </w:r>
    </w:p>
    <w:p w14:paraId="79DF800A">
      <w:pPr>
        <w:pStyle w:val="33"/>
        <w:numPr>
          <w:ilvl w:val="0"/>
          <w:numId w:val="47"/>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详细评审</w:t>
      </w:r>
    </w:p>
    <w:p w14:paraId="0E400888">
      <w:pPr>
        <w:pStyle w:val="33"/>
        <w:numPr>
          <w:ilvl w:val="0"/>
          <w:numId w:val="48"/>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评审委员会应当按照遴选文件中规定的评审方法和标准，对</w:t>
      </w:r>
      <w:r>
        <w:rPr>
          <w:rFonts w:hint="eastAsia" w:asciiTheme="minorEastAsia" w:hAnsiTheme="minorEastAsia"/>
          <w:color w:val="auto"/>
          <w:highlight w:val="none"/>
        </w:rPr>
        <w:t>初步审查</w:t>
      </w:r>
      <w:r>
        <w:rPr>
          <w:rFonts w:hint="eastAsia" w:asciiTheme="minorEastAsia" w:hAnsiTheme="minorEastAsia"/>
          <w:bCs/>
          <w:color w:val="auto"/>
          <w:szCs w:val="21"/>
          <w:highlight w:val="none"/>
        </w:rPr>
        <w:t>合格的响应文件进行商务和技术评估，综合比较与评价。</w:t>
      </w:r>
    </w:p>
    <w:p w14:paraId="4993F77D">
      <w:pPr>
        <w:pStyle w:val="33"/>
        <w:numPr>
          <w:ilvl w:val="0"/>
          <w:numId w:val="47"/>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价格评审</w:t>
      </w:r>
    </w:p>
    <w:p w14:paraId="4C8A4516">
      <w:pPr>
        <w:pStyle w:val="33"/>
        <w:numPr>
          <w:ilvl w:val="0"/>
          <w:numId w:val="48"/>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响应文件报价出现前后不一致的，除遴选文件另有规定外，按照下列规定修正：</w:t>
      </w:r>
    </w:p>
    <w:p w14:paraId="6F892C30">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color w:val="auto"/>
          <w:highlight w:val="none"/>
        </w:rPr>
        <w:t>响应文件中报价一览表内容与响应文件中相应内容不一致的，以报价一览表为准；</w:t>
      </w:r>
    </w:p>
    <w:p w14:paraId="7C712D69">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大写金额和小写金额不一致的，以大写金额为准；</w:t>
      </w:r>
    </w:p>
    <w:p w14:paraId="1CE81EA4">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单价金额小数点或者百分比有明显错位的，以报价一览表的总价为准，并修改单价；</w:t>
      </w:r>
    </w:p>
    <w:p w14:paraId="0FEC390C">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总价金额与按单价汇总金额不一致的，以单价金额计算结果为准。</w:t>
      </w:r>
    </w:p>
    <w:p w14:paraId="74552F10">
      <w:pPr>
        <w:pStyle w:val="33"/>
        <w:tabs>
          <w:tab w:val="left" w:pos="426"/>
        </w:tabs>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同时出现两种以上不一致的，按照前款规定的顺序修正。修正后的报价经响应供应商确认后产生约束力，响应供应商不确认的，其响应无效。</w:t>
      </w:r>
    </w:p>
    <w:p w14:paraId="02FB7160">
      <w:pPr>
        <w:pStyle w:val="33"/>
        <w:numPr>
          <w:ilvl w:val="1"/>
          <w:numId w:val="53"/>
        </w:numPr>
        <w:spacing w:line="360" w:lineRule="auto"/>
        <w:ind w:firstLineChars="0"/>
        <w:rPr>
          <w:rFonts w:asciiTheme="minorEastAsia" w:hAnsiTheme="minorEastAsia"/>
          <w:bCs/>
          <w:color w:val="auto"/>
          <w:szCs w:val="21"/>
          <w:highlight w:val="none"/>
        </w:rPr>
      </w:pPr>
      <w:bookmarkStart w:id="42" w:name="_Hlk86745538"/>
      <w:r>
        <w:rPr>
          <w:rFonts w:hint="eastAsia" w:asciiTheme="minorEastAsia" w:hAnsiTheme="minorEastAsia"/>
          <w:bCs/>
          <w:color w:val="auto"/>
          <w:szCs w:val="21"/>
          <w:highlight w:val="none"/>
        </w:rPr>
        <w:t>响应文件中</w:t>
      </w:r>
      <w:bookmarkStart w:id="43" w:name="_Hlk81348653"/>
      <w:r>
        <w:rPr>
          <w:rFonts w:hint="eastAsia" w:asciiTheme="minorEastAsia" w:hAnsiTheme="minorEastAsia"/>
          <w:bCs/>
          <w:color w:val="auto"/>
          <w:szCs w:val="21"/>
          <w:highlight w:val="none"/>
        </w:rPr>
        <w:t>报价一览表、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w:t>
      </w:r>
      <w:bookmarkEnd w:id="43"/>
      <w:r>
        <w:rPr>
          <w:rFonts w:hint="eastAsia" w:asciiTheme="minorEastAsia" w:hAnsiTheme="minorEastAsia"/>
          <w:bCs/>
          <w:color w:val="auto"/>
          <w:szCs w:val="21"/>
          <w:highlight w:val="none"/>
        </w:rPr>
        <w:t>与</w:t>
      </w:r>
      <w:r>
        <w:rPr>
          <w:rFonts w:hint="eastAsia" w:asciiTheme="minorEastAsia" w:hAnsiTheme="minorEastAsia"/>
          <w:bCs/>
          <w:color w:val="auto"/>
          <w:szCs w:val="21"/>
          <w:highlight w:val="none"/>
          <w:lang w:val="en-US" w:eastAsia="zh-CN"/>
        </w:rPr>
        <w:t>响应</w:t>
      </w:r>
      <w:r>
        <w:rPr>
          <w:rFonts w:hint="eastAsia" w:asciiTheme="minorEastAsia" w:hAnsiTheme="minorEastAsia"/>
          <w:bCs/>
          <w:color w:val="auto"/>
          <w:szCs w:val="21"/>
          <w:highlight w:val="none"/>
        </w:rPr>
        <w:t>信封中报价一览表（报价表、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内容不一致的，以响应信封中报价一览表、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内容为准。</w:t>
      </w:r>
    </w:p>
    <w:bookmarkEnd w:id="42"/>
    <w:p w14:paraId="03392D65">
      <w:pPr>
        <w:pStyle w:val="33"/>
        <w:numPr>
          <w:ilvl w:val="0"/>
          <w:numId w:val="48"/>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认为响应供应商的报价明显低于其他响应供应商的报价，有可能影响产品质量或者不能诚信履约的，应当要求其在评审现场合理的时间内提供书面说明，必要时提交相关证明材料；响应供应商不能证明其报价合理性的，评审委员会应当将其作为无效响应处理。</w:t>
      </w:r>
    </w:p>
    <w:p w14:paraId="438F340A">
      <w:pPr>
        <w:pStyle w:val="33"/>
        <w:numPr>
          <w:ilvl w:val="0"/>
          <w:numId w:val="48"/>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价格评分</w:t>
      </w:r>
      <w:r>
        <w:rPr>
          <w:rFonts w:asciiTheme="minorEastAsia" w:hAnsiTheme="minorEastAsia"/>
          <w:b/>
          <w:bCs/>
          <w:color w:val="auto"/>
          <w:szCs w:val="21"/>
          <w:highlight w:val="none"/>
        </w:rPr>
        <w:t>权值分配（</w:t>
      </w:r>
      <w:r>
        <w:rPr>
          <w:rFonts w:hint="eastAsia" w:asciiTheme="minorEastAsia" w:hAnsiTheme="minorEastAsia"/>
          <w:b/>
          <w:bCs/>
          <w:color w:val="auto"/>
          <w:szCs w:val="21"/>
          <w:highlight w:val="none"/>
          <w:lang w:val="en-US" w:eastAsia="zh-CN"/>
        </w:rPr>
        <w:t>20</w:t>
      </w:r>
      <w:r>
        <w:rPr>
          <w:rFonts w:asciiTheme="minorEastAsia" w:hAnsiTheme="minorEastAsia"/>
          <w:b/>
          <w:bCs/>
          <w:color w:val="auto"/>
          <w:szCs w:val="21"/>
          <w:highlight w:val="none"/>
        </w:rPr>
        <w:t>%）</w:t>
      </w:r>
    </w:p>
    <w:p w14:paraId="67CC44E2">
      <w:pPr>
        <w:pStyle w:val="33"/>
        <w:numPr>
          <w:ilvl w:val="1"/>
          <w:numId w:val="5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价格分应当采用低价优先法计算，即满足遴选文件要求且价格最低的报价为评审基准价，其价格分为满分。其他响应供应商的价格分统一按照下列公式计算：</w:t>
      </w:r>
    </w:p>
    <w:p w14:paraId="227B81D2">
      <w:pPr>
        <w:pStyle w:val="33"/>
        <w:spacing w:line="360" w:lineRule="auto"/>
        <w:ind w:left="567" w:firstLine="0" w:firstLineChars="0"/>
        <w:jc w:val="left"/>
        <w:rPr>
          <w:rFonts w:asciiTheme="minorEastAsia" w:hAnsiTheme="minorEastAsia"/>
          <w:color w:val="auto"/>
          <w:highlight w:val="none"/>
        </w:rPr>
      </w:pPr>
      <w:r>
        <w:rPr>
          <w:rFonts w:hint="eastAsia" w:asciiTheme="minorEastAsia" w:hAnsiTheme="minorEastAsia"/>
          <w:bCs/>
          <w:color w:val="auto"/>
          <w:szCs w:val="21"/>
          <w:highlight w:val="none"/>
        </w:rPr>
        <w:t>响应供应商价格得分</w:t>
      </w:r>
      <w:r>
        <w:rPr>
          <w:rFonts w:asciiTheme="minorEastAsia" w:hAnsiTheme="minorEastAsia"/>
          <w:bCs/>
          <w:color w:val="auto"/>
          <w:szCs w:val="21"/>
          <w:highlight w:val="none"/>
        </w:rPr>
        <w:t>=(评</w:t>
      </w:r>
      <w:r>
        <w:rPr>
          <w:rFonts w:hint="eastAsia" w:asciiTheme="minorEastAsia" w:hAnsiTheme="minorEastAsia"/>
          <w:bCs/>
          <w:color w:val="auto"/>
          <w:szCs w:val="21"/>
          <w:highlight w:val="none"/>
        </w:rPr>
        <w:t>审</w:t>
      </w:r>
      <w:r>
        <w:rPr>
          <w:rFonts w:asciiTheme="minorEastAsia" w:hAnsiTheme="minorEastAsia"/>
          <w:bCs/>
          <w:color w:val="auto"/>
          <w:szCs w:val="21"/>
          <w:highlight w:val="none"/>
        </w:rPr>
        <w:t>基准价／</w:t>
      </w:r>
      <w:r>
        <w:rPr>
          <w:rFonts w:hint="eastAsia" w:asciiTheme="minorEastAsia" w:hAnsiTheme="minorEastAsia"/>
          <w:bCs/>
          <w:color w:val="auto"/>
          <w:szCs w:val="21"/>
          <w:highlight w:val="none"/>
        </w:rPr>
        <w:t>报价</w:t>
      </w:r>
      <w:r>
        <w:rPr>
          <w:rFonts w:asciiTheme="minorEastAsia" w:hAnsiTheme="minorEastAsia"/>
          <w:bCs/>
          <w:color w:val="auto"/>
          <w:szCs w:val="21"/>
          <w:highlight w:val="none"/>
        </w:rPr>
        <w:t>)×</w:t>
      </w:r>
      <w:r>
        <w:rPr>
          <w:rFonts w:hint="eastAsia" w:asciiTheme="minorEastAsia" w:hAnsiTheme="minorEastAsia"/>
          <w:color w:val="auto"/>
          <w:highlight w:val="none"/>
        </w:rPr>
        <w:t>价格权值</w:t>
      </w:r>
      <w:r>
        <w:rPr>
          <w:rFonts w:asciiTheme="minorEastAsia" w:hAnsiTheme="minorEastAsia"/>
          <w:bCs/>
          <w:color w:val="auto"/>
          <w:szCs w:val="21"/>
          <w:highlight w:val="none"/>
        </w:rPr>
        <w:t>×100</w:t>
      </w:r>
    </w:p>
    <w:p w14:paraId="77302875">
      <w:pPr>
        <w:pStyle w:val="33"/>
        <w:numPr>
          <w:ilvl w:val="0"/>
          <w:numId w:val="48"/>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商务技术及价格评分权值分配</w:t>
      </w:r>
    </w:p>
    <w:tbl>
      <w:tblPr>
        <w:tblStyle w:val="22"/>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7A617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0D8D022C">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评分项目</w:t>
            </w:r>
          </w:p>
        </w:tc>
        <w:tc>
          <w:tcPr>
            <w:tcW w:w="1082" w:type="pct"/>
            <w:vAlign w:val="center"/>
          </w:tcPr>
          <w:p w14:paraId="75991A96">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价格部分</w:t>
            </w:r>
          </w:p>
        </w:tc>
        <w:tc>
          <w:tcPr>
            <w:tcW w:w="1081" w:type="pct"/>
            <w:vAlign w:val="center"/>
          </w:tcPr>
          <w:p w14:paraId="0D9DED13">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商务部分</w:t>
            </w:r>
          </w:p>
        </w:tc>
        <w:tc>
          <w:tcPr>
            <w:tcW w:w="1081" w:type="pct"/>
            <w:vAlign w:val="center"/>
          </w:tcPr>
          <w:p w14:paraId="7E9C99B0">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技术部分</w:t>
            </w:r>
          </w:p>
        </w:tc>
        <w:tc>
          <w:tcPr>
            <w:tcW w:w="780" w:type="pct"/>
            <w:vAlign w:val="center"/>
          </w:tcPr>
          <w:p w14:paraId="58C0E015">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合计</w:t>
            </w:r>
          </w:p>
        </w:tc>
      </w:tr>
      <w:tr w14:paraId="22A0C5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08E81E9C">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rPr>
              <w:t>权值</w:t>
            </w:r>
          </w:p>
        </w:tc>
        <w:tc>
          <w:tcPr>
            <w:tcW w:w="1082" w:type="pct"/>
            <w:vAlign w:val="center"/>
          </w:tcPr>
          <w:p w14:paraId="4BEAF042">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eastAsia" w:asciiTheme="minorEastAsia" w:hAnsiTheme="minorEastAsia"/>
                <w:color w:val="auto"/>
                <w:highlight w:val="none"/>
                <w:lang w:val="en-US" w:eastAsia="zh-CN"/>
              </w:rPr>
              <w:t>20</w:t>
            </w:r>
            <w:r>
              <w:rPr>
                <w:rFonts w:hint="eastAsia" w:asciiTheme="minorEastAsia" w:hAnsiTheme="minorEastAsia"/>
                <w:color w:val="auto"/>
                <w:highlight w:val="none"/>
              </w:rPr>
              <w:t>%</w:t>
            </w:r>
          </w:p>
        </w:tc>
        <w:tc>
          <w:tcPr>
            <w:tcW w:w="1081" w:type="pct"/>
            <w:vAlign w:val="center"/>
          </w:tcPr>
          <w:p w14:paraId="0F0FE68D">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default" w:asciiTheme="minorEastAsia" w:hAnsiTheme="minorEastAsia"/>
                <w:color w:val="auto"/>
                <w:highlight w:val="none"/>
                <w:lang w:val="en-US" w:eastAsia="zh-CN"/>
              </w:rPr>
              <w:t>20</w:t>
            </w:r>
            <w:r>
              <w:rPr>
                <w:rFonts w:hint="eastAsia" w:asciiTheme="minorEastAsia" w:hAnsiTheme="minorEastAsia"/>
                <w:color w:val="auto"/>
                <w:highlight w:val="none"/>
              </w:rPr>
              <w:t>%</w:t>
            </w:r>
          </w:p>
        </w:tc>
        <w:tc>
          <w:tcPr>
            <w:tcW w:w="1081" w:type="pct"/>
            <w:vAlign w:val="center"/>
          </w:tcPr>
          <w:p w14:paraId="700C6924">
            <w:pPr>
              <w:keepNext w:val="0"/>
              <w:keepLines w:val="0"/>
              <w:suppressLineNumbers w:val="0"/>
              <w:spacing w:before="0" w:beforeAutospacing="0" w:after="0" w:afterAutospacing="0"/>
              <w:ind w:left="0" w:right="0"/>
              <w:jc w:val="center"/>
              <w:rPr>
                <w:rFonts w:hint="default" w:asciiTheme="minorEastAsia" w:hAnsiTheme="minorEastAsia"/>
                <w:i/>
                <w:color w:val="auto"/>
                <w:highlight w:val="none"/>
              </w:rPr>
            </w:pPr>
            <w:r>
              <w:rPr>
                <w:rFonts w:hint="default" w:asciiTheme="minorEastAsia" w:hAnsiTheme="minorEastAsia"/>
                <w:color w:val="auto"/>
                <w:highlight w:val="none"/>
                <w:lang w:val="en-US" w:eastAsia="zh-CN"/>
              </w:rPr>
              <w:t>60</w:t>
            </w:r>
            <w:r>
              <w:rPr>
                <w:rFonts w:hint="eastAsia" w:asciiTheme="minorEastAsia" w:hAnsiTheme="minorEastAsia"/>
                <w:color w:val="auto"/>
                <w:highlight w:val="none"/>
              </w:rPr>
              <w:t>%</w:t>
            </w:r>
          </w:p>
        </w:tc>
        <w:tc>
          <w:tcPr>
            <w:tcW w:w="780" w:type="pct"/>
          </w:tcPr>
          <w:p w14:paraId="272A7394">
            <w:pPr>
              <w:keepNext w:val="0"/>
              <w:keepLines w:val="0"/>
              <w:suppressLineNumbers w:val="0"/>
              <w:spacing w:before="0" w:beforeAutospacing="0" w:after="0" w:afterAutospacing="0"/>
              <w:ind w:left="0" w:right="0"/>
              <w:jc w:val="center"/>
              <w:rPr>
                <w:rFonts w:hint="default" w:asciiTheme="minorEastAsia" w:hAnsiTheme="minorEastAsia"/>
                <w:color w:val="auto"/>
                <w:highlight w:val="none"/>
              </w:rPr>
            </w:pPr>
            <w:r>
              <w:rPr>
                <w:rFonts w:hint="default" w:asciiTheme="minorEastAsia" w:hAnsiTheme="minorEastAsia"/>
                <w:color w:val="auto"/>
                <w:highlight w:val="none"/>
              </w:rPr>
              <w:t>100</w:t>
            </w:r>
            <w:r>
              <w:rPr>
                <w:rFonts w:hint="eastAsia" w:asciiTheme="minorEastAsia" w:hAnsiTheme="minorEastAsia"/>
                <w:color w:val="auto"/>
                <w:highlight w:val="none"/>
              </w:rPr>
              <w:t>%</w:t>
            </w:r>
          </w:p>
        </w:tc>
      </w:tr>
    </w:tbl>
    <w:p w14:paraId="0CB2F28A">
      <w:pPr>
        <w:pStyle w:val="33"/>
        <w:numPr>
          <w:ilvl w:val="0"/>
          <w:numId w:val="55"/>
        </w:numPr>
        <w:spacing w:before="156" w:beforeLines="50"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综合得分＝商务得分＋技术得分＋价格得分</w:t>
      </w:r>
    </w:p>
    <w:p w14:paraId="480F4191">
      <w:pPr>
        <w:pStyle w:val="33"/>
        <w:numPr>
          <w:ilvl w:val="0"/>
          <w:numId w:val="48"/>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成交候选人</w:t>
      </w:r>
    </w:p>
    <w:p w14:paraId="0C5342AD">
      <w:pPr>
        <w:pStyle w:val="33"/>
        <w:numPr>
          <w:ilvl w:val="1"/>
          <w:numId w:val="56"/>
        </w:numPr>
        <w:tabs>
          <w:tab w:val="left" w:pos="567"/>
          <w:tab w:val="left" w:pos="709"/>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评审委员会出具评审报告，并排序推荐三名成交候选人。</w:t>
      </w:r>
    </w:p>
    <w:p w14:paraId="7131A902">
      <w:pPr>
        <w:pStyle w:val="33"/>
        <w:numPr>
          <w:ilvl w:val="1"/>
          <w:numId w:val="56"/>
        </w:numPr>
        <w:tabs>
          <w:tab w:val="left" w:pos="567"/>
          <w:tab w:val="left" w:pos="709"/>
        </w:tabs>
        <w:spacing w:line="360" w:lineRule="auto"/>
        <w:ind w:firstLineChars="0"/>
        <w:rPr>
          <w:rFonts w:asciiTheme="minorEastAsia" w:hAnsiTheme="minorEastAsia"/>
          <w:b/>
          <w:bCs/>
          <w:color w:val="auto"/>
          <w:highlight w:val="none"/>
        </w:rPr>
      </w:pPr>
      <w:r>
        <w:rPr>
          <w:rFonts w:hint="eastAsia" w:asciiTheme="minorEastAsia" w:hAnsiTheme="minorEastAsia"/>
          <w:bCs/>
          <w:color w:val="auto"/>
          <w:szCs w:val="21"/>
          <w:highlight w:val="none"/>
        </w:rPr>
        <w:t>采</w:t>
      </w:r>
      <w:r>
        <w:rPr>
          <w:rFonts w:asciiTheme="minorEastAsia" w:hAnsiTheme="minorEastAsia"/>
          <w:bCs/>
          <w:color w:val="auto"/>
          <w:szCs w:val="21"/>
          <w:highlight w:val="none"/>
        </w:rPr>
        <w:t>用综合评分法的，</w:t>
      </w:r>
      <w:r>
        <w:rPr>
          <w:rFonts w:hint="eastAsia" w:asciiTheme="minorEastAsia" w:hAnsiTheme="minorEastAsia"/>
          <w:bCs/>
          <w:color w:val="auto"/>
          <w:szCs w:val="21"/>
          <w:highlight w:val="none"/>
        </w:rPr>
        <w:t>评审结果</w:t>
      </w:r>
      <w:r>
        <w:rPr>
          <w:rFonts w:asciiTheme="minorEastAsia" w:hAnsiTheme="minorEastAsia"/>
          <w:bCs/>
          <w:color w:val="auto"/>
          <w:szCs w:val="21"/>
          <w:highlight w:val="none"/>
        </w:rPr>
        <w:t>按评审后得分由高到低的顺序排列。</w:t>
      </w:r>
      <w:r>
        <w:rPr>
          <w:rFonts w:hint="eastAsia" w:asciiTheme="minorEastAsia" w:hAnsiTheme="minorEastAsia"/>
          <w:bCs/>
          <w:color w:val="auto"/>
          <w:szCs w:val="21"/>
          <w:highlight w:val="none"/>
        </w:rPr>
        <w:t>综合</w:t>
      </w:r>
      <w:r>
        <w:rPr>
          <w:rFonts w:asciiTheme="minorEastAsia" w:hAnsiTheme="minorEastAsia"/>
          <w:bCs/>
          <w:color w:val="auto"/>
          <w:szCs w:val="21"/>
          <w:highlight w:val="none"/>
        </w:rPr>
        <w:t>得分相同的，按报价由低到高顺序排列</w:t>
      </w:r>
      <w:r>
        <w:rPr>
          <w:rFonts w:hint="eastAsia" w:asciiTheme="minorEastAsia" w:hAnsiTheme="minorEastAsia"/>
          <w:bCs/>
          <w:color w:val="auto"/>
          <w:szCs w:val="21"/>
          <w:highlight w:val="none"/>
        </w:rPr>
        <w:t>，以报价低的优先；报价也相等的，以技术得分高的优先；如果技术得分也相等，通过随机方式产生。</w:t>
      </w:r>
    </w:p>
    <w:p w14:paraId="192D9A7B">
      <w:pPr>
        <w:pStyle w:val="33"/>
        <w:numPr>
          <w:ilvl w:val="0"/>
          <w:numId w:val="57"/>
        </w:numPr>
        <w:spacing w:before="156" w:beforeLines="50" w:after="312" w:afterLines="100" w:line="360" w:lineRule="auto"/>
        <w:ind w:left="422" w:hanging="422" w:hangingChars="200"/>
        <w:rPr>
          <w:rFonts w:asciiTheme="minorEastAsia" w:hAnsiTheme="minorEastAsia"/>
          <w:b/>
          <w:bCs/>
          <w:color w:val="auto"/>
          <w:szCs w:val="21"/>
          <w:highlight w:val="none"/>
        </w:rPr>
      </w:pPr>
      <w:r>
        <w:rPr>
          <w:rFonts w:hint="eastAsia" w:asciiTheme="minorEastAsia" w:hAnsiTheme="minorEastAsia"/>
          <w:b/>
          <w:bCs/>
          <w:color w:val="auto"/>
          <w:szCs w:val="21"/>
          <w:highlight w:val="none"/>
        </w:rPr>
        <w:t>附表一</w:t>
      </w:r>
      <w:r>
        <w:rPr>
          <w:rFonts w:asciiTheme="minorEastAsia" w:hAnsiTheme="minorEastAsia"/>
          <w:b/>
          <w:bCs/>
          <w:color w:val="auto"/>
          <w:szCs w:val="21"/>
          <w:highlight w:val="none"/>
        </w:rPr>
        <w:t xml:space="preserve"> </w:t>
      </w:r>
      <w:bookmarkStart w:id="44" w:name="_Hlk79425582"/>
      <w:r>
        <w:rPr>
          <w:rFonts w:asciiTheme="minorEastAsia" w:hAnsiTheme="minorEastAsia"/>
          <w:b/>
          <w:bCs/>
          <w:color w:val="auto"/>
          <w:szCs w:val="21"/>
          <w:highlight w:val="none"/>
        </w:rPr>
        <w:t xml:space="preserve"> </w:t>
      </w:r>
      <w:bookmarkStart w:id="45" w:name="_Hlk80867805"/>
      <w:r>
        <w:rPr>
          <w:rFonts w:hint="eastAsia" w:asciiTheme="minorEastAsia" w:hAnsiTheme="minorEastAsia"/>
          <w:b/>
          <w:bCs/>
          <w:color w:val="auto"/>
          <w:szCs w:val="21"/>
          <w:highlight w:val="none"/>
        </w:rPr>
        <w:t>初步</w:t>
      </w:r>
      <w:r>
        <w:rPr>
          <w:rFonts w:asciiTheme="minorEastAsia" w:hAnsiTheme="minorEastAsia"/>
          <w:b/>
          <w:bCs/>
          <w:color w:val="auto"/>
          <w:szCs w:val="21"/>
          <w:highlight w:val="none"/>
        </w:rPr>
        <w:t>审查表</w:t>
      </w:r>
      <w:bookmarkEnd w:id="44"/>
      <w:bookmarkEnd w:id="45"/>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8078"/>
      </w:tblGrid>
      <w:tr w14:paraId="2A7C6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393" w:type="pct"/>
            <w:vAlign w:val="center"/>
          </w:tcPr>
          <w:p w14:paraId="058C11C4">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4607" w:type="pct"/>
            <w:vAlign w:val="center"/>
          </w:tcPr>
          <w:p w14:paraId="69923EB4">
            <w:pPr>
              <w:keepNext w:val="0"/>
              <w:keepLines w:val="0"/>
              <w:suppressLineNumbers w:val="0"/>
              <w:spacing w:before="0" w:beforeAutospacing="0" w:after="0" w:afterAutospacing="0" w:line="360" w:lineRule="auto"/>
              <w:ind w:left="0" w:right="0"/>
              <w:jc w:val="center"/>
              <w:rPr>
                <w:rFonts w:hint="default" w:cs="Times New Roman" w:asciiTheme="minorEastAsia" w:hAnsiTheme="minorEastAsia"/>
                <w:b/>
                <w:color w:val="auto"/>
                <w:szCs w:val="21"/>
                <w:highlight w:val="none"/>
              </w:rPr>
            </w:pPr>
            <w:r>
              <w:rPr>
                <w:rFonts w:hint="eastAsia" w:cs="Times New Roman" w:asciiTheme="minorEastAsia" w:hAnsiTheme="minorEastAsia"/>
                <w:b/>
                <w:color w:val="auto"/>
                <w:szCs w:val="21"/>
                <w:highlight w:val="none"/>
              </w:rPr>
              <w:t>评审内容</w:t>
            </w:r>
          </w:p>
        </w:tc>
      </w:tr>
      <w:tr w14:paraId="6EEE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393" w:type="pct"/>
            <w:vAlign w:val="center"/>
          </w:tcPr>
          <w:p w14:paraId="01EAA1EB">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1</w:t>
            </w:r>
          </w:p>
        </w:tc>
        <w:tc>
          <w:tcPr>
            <w:tcW w:w="4607" w:type="pct"/>
            <w:vAlign w:val="center"/>
          </w:tcPr>
          <w:p w14:paraId="2152575D">
            <w:pPr>
              <w:keepNext w:val="0"/>
              <w:keepLines w:val="0"/>
              <w:suppressLineNumbers w:val="0"/>
              <w:spacing w:before="0" w:beforeAutospacing="0" w:after="0" w:afterAutospacing="0" w:line="360" w:lineRule="auto"/>
              <w:ind w:left="0" w:right="0"/>
              <w:jc w:val="left"/>
              <w:rPr>
                <w:rFonts w:hint="default" w:cs="Times New Roman" w:asciiTheme="minorEastAsia" w:hAnsiTheme="minorEastAsia"/>
                <w:color w:val="auto"/>
                <w:szCs w:val="21"/>
                <w:highlight w:val="none"/>
              </w:rPr>
            </w:pPr>
            <w:r>
              <w:rPr>
                <w:rFonts w:hint="eastAsia" w:asciiTheme="minorEastAsia" w:hAnsiTheme="minorEastAsia"/>
                <w:color w:val="auto"/>
                <w:szCs w:val="21"/>
                <w:highlight w:val="none"/>
              </w:rPr>
              <w:t>响应供应商应具备《中华人民共和国政府采购法》第二十二条规定的条件</w:t>
            </w:r>
            <w:r>
              <w:rPr>
                <w:rFonts w:hint="default" w:asciiTheme="minorEastAsia" w:hAnsiTheme="minorEastAsia"/>
                <w:color w:val="auto"/>
                <w:szCs w:val="21"/>
                <w:highlight w:val="none"/>
              </w:rPr>
              <w:t>(</w:t>
            </w:r>
            <w:r>
              <w:rPr>
                <w:rFonts w:hint="eastAsia" w:asciiTheme="minorEastAsia" w:hAnsiTheme="minorEastAsia"/>
                <w:color w:val="auto"/>
                <w:szCs w:val="21"/>
                <w:highlight w:val="none"/>
              </w:rPr>
              <w:t>详见第一章</w:t>
            </w:r>
            <w:r>
              <w:rPr>
                <w:rFonts w:hint="default" w:asciiTheme="minorEastAsia" w:hAnsiTheme="minorEastAsia"/>
                <w:color w:val="auto"/>
                <w:szCs w:val="21"/>
                <w:highlight w:val="none"/>
              </w:rPr>
              <w:t xml:space="preserve"> 邀请函中申请人的资格要求）</w:t>
            </w:r>
            <w:r>
              <w:rPr>
                <w:rFonts w:hint="eastAsia" w:cs="Times New Roman" w:asciiTheme="minorEastAsia" w:hAnsiTheme="minorEastAsia"/>
                <w:color w:val="auto"/>
                <w:szCs w:val="21"/>
                <w:highlight w:val="none"/>
              </w:rPr>
              <w:t>。</w:t>
            </w:r>
          </w:p>
        </w:tc>
      </w:tr>
      <w:tr w14:paraId="483B4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14:paraId="4997624F">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2</w:t>
            </w:r>
          </w:p>
        </w:tc>
        <w:tc>
          <w:tcPr>
            <w:tcW w:w="4607" w:type="pct"/>
            <w:vAlign w:val="center"/>
          </w:tcPr>
          <w:p w14:paraId="4FA35687">
            <w:pPr>
              <w:keepNext w:val="0"/>
              <w:keepLines w:val="0"/>
              <w:suppressLineNumbers w:val="0"/>
              <w:spacing w:before="0" w:beforeAutospacing="0" w:after="0" w:afterAutospacing="0" w:line="360" w:lineRule="auto"/>
              <w:ind w:left="0" w:right="0"/>
              <w:jc w:val="left"/>
              <w:rPr>
                <w:rFonts w:hint="default"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法定代表人证明书及授权委托书（如适用）：已经盖章、签署，有效期涵盖投标有效期。法人授权委托证明。</w:t>
            </w:r>
            <w:r>
              <w:rPr>
                <w:rFonts w:hint="default" w:cs="Times New Roman" w:asciiTheme="minorEastAsia" w:hAnsiTheme="minorEastAsia"/>
                <w:color w:val="auto"/>
                <w:szCs w:val="21"/>
                <w:highlight w:val="none"/>
              </w:rPr>
              <w:t>(</w:t>
            </w:r>
            <w:r>
              <w:rPr>
                <w:rFonts w:hint="eastAsia" w:cs="Times New Roman" w:asciiTheme="minorEastAsia" w:hAnsiTheme="minorEastAsia"/>
                <w:color w:val="auto"/>
                <w:szCs w:val="21"/>
                <w:highlight w:val="none"/>
              </w:rPr>
              <w:t>响应供应商代表为法定代表人的除外</w:t>
            </w:r>
            <w:r>
              <w:rPr>
                <w:rFonts w:hint="default" w:cs="Times New Roman" w:asciiTheme="minorEastAsia" w:hAnsiTheme="minorEastAsia"/>
                <w:color w:val="auto"/>
                <w:szCs w:val="21"/>
                <w:highlight w:val="none"/>
              </w:rPr>
              <w:t>)</w:t>
            </w:r>
          </w:p>
        </w:tc>
      </w:tr>
      <w:tr w14:paraId="02684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3" w:type="pct"/>
            <w:vAlign w:val="center"/>
          </w:tcPr>
          <w:p w14:paraId="260A23BC">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3</w:t>
            </w:r>
          </w:p>
        </w:tc>
        <w:tc>
          <w:tcPr>
            <w:tcW w:w="4607" w:type="pct"/>
            <w:vAlign w:val="center"/>
          </w:tcPr>
          <w:p w14:paraId="6E09A0BC">
            <w:pPr>
              <w:keepNext w:val="0"/>
              <w:keepLines w:val="0"/>
              <w:suppressLineNumbers w:val="0"/>
              <w:spacing w:before="0" w:beforeAutospacing="0" w:after="0" w:afterAutospacing="0" w:line="360" w:lineRule="auto"/>
              <w:ind w:left="0" w:right="0"/>
              <w:jc w:val="left"/>
              <w:rPr>
                <w:rFonts w:hint="default"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响应函已提交并符合遴选文件要求的，且响应有效期不少于遴选文件中载明的投标有效期。</w:t>
            </w:r>
          </w:p>
        </w:tc>
      </w:tr>
      <w:tr w14:paraId="7D68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393" w:type="pct"/>
            <w:vAlign w:val="center"/>
          </w:tcPr>
          <w:p w14:paraId="75FB1FDD">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4</w:t>
            </w:r>
          </w:p>
        </w:tc>
        <w:tc>
          <w:tcPr>
            <w:tcW w:w="4607" w:type="pct"/>
            <w:vAlign w:val="center"/>
          </w:tcPr>
          <w:p w14:paraId="3E02684F">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Cs w:val="21"/>
                <w:highlight w:val="none"/>
              </w:rPr>
            </w:pPr>
            <w:r>
              <w:rPr>
                <w:rFonts w:hint="eastAsia" w:cs="Times New Roman" w:asciiTheme="minorEastAsia" w:hAnsiTheme="minorEastAsia"/>
                <w:color w:val="auto"/>
                <w:szCs w:val="21"/>
                <w:highlight w:val="none"/>
              </w:rPr>
              <w:t>响应文件内容、签署、盖章：响应文件内容完整，无重大错漏，并已按遴选文件要求盖章、签署。</w:t>
            </w:r>
          </w:p>
        </w:tc>
      </w:tr>
      <w:tr w14:paraId="2E9C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2B6C5D3D">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5</w:t>
            </w:r>
          </w:p>
        </w:tc>
        <w:tc>
          <w:tcPr>
            <w:tcW w:w="4607" w:type="pct"/>
            <w:vAlign w:val="center"/>
          </w:tcPr>
          <w:p w14:paraId="7741B3D1">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满足遴选文件实质性要求：已满足遴选文件实质性要求（含带★号的条款和指标）。</w:t>
            </w:r>
            <w:r>
              <w:rPr>
                <w:rFonts w:hint="default" w:asciiTheme="minorEastAsia" w:hAnsiTheme="minorEastAsia"/>
                <w:bCs/>
                <w:color w:val="auto"/>
                <w:szCs w:val="21"/>
                <w:highlight w:val="none"/>
              </w:rPr>
              <w:t>(若本项目无★条款，此项通过)</w:t>
            </w:r>
          </w:p>
        </w:tc>
      </w:tr>
      <w:tr w14:paraId="0FCE3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3AFAE804">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6</w:t>
            </w:r>
          </w:p>
        </w:tc>
        <w:tc>
          <w:tcPr>
            <w:tcW w:w="4607" w:type="pct"/>
            <w:vAlign w:val="center"/>
          </w:tcPr>
          <w:p w14:paraId="46A3AA6F">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响应方案：如遴选文件不接受备选方案时，响应供应商提供的投标方案及报价方案固定；如遴选文件接受备选方案的，提交多于一个方案时已明确主选方案。</w:t>
            </w:r>
          </w:p>
        </w:tc>
      </w:tr>
      <w:tr w14:paraId="2CA58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75BAE85C">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7</w:t>
            </w:r>
          </w:p>
        </w:tc>
        <w:tc>
          <w:tcPr>
            <w:tcW w:w="4607" w:type="pct"/>
            <w:vAlign w:val="center"/>
          </w:tcPr>
          <w:p w14:paraId="1E70FE72">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响应报价：</w:t>
            </w:r>
          </w:p>
          <w:p w14:paraId="6FDE19FA">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响应报价（含单项报价，如有要求）确定且未超过遴选文件中相应的预算金额或者最高限价。</w:t>
            </w:r>
          </w:p>
          <w:p w14:paraId="36977F5C">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响应报价中对响应标的的主体、关键内容无漏项、缺项。</w:t>
            </w:r>
          </w:p>
          <w:p w14:paraId="6CFDC9DB">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如有，对评选小组按照遴选文件规定修正后的响应报价，响应供应商按规定书面确认。</w:t>
            </w:r>
          </w:p>
          <w:p w14:paraId="5F35C3CD">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如评选小组认为响应供应商的报价明显低于其他通过符合性审查响应供应商的报价，有可能影响项目质量或者不能诚信履约的，将要求其在评审现场合理的时间内提供书面说明，必要时提交相关证明材料。响应供应商能证明其报价合理性。</w:t>
            </w:r>
          </w:p>
        </w:tc>
      </w:tr>
      <w:tr w14:paraId="0034E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65943C62">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8</w:t>
            </w:r>
          </w:p>
        </w:tc>
        <w:tc>
          <w:tcPr>
            <w:tcW w:w="4607" w:type="pct"/>
            <w:vAlign w:val="center"/>
          </w:tcPr>
          <w:p w14:paraId="02DD55E5">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附加条件：响应文件未含有采购人不能接受的附加条件。</w:t>
            </w:r>
          </w:p>
        </w:tc>
      </w:tr>
      <w:tr w14:paraId="2E3ED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07A68AF2">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9</w:t>
            </w:r>
          </w:p>
        </w:tc>
        <w:tc>
          <w:tcPr>
            <w:tcW w:w="4607" w:type="pct"/>
            <w:vAlign w:val="center"/>
          </w:tcPr>
          <w:p w14:paraId="1B2D2706">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串通投标：未出现遴选文件所列的视为串通投标的情形。</w:t>
            </w:r>
          </w:p>
        </w:tc>
      </w:tr>
      <w:tr w14:paraId="2DB7B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3B7872BE">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10</w:t>
            </w:r>
          </w:p>
        </w:tc>
        <w:tc>
          <w:tcPr>
            <w:tcW w:w="4607" w:type="pct"/>
            <w:vAlign w:val="center"/>
          </w:tcPr>
          <w:p w14:paraId="16D6C66B">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无效情形：</w:t>
            </w:r>
          </w:p>
          <w:p w14:paraId="4886BB81">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1.未发现存在遴选文件中规定的其它无效条款情形。</w:t>
            </w:r>
          </w:p>
          <w:p w14:paraId="73D42C63">
            <w:pPr>
              <w:keepNext w:val="0"/>
              <w:keepLines w:val="0"/>
              <w:suppressLineNumbers w:val="0"/>
              <w:spacing w:before="0" w:beforeAutospacing="0" w:after="0" w:afterAutospacing="0" w:line="360" w:lineRule="auto"/>
              <w:ind w:left="0" w:right="0"/>
              <w:jc w:val="left"/>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2.未发现存在法律、法规、规章规定的响应无效情形。</w:t>
            </w:r>
          </w:p>
        </w:tc>
      </w:tr>
    </w:tbl>
    <w:p w14:paraId="7C82D5EB">
      <w:pPr>
        <w:pStyle w:val="33"/>
        <w:keepNext w:val="0"/>
        <w:keepLines w:val="0"/>
        <w:pageBreakBefore w:val="0"/>
        <w:widowControl w:val="0"/>
        <w:numPr>
          <w:ilvl w:val="0"/>
          <w:numId w:val="58"/>
        </w:numPr>
        <w:kinsoku/>
        <w:wordWrap/>
        <w:overflowPunct/>
        <w:topLinePunct w:val="0"/>
        <w:autoSpaceDE/>
        <w:autoSpaceDN/>
        <w:bidi w:val="0"/>
        <w:adjustRightInd/>
        <w:snapToGrid/>
        <w:spacing w:before="157" w:beforeLines="50" w:line="360" w:lineRule="auto"/>
        <w:ind w:left="420" w:hanging="420" w:firstLineChars="0"/>
        <w:textAlignment w:val="auto"/>
        <w:rPr>
          <w:rFonts w:asciiTheme="minorEastAsia" w:hAnsiTheme="minorEastAsia"/>
          <w:b/>
          <w:bCs/>
          <w:color w:val="auto"/>
          <w:szCs w:val="21"/>
          <w:highlight w:val="none"/>
        </w:rPr>
      </w:pPr>
      <w:r>
        <w:rPr>
          <w:rFonts w:hint="eastAsia" w:asciiTheme="minorEastAsia" w:hAnsiTheme="minorEastAsia"/>
          <w:b/>
          <w:bCs/>
          <w:color w:val="auto"/>
          <w:szCs w:val="21"/>
          <w:highlight w:val="none"/>
        </w:rPr>
        <w:t>说明：</w:t>
      </w:r>
    </w:p>
    <w:p w14:paraId="42559799">
      <w:pPr>
        <w:spacing w:before="156" w:beforeLines="50" w:line="360" w:lineRule="auto"/>
        <w:ind w:firstLine="420" w:firstLineChars="200"/>
        <w:rPr>
          <w:rFonts w:asciiTheme="minorEastAsia" w:hAnsiTheme="minorEastAsia"/>
          <w:b/>
          <w:bCs/>
          <w:color w:val="auto"/>
          <w:szCs w:val="21"/>
          <w:highlight w:val="none"/>
        </w:rPr>
      </w:pPr>
      <w:r>
        <w:rPr>
          <w:rFonts w:hint="eastAsia" w:asciiTheme="minorEastAsia" w:hAnsiTheme="minorEastAsia"/>
          <w:color w:val="auto"/>
          <w:szCs w:val="21"/>
          <w:highlight w:val="none"/>
        </w:rPr>
        <w:t>响应供应商必须严格按照《初步审查表》的评审内容的要求如实提供证明材料并应加盖响应供应商公章，若响应供应人商不满足《初步审查表》中任何情形之一的，则其投标无效。</w:t>
      </w:r>
    </w:p>
    <w:p w14:paraId="68A5B2E7">
      <w:pPr>
        <w:pStyle w:val="33"/>
        <w:numPr>
          <w:ilvl w:val="0"/>
          <w:numId w:val="57"/>
        </w:numPr>
        <w:spacing w:before="312" w:beforeLines="100" w:after="312" w:afterLines="100" w:line="360" w:lineRule="auto"/>
        <w:ind w:left="422" w:hanging="422" w:hangingChars="200"/>
        <w:rPr>
          <w:rFonts w:asciiTheme="minorEastAsia" w:hAnsiTheme="minorEastAsia"/>
          <w:b/>
          <w:bCs/>
          <w:color w:val="auto"/>
          <w:szCs w:val="21"/>
          <w:highlight w:val="none"/>
        </w:rPr>
      </w:pPr>
      <w:bookmarkStart w:id="46" w:name="_Hlk137029869"/>
      <w:r>
        <w:rPr>
          <w:rFonts w:hint="eastAsia" w:asciiTheme="minorEastAsia" w:hAnsiTheme="minorEastAsia"/>
          <w:b/>
          <w:bCs/>
          <w:color w:val="auto"/>
          <w:szCs w:val="21"/>
          <w:highlight w:val="none"/>
        </w:rPr>
        <w:t>附表二</w:t>
      </w:r>
      <w:r>
        <w:rPr>
          <w:rFonts w:asciiTheme="minorEastAsia" w:hAnsiTheme="minorEastAsia"/>
          <w:b/>
          <w:bCs/>
          <w:color w:val="auto"/>
          <w:szCs w:val="21"/>
          <w:highlight w:val="none"/>
        </w:rPr>
        <w:t xml:space="preserve">  详细评审表</w:t>
      </w:r>
      <w:r>
        <w:rPr>
          <w:rFonts w:hint="eastAsia" w:asciiTheme="minorEastAsia" w:hAnsiTheme="minorEastAsia"/>
          <w:b/>
          <w:bCs/>
          <w:color w:val="auto"/>
          <w:szCs w:val="21"/>
          <w:highlight w:val="none"/>
        </w:rPr>
        <w:t>（含商务、技术</w:t>
      </w:r>
      <w:r>
        <w:rPr>
          <w:rFonts w:hint="eastAsia" w:asciiTheme="minorEastAsia" w:hAnsiTheme="minorEastAsia"/>
          <w:b/>
          <w:bCs/>
          <w:color w:val="auto"/>
          <w:szCs w:val="21"/>
          <w:highlight w:val="none"/>
          <w:lang w:eastAsia="zh-CN"/>
        </w:rPr>
        <w:t>、</w:t>
      </w:r>
      <w:r>
        <w:rPr>
          <w:rFonts w:hint="eastAsia" w:asciiTheme="minorEastAsia" w:hAnsiTheme="minorEastAsia"/>
          <w:b/>
          <w:bCs/>
          <w:color w:val="auto"/>
          <w:szCs w:val="21"/>
          <w:highlight w:val="none"/>
          <w:lang w:val="en-US" w:eastAsia="zh-CN"/>
        </w:rPr>
        <w:t>价格</w:t>
      </w:r>
      <w:r>
        <w:rPr>
          <w:rFonts w:hint="eastAsia" w:asciiTheme="minorEastAsia" w:hAnsiTheme="minorEastAsia"/>
          <w:b/>
          <w:bCs/>
          <w:color w:val="auto"/>
          <w:szCs w:val="21"/>
          <w:highlight w:val="none"/>
        </w:rPr>
        <w:t>评审细则）</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9"/>
        <w:gridCol w:w="1201"/>
        <w:gridCol w:w="728"/>
        <w:gridCol w:w="6153"/>
      </w:tblGrid>
      <w:tr w14:paraId="6B442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37CD3E75">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690" w:type="pct"/>
            <w:gridSpan w:val="2"/>
            <w:vAlign w:val="center"/>
          </w:tcPr>
          <w:p w14:paraId="57E1CF9E">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415" w:type="pct"/>
            <w:vAlign w:val="center"/>
          </w:tcPr>
          <w:p w14:paraId="0CE6B452">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509" w:type="pct"/>
            <w:vAlign w:val="center"/>
          </w:tcPr>
          <w:p w14:paraId="09A0720D">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14:paraId="101E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2FE8C6C6">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w:t>
            </w:r>
            <w:r>
              <w:rPr>
                <w:rFonts w:hint="default" w:ascii="宋体" w:eastAsia="宋体" w:cs="宋体"/>
                <w:b/>
                <w:color w:val="auto"/>
                <w:sz w:val="21"/>
                <w:szCs w:val="21"/>
                <w:highlight w:val="none"/>
                <w:lang w:val="en-US" w:eastAsia="zh-CN"/>
              </w:rPr>
              <w:t>20</w:t>
            </w:r>
            <w:r>
              <w:rPr>
                <w:rFonts w:hint="eastAsia" w:ascii="宋体" w:hAnsi="宋体" w:eastAsia="宋体" w:cs="宋体"/>
                <w:b/>
                <w:color w:val="auto"/>
                <w:sz w:val="21"/>
                <w:szCs w:val="21"/>
                <w:highlight w:val="none"/>
              </w:rPr>
              <w:t>分）</w:t>
            </w:r>
          </w:p>
        </w:tc>
      </w:tr>
      <w:tr w14:paraId="2739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7AA565BC">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690" w:type="pct"/>
            <w:gridSpan w:val="2"/>
            <w:vAlign w:val="center"/>
          </w:tcPr>
          <w:p w14:paraId="363CE5E4">
            <w:pPr>
              <w:keepNext w:val="0"/>
              <w:keepLines w:val="0"/>
              <w:suppressLineNumbers w:val="0"/>
              <w:spacing w:before="31" w:beforeLines="10" w:beforeAutospacing="0" w:after="30" w:afterAutospacing="0" w:line="440" w:lineRule="exact"/>
              <w:ind w:left="0" w:right="0"/>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业绩情况</w:t>
            </w:r>
          </w:p>
        </w:tc>
        <w:tc>
          <w:tcPr>
            <w:tcW w:w="415" w:type="pct"/>
            <w:vAlign w:val="center"/>
          </w:tcPr>
          <w:p w14:paraId="594C3AC3">
            <w:pPr>
              <w:keepNext w:val="0"/>
              <w:keepLines w:val="0"/>
              <w:widowControl/>
              <w:suppressLineNumbers w:val="0"/>
              <w:spacing w:before="31" w:beforeLines="10" w:beforeAutospacing="0" w:after="30" w:afterAutospacing="0" w:line="440" w:lineRule="exact"/>
              <w:ind w:left="0" w:right="0"/>
              <w:jc w:val="center"/>
              <w:rPr>
                <w:rFonts w:hint="eastAsia" w:ascii="宋体" w:hAnsi="宋体" w:eastAsia="宋体" w:cs="宋体"/>
                <w:bCs/>
                <w:color w:val="auto"/>
                <w:sz w:val="21"/>
                <w:szCs w:val="21"/>
                <w:highlight w:val="none"/>
              </w:rPr>
            </w:pPr>
            <w:r>
              <w:rPr>
                <w:rFonts w:hint="default" w:ascii="宋体" w:hAnsi="宋体" w:eastAsia="宋体" w:cs="宋体"/>
                <w:bCs/>
                <w:color w:val="auto"/>
                <w:sz w:val="21"/>
                <w:szCs w:val="21"/>
                <w:highlight w:val="none"/>
                <w:lang w:val="en-US" w:eastAsia="zh-CN"/>
              </w:rPr>
              <w:t>16</w:t>
            </w:r>
            <w:r>
              <w:rPr>
                <w:rFonts w:hint="eastAsia" w:ascii="宋体" w:hAnsi="宋体" w:eastAsia="宋体" w:cs="宋体"/>
                <w:bCs/>
                <w:color w:val="auto"/>
                <w:sz w:val="21"/>
                <w:szCs w:val="21"/>
                <w:highlight w:val="none"/>
              </w:rPr>
              <w:t>分</w:t>
            </w:r>
          </w:p>
        </w:tc>
        <w:tc>
          <w:tcPr>
            <w:tcW w:w="3509" w:type="pct"/>
            <w:vAlign w:val="center"/>
          </w:tcPr>
          <w:p w14:paraId="57A7F1A3">
            <w:pPr>
              <w:keepNext w:val="0"/>
              <w:keepLines w:val="0"/>
              <w:suppressLineNumbers w:val="0"/>
              <w:spacing w:before="31" w:beforeLines="10" w:beforeAutospacing="0" w:after="30" w:afterAutospacing="0" w:line="440" w:lineRule="exact"/>
              <w:ind w:left="0" w:right="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根据</w:t>
            </w:r>
            <w:r>
              <w:rPr>
                <w:rFonts w:hint="eastAsia" w:ascii="宋体" w:hAnsi="宋体" w:eastAsia="宋体" w:cs="宋体"/>
                <w:bCs/>
                <w:color w:val="auto"/>
                <w:sz w:val="21"/>
                <w:szCs w:val="21"/>
                <w:highlight w:val="none"/>
              </w:rPr>
              <w:t>响应供应商具有</w:t>
            </w:r>
            <w:r>
              <w:rPr>
                <w:rFonts w:hint="eastAsia" w:ascii="宋体" w:hAnsi="宋体" w:eastAsia="宋体" w:cs="宋体"/>
                <w:bCs/>
                <w:color w:val="auto"/>
                <w:sz w:val="21"/>
                <w:szCs w:val="21"/>
                <w:highlight w:val="none"/>
                <w:lang w:val="en-US" w:eastAsia="zh-CN"/>
              </w:rPr>
              <w:t>的广告牌宣传</w:t>
            </w:r>
            <w:r>
              <w:rPr>
                <w:rFonts w:hint="default" w:ascii="宋体" w:hAnsi="宋体" w:eastAsia="宋体" w:cs="宋体"/>
                <w:bCs/>
                <w:color w:val="auto"/>
                <w:sz w:val="21"/>
                <w:szCs w:val="21"/>
                <w:highlight w:val="none"/>
                <w:lang w:val="en-US" w:eastAsia="zh-CN"/>
              </w:rPr>
              <w:t>类或广告运营</w:t>
            </w:r>
            <w:r>
              <w:rPr>
                <w:rFonts w:hint="eastAsia" w:ascii="宋体" w:hAnsi="宋体" w:eastAsia="宋体" w:cs="宋体"/>
                <w:bCs/>
                <w:color w:val="auto"/>
                <w:sz w:val="21"/>
                <w:szCs w:val="21"/>
                <w:highlight w:val="none"/>
                <w:lang w:val="en-US" w:eastAsia="zh-CN"/>
              </w:rPr>
              <w:t>类</w:t>
            </w:r>
            <w:r>
              <w:rPr>
                <w:rFonts w:hint="eastAsia" w:ascii="宋体" w:hAnsi="宋体" w:eastAsia="宋体" w:cs="宋体"/>
                <w:bCs/>
                <w:color w:val="auto"/>
                <w:sz w:val="21"/>
                <w:szCs w:val="21"/>
                <w:highlight w:val="none"/>
              </w:rPr>
              <w:t>业绩</w:t>
            </w:r>
            <w:r>
              <w:rPr>
                <w:rFonts w:hint="eastAsia" w:ascii="宋体" w:hAnsi="宋体" w:eastAsia="宋体" w:cs="宋体"/>
                <w:bCs/>
                <w:color w:val="auto"/>
                <w:sz w:val="21"/>
                <w:szCs w:val="21"/>
                <w:highlight w:val="none"/>
                <w:lang w:val="en-US" w:eastAsia="zh-CN"/>
              </w:rPr>
              <w:t>进行评审</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rPr>
              <w:t>每</w:t>
            </w:r>
            <w:r>
              <w:rPr>
                <w:rFonts w:hint="eastAsia" w:ascii="宋体" w:hAnsi="宋体" w:eastAsia="宋体" w:cs="宋体"/>
                <w:bCs/>
                <w:color w:val="auto"/>
                <w:sz w:val="21"/>
                <w:szCs w:val="21"/>
                <w:highlight w:val="none"/>
                <w:lang w:val="en-US" w:eastAsia="zh-CN"/>
              </w:rPr>
              <w:t>提供1个</w:t>
            </w:r>
            <w:r>
              <w:rPr>
                <w:rFonts w:hint="eastAsia" w:ascii="宋体" w:hAnsi="宋体" w:eastAsia="宋体" w:cs="宋体"/>
                <w:bCs/>
                <w:color w:val="auto"/>
                <w:sz w:val="21"/>
                <w:szCs w:val="21"/>
                <w:highlight w:val="none"/>
              </w:rPr>
              <w:t>得</w:t>
            </w:r>
            <w:r>
              <w:rPr>
                <w:rFonts w:hint="default" w:ascii="宋体" w:hAnsi="宋体" w:eastAsia="宋体" w:cs="宋体"/>
                <w:bCs/>
                <w:color w:val="auto"/>
                <w:sz w:val="21"/>
                <w:szCs w:val="21"/>
                <w:highlight w:val="none"/>
                <w:lang w:val="en-US" w:eastAsia="zh-CN"/>
              </w:rPr>
              <w:t>2</w:t>
            </w:r>
            <w:r>
              <w:rPr>
                <w:rFonts w:hint="eastAsia" w:ascii="宋体" w:hAnsi="宋体" w:eastAsia="宋体" w:cs="宋体"/>
                <w:bCs/>
                <w:color w:val="auto"/>
                <w:sz w:val="21"/>
                <w:szCs w:val="21"/>
                <w:highlight w:val="none"/>
              </w:rPr>
              <w:t>分，</w:t>
            </w:r>
            <w:r>
              <w:rPr>
                <w:rFonts w:hint="eastAsia" w:ascii="宋体" w:hAnsi="宋体" w:eastAsia="宋体" w:cs="宋体"/>
                <w:bCs/>
                <w:color w:val="auto"/>
                <w:sz w:val="21"/>
                <w:szCs w:val="21"/>
                <w:highlight w:val="none"/>
                <w:lang w:val="en-US" w:eastAsia="zh-CN"/>
              </w:rPr>
              <w:t>本项</w:t>
            </w:r>
            <w:r>
              <w:rPr>
                <w:rFonts w:hint="eastAsia" w:ascii="宋体" w:hAnsi="宋体" w:eastAsia="宋体" w:cs="宋体"/>
                <w:bCs/>
                <w:color w:val="auto"/>
                <w:sz w:val="21"/>
                <w:szCs w:val="21"/>
                <w:highlight w:val="none"/>
              </w:rPr>
              <w:t>最高得</w:t>
            </w:r>
            <w:r>
              <w:rPr>
                <w:rFonts w:hint="default" w:ascii="宋体" w:hAnsi="宋体" w:eastAsia="宋体" w:cs="宋体"/>
                <w:bCs/>
                <w:color w:val="auto"/>
                <w:sz w:val="21"/>
                <w:szCs w:val="21"/>
                <w:highlight w:val="none"/>
                <w:lang w:val="en-US" w:eastAsia="zh-CN"/>
              </w:rPr>
              <w:t>16</w:t>
            </w:r>
            <w:r>
              <w:rPr>
                <w:rFonts w:hint="eastAsia" w:ascii="宋体" w:hAnsi="宋体" w:eastAsia="宋体" w:cs="宋体"/>
                <w:bCs/>
                <w:color w:val="auto"/>
                <w:sz w:val="21"/>
                <w:szCs w:val="21"/>
                <w:highlight w:val="none"/>
              </w:rPr>
              <w:t>分。</w:t>
            </w:r>
          </w:p>
          <w:p w14:paraId="20B6FDF4">
            <w:pPr>
              <w:keepNext w:val="0"/>
              <w:keepLines w:val="0"/>
              <w:pageBreakBefore w:val="0"/>
              <w:widowControl w:val="0"/>
              <w:suppressLineNumbers w:val="0"/>
              <w:kinsoku/>
              <w:wordWrap/>
              <w:overflowPunct/>
              <w:topLinePunct w:val="0"/>
              <w:autoSpaceDE/>
              <w:autoSpaceDN/>
              <w:bidi w:val="0"/>
              <w:adjustRightInd/>
              <w:snapToGrid/>
              <w:spacing w:before="31" w:beforeLines="10" w:beforeAutospacing="0" w:after="30" w:afterAutospacing="0" w:line="440" w:lineRule="exact"/>
              <w:ind w:left="422" w:right="0" w:hanging="422" w:hangingChars="200"/>
              <w:jc w:val="left"/>
              <w:textAlignment w:val="auto"/>
              <w:rPr>
                <w:rFonts w:hint="eastAsia" w:ascii="宋体" w:hAnsi="宋体" w:eastAsia="宋体" w:cs="宋体"/>
                <w:b/>
                <w:bCs/>
                <w:color w:val="auto"/>
                <w:sz w:val="21"/>
                <w:szCs w:val="21"/>
                <w:highlight w:val="none"/>
                <w:u w:val="single"/>
              </w:rPr>
            </w:pPr>
            <w:r>
              <w:rPr>
                <w:rFonts w:hint="eastAsia" w:ascii="宋体" w:hAnsi="宋体" w:eastAsia="宋体" w:cs="宋体"/>
                <w:b/>
                <w:bCs/>
                <w:color w:val="auto"/>
                <w:sz w:val="21"/>
                <w:szCs w:val="21"/>
                <w:highlight w:val="none"/>
                <w:u w:val="single"/>
              </w:rPr>
              <w:t>注：须提供合同复印件并加盖供应商公章。</w:t>
            </w:r>
          </w:p>
        </w:tc>
      </w:tr>
      <w:tr w14:paraId="5B61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76D21162">
            <w:pPr>
              <w:keepNext w:val="0"/>
              <w:keepLines w:val="0"/>
              <w:suppressLineNumbers w:val="0"/>
              <w:spacing w:before="31" w:beforeLines="10" w:beforeAutospacing="0" w:after="0" w:afterAutospacing="0" w:line="360" w:lineRule="auto"/>
              <w:ind w:left="0" w:right="0"/>
              <w:jc w:val="center"/>
              <w:rPr>
                <w:rFonts w:hint="eastAsia"/>
                <w:color w:val="auto"/>
                <w:lang w:eastAsia="zh-CN"/>
              </w:rPr>
            </w:pPr>
            <w:r>
              <w:rPr>
                <w:rFonts w:hint="default" w:ascii="宋体" w:hAnsi="宋体" w:eastAsia="宋体" w:cs="宋体"/>
                <w:color w:val="auto"/>
                <w:sz w:val="21"/>
                <w:szCs w:val="21"/>
                <w:highlight w:val="none"/>
                <w:lang w:val="en-US" w:eastAsia="zh-CN"/>
              </w:rPr>
              <w:t>2</w:t>
            </w:r>
          </w:p>
        </w:tc>
        <w:tc>
          <w:tcPr>
            <w:tcW w:w="690" w:type="pct"/>
            <w:gridSpan w:val="2"/>
            <w:vAlign w:val="center"/>
          </w:tcPr>
          <w:p w14:paraId="3A60D738">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应急服务响应时间承诺</w:t>
            </w:r>
          </w:p>
        </w:tc>
        <w:tc>
          <w:tcPr>
            <w:tcW w:w="415" w:type="pct"/>
            <w:vAlign w:val="center"/>
          </w:tcPr>
          <w:p w14:paraId="302D6180">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lang w:val="en-US" w:eastAsia="zh-CN"/>
              </w:rPr>
            </w:pPr>
            <w:r>
              <w:rPr>
                <w:rFonts w:hint="default" w:ascii="宋体" w:hAnsi="宋体" w:eastAsia="宋体" w:cs="宋体"/>
                <w:bCs/>
                <w:color w:val="auto"/>
                <w:sz w:val="21"/>
                <w:szCs w:val="21"/>
                <w:highlight w:val="none"/>
                <w:lang w:val="en-US" w:eastAsia="zh-CN"/>
              </w:rPr>
              <w:t>4</w:t>
            </w:r>
            <w:r>
              <w:rPr>
                <w:rFonts w:hint="eastAsia" w:ascii="宋体" w:hAnsi="宋体" w:eastAsia="宋体" w:cs="宋体"/>
                <w:bCs/>
                <w:color w:val="auto"/>
                <w:sz w:val="21"/>
                <w:szCs w:val="21"/>
                <w:highlight w:val="none"/>
                <w:lang w:val="en-US" w:eastAsia="zh-CN"/>
              </w:rPr>
              <w:t>分</w:t>
            </w:r>
          </w:p>
        </w:tc>
        <w:tc>
          <w:tcPr>
            <w:tcW w:w="3509" w:type="pct"/>
            <w:vAlign w:val="center"/>
          </w:tcPr>
          <w:p w14:paraId="2E7D5711">
            <w:pPr>
              <w:keepNext w:val="0"/>
              <w:keepLines w:val="0"/>
              <w:suppressLineNumbers w:val="0"/>
              <w:spacing w:before="0" w:beforeAutospacing="0" w:after="0" w:afterAutospacing="0" w:line="360" w:lineRule="auto"/>
              <w:ind w:left="0" w:right="0"/>
              <w:rPr>
                <w:rFonts w:hint="eastAsia" w:ascii="宋体" w:hAnsi="宋体" w:eastAsia="宋体" w:cs="宋体"/>
                <w:b/>
                <w:bCs w:val="0"/>
                <w:color w:val="auto"/>
                <w:sz w:val="21"/>
                <w:szCs w:val="21"/>
                <w:highlight w:val="none"/>
                <w:u w:val="none"/>
                <w:lang w:val="en-US" w:eastAsia="zh-CN"/>
              </w:rPr>
            </w:pPr>
            <w:r>
              <w:rPr>
                <w:rFonts w:hint="eastAsia" w:ascii="宋体" w:hAnsi="宋体" w:eastAsia="宋体" w:cs="宋体"/>
                <w:b/>
                <w:bCs w:val="0"/>
                <w:color w:val="auto"/>
                <w:sz w:val="21"/>
                <w:szCs w:val="21"/>
                <w:highlight w:val="none"/>
                <w:u w:val="none"/>
                <w:lang w:val="en-US" w:eastAsia="zh-CN"/>
              </w:rPr>
              <w:t>根据响应供应商提供的应急服务响应时间承诺进行评审：</w:t>
            </w:r>
          </w:p>
          <w:p w14:paraId="11CC8BE7">
            <w:pPr>
              <w:keepNext w:val="0"/>
              <w:keepLines w:val="0"/>
              <w:suppressLineNumbers w:val="0"/>
              <w:spacing w:before="0" w:beforeAutospacing="0" w:after="0" w:afterAutospacing="0" w:line="360" w:lineRule="auto"/>
              <w:ind w:left="0" w:right="0"/>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①供应商承诺在接到采购人通知后1小时（含）内到现场，得</w:t>
            </w:r>
            <w:r>
              <w:rPr>
                <w:rFonts w:hint="default" w:ascii="宋体" w:hAnsi="宋体" w:eastAsia="宋体" w:cs="宋体"/>
                <w:b w:val="0"/>
                <w:bCs/>
                <w:color w:val="auto"/>
                <w:sz w:val="21"/>
                <w:szCs w:val="21"/>
                <w:highlight w:val="none"/>
                <w:lang w:val="en-US" w:eastAsia="zh-CN"/>
              </w:rPr>
              <w:t>4</w:t>
            </w:r>
            <w:r>
              <w:rPr>
                <w:rFonts w:hint="eastAsia" w:ascii="宋体" w:hAnsi="宋体" w:eastAsia="宋体" w:cs="宋体"/>
                <w:b w:val="0"/>
                <w:bCs/>
                <w:color w:val="auto"/>
                <w:sz w:val="21"/>
                <w:szCs w:val="21"/>
                <w:highlight w:val="none"/>
                <w:lang w:val="en-US" w:eastAsia="zh-CN"/>
              </w:rPr>
              <w:t>分；</w:t>
            </w:r>
          </w:p>
          <w:p w14:paraId="78AE1F59">
            <w:pPr>
              <w:keepNext w:val="0"/>
              <w:keepLines w:val="0"/>
              <w:suppressLineNumbers w:val="0"/>
              <w:spacing w:before="0" w:beforeAutospacing="0" w:after="0" w:afterAutospacing="0" w:line="360" w:lineRule="auto"/>
              <w:ind w:left="0" w:right="0"/>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②供应商承诺在接到采购人通知后1小时（不含）至2小时（含）内到现场，得</w:t>
            </w:r>
            <w:r>
              <w:rPr>
                <w:rFonts w:hint="default" w:ascii="宋体" w:hAnsi="宋体" w:eastAsia="宋体" w:cs="宋体"/>
                <w:b w:val="0"/>
                <w:bCs/>
                <w:color w:val="auto"/>
                <w:sz w:val="21"/>
                <w:szCs w:val="21"/>
                <w:highlight w:val="none"/>
                <w:lang w:val="en-US" w:eastAsia="zh-CN"/>
              </w:rPr>
              <w:t>2</w:t>
            </w:r>
            <w:r>
              <w:rPr>
                <w:rFonts w:hint="eastAsia" w:ascii="宋体" w:hAnsi="宋体" w:eastAsia="宋体" w:cs="宋体"/>
                <w:b w:val="0"/>
                <w:bCs/>
                <w:color w:val="auto"/>
                <w:sz w:val="21"/>
                <w:szCs w:val="21"/>
                <w:highlight w:val="none"/>
                <w:lang w:val="en-US" w:eastAsia="zh-CN"/>
              </w:rPr>
              <w:t>分；</w:t>
            </w:r>
          </w:p>
          <w:p w14:paraId="610F0C85">
            <w:pPr>
              <w:keepNext w:val="0"/>
              <w:keepLines w:val="0"/>
              <w:suppressLineNumbers w:val="0"/>
              <w:spacing w:before="0" w:beforeAutospacing="0" w:after="0" w:afterAutospacing="0" w:line="360" w:lineRule="auto"/>
              <w:ind w:left="0" w:right="0"/>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③供应商承诺在接到采购人通知后2小时（不含）至3小时（含）内到现场，得1分；</w:t>
            </w:r>
          </w:p>
          <w:p w14:paraId="4EC3E2A9">
            <w:pPr>
              <w:keepNext w:val="0"/>
              <w:keepLines w:val="0"/>
              <w:suppressLineNumbers w:val="0"/>
              <w:spacing w:before="0" w:beforeAutospacing="0" w:after="0" w:afterAutospacing="0" w:line="360" w:lineRule="auto"/>
              <w:ind w:left="0" w:right="0"/>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④供应商承诺在接到采购人通知后超过3小时到现场，不得分。</w:t>
            </w:r>
          </w:p>
          <w:p w14:paraId="07399D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auto"/>
              <w:rPr>
                <w:rFonts w:hint="eastAsia" w:ascii="宋体" w:hAnsi="宋体" w:eastAsia="宋体" w:cs="宋体"/>
                <w:b/>
                <w:color w:val="auto"/>
                <w:sz w:val="21"/>
                <w:szCs w:val="21"/>
                <w:highlight w:val="none"/>
                <w:u w:val="single"/>
              </w:rPr>
            </w:pPr>
            <w:r>
              <w:rPr>
                <w:rFonts w:hint="eastAsia" w:ascii="宋体" w:hAnsi="宋体" w:eastAsia="宋体" w:cs="宋体"/>
                <w:b/>
                <w:color w:val="auto"/>
                <w:sz w:val="21"/>
                <w:szCs w:val="21"/>
                <w:highlight w:val="none"/>
                <w:u w:val="single"/>
              </w:rPr>
              <w:t>注：供应商须提供服务响应承诺书（承诺书格式自拟）加盖供应商公章。</w:t>
            </w:r>
          </w:p>
        </w:tc>
      </w:tr>
      <w:tr w14:paraId="33566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2795A7E3">
            <w:pPr>
              <w:pStyle w:val="39"/>
              <w:keepNext w:val="0"/>
              <w:keepLines w:val="0"/>
              <w:suppressLineNumbers w:val="0"/>
              <w:spacing w:before="0" w:beforeAutospacing="0" w:after="0" w:afterAutospacing="0" w:line="360" w:lineRule="auto"/>
              <w:ind w:left="0" w:right="0"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技术评审细则（</w:t>
            </w:r>
            <w:r>
              <w:rPr>
                <w:rFonts w:hint="default" w:ascii="宋体" w:hAnsi="宋体" w:eastAsia="宋体" w:cs="宋体"/>
                <w:b/>
                <w:color w:val="auto"/>
                <w:sz w:val="21"/>
                <w:szCs w:val="21"/>
                <w:highlight w:val="none"/>
                <w:lang w:val="en-US" w:eastAsia="zh-CN"/>
              </w:rPr>
              <w:t>60</w:t>
            </w:r>
            <w:r>
              <w:rPr>
                <w:rFonts w:hint="eastAsia" w:ascii="宋体" w:hAnsi="宋体" w:eastAsia="宋体" w:cs="宋体"/>
                <w:b/>
                <w:color w:val="auto"/>
                <w:sz w:val="21"/>
                <w:szCs w:val="21"/>
                <w:highlight w:val="none"/>
              </w:rPr>
              <w:t>分）</w:t>
            </w:r>
          </w:p>
        </w:tc>
      </w:tr>
      <w:tr w14:paraId="75D5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1612B2B9">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p>
        </w:tc>
        <w:tc>
          <w:tcPr>
            <w:tcW w:w="690" w:type="pct"/>
            <w:gridSpan w:val="2"/>
            <w:vAlign w:val="center"/>
          </w:tcPr>
          <w:p w14:paraId="665F2212">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总体实施方案</w:t>
            </w:r>
          </w:p>
        </w:tc>
        <w:tc>
          <w:tcPr>
            <w:tcW w:w="415" w:type="pct"/>
            <w:vAlign w:val="center"/>
          </w:tcPr>
          <w:p w14:paraId="6AAAF596">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c>
        <w:tc>
          <w:tcPr>
            <w:tcW w:w="3509" w:type="pct"/>
            <w:vAlign w:val="center"/>
          </w:tcPr>
          <w:p w14:paraId="4681C2DF">
            <w:pPr>
              <w:keepNext w:val="0"/>
              <w:keepLines w:val="0"/>
              <w:suppressLineNumbers w:val="0"/>
              <w:spacing w:before="0" w:beforeAutospacing="0" w:after="0" w:afterAutospacing="0" w:line="360" w:lineRule="auto"/>
              <w:ind w:left="0" w:right="0"/>
              <w:rPr>
                <w:rFonts w:hint="eastAsia" w:ascii="宋体" w:hAnsi="宋体" w:eastAsia="宋体" w:cs="宋体"/>
                <w:b/>
                <w:bCs w:val="0"/>
                <w:color w:val="auto"/>
                <w:sz w:val="21"/>
                <w:szCs w:val="21"/>
                <w:highlight w:val="none"/>
                <w:u w:val="none"/>
              </w:rPr>
            </w:pPr>
            <w:r>
              <w:rPr>
                <w:rFonts w:hint="eastAsia" w:ascii="宋体" w:hAnsi="宋体" w:eastAsia="宋体" w:cs="宋体"/>
                <w:b/>
                <w:bCs w:val="0"/>
                <w:color w:val="auto"/>
                <w:sz w:val="21"/>
                <w:szCs w:val="21"/>
                <w:highlight w:val="none"/>
                <w:u w:val="none"/>
                <w:lang w:val="en-US" w:eastAsia="zh-CN"/>
              </w:rPr>
              <w:t>根据</w:t>
            </w:r>
            <w:r>
              <w:rPr>
                <w:rFonts w:hint="eastAsia" w:ascii="宋体" w:hAnsi="宋体" w:eastAsia="宋体" w:cs="宋体"/>
                <w:b/>
                <w:bCs w:val="0"/>
                <w:color w:val="auto"/>
                <w:sz w:val="21"/>
                <w:szCs w:val="21"/>
                <w:highlight w:val="none"/>
                <w:u w:val="none"/>
              </w:rPr>
              <w:t>响应供应商针对本项目制定的总体实施方案</w:t>
            </w:r>
            <w:r>
              <w:rPr>
                <w:rFonts w:hint="eastAsia" w:ascii="宋体" w:hAnsi="宋体" w:eastAsia="宋体" w:cs="宋体"/>
                <w:b/>
                <w:bCs w:val="0"/>
                <w:color w:val="auto"/>
                <w:sz w:val="21"/>
                <w:szCs w:val="21"/>
                <w:highlight w:val="none"/>
                <w:u w:val="none"/>
                <w:lang w:eastAsia="zh-CN"/>
              </w:rPr>
              <w:t>（</w:t>
            </w:r>
            <w:r>
              <w:rPr>
                <w:rFonts w:hint="eastAsia" w:ascii="宋体" w:hAnsi="宋体" w:eastAsia="宋体" w:cs="宋体"/>
                <w:b/>
                <w:bCs w:val="0"/>
                <w:color w:val="auto"/>
                <w:sz w:val="21"/>
                <w:szCs w:val="21"/>
                <w:highlight w:val="none"/>
                <w:u w:val="none"/>
              </w:rPr>
              <w:t>包含但不限于：总体实施计划、实施进度计划、技术保障措施等内容</w:t>
            </w:r>
            <w:r>
              <w:rPr>
                <w:rFonts w:hint="eastAsia" w:ascii="宋体" w:hAnsi="宋体" w:eastAsia="宋体" w:cs="宋体"/>
                <w:b/>
                <w:bCs w:val="0"/>
                <w:color w:val="auto"/>
                <w:sz w:val="21"/>
                <w:szCs w:val="21"/>
                <w:highlight w:val="none"/>
                <w:u w:val="none"/>
                <w:lang w:eastAsia="zh-CN"/>
              </w:rPr>
              <w:t>）</w:t>
            </w:r>
            <w:r>
              <w:rPr>
                <w:rFonts w:hint="eastAsia" w:ascii="宋体" w:hAnsi="宋体" w:eastAsia="宋体" w:cs="宋体"/>
                <w:b/>
                <w:bCs w:val="0"/>
                <w:color w:val="auto"/>
                <w:sz w:val="21"/>
                <w:szCs w:val="21"/>
                <w:highlight w:val="none"/>
                <w:u w:val="none"/>
              </w:rPr>
              <w:t>进行评审：</w:t>
            </w:r>
          </w:p>
          <w:p w14:paraId="2015624C">
            <w:pPr>
              <w:keepNext w:val="0"/>
              <w:keepLines w:val="0"/>
              <w:suppressLineNumbers w:val="0"/>
              <w:spacing w:before="0" w:beforeAutospacing="0" w:after="0" w:afterAutospacing="0" w:line="360" w:lineRule="auto"/>
              <w:ind w:left="0" w:right="0"/>
              <w:rPr>
                <w:rFonts w:hint="default" w:ascii="宋体" w:hAnsi="宋体" w:eastAsia="宋体" w:cs="宋体"/>
                <w:b/>
                <w:bCs w:val="0"/>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评审要求：</w:t>
            </w: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rPr>
              <w:t>总体实施方案内容详尽完善</w:t>
            </w:r>
            <w:r>
              <w:rPr>
                <w:rFonts w:hint="eastAsia" w:ascii="宋体" w:hAnsi="宋体" w:eastAsia="宋体" w:cs="宋体"/>
                <w:color w:val="auto"/>
                <w:sz w:val="21"/>
                <w:szCs w:val="21"/>
                <w:highlight w:val="none"/>
                <w:lang w:val="en-US" w:eastAsia="zh-CN"/>
              </w:rPr>
              <w:t>；②</w:t>
            </w:r>
            <w:r>
              <w:rPr>
                <w:rFonts w:hint="eastAsia" w:ascii="宋体" w:hAnsi="宋体" w:eastAsia="宋体" w:cs="宋体"/>
                <w:color w:val="auto"/>
                <w:sz w:val="21"/>
                <w:szCs w:val="21"/>
                <w:highlight w:val="none"/>
              </w:rPr>
              <w:t>实施工作流程科学细致</w:t>
            </w:r>
            <w:r>
              <w:rPr>
                <w:rFonts w:hint="eastAsia" w:ascii="宋体" w:hAnsi="宋体" w:eastAsia="宋体" w:cs="宋体"/>
                <w:color w:val="auto"/>
                <w:sz w:val="21"/>
                <w:szCs w:val="21"/>
                <w:highlight w:val="none"/>
                <w:lang w:val="en-US" w:eastAsia="zh-CN"/>
              </w:rPr>
              <w:t>；③</w:t>
            </w:r>
            <w:r>
              <w:rPr>
                <w:rFonts w:hint="eastAsia" w:ascii="宋体" w:hAnsi="宋体" w:eastAsia="宋体" w:cs="宋体"/>
                <w:color w:val="auto"/>
                <w:sz w:val="21"/>
                <w:szCs w:val="21"/>
                <w:highlight w:val="none"/>
              </w:rPr>
              <w:t>工作进度计划拟定清晰明确</w:t>
            </w:r>
            <w:r>
              <w:rPr>
                <w:rFonts w:hint="eastAsia" w:ascii="宋体" w:hAnsi="宋体" w:eastAsia="宋体" w:cs="宋体"/>
                <w:color w:val="auto"/>
                <w:sz w:val="21"/>
                <w:szCs w:val="21"/>
                <w:highlight w:val="none"/>
                <w:lang w:val="en-US" w:eastAsia="zh-CN"/>
              </w:rPr>
              <w:t>；④</w:t>
            </w:r>
            <w:r>
              <w:rPr>
                <w:rFonts w:hint="eastAsia" w:ascii="宋体" w:hAnsi="宋体" w:eastAsia="宋体" w:cs="宋体"/>
                <w:color w:val="auto"/>
                <w:sz w:val="21"/>
                <w:szCs w:val="21"/>
                <w:highlight w:val="none"/>
              </w:rPr>
              <w:t>整体方案逻辑缜密</w:t>
            </w:r>
            <w:r>
              <w:rPr>
                <w:rFonts w:hint="eastAsia" w:ascii="宋体" w:hAnsi="宋体" w:eastAsia="宋体" w:cs="宋体"/>
                <w:color w:val="auto"/>
                <w:sz w:val="21"/>
                <w:szCs w:val="21"/>
                <w:highlight w:val="none"/>
                <w:lang w:val="en-US" w:eastAsia="zh-CN"/>
              </w:rPr>
              <w:t>。</w:t>
            </w:r>
          </w:p>
          <w:p w14:paraId="21E76B53">
            <w:pPr>
              <w:keepNext w:val="0"/>
              <w:keepLines w:val="0"/>
              <w:suppressLineNumbers w:val="0"/>
              <w:spacing w:before="0" w:beforeAutospacing="0" w:after="0" w:afterAutospacing="0" w:line="360" w:lineRule="auto"/>
              <w:ind w:left="0" w:right="0"/>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，得15分；</w:t>
            </w:r>
          </w:p>
          <w:p w14:paraId="5C86F42D">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，得10分；</w:t>
            </w:r>
          </w:p>
          <w:p w14:paraId="5A6D9AD7">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，得5分；</w:t>
            </w:r>
          </w:p>
          <w:p w14:paraId="27906189">
            <w:pPr>
              <w:keepNext w:val="0"/>
              <w:keepLines w:val="0"/>
              <w:suppressLineNumbers w:val="0"/>
              <w:spacing w:before="0" w:beforeAutospacing="0" w:after="0" w:afterAutospacing="0" w:line="360" w:lineRule="auto"/>
              <w:ind w:left="0" w:right="0"/>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31C2C420">
            <w:pPr>
              <w:keepNext w:val="0"/>
              <w:keepLines w:val="0"/>
              <w:suppressLineNumbers w:val="0"/>
              <w:spacing w:before="0" w:beforeAutospacing="0" w:after="0" w:afterAutospacing="0" w:line="360" w:lineRule="auto"/>
              <w:ind w:left="0" w:right="0"/>
              <w:rPr>
                <w:rFonts w:hint="eastAsia" w:ascii="宋体" w:hAnsi="宋体" w:eastAsia="宋体" w:cs="宋体"/>
                <w:color w:val="auto"/>
                <w:sz w:val="21"/>
                <w:szCs w:val="21"/>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2DB9D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078DDBDA">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690" w:type="pct"/>
            <w:gridSpan w:val="2"/>
            <w:vAlign w:val="center"/>
          </w:tcPr>
          <w:p w14:paraId="6837E008">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质量保证措施方案</w:t>
            </w:r>
          </w:p>
        </w:tc>
        <w:tc>
          <w:tcPr>
            <w:tcW w:w="415" w:type="pct"/>
            <w:vAlign w:val="center"/>
          </w:tcPr>
          <w:p w14:paraId="429A88B2">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w:t>
            </w:r>
            <w:r>
              <w:rPr>
                <w:rFonts w:hint="default"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分</w:t>
            </w:r>
          </w:p>
        </w:tc>
        <w:tc>
          <w:tcPr>
            <w:tcW w:w="3509" w:type="pct"/>
            <w:vAlign w:val="center"/>
          </w:tcPr>
          <w:p w14:paraId="7D815FD9">
            <w:pPr>
              <w:keepNext w:val="0"/>
              <w:keepLines w:val="0"/>
              <w:suppressLineNumbers w:val="0"/>
              <w:spacing w:before="0" w:beforeAutospacing="0" w:after="0" w:afterAutospacing="0" w:line="360" w:lineRule="auto"/>
              <w:ind w:left="0" w:right="0"/>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u w:val="none"/>
                <w:lang w:val="en-US" w:eastAsia="zh-CN"/>
              </w:rPr>
              <w:t>根据</w:t>
            </w:r>
            <w:r>
              <w:rPr>
                <w:rFonts w:hint="eastAsia" w:ascii="宋体" w:hAnsi="宋体" w:eastAsia="宋体" w:cs="宋体"/>
                <w:b/>
                <w:bCs w:val="0"/>
                <w:color w:val="auto"/>
                <w:sz w:val="21"/>
                <w:szCs w:val="21"/>
                <w:highlight w:val="none"/>
                <w:u w:val="none"/>
              </w:rPr>
              <w:t>响应供应商针对本项目制定的</w:t>
            </w:r>
            <w:r>
              <w:rPr>
                <w:rFonts w:hint="eastAsia" w:ascii="宋体" w:hAnsi="宋体" w:eastAsia="宋体" w:cs="宋体"/>
                <w:b/>
                <w:bCs w:val="0"/>
                <w:color w:val="auto"/>
                <w:sz w:val="21"/>
                <w:szCs w:val="21"/>
                <w:highlight w:val="none"/>
              </w:rPr>
              <w:t>质量保证方案(包括但不仅限于质量目标、质量控制措施、质量保证体系及措施、质量保障管理及制度等内容)进行评审：</w:t>
            </w:r>
          </w:p>
          <w:p w14:paraId="21012D4D">
            <w:pPr>
              <w:keepNext w:val="0"/>
              <w:keepLines w:val="0"/>
              <w:suppressLineNumbers w:val="0"/>
              <w:spacing w:before="0" w:beforeAutospacing="0" w:after="0" w:afterAutospacing="0" w:line="360" w:lineRule="auto"/>
              <w:ind w:left="0" w:right="0"/>
              <w:rPr>
                <w:rFonts w:hint="default" w:ascii="宋体" w:hAnsi="宋体" w:eastAsia="宋体" w:cs="宋体"/>
                <w:b/>
                <w:bCs w:val="0"/>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评审要求：</w:t>
            </w:r>
            <w:r>
              <w:rPr>
                <w:rFonts w:hint="eastAsia" w:ascii="宋体" w:hAnsi="宋体" w:eastAsia="宋体" w:cs="宋体"/>
                <w:color w:val="auto"/>
                <w:sz w:val="21"/>
                <w:szCs w:val="21"/>
                <w:highlight w:val="none"/>
                <w:lang w:val="en-US" w:eastAsia="zh-CN"/>
              </w:rPr>
              <w:t>①质量目标清晰明确；②质量控制措施合理可行；③质量保证体系保证措施严谨规范；④质量保障管理及制度科学细致具体。</w:t>
            </w:r>
          </w:p>
          <w:p w14:paraId="427AE561">
            <w:pPr>
              <w:keepNext w:val="0"/>
              <w:keepLines w:val="0"/>
              <w:suppressLineNumbers w:val="0"/>
              <w:spacing w:before="0" w:beforeAutospacing="0" w:after="0" w:afterAutospacing="0" w:line="360" w:lineRule="auto"/>
              <w:ind w:left="0" w:right="0"/>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，得15分；</w:t>
            </w:r>
          </w:p>
          <w:p w14:paraId="33681B5D">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，得10分；</w:t>
            </w:r>
          </w:p>
          <w:p w14:paraId="64610EA4">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，得5分；</w:t>
            </w:r>
          </w:p>
          <w:p w14:paraId="3DE63F30">
            <w:pPr>
              <w:keepNext w:val="0"/>
              <w:keepLines w:val="0"/>
              <w:suppressLineNumbers w:val="0"/>
              <w:spacing w:before="0" w:beforeAutospacing="0" w:after="0" w:afterAutospacing="0" w:line="360" w:lineRule="auto"/>
              <w:ind w:left="0" w:right="0"/>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28B458CE">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bCs/>
                <w:color w:val="auto"/>
                <w:sz w:val="21"/>
                <w:szCs w:val="21"/>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13AC8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64A88AC0">
            <w:pPr>
              <w:keepNext w:val="0"/>
              <w:keepLines w:val="0"/>
              <w:suppressLineNumbers w:val="0"/>
              <w:spacing w:before="31" w:beforeLines="10" w:beforeAutospacing="0" w:after="0" w:afterAutospacing="0" w:line="36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690" w:type="pct"/>
            <w:gridSpan w:val="2"/>
            <w:vAlign w:val="center"/>
          </w:tcPr>
          <w:p w14:paraId="32E1DCCD">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高空作业和日常巡检方案</w:t>
            </w:r>
          </w:p>
        </w:tc>
        <w:tc>
          <w:tcPr>
            <w:tcW w:w="415" w:type="pct"/>
            <w:vAlign w:val="center"/>
          </w:tcPr>
          <w:p w14:paraId="348436AF">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tc>
        <w:tc>
          <w:tcPr>
            <w:tcW w:w="3509" w:type="pct"/>
            <w:vAlign w:val="center"/>
          </w:tcPr>
          <w:p w14:paraId="40BAE908">
            <w:pPr>
              <w:keepNext w:val="0"/>
              <w:keepLines w:val="0"/>
              <w:suppressLineNumbers w:val="0"/>
              <w:spacing w:before="0" w:beforeAutospacing="0" w:after="0" w:afterAutospacing="0" w:line="400" w:lineRule="exact"/>
              <w:ind w:left="0" w:right="0"/>
              <w:jc w:val="left"/>
              <w:rPr>
                <w:rFonts w:hint="eastAsia" w:ascii="宋体" w:hAnsi="宋体" w:eastAsia="宋体" w:cs="宋体"/>
                <w:b/>
                <w:bCs w:val="0"/>
                <w:color w:val="auto"/>
                <w:szCs w:val="21"/>
              </w:rPr>
            </w:pPr>
            <w:r>
              <w:rPr>
                <w:rFonts w:hint="eastAsia" w:ascii="宋体" w:hAnsi="宋体" w:eastAsia="宋体" w:cs="宋体"/>
                <w:b/>
                <w:bCs w:val="0"/>
                <w:color w:val="auto"/>
                <w:sz w:val="21"/>
                <w:szCs w:val="21"/>
                <w:highlight w:val="none"/>
                <w:u w:val="none"/>
                <w:lang w:val="en-US" w:eastAsia="zh-CN"/>
              </w:rPr>
              <w:t>根据</w:t>
            </w:r>
            <w:r>
              <w:rPr>
                <w:rFonts w:hint="eastAsia" w:ascii="宋体" w:hAnsi="宋体" w:eastAsia="宋体" w:cs="宋体"/>
                <w:b/>
                <w:bCs w:val="0"/>
                <w:color w:val="auto"/>
                <w:sz w:val="21"/>
                <w:szCs w:val="21"/>
                <w:highlight w:val="none"/>
                <w:u w:val="none"/>
              </w:rPr>
              <w:t>响应供应商针对本项目制定的</w:t>
            </w:r>
            <w:r>
              <w:rPr>
                <w:rFonts w:hint="eastAsia" w:ascii="宋体" w:hAnsi="宋体" w:eastAsia="宋体" w:cs="宋体"/>
                <w:b/>
                <w:bCs w:val="0"/>
                <w:color w:val="auto"/>
                <w:kern w:val="0"/>
                <w:sz w:val="21"/>
                <w:szCs w:val="21"/>
                <w:highlight w:val="none"/>
                <w:lang w:val="en-US" w:eastAsia="zh-CN"/>
              </w:rPr>
              <w:t>高空作业和日常巡检方案</w:t>
            </w:r>
            <w:r>
              <w:rPr>
                <w:rFonts w:hint="eastAsia" w:ascii="宋体" w:hAnsi="宋体" w:eastAsia="宋体" w:cs="宋体"/>
                <w:b/>
                <w:bCs w:val="0"/>
                <w:color w:val="auto"/>
                <w:szCs w:val="21"/>
              </w:rPr>
              <w:t>进行评审：</w:t>
            </w:r>
          </w:p>
          <w:p w14:paraId="264E36EC">
            <w:pPr>
              <w:keepNext w:val="0"/>
              <w:keepLines w:val="0"/>
              <w:suppressLineNumbers w:val="0"/>
              <w:spacing w:before="0" w:beforeAutospacing="0" w:after="0" w:afterAutospacing="0" w:line="360" w:lineRule="auto"/>
              <w:ind w:left="0" w:right="0"/>
              <w:rPr>
                <w:rFonts w:hint="default" w:ascii="宋体" w:hAnsi="宋体" w:eastAsia="宋体" w:cs="宋体"/>
                <w:b/>
                <w:bCs w:val="0"/>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评审要求：</w:t>
            </w:r>
            <w:r>
              <w:rPr>
                <w:rFonts w:hint="eastAsia" w:ascii="宋体" w:hAnsi="宋体" w:eastAsia="宋体" w:cs="宋体"/>
                <w:color w:val="auto"/>
                <w:sz w:val="21"/>
                <w:szCs w:val="21"/>
                <w:highlight w:val="none"/>
                <w:lang w:val="en-US" w:eastAsia="zh-CN"/>
              </w:rPr>
              <w:t>①高空作业严谨规范；②作业工具完整专业；③广告牌维修步骤详细周密；④日常巡检</w:t>
            </w:r>
            <w:r>
              <w:rPr>
                <w:rFonts w:hint="eastAsia" w:ascii="宋体" w:hAnsi="宋体" w:eastAsia="宋体" w:cs="宋体"/>
                <w:color w:val="auto"/>
                <w:szCs w:val="21"/>
              </w:rPr>
              <w:t>合理性及针对性强</w:t>
            </w:r>
            <w:r>
              <w:rPr>
                <w:rFonts w:hint="eastAsia" w:ascii="宋体" w:hAnsi="宋体" w:eastAsia="宋体" w:cs="宋体"/>
                <w:color w:val="auto"/>
                <w:sz w:val="21"/>
                <w:szCs w:val="21"/>
                <w:highlight w:val="none"/>
                <w:lang w:val="en-US" w:eastAsia="zh-CN"/>
              </w:rPr>
              <w:t>。</w:t>
            </w:r>
          </w:p>
          <w:p w14:paraId="2FF65109">
            <w:pPr>
              <w:keepNext w:val="0"/>
              <w:keepLines w:val="0"/>
              <w:suppressLineNumbers w:val="0"/>
              <w:spacing w:before="0" w:beforeAutospacing="0" w:after="0" w:afterAutospacing="0" w:line="360" w:lineRule="auto"/>
              <w:ind w:left="0" w:right="0"/>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5C5CEF6C">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44BA6650">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64F86144">
            <w:pPr>
              <w:keepNext w:val="0"/>
              <w:keepLines w:val="0"/>
              <w:suppressLineNumbers w:val="0"/>
              <w:spacing w:before="0" w:beforeAutospacing="0" w:after="0" w:afterAutospacing="0" w:line="360" w:lineRule="auto"/>
              <w:ind w:left="0" w:right="0"/>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44D5755D">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color w:val="auto"/>
                <w:sz w:val="21"/>
                <w:szCs w:val="21"/>
                <w:highlight w:val="none"/>
                <w:lang w:val="en-US" w:eastAsia="zh-CN"/>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1A872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4C80FE64">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690" w:type="pct"/>
            <w:gridSpan w:val="2"/>
            <w:vAlign w:val="center"/>
          </w:tcPr>
          <w:p w14:paraId="0BAC2324">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人员安排及技术保障方案</w:t>
            </w:r>
          </w:p>
        </w:tc>
        <w:tc>
          <w:tcPr>
            <w:tcW w:w="415" w:type="pct"/>
            <w:vAlign w:val="center"/>
          </w:tcPr>
          <w:p w14:paraId="65CCC343">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10分</w:t>
            </w:r>
          </w:p>
        </w:tc>
        <w:tc>
          <w:tcPr>
            <w:tcW w:w="3509" w:type="pct"/>
            <w:vAlign w:val="center"/>
          </w:tcPr>
          <w:p w14:paraId="2726E73E">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val="0"/>
                <w:color w:val="auto"/>
                <w:sz w:val="21"/>
                <w:szCs w:val="21"/>
                <w:highlight w:val="none"/>
                <w:u w:val="none"/>
                <w:lang w:val="en-US" w:eastAsia="zh-CN"/>
              </w:rPr>
              <w:t>根据</w:t>
            </w:r>
            <w:r>
              <w:rPr>
                <w:rFonts w:hint="eastAsia" w:ascii="宋体" w:hAnsi="宋体" w:eastAsia="宋体" w:cs="宋体"/>
                <w:b/>
                <w:bCs w:val="0"/>
                <w:color w:val="auto"/>
                <w:sz w:val="21"/>
                <w:szCs w:val="21"/>
                <w:highlight w:val="none"/>
                <w:u w:val="none"/>
              </w:rPr>
              <w:t>响应供应商针对本项目制定的</w:t>
            </w:r>
            <w:r>
              <w:rPr>
                <w:rFonts w:hint="eastAsia" w:ascii="宋体" w:hAnsi="宋体" w:eastAsia="宋体" w:cs="宋体"/>
                <w:b/>
                <w:bCs/>
                <w:color w:val="auto"/>
                <w:sz w:val="21"/>
                <w:szCs w:val="21"/>
                <w:highlight w:val="none"/>
                <w:lang w:val="en-US" w:eastAsia="zh-CN"/>
              </w:rPr>
              <w:t>人员安排及技术保障方案（包含但不限于：服务人员完善的配置、明确的人员岗位职责、健全的人员内部管理制度、充足的技术保障能力等）进行评审：</w:t>
            </w:r>
          </w:p>
          <w:p w14:paraId="5CAD920D">
            <w:pPr>
              <w:keepNext w:val="0"/>
              <w:keepLines w:val="0"/>
              <w:suppressLineNumbers w:val="0"/>
              <w:spacing w:before="0" w:beforeAutospacing="0" w:after="0" w:afterAutospacing="0" w:line="360" w:lineRule="auto"/>
              <w:ind w:left="0" w:right="0"/>
              <w:rPr>
                <w:rFonts w:hint="default" w:ascii="宋体" w:hAnsi="宋体" w:eastAsia="宋体" w:cs="宋体"/>
                <w:b/>
                <w:bCs w:val="0"/>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评审要求：</w:t>
            </w:r>
            <w:r>
              <w:rPr>
                <w:rFonts w:hint="eastAsia" w:ascii="宋体" w:hAnsi="宋体" w:eastAsia="宋体" w:cs="宋体"/>
                <w:color w:val="auto"/>
                <w:sz w:val="21"/>
                <w:szCs w:val="21"/>
                <w:highlight w:val="none"/>
                <w:lang w:val="en-US" w:eastAsia="zh-CN"/>
              </w:rPr>
              <w:t>①人员安排合理且高效；②人员岗位职责明确；③团队协作流畅；④技术保障方案全面。</w:t>
            </w:r>
          </w:p>
          <w:p w14:paraId="7E26BA89">
            <w:pPr>
              <w:keepNext w:val="0"/>
              <w:keepLines w:val="0"/>
              <w:suppressLineNumbers w:val="0"/>
              <w:spacing w:before="0" w:beforeAutospacing="0" w:after="0" w:afterAutospacing="0" w:line="360" w:lineRule="auto"/>
              <w:ind w:left="0" w:right="0"/>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38043358">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3DBC4AB3">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5BC5414D">
            <w:pPr>
              <w:keepNext w:val="0"/>
              <w:keepLines w:val="0"/>
              <w:suppressLineNumbers w:val="0"/>
              <w:spacing w:before="0" w:beforeAutospacing="0" w:after="0" w:afterAutospacing="0" w:line="360" w:lineRule="auto"/>
              <w:ind w:left="0" w:right="0"/>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199A9C48">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bCs/>
                <w:color w:val="auto"/>
                <w:sz w:val="21"/>
                <w:szCs w:val="21"/>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25827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44197D12">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690" w:type="pct"/>
            <w:gridSpan w:val="2"/>
            <w:vAlign w:val="center"/>
          </w:tcPr>
          <w:p w14:paraId="76167DC5">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应急服务保障方案</w:t>
            </w:r>
          </w:p>
        </w:tc>
        <w:tc>
          <w:tcPr>
            <w:tcW w:w="415" w:type="pct"/>
            <w:vAlign w:val="center"/>
          </w:tcPr>
          <w:p w14:paraId="183A09B4">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bCs/>
                <w:color w:val="auto"/>
                <w:sz w:val="21"/>
                <w:szCs w:val="21"/>
                <w:highlight w:val="none"/>
                <w:lang w:val="en-US" w:eastAsia="zh-CN"/>
              </w:rPr>
            </w:pPr>
            <w:r>
              <w:rPr>
                <w:rFonts w:hint="default" w:ascii="宋体" w:hAnsi="宋体" w:eastAsia="宋体" w:cs="宋体"/>
                <w:bCs/>
                <w:color w:val="auto"/>
                <w:sz w:val="21"/>
                <w:szCs w:val="21"/>
                <w:highlight w:val="none"/>
                <w:lang w:val="en-US"/>
              </w:rPr>
              <w:t>10</w:t>
            </w:r>
            <w:r>
              <w:rPr>
                <w:rFonts w:hint="eastAsia" w:ascii="宋体" w:hAnsi="宋体" w:eastAsia="宋体" w:cs="宋体"/>
                <w:bCs/>
                <w:color w:val="auto"/>
                <w:sz w:val="21"/>
                <w:szCs w:val="21"/>
                <w:highlight w:val="none"/>
              </w:rPr>
              <w:t>分</w:t>
            </w:r>
          </w:p>
        </w:tc>
        <w:tc>
          <w:tcPr>
            <w:tcW w:w="3509" w:type="pct"/>
            <w:vAlign w:val="center"/>
          </w:tcPr>
          <w:p w14:paraId="73E0A528">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b/>
                <w:bCs/>
                <w:color w:val="auto"/>
                <w:sz w:val="21"/>
                <w:szCs w:val="21"/>
                <w:highlight w:val="none"/>
                <w:u w:val="none"/>
              </w:rPr>
            </w:pPr>
            <w:r>
              <w:rPr>
                <w:rFonts w:hint="eastAsia" w:ascii="宋体" w:hAnsi="宋体" w:eastAsia="宋体" w:cs="宋体"/>
                <w:b/>
                <w:bCs/>
                <w:color w:val="auto"/>
                <w:sz w:val="21"/>
                <w:szCs w:val="21"/>
                <w:highlight w:val="none"/>
                <w:u w:val="none"/>
                <w:lang w:val="en-US" w:eastAsia="zh-CN"/>
              </w:rPr>
              <w:t>针对本项目实施情况制定应急服务保障方案</w:t>
            </w:r>
            <w:r>
              <w:rPr>
                <w:rFonts w:hint="eastAsia" w:ascii="宋体" w:hAnsi="宋体" w:eastAsia="宋体" w:cs="宋体"/>
                <w:b/>
                <w:bCs/>
                <w:color w:val="auto"/>
                <w:sz w:val="21"/>
                <w:szCs w:val="21"/>
                <w:highlight w:val="none"/>
                <w:u w:val="none"/>
                <w:lang w:eastAsia="zh-CN"/>
              </w:rPr>
              <w:t>（</w:t>
            </w:r>
            <w:r>
              <w:rPr>
                <w:rFonts w:hint="eastAsia" w:ascii="宋体" w:hAnsi="宋体" w:eastAsia="宋体" w:cs="宋体"/>
                <w:b/>
                <w:bCs/>
                <w:color w:val="auto"/>
                <w:sz w:val="21"/>
                <w:szCs w:val="21"/>
                <w:highlight w:val="none"/>
                <w:u w:val="none"/>
              </w:rPr>
              <w:t>包含但不限于：对服务过程的发生紧急情况的应对流程、各类紧急情况的预判及预防措施等内容</w:t>
            </w:r>
            <w:r>
              <w:rPr>
                <w:rFonts w:hint="eastAsia" w:ascii="宋体" w:hAnsi="宋体" w:eastAsia="宋体" w:cs="宋体"/>
                <w:b/>
                <w:bCs/>
                <w:color w:val="auto"/>
                <w:sz w:val="21"/>
                <w:szCs w:val="21"/>
                <w:highlight w:val="none"/>
                <w:u w:val="none"/>
                <w:lang w:eastAsia="zh-CN"/>
              </w:rPr>
              <w:t>）</w:t>
            </w:r>
            <w:r>
              <w:rPr>
                <w:rFonts w:hint="eastAsia" w:ascii="宋体" w:hAnsi="宋体" w:eastAsia="宋体" w:cs="宋体"/>
                <w:b/>
                <w:bCs/>
                <w:color w:val="auto"/>
                <w:sz w:val="21"/>
                <w:szCs w:val="21"/>
                <w:highlight w:val="none"/>
                <w:u w:val="none"/>
              </w:rPr>
              <w:t>进行评审：</w:t>
            </w:r>
          </w:p>
          <w:p w14:paraId="744EAE89">
            <w:pPr>
              <w:keepNext w:val="0"/>
              <w:keepLines w:val="0"/>
              <w:suppressLineNumbers w:val="0"/>
              <w:spacing w:before="0" w:beforeAutospacing="0" w:after="0" w:afterAutospacing="0" w:line="360" w:lineRule="auto"/>
              <w:ind w:left="0" w:right="0"/>
              <w:rPr>
                <w:rFonts w:hint="default" w:ascii="宋体" w:hAnsi="宋体" w:eastAsia="宋体" w:cs="宋体"/>
                <w:b/>
                <w:bCs w:val="0"/>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评审要求：</w:t>
            </w:r>
            <w:r>
              <w:rPr>
                <w:rFonts w:hint="eastAsia" w:ascii="宋体" w:hAnsi="宋体" w:eastAsia="宋体" w:cs="宋体"/>
                <w:color w:val="auto"/>
                <w:sz w:val="21"/>
                <w:szCs w:val="21"/>
                <w:highlight w:val="none"/>
                <w:lang w:val="en-US" w:eastAsia="zh-CN"/>
              </w:rPr>
              <w:t>①紧急情况应对流程</w:t>
            </w:r>
            <w:r>
              <w:rPr>
                <w:rFonts w:hint="eastAsia" w:ascii="宋体" w:hAnsi="宋体" w:eastAsia="宋体" w:cs="宋体"/>
                <w:b w:val="0"/>
                <w:bCs/>
                <w:color w:val="auto"/>
                <w:sz w:val="21"/>
                <w:szCs w:val="21"/>
                <w:highlight w:val="none"/>
              </w:rPr>
              <w:t>清晰明确</w:t>
            </w:r>
            <w:r>
              <w:rPr>
                <w:rFonts w:hint="eastAsia" w:ascii="宋体" w:hAnsi="宋体" w:eastAsia="宋体" w:cs="宋体"/>
                <w:color w:val="auto"/>
                <w:sz w:val="21"/>
                <w:szCs w:val="21"/>
                <w:highlight w:val="none"/>
                <w:lang w:val="en-US" w:eastAsia="zh-CN"/>
              </w:rPr>
              <w:t>；②</w:t>
            </w:r>
            <w:r>
              <w:rPr>
                <w:rFonts w:hint="eastAsia" w:cs="黑体" w:asciiTheme="minorEastAsia" w:hAnsiTheme="minorEastAsia"/>
                <w:bCs/>
                <w:color w:val="auto"/>
                <w:szCs w:val="21"/>
                <w:highlight w:val="none"/>
                <w:lang w:val="en-US" w:eastAsia="zh-CN"/>
              </w:rPr>
              <w:t>面对采购人临时采购需求响应迅速</w:t>
            </w:r>
            <w:r>
              <w:rPr>
                <w:rFonts w:hint="eastAsia" w:ascii="宋体" w:hAnsi="宋体" w:eastAsia="宋体" w:cs="宋体"/>
                <w:color w:val="auto"/>
                <w:sz w:val="21"/>
                <w:szCs w:val="21"/>
                <w:highlight w:val="none"/>
                <w:lang w:val="en-US" w:eastAsia="zh-CN"/>
              </w:rPr>
              <w:t>；③</w:t>
            </w:r>
            <w:r>
              <w:rPr>
                <w:rFonts w:hint="eastAsia" w:cs="黑体" w:asciiTheme="minorEastAsia" w:hAnsiTheme="minorEastAsia"/>
                <w:bCs/>
                <w:color w:val="auto"/>
                <w:szCs w:val="21"/>
                <w:highlight w:val="none"/>
                <w:lang w:val="en-US" w:eastAsia="zh-CN"/>
              </w:rPr>
              <w:t>具有有效的人员工伤或劳务纠纷预防措施</w:t>
            </w:r>
            <w:r>
              <w:rPr>
                <w:rFonts w:hint="eastAsia" w:ascii="宋体" w:hAnsi="宋体" w:eastAsia="宋体" w:cs="宋体"/>
                <w:color w:val="auto"/>
                <w:sz w:val="21"/>
                <w:szCs w:val="21"/>
                <w:highlight w:val="none"/>
                <w:lang w:val="en-US" w:eastAsia="zh-CN"/>
              </w:rPr>
              <w:t>；④各类紧急情况的预判及预防措施</w:t>
            </w:r>
            <w:r>
              <w:rPr>
                <w:rFonts w:hint="eastAsia" w:cs="黑体" w:asciiTheme="minorEastAsia" w:hAnsiTheme="minorEastAsia"/>
                <w:bCs/>
                <w:color w:val="auto"/>
                <w:szCs w:val="21"/>
                <w:highlight w:val="none"/>
                <w:lang w:val="en-US" w:eastAsia="zh-CN"/>
              </w:rPr>
              <w:t>全面多样</w:t>
            </w:r>
            <w:r>
              <w:rPr>
                <w:rFonts w:hint="eastAsia" w:ascii="宋体" w:hAnsi="宋体" w:eastAsia="宋体" w:cs="宋体"/>
                <w:color w:val="auto"/>
                <w:sz w:val="21"/>
                <w:szCs w:val="21"/>
                <w:highlight w:val="none"/>
                <w:lang w:val="en-US" w:eastAsia="zh-CN"/>
              </w:rPr>
              <w:t>。</w:t>
            </w:r>
          </w:p>
          <w:p w14:paraId="18C5B82B">
            <w:pPr>
              <w:keepNext w:val="0"/>
              <w:keepLines w:val="0"/>
              <w:suppressLineNumbers w:val="0"/>
              <w:spacing w:before="0" w:beforeAutospacing="0" w:after="0" w:afterAutospacing="0" w:line="360" w:lineRule="auto"/>
              <w:ind w:left="0" w:right="0"/>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w:t>
            </w:r>
            <w:r>
              <w:rPr>
                <w:rFonts w:hint="default" w:cs="Times New Roman" w:asciiTheme="minorEastAsia" w:hAnsiTheme="minorEastAsia"/>
                <w:b w:val="0"/>
                <w:bCs/>
                <w:color w:val="auto"/>
                <w:szCs w:val="21"/>
                <w:highlight w:val="none"/>
                <w:lang w:val="en-US" w:eastAsia="zh-CN"/>
              </w:rPr>
              <w:t>10</w:t>
            </w:r>
            <w:r>
              <w:rPr>
                <w:rFonts w:hint="eastAsia" w:cs="Times New Roman" w:asciiTheme="minorEastAsia" w:hAnsiTheme="minorEastAsia"/>
                <w:b w:val="0"/>
                <w:bCs/>
                <w:color w:val="auto"/>
                <w:szCs w:val="21"/>
                <w:highlight w:val="none"/>
                <w:lang w:val="en-US" w:eastAsia="zh-CN"/>
              </w:rPr>
              <w:t>分；</w:t>
            </w:r>
          </w:p>
          <w:p w14:paraId="4AE787B3">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w:t>
            </w:r>
            <w:r>
              <w:rPr>
                <w:rFonts w:hint="default" w:cs="Times New Roman" w:asciiTheme="minorEastAsia" w:hAnsiTheme="minorEastAsia"/>
                <w:b w:val="0"/>
                <w:bCs/>
                <w:color w:val="auto"/>
                <w:szCs w:val="21"/>
                <w:highlight w:val="none"/>
                <w:lang w:val="en-US" w:eastAsia="zh-CN"/>
              </w:rPr>
              <w:t>7</w:t>
            </w:r>
            <w:r>
              <w:rPr>
                <w:rFonts w:hint="eastAsia" w:cs="Times New Roman" w:asciiTheme="minorEastAsia" w:hAnsiTheme="minorEastAsia"/>
                <w:b w:val="0"/>
                <w:bCs/>
                <w:color w:val="auto"/>
                <w:szCs w:val="21"/>
                <w:highlight w:val="none"/>
                <w:lang w:val="en-US" w:eastAsia="zh-CN"/>
              </w:rPr>
              <w:t>分；</w:t>
            </w:r>
          </w:p>
          <w:p w14:paraId="6E158FB0">
            <w:pPr>
              <w:keepNext w:val="0"/>
              <w:keepLines w:val="0"/>
              <w:suppressLineNumbers w:val="0"/>
              <w:spacing w:before="0" w:beforeAutospacing="0" w:after="0" w:afterAutospacing="0" w:line="360" w:lineRule="auto"/>
              <w:ind w:left="0" w:right="0"/>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w:t>
            </w:r>
            <w:r>
              <w:rPr>
                <w:rFonts w:hint="default" w:cs="Times New Roman" w:asciiTheme="minorEastAsia" w:hAnsiTheme="minorEastAsia"/>
                <w:b w:val="0"/>
                <w:bCs/>
                <w:color w:val="auto"/>
                <w:szCs w:val="21"/>
                <w:highlight w:val="none"/>
                <w:lang w:val="en-US" w:eastAsia="zh-CN"/>
              </w:rPr>
              <w:t>4</w:t>
            </w:r>
            <w:r>
              <w:rPr>
                <w:rFonts w:hint="eastAsia" w:cs="Times New Roman" w:asciiTheme="minorEastAsia" w:hAnsiTheme="minorEastAsia"/>
                <w:b w:val="0"/>
                <w:bCs/>
                <w:color w:val="auto"/>
                <w:szCs w:val="21"/>
                <w:highlight w:val="none"/>
                <w:lang w:val="en-US" w:eastAsia="zh-CN"/>
              </w:rPr>
              <w:t>分；</w:t>
            </w:r>
          </w:p>
          <w:p w14:paraId="4EA45005">
            <w:pPr>
              <w:keepNext w:val="0"/>
              <w:keepLines w:val="0"/>
              <w:suppressLineNumbers w:val="0"/>
              <w:spacing w:before="0" w:beforeAutospacing="0" w:after="0" w:afterAutospacing="0" w:line="360" w:lineRule="auto"/>
              <w:ind w:left="0" w:right="0"/>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75467E6E">
            <w:pPr>
              <w:keepNext w:val="0"/>
              <w:keepLines w:val="0"/>
              <w:suppressLineNumbers w:val="0"/>
              <w:spacing w:before="31" w:beforeLines="10" w:beforeAutospacing="0" w:after="0" w:afterAutospacing="0" w:line="360" w:lineRule="auto"/>
              <w:ind w:left="0" w:right="0"/>
              <w:jc w:val="left"/>
              <w:rPr>
                <w:rFonts w:hint="eastAsia" w:ascii="宋体" w:hAnsi="宋体" w:eastAsia="宋体" w:cs="宋体"/>
                <w:b w:val="0"/>
                <w:bCs/>
                <w:color w:val="auto"/>
                <w:sz w:val="21"/>
                <w:szCs w:val="21"/>
                <w:highlight w:val="none"/>
                <w:lang w:val="en-US" w:eastAsia="zh-CN"/>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0D979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4ABC505C">
            <w:pPr>
              <w:keepNext w:val="0"/>
              <w:keepLines w:val="0"/>
              <w:suppressLineNumbers w:val="0"/>
              <w:spacing w:before="31" w:beforeLines="10" w:beforeAutospacing="0" w:after="30" w:afterAutospacing="0" w:line="440" w:lineRule="exact"/>
              <w:ind w:left="0" w:right="0"/>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价格</w:t>
            </w:r>
            <w:r>
              <w:rPr>
                <w:rFonts w:hint="eastAsia" w:ascii="宋体" w:hAnsi="宋体" w:eastAsia="宋体" w:cs="宋体"/>
                <w:b/>
                <w:color w:val="auto"/>
                <w:sz w:val="21"/>
                <w:szCs w:val="21"/>
                <w:highlight w:val="none"/>
              </w:rPr>
              <w:t>评审细则（</w:t>
            </w:r>
            <w:r>
              <w:rPr>
                <w:rFonts w:hint="eastAsia" w:ascii="宋体" w:hAnsi="宋体" w:eastAsia="宋体" w:cs="宋体"/>
                <w:b/>
                <w:color w:val="auto"/>
                <w:sz w:val="21"/>
                <w:szCs w:val="21"/>
                <w:highlight w:val="none"/>
                <w:lang w:val="en-US" w:eastAsia="zh-CN"/>
              </w:rPr>
              <w:t>20</w:t>
            </w:r>
            <w:r>
              <w:rPr>
                <w:rFonts w:hint="eastAsia" w:ascii="宋体" w:hAnsi="宋体" w:eastAsia="宋体" w:cs="宋体"/>
                <w:b/>
                <w:color w:val="auto"/>
                <w:sz w:val="21"/>
                <w:szCs w:val="21"/>
                <w:highlight w:val="none"/>
              </w:rPr>
              <w:t>分）</w:t>
            </w:r>
          </w:p>
        </w:tc>
      </w:tr>
      <w:tr w14:paraId="02FEA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0" w:type="pct"/>
            <w:gridSpan w:val="2"/>
            <w:vAlign w:val="center"/>
          </w:tcPr>
          <w:p w14:paraId="7319F928">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684" w:type="pct"/>
            <w:vAlign w:val="center"/>
          </w:tcPr>
          <w:p w14:paraId="654B72A3">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价格评审</w:t>
            </w:r>
          </w:p>
        </w:tc>
        <w:tc>
          <w:tcPr>
            <w:tcW w:w="415" w:type="pct"/>
            <w:vAlign w:val="center"/>
          </w:tcPr>
          <w:p w14:paraId="33FD5520">
            <w:pPr>
              <w:keepNext w:val="0"/>
              <w:keepLines w:val="0"/>
              <w:suppressLineNumbers w:val="0"/>
              <w:spacing w:before="31" w:beforeLines="10" w:beforeAutospacing="0" w:after="0" w:afterAutospacing="0" w:line="36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20分</w:t>
            </w:r>
          </w:p>
        </w:tc>
        <w:tc>
          <w:tcPr>
            <w:tcW w:w="3509" w:type="pct"/>
            <w:vAlign w:val="center"/>
          </w:tcPr>
          <w:p w14:paraId="63C8B7EA">
            <w:pPr>
              <w:keepNext w:val="0"/>
              <w:keepLines w:val="0"/>
              <w:suppressLineNumbers w:val="0"/>
              <w:spacing w:before="31" w:beforeLines="10" w:beforeAutospacing="0" w:after="30" w:afterAutospacing="0" w:line="440" w:lineRule="exact"/>
              <w:ind w:left="0" w:right="0"/>
              <w:jc w:val="left"/>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价格分应当采用低价优先法计算，即满足遴选文件要求且价格最低的报价为评审基准价，其价格分为满分。其他响应供应商的价格分统一按照下列公式计算：</w:t>
            </w:r>
          </w:p>
          <w:p w14:paraId="18010252">
            <w:pPr>
              <w:keepNext w:val="0"/>
              <w:keepLines w:val="0"/>
              <w:suppressLineNumbers w:val="0"/>
              <w:spacing w:before="31" w:beforeLines="10" w:beforeAutospacing="0" w:after="30" w:afterAutospacing="0" w:line="440" w:lineRule="exact"/>
              <w:ind w:left="0" w:right="0"/>
              <w:jc w:val="left"/>
              <w:rPr>
                <w:rFonts w:hint="eastAsia" w:ascii="宋体" w:hAnsi="宋体" w:eastAsia="宋体" w:cs="宋体"/>
                <w:b/>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响应供应商价格得分=(评审基准价／报价)×价格权值×100</w:t>
            </w:r>
          </w:p>
        </w:tc>
      </w:tr>
      <w:bookmarkEnd w:id="46"/>
    </w:tbl>
    <w:p w14:paraId="6C1FDD7C">
      <w:pPr>
        <w:pStyle w:val="3"/>
        <w:keepNext w:val="0"/>
        <w:keepLines w:val="0"/>
        <w:pageBreakBefore/>
        <w:spacing w:line="360" w:lineRule="auto"/>
        <w:jc w:val="center"/>
        <w:rPr>
          <w:rFonts w:asciiTheme="minorEastAsia" w:hAnsiTheme="minorEastAsia"/>
          <w:color w:val="auto"/>
          <w:spacing w:val="20"/>
          <w:sz w:val="32"/>
          <w:szCs w:val="32"/>
          <w:highlight w:val="none"/>
        </w:rPr>
      </w:pPr>
      <w:bookmarkStart w:id="47" w:name="_Toc138770012"/>
      <w:bookmarkStart w:id="48" w:name="_Toc405313956"/>
      <w:bookmarkStart w:id="49" w:name="_Toc391627752"/>
      <w:r>
        <w:rPr>
          <w:rFonts w:hint="eastAsia" w:asciiTheme="minorEastAsia" w:hAnsiTheme="minorEastAsia"/>
          <w:color w:val="auto"/>
          <w:spacing w:val="20"/>
          <w:sz w:val="32"/>
          <w:szCs w:val="32"/>
          <w:highlight w:val="none"/>
        </w:rPr>
        <w:t>第五部分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合同书格式</w:t>
      </w:r>
      <w:bookmarkEnd w:id="47"/>
      <w:bookmarkEnd w:id="48"/>
      <w:bookmarkEnd w:id="49"/>
    </w:p>
    <w:p w14:paraId="1D80DCAE">
      <w:pPr>
        <w:spacing w:line="360" w:lineRule="auto"/>
        <w:jc w:val="center"/>
        <w:rPr>
          <w:rFonts w:asciiTheme="minorEastAsia" w:hAnsiTheme="minorEastAsia"/>
          <w:b/>
          <w:color w:val="auto"/>
          <w:sz w:val="50"/>
          <w:szCs w:val="50"/>
          <w:highlight w:val="none"/>
        </w:rPr>
      </w:pPr>
    </w:p>
    <w:p w14:paraId="739EB1C9">
      <w:pPr>
        <w:spacing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东莞市消防救援支队消防亮化广告牌宣传运维服务项目</w:t>
      </w:r>
    </w:p>
    <w:p w14:paraId="2A175D2A">
      <w:pPr>
        <w:spacing w:before="1092" w:beforeLines="350" w:after="468" w:afterLines="150" w:line="360" w:lineRule="auto"/>
        <w:jc w:val="center"/>
        <w:rPr>
          <w:rFonts w:asciiTheme="minorEastAsia" w:hAnsiTheme="minorEastAsia"/>
          <w:b/>
          <w:bCs/>
          <w:color w:val="auto"/>
          <w:spacing w:val="60"/>
          <w:sz w:val="52"/>
          <w:szCs w:val="52"/>
          <w:highlight w:val="none"/>
        </w:rPr>
      </w:pPr>
      <w:r>
        <w:rPr>
          <w:rFonts w:hint="eastAsia" w:asciiTheme="minorEastAsia" w:hAnsiTheme="minorEastAsia"/>
          <w:b/>
          <w:bCs/>
          <w:color w:val="auto"/>
          <w:spacing w:val="60"/>
          <w:sz w:val="52"/>
          <w:szCs w:val="52"/>
          <w:highlight w:val="none"/>
        </w:rPr>
        <w:t>合同文件</w:t>
      </w:r>
    </w:p>
    <w:p w14:paraId="5D5DD286">
      <w:pPr>
        <w:spacing w:line="360" w:lineRule="auto"/>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（合同编号：</w:t>
      </w:r>
      <w:r>
        <w:rPr>
          <w:rFonts w:asciiTheme="minorEastAsia" w:hAnsiTheme="minorEastAsia"/>
          <w:b/>
          <w:bCs/>
          <w:color w:val="auto"/>
          <w:szCs w:val="21"/>
          <w:highlight w:val="none"/>
          <w:u w:val="single"/>
        </w:rPr>
        <w:t xml:space="preserve">         </w:t>
      </w:r>
      <w:r>
        <w:rPr>
          <w:rFonts w:hint="eastAsia" w:asciiTheme="minorEastAsia" w:hAnsiTheme="minorEastAsia"/>
          <w:b/>
          <w:bCs/>
          <w:color w:val="auto"/>
          <w:szCs w:val="21"/>
          <w:highlight w:val="none"/>
        </w:rPr>
        <w:t>）</w:t>
      </w:r>
    </w:p>
    <w:p w14:paraId="73623658">
      <w:pPr>
        <w:spacing w:line="360" w:lineRule="auto"/>
        <w:rPr>
          <w:rFonts w:asciiTheme="minorEastAsia" w:hAnsiTheme="minorEastAsia"/>
          <w:b/>
          <w:bCs/>
          <w:color w:val="auto"/>
          <w:szCs w:val="21"/>
          <w:highlight w:val="none"/>
        </w:rPr>
      </w:pPr>
    </w:p>
    <w:p w14:paraId="19CBBBBE">
      <w:pPr>
        <w:spacing w:line="360" w:lineRule="auto"/>
        <w:rPr>
          <w:rFonts w:asciiTheme="minorEastAsia" w:hAnsiTheme="minorEastAsia"/>
          <w:b/>
          <w:bCs/>
          <w:color w:val="auto"/>
          <w:szCs w:val="21"/>
          <w:highlight w:val="none"/>
        </w:rPr>
      </w:pPr>
    </w:p>
    <w:p w14:paraId="37EE1F8C">
      <w:pPr>
        <w:spacing w:line="360" w:lineRule="auto"/>
        <w:rPr>
          <w:rFonts w:asciiTheme="minorEastAsia" w:hAnsiTheme="minorEastAsia"/>
          <w:b/>
          <w:bCs/>
          <w:color w:val="auto"/>
          <w:szCs w:val="21"/>
          <w:highlight w:val="none"/>
        </w:rPr>
      </w:pPr>
    </w:p>
    <w:p w14:paraId="453D0830">
      <w:pPr>
        <w:spacing w:line="360" w:lineRule="auto"/>
        <w:rPr>
          <w:rFonts w:asciiTheme="minorEastAsia" w:hAnsiTheme="minorEastAsia"/>
          <w:b/>
          <w:bCs/>
          <w:color w:val="auto"/>
          <w:szCs w:val="21"/>
          <w:highlight w:val="none"/>
        </w:rPr>
      </w:pPr>
    </w:p>
    <w:p w14:paraId="516FFA78">
      <w:pPr>
        <w:spacing w:line="360" w:lineRule="auto"/>
        <w:rPr>
          <w:rFonts w:asciiTheme="minorEastAsia" w:hAnsiTheme="minorEastAsia"/>
          <w:b/>
          <w:bCs/>
          <w:color w:val="auto"/>
          <w:szCs w:val="21"/>
          <w:highlight w:val="none"/>
        </w:rPr>
      </w:pPr>
    </w:p>
    <w:tbl>
      <w:tblPr>
        <w:tblStyle w:val="2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14:paraId="778F8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14:paraId="4FE8B00D">
            <w:pPr>
              <w:keepNext w:val="0"/>
              <w:keepLines w:val="0"/>
              <w:suppressLineNumbers w:val="0"/>
              <w:spacing w:before="0" w:beforeAutospacing="0" w:after="0" w:afterAutospacing="0" w:line="360" w:lineRule="auto"/>
              <w:ind w:left="0" w:right="0"/>
              <w:rPr>
                <w:rFonts w:hint="default" w:asciiTheme="minorEastAsia" w:hAnsiTheme="minorEastAsia"/>
                <w:b/>
                <w:bCs/>
                <w:color w:val="auto"/>
                <w:sz w:val="28"/>
                <w:szCs w:val="28"/>
                <w:highlight w:val="none"/>
              </w:rPr>
            </w:pPr>
            <w:r>
              <w:rPr>
                <w:rFonts w:hint="eastAsia" w:asciiTheme="minorEastAsia" w:hAnsiTheme="minorEastAsia"/>
                <w:b/>
                <w:bCs/>
                <w:color w:val="auto"/>
                <w:sz w:val="28"/>
                <w:szCs w:val="28"/>
                <w:highlight w:val="none"/>
              </w:rPr>
              <w:t>甲方（采购人）：</w:t>
            </w:r>
          </w:p>
        </w:tc>
        <w:tc>
          <w:tcPr>
            <w:tcW w:w="4961" w:type="dxa"/>
          </w:tcPr>
          <w:p w14:paraId="2CB6B020">
            <w:pPr>
              <w:keepNext w:val="0"/>
              <w:keepLines w:val="0"/>
              <w:suppressLineNumbers w:val="0"/>
              <w:spacing w:before="0" w:beforeAutospacing="0" w:after="0" w:afterAutospacing="0" w:line="360" w:lineRule="auto"/>
              <w:ind w:left="0" w:right="0"/>
              <w:rPr>
                <w:rFonts w:hint="default" w:asciiTheme="minorEastAsia" w:hAnsiTheme="minorEastAsia"/>
                <w:b/>
                <w:bCs/>
                <w:color w:val="auto"/>
                <w:sz w:val="28"/>
                <w:szCs w:val="28"/>
                <w:highlight w:val="none"/>
                <w:u w:val="single"/>
              </w:rPr>
            </w:pPr>
            <w:r>
              <w:rPr>
                <w:rFonts w:hint="default" w:asciiTheme="minorEastAsia" w:hAnsiTheme="minorEastAsia"/>
                <w:b/>
                <w:bCs/>
                <w:color w:val="auto"/>
                <w:sz w:val="28"/>
                <w:szCs w:val="28"/>
                <w:highlight w:val="none"/>
                <w:u w:val="single"/>
              </w:rPr>
              <w:t xml:space="preserve">       </w:t>
            </w:r>
            <w:r>
              <w:rPr>
                <w:rFonts w:hint="eastAsia" w:asciiTheme="minorEastAsia" w:hAnsiTheme="minorEastAsia"/>
                <w:b/>
                <w:bCs/>
                <w:color w:val="auto"/>
                <w:sz w:val="28"/>
                <w:szCs w:val="28"/>
                <w:highlight w:val="none"/>
                <w:u w:val="single"/>
              </w:rPr>
              <w:t>东莞市消防救援支队</w:t>
            </w:r>
            <w:r>
              <w:rPr>
                <w:rFonts w:hint="default" w:asciiTheme="minorEastAsia" w:hAnsiTheme="minorEastAsia"/>
                <w:b/>
                <w:bCs/>
                <w:color w:val="auto"/>
                <w:sz w:val="28"/>
                <w:szCs w:val="28"/>
                <w:highlight w:val="none"/>
                <w:u w:val="single"/>
              </w:rPr>
              <w:t xml:space="preserve">                </w:t>
            </w:r>
          </w:p>
        </w:tc>
      </w:tr>
      <w:tr w14:paraId="35196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14:paraId="584C4016">
            <w:pPr>
              <w:keepNext w:val="0"/>
              <w:keepLines w:val="0"/>
              <w:suppressLineNumbers w:val="0"/>
              <w:spacing w:before="0" w:beforeAutospacing="0" w:after="0" w:afterAutospacing="0" w:line="360" w:lineRule="auto"/>
              <w:ind w:left="0" w:right="0"/>
              <w:rPr>
                <w:rFonts w:hint="default" w:asciiTheme="minorEastAsia" w:hAnsiTheme="minorEastAsia"/>
                <w:b/>
                <w:bCs/>
                <w:color w:val="auto"/>
                <w:sz w:val="28"/>
                <w:szCs w:val="28"/>
                <w:highlight w:val="none"/>
              </w:rPr>
            </w:pPr>
            <w:r>
              <w:rPr>
                <w:rFonts w:hint="eastAsia" w:asciiTheme="minorEastAsia" w:hAnsiTheme="minorEastAsia"/>
                <w:b/>
                <w:bCs/>
                <w:color w:val="auto"/>
                <w:sz w:val="28"/>
                <w:szCs w:val="28"/>
                <w:highlight w:val="none"/>
              </w:rPr>
              <w:t>乙方（成交人）：</w:t>
            </w:r>
          </w:p>
        </w:tc>
        <w:tc>
          <w:tcPr>
            <w:tcW w:w="4961" w:type="dxa"/>
          </w:tcPr>
          <w:p w14:paraId="004368D5">
            <w:pPr>
              <w:keepNext w:val="0"/>
              <w:keepLines w:val="0"/>
              <w:suppressLineNumbers w:val="0"/>
              <w:spacing w:before="0" w:beforeAutospacing="0" w:after="0" w:afterAutospacing="0" w:line="360" w:lineRule="auto"/>
              <w:ind w:left="0" w:right="0"/>
              <w:rPr>
                <w:rFonts w:hint="default" w:asciiTheme="minorEastAsia" w:hAnsiTheme="minorEastAsia"/>
                <w:b/>
                <w:bCs/>
                <w:color w:val="auto"/>
                <w:sz w:val="28"/>
                <w:szCs w:val="28"/>
                <w:highlight w:val="none"/>
                <w:u w:val="single"/>
              </w:rPr>
            </w:pPr>
            <w:r>
              <w:rPr>
                <w:rFonts w:hint="default" w:asciiTheme="minorEastAsia" w:hAnsiTheme="minorEastAsia"/>
                <w:b/>
                <w:bCs/>
                <w:color w:val="auto"/>
                <w:sz w:val="28"/>
                <w:szCs w:val="28"/>
                <w:highlight w:val="none"/>
                <w:u w:val="single"/>
              </w:rPr>
              <w:t xml:space="preserve">                                            </w:t>
            </w:r>
          </w:p>
        </w:tc>
      </w:tr>
      <w:tr w14:paraId="1DBCB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14:paraId="2AD94DBE">
            <w:pPr>
              <w:keepNext w:val="0"/>
              <w:keepLines w:val="0"/>
              <w:suppressLineNumbers w:val="0"/>
              <w:spacing w:before="0" w:beforeAutospacing="0" w:after="0" w:afterAutospacing="0" w:line="360" w:lineRule="auto"/>
              <w:ind w:left="0" w:right="0"/>
              <w:rPr>
                <w:rFonts w:hint="default" w:asciiTheme="minorEastAsia" w:hAnsiTheme="minorEastAsia"/>
                <w:b/>
                <w:bCs/>
                <w:color w:val="auto"/>
                <w:spacing w:val="9"/>
                <w:sz w:val="28"/>
                <w:szCs w:val="28"/>
                <w:highlight w:val="none"/>
              </w:rPr>
            </w:pPr>
            <w:r>
              <w:rPr>
                <w:rFonts w:hint="eastAsia" w:asciiTheme="minorEastAsia" w:hAnsiTheme="minorEastAsia"/>
                <w:b/>
                <w:bCs/>
                <w:color w:val="auto"/>
                <w:spacing w:val="9"/>
                <w:sz w:val="28"/>
                <w:szCs w:val="28"/>
                <w:highlight w:val="none"/>
              </w:rPr>
              <w:t>协议签订时间：</w:t>
            </w:r>
          </w:p>
        </w:tc>
        <w:tc>
          <w:tcPr>
            <w:tcW w:w="4961" w:type="dxa"/>
          </w:tcPr>
          <w:p w14:paraId="6D883741">
            <w:pPr>
              <w:keepNext w:val="0"/>
              <w:keepLines w:val="0"/>
              <w:suppressLineNumbers w:val="0"/>
              <w:spacing w:before="0" w:beforeAutospacing="0" w:after="0" w:afterAutospacing="0" w:line="360" w:lineRule="auto"/>
              <w:ind w:left="0" w:right="0"/>
              <w:rPr>
                <w:rFonts w:hint="default" w:asciiTheme="minorEastAsia" w:hAnsiTheme="minorEastAsia"/>
                <w:b/>
                <w:bCs/>
                <w:color w:val="auto"/>
                <w:sz w:val="28"/>
                <w:szCs w:val="28"/>
                <w:highlight w:val="none"/>
                <w:u w:val="single"/>
              </w:rPr>
            </w:pPr>
            <w:r>
              <w:rPr>
                <w:rFonts w:hint="default" w:asciiTheme="minorEastAsia" w:hAnsiTheme="minorEastAsia"/>
                <w:b/>
                <w:bCs/>
                <w:color w:val="auto"/>
                <w:sz w:val="28"/>
                <w:szCs w:val="28"/>
                <w:highlight w:val="none"/>
                <w:u w:val="single"/>
              </w:rPr>
              <w:t xml:space="preserve">                                            </w:t>
            </w:r>
          </w:p>
        </w:tc>
      </w:tr>
    </w:tbl>
    <w:p w14:paraId="6B198689">
      <w:pPr>
        <w:spacing w:line="360" w:lineRule="auto"/>
        <w:rPr>
          <w:rFonts w:asciiTheme="minorEastAsia" w:hAnsiTheme="minorEastAsia"/>
          <w:b/>
          <w:bCs/>
          <w:color w:val="auto"/>
          <w:szCs w:val="21"/>
          <w:highlight w:val="none"/>
        </w:rPr>
      </w:pPr>
    </w:p>
    <w:p w14:paraId="4D4B1707">
      <w:pPr>
        <w:spacing w:line="360" w:lineRule="auto"/>
        <w:rPr>
          <w:rFonts w:asciiTheme="minorEastAsia" w:hAnsiTheme="minorEastAsia"/>
          <w:b/>
          <w:bCs/>
          <w:color w:val="auto"/>
          <w:szCs w:val="21"/>
          <w:highlight w:val="none"/>
        </w:rPr>
      </w:pPr>
    </w:p>
    <w:p w14:paraId="54BF38B0">
      <w:pPr>
        <w:tabs>
          <w:tab w:val="left" w:pos="720"/>
        </w:tabs>
        <w:spacing w:line="360" w:lineRule="auto"/>
        <w:jc w:val="center"/>
        <w:rPr>
          <w:rFonts w:asciiTheme="minorEastAsia" w:hAnsiTheme="minorEastAsia"/>
          <w:color w:val="auto"/>
          <w:spacing w:val="20"/>
          <w:sz w:val="28"/>
          <w:szCs w:val="28"/>
          <w:highlight w:val="none"/>
        </w:rPr>
      </w:pPr>
      <w:r>
        <w:rPr>
          <w:rFonts w:hint="eastAsia" w:asciiTheme="minorEastAsia" w:hAnsiTheme="minorEastAsia"/>
          <w:color w:val="auto"/>
          <w:spacing w:val="20"/>
          <w:sz w:val="28"/>
          <w:szCs w:val="28"/>
          <w:highlight w:val="none"/>
        </w:rPr>
        <w:t>二〇二</w:t>
      </w:r>
      <w:r>
        <w:rPr>
          <w:rFonts w:hint="eastAsia" w:asciiTheme="minorEastAsia" w:hAnsiTheme="minorEastAsia"/>
          <w:color w:val="auto"/>
          <w:spacing w:val="20"/>
          <w:sz w:val="28"/>
          <w:szCs w:val="28"/>
          <w:highlight w:val="none"/>
          <w:lang w:val="en-US" w:eastAsia="zh-CN"/>
        </w:rPr>
        <w:t>五</w:t>
      </w:r>
      <w:r>
        <w:rPr>
          <w:rFonts w:hint="eastAsia" w:asciiTheme="minorEastAsia" w:hAnsiTheme="minorEastAsia"/>
          <w:color w:val="auto"/>
          <w:spacing w:val="20"/>
          <w:sz w:val="28"/>
          <w:szCs w:val="28"/>
          <w:highlight w:val="none"/>
        </w:rPr>
        <w:t>年</w:t>
      </w:r>
      <w:r>
        <w:rPr>
          <w:rFonts w:asciiTheme="minorEastAsia" w:hAnsiTheme="minorEastAsia"/>
          <w:color w:val="auto"/>
          <w:spacing w:val="20"/>
          <w:sz w:val="28"/>
          <w:szCs w:val="28"/>
          <w:highlight w:val="none"/>
          <w:u w:val="single"/>
        </w:rPr>
        <w:t xml:space="preserve">   </w:t>
      </w:r>
      <w:r>
        <w:rPr>
          <w:rFonts w:hint="eastAsia" w:asciiTheme="minorEastAsia" w:hAnsiTheme="minorEastAsia"/>
          <w:color w:val="auto"/>
          <w:spacing w:val="20"/>
          <w:sz w:val="28"/>
          <w:szCs w:val="28"/>
          <w:highlight w:val="none"/>
        </w:rPr>
        <w:t>月于东莞</w:t>
      </w:r>
    </w:p>
    <w:p w14:paraId="46EEAD46">
      <w:pPr>
        <w:widowControl/>
        <w:jc w:val="left"/>
        <w:rPr>
          <w:rFonts w:asciiTheme="minorEastAsia" w:hAnsiTheme="minorEastAsia"/>
          <w:color w:val="auto"/>
          <w:szCs w:val="21"/>
          <w:highlight w:val="none"/>
        </w:rPr>
      </w:pPr>
      <w:r>
        <w:rPr>
          <w:rFonts w:asciiTheme="minorEastAsia" w:hAnsiTheme="minorEastAsia"/>
          <w:color w:val="auto"/>
          <w:szCs w:val="21"/>
          <w:highlight w:val="none"/>
        </w:rPr>
        <w:br w:type="page"/>
      </w:r>
    </w:p>
    <w:p w14:paraId="7854F0AE">
      <w:pPr>
        <w:keepNext w:val="0"/>
        <w:keepLines/>
        <w:pageBreakBefore w:val="0"/>
        <w:widowControl w:val="0"/>
        <w:kinsoku/>
        <w:wordWrap/>
        <w:overflowPunct/>
        <w:topLinePunct w:val="0"/>
        <w:bidi w:val="0"/>
        <w:snapToGrid w:val="0"/>
        <w:spacing w:line="360" w:lineRule="auto"/>
        <w:textAlignment w:val="auto"/>
        <w:rPr>
          <w:rFonts w:hint="default" w:ascii="宋体" w:hAnsi="宋体" w:eastAsia="宋体"/>
          <w:color w:val="auto"/>
          <w:szCs w:val="21"/>
          <w:highlight w:val="none"/>
          <w:lang w:val="en-US" w:eastAsia="zh-CN"/>
        </w:rPr>
      </w:pPr>
      <w:bookmarkStart w:id="50" w:name="_Toc138770013"/>
      <w:bookmarkStart w:id="51" w:name="_Toc391627753"/>
      <w:bookmarkStart w:id="52" w:name="_Toc405313957"/>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lang w:val="en-US" w:eastAsia="zh-CN"/>
        </w:rPr>
        <w:t xml:space="preserve">                  </w:t>
      </w:r>
    </w:p>
    <w:p w14:paraId="6DA243B6">
      <w:pPr>
        <w:keepNext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w:t>
      </w:r>
      <w:r>
        <w:rPr>
          <w:rFonts w:hint="eastAsia" w:ascii="宋体" w:hAnsi="宋体" w:eastAsia="宋体"/>
          <w:color w:val="auto"/>
          <w:szCs w:val="21"/>
          <w:highlight w:val="none"/>
          <w:lang w:val="en-US" w:eastAsia="zh-CN"/>
        </w:rPr>
        <w:t>成交</w:t>
      </w:r>
      <w:r>
        <w:rPr>
          <w:rFonts w:hint="eastAsia" w:ascii="宋体" w:hAnsi="宋体" w:eastAsia="宋体"/>
          <w:color w:val="auto"/>
          <w:szCs w:val="21"/>
          <w:highlight w:val="none"/>
        </w:rPr>
        <w:t>人）：</w:t>
      </w:r>
      <w:r>
        <w:rPr>
          <w:rFonts w:hint="eastAsia" w:ascii="宋体" w:hAnsi="宋体" w:eastAsia="宋体"/>
          <w:color w:val="auto"/>
          <w:szCs w:val="21"/>
          <w:highlight w:val="none"/>
          <w:u w:val="single"/>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53" w:name="_Hlk90988984"/>
      <w:r>
        <w:rPr>
          <w:rFonts w:hint="eastAsia" w:ascii="宋体" w:hAnsi="宋体" w:eastAsia="宋体" w:cs="Times New Roman"/>
          <w:color w:val="auto"/>
          <w:szCs w:val="21"/>
          <w:highlight w:val="none"/>
        </w:rPr>
        <w:t>《中华人民共和国民法典</w:t>
      </w:r>
      <w:bookmarkEnd w:id="53"/>
      <w:r>
        <w:rPr>
          <w:rFonts w:hint="eastAsia" w:ascii="宋体" w:hAnsi="宋体" w:eastAsia="宋体" w:cs="Times New Roman"/>
          <w:color w:val="auto"/>
          <w:szCs w:val="21"/>
          <w:highlight w:val="none"/>
        </w:rPr>
        <w:t>》及</w:t>
      </w:r>
      <w:r>
        <w:rPr>
          <w:rFonts w:hint="eastAsia" w:ascii="宋体" w:hAnsi="宋体" w:eastAsia="宋体" w:cs="Times New Roman"/>
          <w:color w:val="auto"/>
          <w:szCs w:val="21"/>
          <w:highlight w:val="none"/>
          <w:lang w:val="en-US" w:eastAsia="zh-CN"/>
        </w:rPr>
        <w:t>遴选</w:t>
      </w:r>
      <w:r>
        <w:rPr>
          <w:rFonts w:hint="eastAsia" w:ascii="宋体" w:hAnsi="宋体" w:eastAsia="宋体" w:cs="Times New Roman"/>
          <w:color w:val="auto"/>
          <w:szCs w:val="21"/>
          <w:highlight w:val="none"/>
        </w:rPr>
        <w:t>文件、</w:t>
      </w:r>
      <w:r>
        <w:rPr>
          <w:rFonts w:hint="eastAsia" w:ascii="宋体" w:hAnsi="宋体" w:eastAsia="宋体" w:cs="Times New Roman"/>
          <w:color w:val="auto"/>
          <w:szCs w:val="21"/>
          <w:highlight w:val="none"/>
          <w:lang w:val="en-US" w:eastAsia="zh-CN"/>
        </w:rPr>
        <w:t>成交</w:t>
      </w:r>
      <w:r>
        <w:rPr>
          <w:rFonts w:hint="eastAsia" w:ascii="宋体" w:hAnsi="宋体" w:eastAsia="宋体" w:cs="Times New Roman"/>
          <w:color w:val="auto"/>
          <w:szCs w:val="21"/>
          <w:highlight w:val="none"/>
        </w:rPr>
        <w:t>通知书等相关资料的要求，经双方协商一致，签订本合同，共同遵守如下条款</w:t>
      </w:r>
      <w:r>
        <w:rPr>
          <w:rFonts w:hint="eastAsia" w:ascii="宋体" w:hAnsi="宋体" w:eastAsia="宋体"/>
          <w:color w:val="auto"/>
          <w:szCs w:val="21"/>
          <w:highlight w:val="none"/>
        </w:rPr>
        <w:t>。</w:t>
      </w:r>
    </w:p>
    <w:p w14:paraId="4D33449C">
      <w:pPr>
        <w:pStyle w:val="33"/>
        <w:keepNext w:val="0"/>
        <w:pageBreakBefore w:val="0"/>
        <w:widowControl w:val="0"/>
        <w:numPr>
          <w:ilvl w:val="0"/>
          <w:numId w:val="59"/>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33"/>
        <w:keepNext w:val="0"/>
        <w:pageBreakBefore w:val="0"/>
        <w:widowControl w:val="0"/>
        <w:numPr>
          <w:ilvl w:val="0"/>
          <w:numId w:val="6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CN"/>
        </w:rPr>
        <w:t>东莞市消防救援支队消防亮化广告牌宣传运维服务项目</w:t>
      </w:r>
    </w:p>
    <w:p w14:paraId="094315CF">
      <w:pPr>
        <w:pStyle w:val="33"/>
        <w:keepNext w:val="0"/>
        <w:pageBreakBefore w:val="0"/>
        <w:widowControl w:val="0"/>
        <w:numPr>
          <w:ilvl w:val="0"/>
          <w:numId w:val="6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评选</w:t>
      </w:r>
      <w:r>
        <w:rPr>
          <w:rFonts w:hint="eastAsia" w:ascii="宋体" w:hAnsi="宋体" w:eastAsia="宋体"/>
          <w:color w:val="auto"/>
          <w:szCs w:val="21"/>
          <w:highlight w:val="none"/>
        </w:rPr>
        <w:t>编号：</w:t>
      </w:r>
      <w:r>
        <w:rPr>
          <w:rFonts w:hint="eastAsia" w:ascii="宋体" w:hAnsi="宋体" w:eastAsia="宋体"/>
          <w:color w:val="auto"/>
          <w:szCs w:val="21"/>
          <w:highlight w:val="none"/>
          <w:u w:val="single"/>
          <w:lang w:eastAsia="zh-CN"/>
        </w:rPr>
        <w:t>ZHDGZC2025034</w:t>
      </w:r>
    </w:p>
    <w:p w14:paraId="55AA2717">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1FA5E351">
      <w:pPr>
        <w:numPr>
          <w:ilvl w:val="0"/>
          <w:numId w:val="61"/>
        </w:numPr>
        <w:autoSpaceDE w:val="0"/>
        <w:autoSpaceDN w:val="0"/>
        <w:adjustRightInd w:val="0"/>
        <w:snapToGrid w:val="0"/>
        <w:spacing w:line="360" w:lineRule="auto"/>
        <w:contextualSpacing/>
        <w:jc w:val="left"/>
        <w:rPr>
          <w:rFonts w:ascii="宋体" w:hAnsi="宋体" w:eastAsiaTheme="minorEastAsia"/>
          <w:b w:val="0"/>
          <w:bCs/>
          <w:color w:val="auto"/>
          <w:spacing w:val="0"/>
          <w:sz w:val="21"/>
          <w:szCs w:val="21"/>
          <w:highlight w:val="none"/>
        </w:rPr>
      </w:pPr>
      <w:r>
        <w:rPr>
          <w:rFonts w:hint="eastAsia" w:ascii="宋体" w:hAnsi="宋体" w:eastAsia="宋体" w:cs="等线"/>
          <w:color w:val="auto"/>
          <w:sz w:val="21"/>
          <w:szCs w:val="21"/>
        </w:rPr>
        <w:t>针对近期火灾事故频发的严峻形势，落实“以防为主、防消结合”的方针，做好消防防范宣传工作，东莞消防支队通过消防亮化字体宣传，</w:t>
      </w:r>
      <w:r>
        <w:rPr>
          <w:rFonts w:hint="eastAsia" w:ascii="宋体" w:hAnsi="宋体" w:eastAsia="宋体"/>
          <w:color w:val="auto"/>
          <w:sz w:val="21"/>
          <w:szCs w:val="21"/>
        </w:rPr>
        <w:t>在人流众多的主要干道、公园等人车流密集位置，设立警示性消防标语，提醒人民群众注意日常的消防注意事项，提升人民群众的消防安全意识，从而降低消防隐患，减少火灾事故的发生。</w:t>
      </w:r>
    </w:p>
    <w:p w14:paraId="2003C903">
      <w:pPr>
        <w:numPr>
          <w:ilvl w:val="0"/>
          <w:numId w:val="61"/>
        </w:numPr>
        <w:autoSpaceDE w:val="0"/>
        <w:autoSpaceDN w:val="0"/>
        <w:adjustRightInd w:val="0"/>
        <w:snapToGrid w:val="0"/>
        <w:spacing w:line="360" w:lineRule="auto"/>
        <w:contextualSpacing/>
        <w:jc w:val="left"/>
        <w:rPr>
          <w:rFonts w:ascii="宋体" w:hAnsi="宋体" w:eastAsiaTheme="minorEastAsia"/>
          <w:b w:val="0"/>
          <w:bCs/>
          <w:color w:val="auto"/>
          <w:spacing w:val="0"/>
          <w:sz w:val="21"/>
          <w:szCs w:val="21"/>
          <w:highlight w:val="none"/>
        </w:rPr>
      </w:pPr>
      <w:r>
        <w:rPr>
          <w:rFonts w:hint="eastAsia" w:ascii="宋体" w:hAnsi="宋体"/>
          <w:b w:val="0"/>
          <w:bCs/>
          <w:color w:val="auto"/>
          <w:spacing w:val="0"/>
          <w:sz w:val="21"/>
          <w:szCs w:val="21"/>
          <w:highlight w:val="none"/>
          <w:lang w:val="en-US" w:eastAsia="zh-CN"/>
        </w:rPr>
        <w:t>服务地点</w:t>
      </w:r>
    </w:p>
    <w:tbl>
      <w:tblPr>
        <w:tblStyle w:val="22"/>
        <w:tblW w:w="5000" w:type="pct"/>
        <w:jc w:val="right"/>
        <w:tblLayout w:type="autofit"/>
        <w:tblCellMar>
          <w:top w:w="0" w:type="dxa"/>
          <w:left w:w="108" w:type="dxa"/>
          <w:bottom w:w="0" w:type="dxa"/>
          <w:right w:w="108" w:type="dxa"/>
        </w:tblCellMar>
      </w:tblPr>
      <w:tblGrid>
        <w:gridCol w:w="636"/>
        <w:gridCol w:w="2526"/>
        <w:gridCol w:w="1266"/>
        <w:gridCol w:w="1266"/>
        <w:gridCol w:w="3073"/>
      </w:tblGrid>
      <w:tr w14:paraId="176C5222">
        <w:tblPrEx>
          <w:tblCellMar>
            <w:top w:w="0" w:type="dxa"/>
            <w:left w:w="108" w:type="dxa"/>
            <w:bottom w:w="0" w:type="dxa"/>
            <w:right w:w="108" w:type="dxa"/>
          </w:tblCellMar>
        </w:tblPrEx>
        <w:trPr>
          <w:trHeight w:val="270" w:hRule="atLeast"/>
          <w:jc w:val="right"/>
        </w:trPr>
        <w:tc>
          <w:tcPr>
            <w:tcW w:w="362" w:type="pct"/>
            <w:tcBorders>
              <w:top w:val="single" w:color="auto" w:sz="4" w:space="0"/>
              <w:left w:val="single" w:color="auto" w:sz="4" w:space="0"/>
              <w:bottom w:val="single" w:color="auto" w:sz="4" w:space="0"/>
              <w:right w:val="single" w:color="auto" w:sz="4" w:space="0"/>
            </w:tcBorders>
            <w:noWrap/>
            <w:vAlign w:val="center"/>
          </w:tcPr>
          <w:p w14:paraId="5B3048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序号</w:t>
            </w:r>
          </w:p>
        </w:tc>
        <w:tc>
          <w:tcPr>
            <w:tcW w:w="1440" w:type="pct"/>
            <w:tcBorders>
              <w:top w:val="single" w:color="auto" w:sz="4" w:space="0"/>
              <w:left w:val="nil"/>
              <w:bottom w:val="single" w:color="auto" w:sz="4" w:space="0"/>
              <w:right w:val="single" w:color="auto" w:sz="4" w:space="0"/>
            </w:tcBorders>
            <w:noWrap/>
            <w:vAlign w:val="center"/>
          </w:tcPr>
          <w:p w14:paraId="68C01B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规划点</w:t>
            </w:r>
          </w:p>
        </w:tc>
        <w:tc>
          <w:tcPr>
            <w:tcW w:w="722" w:type="pct"/>
            <w:tcBorders>
              <w:top w:val="single" w:color="auto" w:sz="4" w:space="0"/>
              <w:left w:val="nil"/>
              <w:bottom w:val="single" w:color="auto" w:sz="4" w:space="0"/>
              <w:right w:val="single" w:color="auto" w:sz="4" w:space="0"/>
            </w:tcBorders>
            <w:noWrap/>
            <w:vAlign w:val="center"/>
          </w:tcPr>
          <w:p w14:paraId="6EAD0F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经度</w:t>
            </w:r>
          </w:p>
        </w:tc>
        <w:tc>
          <w:tcPr>
            <w:tcW w:w="722" w:type="pct"/>
            <w:tcBorders>
              <w:top w:val="single" w:color="auto" w:sz="4" w:space="0"/>
              <w:left w:val="nil"/>
              <w:bottom w:val="single" w:color="auto" w:sz="4" w:space="0"/>
              <w:right w:val="single" w:color="auto" w:sz="4" w:space="0"/>
            </w:tcBorders>
            <w:noWrap/>
            <w:vAlign w:val="center"/>
          </w:tcPr>
          <w:p w14:paraId="353C80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纬度</w:t>
            </w:r>
          </w:p>
        </w:tc>
        <w:tc>
          <w:tcPr>
            <w:tcW w:w="1752" w:type="pct"/>
            <w:tcBorders>
              <w:top w:val="single" w:color="auto" w:sz="4" w:space="0"/>
              <w:left w:val="nil"/>
              <w:bottom w:val="single" w:color="auto" w:sz="4" w:space="0"/>
              <w:right w:val="single" w:color="auto" w:sz="4" w:space="0"/>
            </w:tcBorders>
            <w:noWrap/>
            <w:vAlign w:val="center"/>
          </w:tcPr>
          <w:p w14:paraId="441DEC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地址信息</w:t>
            </w:r>
          </w:p>
        </w:tc>
      </w:tr>
      <w:tr w14:paraId="761EB6B3">
        <w:tblPrEx>
          <w:tblCellMar>
            <w:top w:w="0" w:type="dxa"/>
            <w:left w:w="108" w:type="dxa"/>
            <w:bottom w:w="0" w:type="dxa"/>
            <w:right w:w="108" w:type="dxa"/>
          </w:tblCellMar>
        </w:tblPrEx>
        <w:trPr>
          <w:trHeight w:val="270" w:hRule="atLeast"/>
          <w:jc w:val="right"/>
        </w:trPr>
        <w:tc>
          <w:tcPr>
            <w:tcW w:w="362" w:type="pct"/>
            <w:tcBorders>
              <w:top w:val="nil"/>
              <w:left w:val="single" w:color="auto" w:sz="4" w:space="0"/>
              <w:bottom w:val="single" w:color="auto" w:sz="4" w:space="0"/>
              <w:right w:val="single" w:color="auto" w:sz="4" w:space="0"/>
            </w:tcBorders>
            <w:noWrap/>
            <w:vAlign w:val="center"/>
          </w:tcPr>
          <w:p w14:paraId="54B3BF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w:t>
            </w:r>
          </w:p>
        </w:tc>
        <w:tc>
          <w:tcPr>
            <w:tcW w:w="1440" w:type="pct"/>
            <w:tcBorders>
              <w:top w:val="nil"/>
              <w:left w:val="nil"/>
              <w:bottom w:val="single" w:color="auto" w:sz="4" w:space="0"/>
              <w:right w:val="single" w:color="auto" w:sz="4" w:space="0"/>
            </w:tcBorders>
            <w:noWrap/>
            <w:vAlign w:val="center"/>
          </w:tcPr>
          <w:p w14:paraId="77FF4B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寮步东部快速干线绿化带</w:t>
            </w:r>
          </w:p>
        </w:tc>
        <w:tc>
          <w:tcPr>
            <w:tcW w:w="722" w:type="pct"/>
            <w:tcBorders>
              <w:top w:val="nil"/>
              <w:left w:val="nil"/>
              <w:bottom w:val="single" w:color="auto" w:sz="4" w:space="0"/>
              <w:right w:val="single" w:color="auto" w:sz="4" w:space="0"/>
            </w:tcBorders>
            <w:noWrap/>
            <w:vAlign w:val="center"/>
          </w:tcPr>
          <w:p w14:paraId="53DCA0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113.891403</w:t>
            </w:r>
          </w:p>
        </w:tc>
        <w:tc>
          <w:tcPr>
            <w:tcW w:w="722" w:type="pct"/>
            <w:tcBorders>
              <w:top w:val="nil"/>
              <w:left w:val="nil"/>
              <w:bottom w:val="single" w:color="auto" w:sz="4" w:space="0"/>
              <w:right w:val="single" w:color="auto" w:sz="4" w:space="0"/>
            </w:tcBorders>
            <w:noWrap/>
            <w:vAlign w:val="center"/>
          </w:tcPr>
          <w:p w14:paraId="745F16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23.0309696</w:t>
            </w:r>
          </w:p>
        </w:tc>
        <w:tc>
          <w:tcPr>
            <w:tcW w:w="1752" w:type="pct"/>
            <w:tcBorders>
              <w:top w:val="nil"/>
              <w:left w:val="nil"/>
              <w:bottom w:val="single" w:color="auto" w:sz="4" w:space="0"/>
              <w:right w:val="single" w:color="auto" w:sz="4" w:space="0"/>
            </w:tcBorders>
            <w:noWrap w:val="0"/>
            <w:vAlign w:val="center"/>
          </w:tcPr>
          <w:p w14:paraId="53B6D2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东莞市寮步镇东部快速干线旁绿化带</w:t>
            </w:r>
          </w:p>
        </w:tc>
      </w:tr>
      <w:tr w14:paraId="28F5DA50">
        <w:tblPrEx>
          <w:tblCellMar>
            <w:top w:w="0" w:type="dxa"/>
            <w:left w:w="108" w:type="dxa"/>
            <w:bottom w:w="0" w:type="dxa"/>
            <w:right w:w="108" w:type="dxa"/>
          </w:tblCellMar>
        </w:tblPrEx>
        <w:trPr>
          <w:trHeight w:val="540" w:hRule="atLeast"/>
          <w:jc w:val="right"/>
        </w:trPr>
        <w:tc>
          <w:tcPr>
            <w:tcW w:w="362" w:type="pct"/>
            <w:tcBorders>
              <w:top w:val="nil"/>
              <w:left w:val="single" w:color="auto" w:sz="4" w:space="0"/>
              <w:bottom w:val="single" w:color="auto" w:sz="4" w:space="0"/>
              <w:right w:val="single" w:color="auto" w:sz="4" w:space="0"/>
            </w:tcBorders>
            <w:noWrap/>
            <w:vAlign w:val="center"/>
          </w:tcPr>
          <w:p w14:paraId="6843D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w:t>
            </w:r>
          </w:p>
        </w:tc>
        <w:tc>
          <w:tcPr>
            <w:tcW w:w="1440" w:type="pct"/>
            <w:tcBorders>
              <w:top w:val="nil"/>
              <w:left w:val="nil"/>
              <w:bottom w:val="single" w:color="auto" w:sz="4" w:space="0"/>
              <w:right w:val="single" w:color="auto" w:sz="4" w:space="0"/>
            </w:tcBorders>
            <w:noWrap/>
            <w:vAlign w:val="center"/>
          </w:tcPr>
          <w:p w14:paraId="0BE84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东城泰升工业路</w:t>
            </w:r>
          </w:p>
        </w:tc>
        <w:tc>
          <w:tcPr>
            <w:tcW w:w="722" w:type="pct"/>
            <w:tcBorders>
              <w:top w:val="nil"/>
              <w:left w:val="nil"/>
              <w:bottom w:val="single" w:color="auto" w:sz="4" w:space="0"/>
              <w:right w:val="single" w:color="auto" w:sz="4" w:space="0"/>
            </w:tcBorders>
            <w:noWrap/>
            <w:vAlign w:val="center"/>
          </w:tcPr>
          <w:p w14:paraId="0F2CB5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113.793881</w:t>
            </w:r>
          </w:p>
        </w:tc>
        <w:tc>
          <w:tcPr>
            <w:tcW w:w="722" w:type="pct"/>
            <w:tcBorders>
              <w:top w:val="nil"/>
              <w:left w:val="nil"/>
              <w:bottom w:val="single" w:color="auto" w:sz="4" w:space="0"/>
              <w:right w:val="single" w:color="auto" w:sz="4" w:space="0"/>
            </w:tcBorders>
            <w:noWrap/>
            <w:vAlign w:val="center"/>
          </w:tcPr>
          <w:p w14:paraId="2E8E8A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23.082841</w:t>
            </w:r>
          </w:p>
        </w:tc>
        <w:tc>
          <w:tcPr>
            <w:tcW w:w="1752" w:type="pct"/>
            <w:tcBorders>
              <w:top w:val="nil"/>
              <w:left w:val="nil"/>
              <w:bottom w:val="single" w:color="auto" w:sz="4" w:space="0"/>
              <w:right w:val="single" w:color="auto" w:sz="4" w:space="0"/>
            </w:tcBorders>
            <w:noWrap w:val="0"/>
            <w:vAlign w:val="center"/>
          </w:tcPr>
          <w:p w14:paraId="56B0CC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东莞市东城区珠三角环线高速与运河路交界处</w:t>
            </w:r>
          </w:p>
        </w:tc>
      </w:tr>
      <w:tr w14:paraId="0BBA122F">
        <w:tblPrEx>
          <w:tblCellMar>
            <w:top w:w="0" w:type="dxa"/>
            <w:left w:w="108" w:type="dxa"/>
            <w:bottom w:w="0" w:type="dxa"/>
            <w:right w:w="108" w:type="dxa"/>
          </w:tblCellMar>
        </w:tblPrEx>
        <w:trPr>
          <w:trHeight w:val="551"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072838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3</w:t>
            </w:r>
          </w:p>
        </w:tc>
        <w:tc>
          <w:tcPr>
            <w:tcW w:w="1440" w:type="pct"/>
            <w:tcBorders>
              <w:top w:val="nil"/>
              <w:left w:val="nil"/>
              <w:bottom w:val="single" w:color="auto" w:sz="4" w:space="0"/>
              <w:right w:val="single" w:color="auto" w:sz="4" w:space="0"/>
            </w:tcBorders>
            <w:shd w:val="clear" w:color="000000" w:fill="FFFFFF"/>
            <w:noWrap/>
            <w:vAlign w:val="center"/>
          </w:tcPr>
          <w:p w14:paraId="177F0D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环城路东安花园路段</w:t>
            </w:r>
          </w:p>
        </w:tc>
        <w:tc>
          <w:tcPr>
            <w:tcW w:w="722" w:type="pct"/>
            <w:tcBorders>
              <w:top w:val="nil"/>
              <w:left w:val="nil"/>
              <w:bottom w:val="single" w:color="auto" w:sz="4" w:space="0"/>
              <w:right w:val="single" w:color="auto" w:sz="4" w:space="0"/>
            </w:tcBorders>
            <w:noWrap/>
            <w:vAlign w:val="center"/>
          </w:tcPr>
          <w:p w14:paraId="7469A1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113.807299</w:t>
            </w:r>
          </w:p>
        </w:tc>
        <w:tc>
          <w:tcPr>
            <w:tcW w:w="722" w:type="pct"/>
            <w:tcBorders>
              <w:top w:val="nil"/>
              <w:left w:val="nil"/>
              <w:bottom w:val="single" w:color="auto" w:sz="4" w:space="0"/>
              <w:right w:val="single" w:color="auto" w:sz="4" w:space="0"/>
            </w:tcBorders>
            <w:noWrap/>
            <w:vAlign w:val="center"/>
          </w:tcPr>
          <w:p w14:paraId="3E25D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23.023694</w:t>
            </w:r>
          </w:p>
        </w:tc>
        <w:tc>
          <w:tcPr>
            <w:tcW w:w="1752" w:type="pct"/>
            <w:tcBorders>
              <w:top w:val="nil"/>
              <w:left w:val="nil"/>
              <w:bottom w:val="single" w:color="auto" w:sz="4" w:space="0"/>
              <w:right w:val="single" w:color="auto" w:sz="4" w:space="0"/>
            </w:tcBorders>
            <w:noWrap w:val="0"/>
            <w:vAlign w:val="center"/>
          </w:tcPr>
          <w:p w14:paraId="4FC3BE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东莞市寮步镇环城东路辅路旁</w:t>
            </w:r>
          </w:p>
        </w:tc>
      </w:tr>
      <w:tr w14:paraId="6ECCD6F5">
        <w:tblPrEx>
          <w:tblCellMar>
            <w:top w:w="0" w:type="dxa"/>
            <w:left w:w="108" w:type="dxa"/>
            <w:bottom w:w="0" w:type="dxa"/>
            <w:right w:w="108" w:type="dxa"/>
          </w:tblCellMar>
        </w:tblPrEx>
        <w:trPr>
          <w:trHeight w:val="540"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3F20A0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4</w:t>
            </w:r>
          </w:p>
        </w:tc>
        <w:tc>
          <w:tcPr>
            <w:tcW w:w="1440" w:type="pct"/>
            <w:tcBorders>
              <w:top w:val="nil"/>
              <w:left w:val="nil"/>
              <w:bottom w:val="single" w:color="auto" w:sz="4" w:space="0"/>
              <w:right w:val="single" w:color="auto" w:sz="4" w:space="0"/>
            </w:tcBorders>
            <w:shd w:val="clear" w:color="000000" w:fill="FFFFFF"/>
            <w:noWrap/>
            <w:vAlign w:val="center"/>
          </w:tcPr>
          <w:p w14:paraId="754909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万江环城西路停车场</w:t>
            </w:r>
          </w:p>
        </w:tc>
        <w:tc>
          <w:tcPr>
            <w:tcW w:w="722" w:type="pct"/>
            <w:tcBorders>
              <w:top w:val="nil"/>
              <w:left w:val="nil"/>
              <w:bottom w:val="single" w:color="auto" w:sz="4" w:space="0"/>
              <w:right w:val="single" w:color="auto" w:sz="4" w:space="0"/>
            </w:tcBorders>
            <w:noWrap/>
            <w:vAlign w:val="center"/>
          </w:tcPr>
          <w:p w14:paraId="747579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113.699992</w:t>
            </w:r>
          </w:p>
        </w:tc>
        <w:tc>
          <w:tcPr>
            <w:tcW w:w="722" w:type="pct"/>
            <w:tcBorders>
              <w:top w:val="nil"/>
              <w:left w:val="nil"/>
              <w:bottom w:val="single" w:color="auto" w:sz="4" w:space="0"/>
              <w:right w:val="single" w:color="auto" w:sz="4" w:space="0"/>
            </w:tcBorders>
            <w:noWrap/>
            <w:vAlign w:val="center"/>
          </w:tcPr>
          <w:p w14:paraId="0A05B0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23.022617</w:t>
            </w:r>
          </w:p>
        </w:tc>
        <w:tc>
          <w:tcPr>
            <w:tcW w:w="1752" w:type="pct"/>
            <w:tcBorders>
              <w:top w:val="nil"/>
              <w:left w:val="nil"/>
              <w:bottom w:val="single" w:color="auto" w:sz="4" w:space="0"/>
              <w:right w:val="single" w:color="auto" w:sz="4" w:space="0"/>
            </w:tcBorders>
            <w:noWrap w:val="0"/>
            <w:vAlign w:val="center"/>
          </w:tcPr>
          <w:p w14:paraId="38AC8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东莞市万江区翰林实验学校旁环城西路停车场内</w:t>
            </w:r>
          </w:p>
        </w:tc>
      </w:tr>
      <w:tr w14:paraId="5D89527A">
        <w:tblPrEx>
          <w:tblCellMar>
            <w:top w:w="0" w:type="dxa"/>
            <w:left w:w="108" w:type="dxa"/>
            <w:bottom w:w="0" w:type="dxa"/>
            <w:right w:w="108" w:type="dxa"/>
          </w:tblCellMar>
        </w:tblPrEx>
        <w:trPr>
          <w:trHeight w:val="451" w:hRule="atLeast"/>
          <w:jc w:val="right"/>
        </w:trPr>
        <w:tc>
          <w:tcPr>
            <w:tcW w:w="362" w:type="pct"/>
            <w:tcBorders>
              <w:top w:val="nil"/>
              <w:left w:val="single" w:color="auto" w:sz="4" w:space="0"/>
              <w:bottom w:val="single" w:color="auto" w:sz="4" w:space="0"/>
              <w:right w:val="single" w:color="auto" w:sz="4" w:space="0"/>
            </w:tcBorders>
            <w:shd w:val="clear" w:color="auto" w:fill="auto"/>
            <w:noWrap/>
            <w:vAlign w:val="center"/>
          </w:tcPr>
          <w:p w14:paraId="70A3A7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5</w:t>
            </w:r>
          </w:p>
        </w:tc>
        <w:tc>
          <w:tcPr>
            <w:tcW w:w="1440" w:type="pct"/>
            <w:tcBorders>
              <w:top w:val="nil"/>
              <w:left w:val="nil"/>
              <w:bottom w:val="single" w:color="auto" w:sz="4" w:space="0"/>
              <w:right w:val="single" w:color="auto" w:sz="4" w:space="0"/>
            </w:tcBorders>
            <w:shd w:val="clear" w:color="000000" w:fill="FFFFFF"/>
            <w:noWrap/>
            <w:vAlign w:val="center"/>
          </w:tcPr>
          <w:p w14:paraId="3C02C6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东莞大道中心公园路段</w:t>
            </w:r>
          </w:p>
        </w:tc>
        <w:tc>
          <w:tcPr>
            <w:tcW w:w="722" w:type="pct"/>
            <w:tcBorders>
              <w:top w:val="nil"/>
              <w:left w:val="nil"/>
              <w:bottom w:val="single" w:color="auto" w:sz="4" w:space="0"/>
              <w:right w:val="single" w:color="auto" w:sz="4" w:space="0"/>
            </w:tcBorders>
            <w:noWrap/>
            <w:vAlign w:val="center"/>
          </w:tcPr>
          <w:p w14:paraId="6ED1B6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113.735111</w:t>
            </w:r>
          </w:p>
        </w:tc>
        <w:tc>
          <w:tcPr>
            <w:tcW w:w="722" w:type="pct"/>
            <w:tcBorders>
              <w:top w:val="nil"/>
              <w:left w:val="nil"/>
              <w:bottom w:val="single" w:color="auto" w:sz="4" w:space="0"/>
              <w:right w:val="single" w:color="auto" w:sz="4" w:space="0"/>
            </w:tcBorders>
            <w:noWrap/>
            <w:vAlign w:val="center"/>
          </w:tcPr>
          <w:p w14:paraId="1B2791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22.991811</w:t>
            </w:r>
          </w:p>
        </w:tc>
        <w:tc>
          <w:tcPr>
            <w:tcW w:w="1752" w:type="pct"/>
            <w:tcBorders>
              <w:top w:val="nil"/>
              <w:left w:val="nil"/>
              <w:bottom w:val="single" w:color="auto" w:sz="4" w:space="0"/>
              <w:right w:val="single" w:color="auto" w:sz="4" w:space="0"/>
            </w:tcBorders>
            <w:noWrap w:val="0"/>
            <w:vAlign w:val="center"/>
          </w:tcPr>
          <w:p w14:paraId="75D64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宋体" w:eastAsia="宋体" w:cs="_x000B__x000C_"/>
                <w:color w:val="auto"/>
                <w:kern w:val="0"/>
                <w:sz w:val="21"/>
                <w:szCs w:val="21"/>
              </w:rPr>
            </w:pPr>
            <w:r>
              <w:rPr>
                <w:rFonts w:hint="default" w:ascii="宋体" w:hAnsi="宋体" w:eastAsia="宋体" w:cs="_x000B__x000C_"/>
                <w:color w:val="auto"/>
                <w:kern w:val="0"/>
                <w:sz w:val="21"/>
                <w:szCs w:val="21"/>
              </w:rPr>
              <w:t>东莞市南城区东莞大道中心公园路段</w:t>
            </w:r>
          </w:p>
        </w:tc>
      </w:tr>
    </w:tbl>
    <w:p w14:paraId="7FD1455B">
      <w:pPr>
        <w:numPr>
          <w:ilvl w:val="0"/>
          <w:numId w:val="0"/>
        </w:numPr>
        <w:autoSpaceDE w:val="0"/>
        <w:autoSpaceDN w:val="0"/>
        <w:adjustRightInd w:val="0"/>
        <w:snapToGrid w:val="0"/>
        <w:spacing w:line="360" w:lineRule="auto"/>
        <w:ind w:leftChars="0"/>
        <w:contextualSpacing/>
        <w:jc w:val="left"/>
        <w:rPr>
          <w:rFonts w:ascii="宋体" w:hAnsi="宋体" w:eastAsiaTheme="minorEastAsia"/>
          <w:b w:val="0"/>
          <w:bCs/>
          <w:color w:val="auto"/>
          <w:spacing w:val="0"/>
          <w:sz w:val="21"/>
          <w:szCs w:val="21"/>
          <w:highlight w:val="none"/>
        </w:rPr>
      </w:pPr>
      <w:r>
        <w:rPr>
          <w:rFonts w:hint="default" w:ascii="Times New Roman" w:hAnsi="Times New Roman" w:eastAsia="宋体" w:cs="Times New Roman"/>
          <w:color w:val="auto"/>
          <w:kern w:val="2"/>
          <w:sz w:val="21"/>
          <w:szCs w:val="24"/>
          <w:lang w:eastAsia="zh-CN" w:bidi="ar"/>
        </w:rPr>
        <w:drawing>
          <wp:inline distT="0" distB="0" distL="114300" distR="114300">
            <wp:extent cx="5486400" cy="297180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5486400" cy="2971800"/>
                    </a:xfrm>
                    <a:prstGeom prst="rect">
                      <a:avLst/>
                    </a:prstGeom>
                    <a:noFill/>
                    <a:ln>
                      <a:noFill/>
                    </a:ln>
                  </pic:spPr>
                </pic:pic>
              </a:graphicData>
            </a:graphic>
          </wp:inline>
        </w:drawing>
      </w:r>
    </w:p>
    <w:p w14:paraId="309CB5E3">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numPr>
          <w:ilvl w:val="0"/>
          <w:numId w:val="6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甲方权利和义务</w:t>
      </w:r>
    </w:p>
    <w:p w14:paraId="567F335D">
      <w:pPr>
        <w:numPr>
          <w:ilvl w:val="0"/>
          <w:numId w:val="6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甲方有权随时检查乙方的服务履行情况，并向乙方提出修改。</w:t>
      </w:r>
    </w:p>
    <w:p w14:paraId="68E24D40">
      <w:pPr>
        <w:numPr>
          <w:ilvl w:val="0"/>
          <w:numId w:val="6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当发生服务违约时，则甲方有权按约定在支付乙方合同款项中进行扣款。</w:t>
      </w:r>
    </w:p>
    <w:p w14:paraId="4CBA819E">
      <w:pPr>
        <w:numPr>
          <w:ilvl w:val="0"/>
          <w:numId w:val="6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在乙方提供服务时，如对甲方的设备造成了损坏，甲方有权要求乙方赔偿。</w:t>
      </w:r>
    </w:p>
    <w:p w14:paraId="2A0B5D6C">
      <w:pPr>
        <w:numPr>
          <w:ilvl w:val="0"/>
          <w:numId w:val="6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甲方应按合同规定向乙方支付服务费用。</w:t>
      </w:r>
    </w:p>
    <w:p w14:paraId="110BB59B">
      <w:pPr>
        <w:numPr>
          <w:ilvl w:val="0"/>
          <w:numId w:val="6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乙方权利和义务</w:t>
      </w:r>
    </w:p>
    <w:p w14:paraId="0942A5B9">
      <w:pPr>
        <w:numPr>
          <w:ilvl w:val="0"/>
          <w:numId w:val="6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乙方应按</w:t>
      </w:r>
      <w:r>
        <w:rPr>
          <w:rFonts w:hint="eastAsia" w:ascii="宋体" w:hAnsi="宋体" w:eastAsia="宋体" w:cs="Times New Roman"/>
          <w:color w:val="auto"/>
          <w:szCs w:val="21"/>
          <w:highlight w:val="none"/>
          <w:lang w:val="en-US" w:eastAsia="zh-CN"/>
        </w:rPr>
        <w:t>遴选</w:t>
      </w:r>
      <w:r>
        <w:rPr>
          <w:rFonts w:hint="eastAsia" w:ascii="宋体" w:hAnsi="宋体" w:eastAsia="宋体" w:cs="Times New Roman"/>
          <w:color w:val="auto"/>
          <w:szCs w:val="21"/>
          <w:highlight w:val="none"/>
        </w:rPr>
        <w:t>文件</w:t>
      </w:r>
      <w:r>
        <w:rPr>
          <w:rFonts w:hint="eastAsia" w:ascii="宋体" w:hAnsi="宋体"/>
          <w:color w:val="auto"/>
          <w:szCs w:val="21"/>
          <w:highlight w:val="none"/>
        </w:rPr>
        <w:t>的要求和响应文件的承诺进行服务，发生任何服务的变更均须向甲方提出交书面报审报告。</w:t>
      </w:r>
    </w:p>
    <w:p w14:paraId="5CDC5657">
      <w:pPr>
        <w:numPr>
          <w:ilvl w:val="0"/>
          <w:numId w:val="6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乙方有权要求甲方按时支付服务费用。如甲方不按时支付乙方有权要求甲方支付滞纳金。但服务费得支付应以符合东莞市财政局的相关规定为前提。</w:t>
      </w:r>
    </w:p>
    <w:p w14:paraId="5C1C1E1F">
      <w:pPr>
        <w:numPr>
          <w:ilvl w:val="0"/>
          <w:numId w:val="59"/>
        </w:numPr>
        <w:snapToGrid w:val="0"/>
        <w:spacing w:line="360" w:lineRule="auto"/>
        <w:contextualSpacing/>
        <w:rPr>
          <w:rFonts w:hint="eastAsia" w:ascii="宋体" w:hAnsi="宋体"/>
          <w:b/>
          <w:color w:val="auto"/>
          <w:spacing w:val="20"/>
          <w:szCs w:val="21"/>
          <w:highlight w:val="none"/>
        </w:rPr>
      </w:pPr>
      <w:r>
        <w:rPr>
          <w:rFonts w:hint="eastAsia" w:ascii="宋体" w:hAnsi="宋体"/>
          <w:b/>
          <w:color w:val="auto"/>
          <w:spacing w:val="20"/>
          <w:szCs w:val="21"/>
          <w:highlight w:val="none"/>
          <w:lang w:val="en-US" w:eastAsia="zh-CN"/>
        </w:rPr>
        <w:t>项目具体情况</w:t>
      </w:r>
    </w:p>
    <w:p w14:paraId="5BA15202">
      <w:pPr>
        <w:pStyle w:val="33"/>
        <w:keepNext w:val="0"/>
        <w:keepLines w:val="0"/>
        <w:pageBreakBefore w:val="0"/>
        <w:widowControl w:val="0"/>
        <w:numPr>
          <w:ilvl w:val="0"/>
          <w:numId w:val="6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olor w:val="auto"/>
          <w:sz w:val="21"/>
          <w:szCs w:val="21"/>
        </w:rPr>
        <w:t>宣传标语大小规格要求</w:t>
      </w:r>
    </w:p>
    <w:p w14:paraId="039A39CF">
      <w:pPr>
        <w:pStyle w:val="33"/>
        <w:keepNext w:val="0"/>
        <w:keepLines w:val="0"/>
        <w:pageBreakBefore w:val="0"/>
        <w:widowControl w:val="0"/>
        <w:numPr>
          <w:ilvl w:val="0"/>
          <w:numId w:val="6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每个通信铁塔（或广告杆塔）上将悬挂一组亮化字广告牌，共计5组（5个宣传站点），每个宣传点设置两面广告牌，供两个方向行驶的车流和人流观看。</w:t>
      </w:r>
    </w:p>
    <w:p w14:paraId="34C2E61F">
      <w:pPr>
        <w:pStyle w:val="33"/>
        <w:keepNext w:val="0"/>
        <w:keepLines w:val="0"/>
        <w:pageBreakBefore w:val="0"/>
        <w:widowControl w:val="0"/>
        <w:numPr>
          <w:ilvl w:val="0"/>
          <w:numId w:val="6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olor w:val="auto"/>
          <w:sz w:val="21"/>
          <w:szCs w:val="21"/>
        </w:rPr>
        <w:t>字体大小：“家中常备灭火器”等七字标语大小为1米</w:t>
      </w:r>
      <w:r>
        <w:rPr>
          <w:rFonts w:hint="eastAsia" w:ascii="宋体" w:hAnsi="宋体" w:eastAsia="宋体"/>
          <w:color w:val="auto"/>
          <w:sz w:val="21"/>
          <w:szCs w:val="21"/>
          <w:lang w:val="en-US" w:eastAsia="zh-CN"/>
        </w:rPr>
        <w:t>×</w:t>
      </w:r>
      <w:r>
        <w:rPr>
          <w:rFonts w:hint="eastAsia" w:ascii="宋体" w:hAnsi="宋体" w:eastAsia="宋体"/>
          <w:color w:val="auto"/>
          <w:sz w:val="21"/>
          <w:szCs w:val="21"/>
        </w:rPr>
        <w:t>1米；“东莞消防宣”大小为0.4</w:t>
      </w:r>
      <w:r>
        <w:rPr>
          <w:rFonts w:hint="eastAsia" w:ascii="宋体" w:hAnsi="宋体" w:eastAsia="宋体"/>
          <w:color w:val="auto"/>
          <w:sz w:val="21"/>
          <w:szCs w:val="21"/>
          <w:lang w:val="en-US" w:eastAsia="zh-CN"/>
        </w:rPr>
        <w:t>×</w:t>
      </w:r>
      <w:r>
        <w:rPr>
          <w:rFonts w:hint="eastAsia" w:ascii="宋体" w:hAnsi="宋体" w:eastAsia="宋体"/>
          <w:color w:val="auto"/>
          <w:sz w:val="21"/>
          <w:szCs w:val="21"/>
        </w:rPr>
        <w:t>0.4米，宣传标语应为红色镂空字体，带LED灯，可在夜晚亮灯发光展示。</w:t>
      </w:r>
    </w:p>
    <w:p w14:paraId="0A95D826">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textAlignment w:val="auto"/>
        <w:rPr>
          <w:rFonts w:hint="eastAsia" w:ascii="宋体" w:hAnsi="宋体" w:eastAsia="宋体" w:cs="宋体"/>
          <w:iCs/>
          <w:color w:val="auto"/>
          <w:sz w:val="21"/>
          <w:szCs w:val="21"/>
          <w:highlight w:val="none"/>
          <w:lang w:val="en-US" w:eastAsia="zh-CN"/>
        </w:rPr>
      </w:pPr>
      <w:r>
        <w:rPr>
          <w:rFonts w:ascii="宋体" w:hAnsi="宋体" w:eastAsia="宋体"/>
          <w:color w:val="auto"/>
          <w:sz w:val="21"/>
          <w:szCs w:val="21"/>
        </w:rPr>
        <w:drawing>
          <wp:inline distT="0" distB="0" distL="114300" distR="114300">
            <wp:extent cx="5712460" cy="1659890"/>
            <wp:effectExtent l="0" t="0" r="2540" b="16510"/>
            <wp:docPr id="3" name="图片 3" descr="F:\微信\WeChat Files\achong2012\FileStorage\Temp\f8a9e8af556ef134dd656d88e9cd5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微信\WeChat Files\achong2012\FileStorage\Temp\f8a9e8af556ef134dd656d88e9cd54e.jpg"/>
                    <pic:cNvPicPr>
                      <a:picLocks noChangeAspect="1"/>
                    </pic:cNvPicPr>
                  </pic:nvPicPr>
                  <pic:blipFill>
                    <a:blip r:embed="rId9"/>
                    <a:stretch>
                      <a:fillRect/>
                    </a:stretch>
                  </pic:blipFill>
                  <pic:spPr>
                    <a:xfrm>
                      <a:off x="0" y="0"/>
                      <a:ext cx="5712460" cy="1659890"/>
                    </a:xfrm>
                    <a:prstGeom prst="rect">
                      <a:avLst/>
                    </a:prstGeom>
                    <a:noFill/>
                    <a:ln>
                      <a:noFill/>
                    </a:ln>
                  </pic:spPr>
                </pic:pic>
              </a:graphicData>
            </a:graphic>
          </wp:inline>
        </w:drawing>
      </w:r>
    </w:p>
    <w:p w14:paraId="721E36B0">
      <w:pPr>
        <w:pStyle w:val="33"/>
        <w:keepNext w:val="0"/>
        <w:keepLines w:val="0"/>
        <w:pageBreakBefore w:val="0"/>
        <w:widowControl w:val="0"/>
        <w:numPr>
          <w:ilvl w:val="0"/>
          <w:numId w:val="6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展示时间</w:t>
      </w:r>
    </w:p>
    <w:p w14:paraId="6EE51368">
      <w:pPr>
        <w:pStyle w:val="33"/>
        <w:keepNext w:val="0"/>
        <w:keepLines w:val="0"/>
        <w:pageBreakBefore w:val="0"/>
        <w:widowControl w:val="0"/>
        <w:numPr>
          <w:ilvl w:val="0"/>
          <w:numId w:val="6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服务期间，除白天展示外，每天晚上6时至晚上11时开灯展示。</w:t>
      </w:r>
    </w:p>
    <w:p w14:paraId="0911D949">
      <w:pPr>
        <w:numPr>
          <w:ilvl w:val="0"/>
          <w:numId w:val="59"/>
        </w:numPr>
        <w:snapToGrid w:val="0"/>
        <w:spacing w:line="360" w:lineRule="auto"/>
        <w:contextualSpacing/>
        <w:rPr>
          <w:rFonts w:hint="eastAsia" w:ascii="宋体" w:hAnsi="宋体"/>
          <w:b/>
          <w:color w:val="auto"/>
          <w:spacing w:val="20"/>
          <w:szCs w:val="21"/>
          <w:highlight w:val="none"/>
          <w:lang w:val="en-US" w:eastAsia="zh-CN"/>
        </w:rPr>
      </w:pPr>
      <w:r>
        <w:rPr>
          <w:rFonts w:hint="eastAsia" w:ascii="宋体" w:hAnsi="宋体"/>
          <w:b/>
          <w:color w:val="auto"/>
          <w:spacing w:val="20"/>
          <w:szCs w:val="21"/>
          <w:highlight w:val="none"/>
          <w:lang w:val="en-US" w:eastAsia="zh-CN"/>
        </w:rPr>
        <w:t>质量要求</w:t>
      </w:r>
    </w:p>
    <w:p w14:paraId="55FA6DA6">
      <w:pPr>
        <w:pStyle w:val="33"/>
        <w:keepNext w:val="0"/>
        <w:keepLines w:val="0"/>
        <w:pageBreakBefore w:val="0"/>
        <w:widowControl w:val="0"/>
        <w:numPr>
          <w:ilvl w:val="0"/>
          <w:numId w:val="6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乙方需提供</w:t>
      </w:r>
      <w:r>
        <w:rPr>
          <w:rFonts w:hint="eastAsia" w:cs="Times New Roman" w:asciiTheme="minorEastAsia" w:hAnsiTheme="minorEastAsia"/>
          <w:color w:val="auto"/>
          <w:kern w:val="0"/>
          <w:szCs w:val="21"/>
          <w:highlight w:val="none"/>
          <w:lang w:val="en-US" w:eastAsia="zh-CN"/>
        </w:rPr>
        <w:t>质量保证措施方案（包括但不仅限于质量目标、质量控制措施、质量保证体系及措施、质量保障管理及制度等内容），确保广告牌的质量和日常服务能满足甲方要求。</w:t>
      </w:r>
    </w:p>
    <w:p w14:paraId="04756DC1">
      <w:pPr>
        <w:pStyle w:val="33"/>
        <w:keepNext w:val="0"/>
        <w:keepLines w:val="0"/>
        <w:pageBreakBefore w:val="0"/>
        <w:widowControl w:val="0"/>
        <w:numPr>
          <w:ilvl w:val="0"/>
          <w:numId w:val="6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运维期内如乙方发现运维的广告标识有损坏，需在甲方指定时间内进行修理、调换等服务，产生的费用由乙方负责。</w:t>
      </w:r>
    </w:p>
    <w:p w14:paraId="3BD83278">
      <w:pPr>
        <w:pStyle w:val="33"/>
        <w:keepNext w:val="0"/>
        <w:keepLines w:val="0"/>
        <w:pageBreakBefore w:val="0"/>
        <w:widowControl w:val="0"/>
        <w:numPr>
          <w:ilvl w:val="0"/>
          <w:numId w:val="6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若乙方不能在甲方约定期限内按以上要求替代、维修设备，甲方和乙方双方协商替代解决方案，更换同类型同价值产品，保障宣传工作的正常进行，由此产生的费用由乙方支付。</w:t>
      </w:r>
    </w:p>
    <w:p w14:paraId="602610F0">
      <w:pPr>
        <w:numPr>
          <w:ilvl w:val="0"/>
          <w:numId w:val="59"/>
        </w:numPr>
        <w:snapToGrid w:val="0"/>
        <w:spacing w:line="360" w:lineRule="auto"/>
        <w:contextualSpacing/>
        <w:rPr>
          <w:rFonts w:hint="eastAsia" w:ascii="宋体" w:hAnsi="宋体"/>
          <w:b/>
          <w:color w:val="auto"/>
          <w:spacing w:val="20"/>
          <w:szCs w:val="21"/>
          <w:highlight w:val="none"/>
          <w:lang w:val="en-US" w:eastAsia="zh-CN"/>
        </w:rPr>
      </w:pPr>
      <w:r>
        <w:rPr>
          <w:rFonts w:hint="eastAsia" w:ascii="宋体" w:hAnsi="宋体"/>
          <w:b/>
          <w:color w:val="auto"/>
          <w:spacing w:val="20"/>
          <w:szCs w:val="21"/>
          <w:highlight w:val="none"/>
          <w:lang w:val="en-US" w:eastAsia="zh-CN"/>
        </w:rPr>
        <w:t>其他要求</w:t>
      </w:r>
    </w:p>
    <w:p w14:paraId="69A7D873">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乙方需提供</w:t>
      </w:r>
      <w:r>
        <w:rPr>
          <w:rFonts w:hint="eastAsia" w:cs="黑体" w:asciiTheme="minorEastAsia" w:hAnsiTheme="minorEastAsia"/>
          <w:bCs/>
          <w:color w:val="auto"/>
          <w:szCs w:val="21"/>
          <w:highlight w:val="none"/>
          <w:lang w:val="en-US" w:eastAsia="zh-CN"/>
        </w:rPr>
        <w:t>人员安排及技术保障方案（包含但不限于：服务人员完善的配置、明确的人员岗位职责、健全的人员内部管理制度、充足的技术保障能力等），确保日常巡检和维修工作能</w:t>
      </w:r>
      <w:r>
        <w:rPr>
          <w:rFonts w:hint="eastAsia" w:cs="Times New Roman" w:asciiTheme="minorEastAsia" w:hAnsiTheme="minorEastAsia"/>
          <w:color w:val="auto"/>
          <w:szCs w:val="20"/>
          <w:highlight w:val="none"/>
          <w:lang w:val="en-US" w:eastAsia="zh-CN"/>
        </w:rPr>
        <w:t>有效保障项目的顺利进行。</w:t>
      </w:r>
    </w:p>
    <w:p w14:paraId="0F87AED3">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需提供有应对突发事件应急服务保障，快速响应，及时与甲方沟通，妥当处理突发事件，服务期内，乙方需提供热线和长期服务支持，如遇到广告牌损坏、故障等紧急情况，应在接到甲方紧急服务通知后3小时内到达甲方指定地点，24小时内进行维修完成，如设备需要进行更换的，应提前告知甲方，乙方按双方约定好期限内进行更换，以保障项目的顺利实施。</w:t>
      </w:r>
    </w:p>
    <w:p w14:paraId="638698A1">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因本项目的广告牌需要挂载在</w:t>
      </w:r>
      <w:r>
        <w:rPr>
          <w:rFonts w:hint="eastAsia" w:ascii="宋体" w:hAnsi="宋体" w:eastAsia="宋体"/>
          <w:color w:val="auto"/>
          <w:sz w:val="21"/>
          <w:szCs w:val="21"/>
        </w:rPr>
        <w:t>杆塔</w:t>
      </w:r>
      <w:r>
        <w:rPr>
          <w:rFonts w:hint="eastAsia" w:ascii="宋体" w:hAnsi="宋体" w:eastAsia="宋体"/>
          <w:color w:val="auto"/>
          <w:sz w:val="21"/>
          <w:szCs w:val="21"/>
          <w:lang w:val="en-US" w:eastAsia="zh-CN"/>
        </w:rPr>
        <w:t>上，高空巡检、维修作业前需注意应对作业区域进行清理，确保无杂物、油污等易滑、易燃物质。作业现场应设置安全警戒线，禁止非作业人员进入。作业现场应配备足够的照明设备，确保作业区域光线充足。在雷电、大风、浓雾等恶劣天气条件下，禁止进行铁塔高空作业。作业前应由现场负责人组织对作业人员进行安全技术交底，确保每位作业人员了解作业内容、作业程序和相应的安全措施。根据作业内容，制定详细的作业方案和作业指导书，明确作业步骤、作业时间、作业人员职责及作业中的注意事项。检查作业工具和设备，确保其安全可靠，不得使用有损坏、故障或不符合安全标准的工具和设备。</w:t>
      </w:r>
    </w:p>
    <w:p w14:paraId="58B010EE">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color w:val="auto"/>
          <w:lang w:val="en-US" w:eastAsia="zh-CN"/>
        </w:rPr>
      </w:pPr>
      <w:r>
        <w:rPr>
          <w:rFonts w:hint="eastAsia" w:ascii="宋体" w:hAnsi="宋体" w:eastAsia="宋体" w:cs="宋体"/>
          <w:iCs/>
          <w:color w:val="auto"/>
          <w:sz w:val="21"/>
          <w:szCs w:val="21"/>
          <w:highlight w:val="none"/>
          <w:lang w:val="en-US" w:eastAsia="zh-CN"/>
        </w:rPr>
        <w:t>乙方需按甲方要求进行运维巡检，巡检结束后按验收要求提供巡检报告等甲方认为需要提供的其他资料。</w:t>
      </w:r>
    </w:p>
    <w:p w14:paraId="6CC9081F">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color w:val="auto"/>
          <w:lang w:val="en-US" w:eastAsia="zh-CN"/>
        </w:rPr>
      </w:pPr>
      <w:r>
        <w:rPr>
          <w:rFonts w:hint="eastAsia" w:ascii="宋体" w:hAnsi="宋体" w:eastAsia="宋体" w:cs="宋体"/>
          <w:iCs/>
          <w:color w:val="auto"/>
          <w:sz w:val="21"/>
          <w:szCs w:val="21"/>
          <w:highlight w:val="none"/>
          <w:lang w:val="en-US" w:eastAsia="zh-CN"/>
        </w:rPr>
        <w:t>乙方应确保其从事高空作业的施工人员持有有效的特种作业操作证，并在服务开始前向甲方提交相关证件复印件备案。服务期间，因乙方行为导致乙方人员或任何第三方遭受人身伤害或财产损失的，全部责任及后果均由乙方承担。</w:t>
      </w:r>
    </w:p>
    <w:p w14:paraId="06285CE0">
      <w:pPr>
        <w:numPr>
          <w:ilvl w:val="0"/>
          <w:numId w:val="59"/>
        </w:numPr>
        <w:snapToGrid w:val="0"/>
        <w:spacing w:line="360" w:lineRule="auto"/>
        <w:contextualSpacing/>
        <w:rPr>
          <w:rFonts w:hint="eastAsia" w:ascii="宋体" w:hAnsi="宋体"/>
          <w:b/>
          <w:color w:val="auto"/>
          <w:spacing w:val="20"/>
          <w:szCs w:val="21"/>
          <w:highlight w:val="none"/>
          <w:lang w:val="en-US" w:eastAsia="zh-CN"/>
        </w:rPr>
      </w:pPr>
      <w:r>
        <w:rPr>
          <w:rFonts w:hint="default" w:ascii="宋体" w:hAnsi="宋体"/>
          <w:b/>
          <w:color w:val="auto"/>
          <w:spacing w:val="20"/>
          <w:szCs w:val="21"/>
          <w:highlight w:val="none"/>
          <w:lang w:val="en-US" w:eastAsia="zh-CN"/>
        </w:rPr>
        <w:t>合同的解</w:t>
      </w:r>
      <w:r>
        <w:rPr>
          <w:rFonts w:hint="eastAsia" w:ascii="宋体" w:hAnsi="宋体"/>
          <w:b/>
          <w:color w:val="auto"/>
          <w:spacing w:val="20"/>
          <w:szCs w:val="21"/>
          <w:highlight w:val="none"/>
          <w:lang w:val="en-US" w:eastAsia="zh-CN"/>
        </w:rPr>
        <w:t>除</w:t>
      </w:r>
    </w:p>
    <w:p w14:paraId="27C78B4D">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由于乙方的原因（包括但不限经营亏损、人员变动等因素），导致双方签订的合同终止，乙方因此而遭受的损失，将由乙方独立承担，甲方对此不负任何责任，也不作任何赔偿。</w:t>
      </w:r>
    </w:p>
    <w:p w14:paraId="1AED06D0">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合作期间，任何一方不得无故单方面终止合同，如单方面需终止合同，需经双方协商一致，并至少提前一个月以书面形式通知对方，否则违约方需向守约方赔偿支付合同总额   %的违约金。</w:t>
      </w:r>
    </w:p>
    <w:p w14:paraId="0BE920EC">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7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元整（小写：￥</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w:t>
      </w:r>
    </w:p>
    <w:p w14:paraId="77B21425">
      <w:pPr>
        <w:numPr>
          <w:ilvl w:val="0"/>
          <w:numId w:val="7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合同价款</w:t>
      </w:r>
      <w:r>
        <w:rPr>
          <w:rFonts w:hint="eastAsia" w:ascii="宋体" w:hAnsi="宋体" w:eastAsia="宋体" w:cs="宋体"/>
          <w:iCs/>
          <w:color w:val="auto"/>
          <w:sz w:val="21"/>
          <w:szCs w:val="21"/>
          <w:highlight w:val="none"/>
        </w:rPr>
        <w:t>包含完成本次项目所有服务内容的费用，包括但不限于宣传标语挂载展示的杆塔及用电资源，以及广告宣传字体，日常巡检、修理、运维、电费等各项服务、全额含税发票及合同实施过程中的应预见和不可预见费用等，以及完成合同规定责任和义务、达到合同目的的一切费用。</w:t>
      </w:r>
    </w:p>
    <w:p w14:paraId="60EA7739">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验收要求</w:t>
      </w:r>
    </w:p>
    <w:p w14:paraId="3D42B352">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须</w:t>
      </w:r>
      <w:r>
        <w:rPr>
          <w:rFonts w:hint="eastAsia" w:ascii="宋体" w:hAnsi="宋体" w:eastAsia="宋体" w:cs="宋体"/>
          <w:iCs/>
          <w:color w:val="auto"/>
          <w:sz w:val="21"/>
          <w:szCs w:val="21"/>
          <w:highlight w:val="none"/>
          <w:lang w:val="en-US" w:eastAsia="zh-CN"/>
        </w:rPr>
        <w:t>在每个</w:t>
      </w:r>
      <w:r>
        <w:rPr>
          <w:rFonts w:hint="eastAsia" w:ascii="宋体" w:hAnsi="宋体" w:eastAsia="宋体" w:cs="宋体"/>
          <w:color w:val="auto"/>
          <w:sz w:val="21"/>
          <w:szCs w:val="21"/>
          <w:lang w:val="en-US" w:eastAsia="zh-Hans"/>
        </w:rPr>
        <w:t>服务周期</w:t>
      </w:r>
      <w:r>
        <w:rPr>
          <w:rFonts w:hint="eastAsia" w:ascii="宋体" w:hAnsi="宋体" w:eastAsia="宋体" w:cs="宋体"/>
          <w:color w:val="auto"/>
          <w:sz w:val="21"/>
          <w:szCs w:val="21"/>
          <w:lang w:val="en-US" w:eastAsia="zh-CN"/>
        </w:rPr>
        <w:t>结束后7个工作日内提供验收报告</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rPr>
        <w:t>包含</w:t>
      </w:r>
      <w:r>
        <w:rPr>
          <w:rFonts w:hint="eastAsia" w:ascii="宋体" w:hAnsi="宋体" w:eastAsia="宋体" w:cs="宋体"/>
          <w:iCs/>
          <w:color w:val="auto"/>
          <w:sz w:val="21"/>
          <w:szCs w:val="21"/>
          <w:highlight w:val="none"/>
          <w:lang w:val="en-US" w:eastAsia="zh-CN"/>
        </w:rPr>
        <w:t>日常巡检照片（含地点和时间水印）、巡检报告</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rPr>
        <w:t>，</w:t>
      </w:r>
      <w:r>
        <w:rPr>
          <w:rFonts w:hint="eastAsia" w:ascii="宋体" w:hAnsi="宋体" w:eastAsia="宋体" w:cs="宋体"/>
          <w:iCs/>
          <w:color w:val="auto"/>
          <w:sz w:val="21"/>
          <w:szCs w:val="21"/>
          <w:highlight w:val="none"/>
          <w:lang w:val="en-US" w:eastAsia="zh-CN"/>
        </w:rPr>
        <w:t>甲方收到乙方提供的</w:t>
      </w:r>
      <w:r>
        <w:rPr>
          <w:rFonts w:hint="eastAsia" w:ascii="宋体" w:hAnsi="宋体" w:eastAsia="宋体" w:cs="宋体"/>
          <w:color w:val="auto"/>
          <w:sz w:val="21"/>
          <w:szCs w:val="21"/>
          <w:lang w:val="en-US" w:eastAsia="zh-CN"/>
        </w:rPr>
        <w:t>验收报告</w:t>
      </w:r>
      <w:r>
        <w:rPr>
          <w:rFonts w:hint="eastAsia" w:ascii="宋体" w:hAnsi="宋体" w:eastAsia="宋体" w:cs="宋体"/>
          <w:iCs/>
          <w:color w:val="auto"/>
          <w:sz w:val="21"/>
          <w:szCs w:val="21"/>
          <w:highlight w:val="none"/>
          <w:lang w:val="en-US" w:eastAsia="zh-CN"/>
        </w:rPr>
        <w:t>后于7个工作日内</w:t>
      </w:r>
      <w:r>
        <w:rPr>
          <w:rFonts w:hint="eastAsia" w:ascii="宋体" w:hAnsi="宋体" w:eastAsia="宋体" w:cs="宋体"/>
          <w:iCs/>
          <w:color w:val="auto"/>
          <w:sz w:val="21"/>
          <w:szCs w:val="21"/>
          <w:highlight w:val="none"/>
        </w:rPr>
        <w:t>完成验收。</w:t>
      </w:r>
    </w:p>
    <w:p w14:paraId="3C8A5E58">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验收应在</w:t>
      </w:r>
      <w:r>
        <w:rPr>
          <w:rFonts w:hint="eastAsia" w:ascii="宋体" w:hAnsi="宋体" w:eastAsia="宋体" w:cs="宋体"/>
          <w:iCs/>
          <w:color w:val="auto"/>
          <w:sz w:val="21"/>
          <w:szCs w:val="21"/>
          <w:highlight w:val="none"/>
          <w:lang w:val="en-US" w:eastAsia="zh-CN"/>
        </w:rPr>
        <w:t>甲乙</w:t>
      </w:r>
      <w:r>
        <w:rPr>
          <w:rFonts w:hint="eastAsia" w:ascii="宋体" w:hAnsi="宋体" w:eastAsia="宋体" w:cs="宋体"/>
          <w:iCs/>
          <w:color w:val="auto"/>
          <w:sz w:val="21"/>
          <w:szCs w:val="21"/>
          <w:highlight w:val="none"/>
        </w:rPr>
        <w:t>双方共同参加下进行，依据</w:t>
      </w:r>
      <w:r>
        <w:rPr>
          <w:rFonts w:hint="eastAsia" w:ascii="宋体" w:hAnsi="宋体" w:eastAsia="宋体" w:cs="宋体"/>
          <w:iCs/>
          <w:color w:val="auto"/>
          <w:sz w:val="21"/>
          <w:szCs w:val="21"/>
          <w:highlight w:val="none"/>
          <w:lang w:val="en-US" w:eastAsia="zh-CN"/>
        </w:rPr>
        <w:t>遴选</w:t>
      </w:r>
      <w:r>
        <w:rPr>
          <w:rFonts w:hint="eastAsia" w:ascii="宋体" w:hAnsi="宋体" w:eastAsia="宋体" w:cs="宋体"/>
          <w:iCs/>
          <w:color w:val="auto"/>
          <w:sz w:val="21"/>
          <w:szCs w:val="21"/>
          <w:highlight w:val="none"/>
        </w:rPr>
        <w:t>文件及本合同的有关规定制定的方案进行验收，并按国家有关规定、规范进行。</w:t>
      </w:r>
    </w:p>
    <w:p w14:paraId="48646E21">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color w:val="auto"/>
          <w:lang w:val="en-US" w:eastAsia="zh-CN"/>
        </w:rPr>
        <w:t>甲方</w:t>
      </w:r>
      <w:r>
        <w:rPr>
          <w:color w:val="auto"/>
        </w:rPr>
        <w:t>组织项目验收小组按国家有关规定、规范进行验收。</w:t>
      </w:r>
    </w:p>
    <w:p w14:paraId="57E03AE4">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color w:val="auto"/>
        </w:rPr>
        <w:t>对验收不合格的部分，</w:t>
      </w:r>
      <w:r>
        <w:rPr>
          <w:rFonts w:hint="eastAsia" w:ascii="宋体" w:hAnsi="宋体" w:eastAsia="宋体" w:cs="宋体"/>
          <w:iCs/>
          <w:color w:val="auto"/>
          <w:sz w:val="21"/>
          <w:szCs w:val="21"/>
          <w:highlight w:val="none"/>
          <w:lang w:val="en-US" w:eastAsia="zh-CN"/>
        </w:rPr>
        <w:t>乙方</w:t>
      </w:r>
      <w:r>
        <w:rPr>
          <w:color w:val="auto"/>
        </w:rPr>
        <w:t>应在</w:t>
      </w:r>
      <w:r>
        <w:rPr>
          <w:rFonts w:hint="eastAsia"/>
          <w:color w:val="auto"/>
          <w:lang w:val="en-US" w:eastAsia="zh-CN"/>
        </w:rPr>
        <w:t>甲方</w:t>
      </w:r>
      <w:r>
        <w:rPr>
          <w:color w:val="auto"/>
        </w:rPr>
        <w:t>规定时间内及时整改完善直至合格。</w:t>
      </w:r>
    </w:p>
    <w:p w14:paraId="05BBC169">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41F73BD2">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eastAsia="宋体" w:cs="宋体"/>
          <w:color w:val="auto"/>
          <w:sz w:val="21"/>
          <w:szCs w:val="21"/>
          <w:lang w:val="en-US" w:eastAsia="zh-CN"/>
        </w:rPr>
        <w:t>乙方</w:t>
      </w:r>
      <w:r>
        <w:rPr>
          <w:rFonts w:hint="eastAsia" w:ascii="宋体" w:hAnsi="宋体" w:eastAsia="宋体" w:cs="宋体"/>
          <w:color w:val="auto"/>
          <w:sz w:val="21"/>
          <w:szCs w:val="21"/>
          <w:lang w:val="en-US" w:eastAsia="zh-Hans"/>
        </w:rPr>
        <w:t>服务每满3个月为一个服务周期，共4期，每期的服务费为合同金额的25%；</w:t>
      </w:r>
    </w:p>
    <w:p w14:paraId="07B93E7D">
      <w:pPr>
        <w:numPr>
          <w:ilvl w:val="0"/>
          <w:numId w:val="73"/>
        </w:numPr>
        <w:snapToGrid/>
        <w:spacing w:line="360" w:lineRule="auto"/>
        <w:ind w:left="425" w:hanging="425"/>
        <w:contextualSpacing w:val="0"/>
        <w:rPr>
          <w:color w:val="auto"/>
        </w:rPr>
      </w:pPr>
      <w:r>
        <w:rPr>
          <w:rFonts w:hint="eastAsia" w:ascii="宋体" w:hAnsi="宋体" w:eastAsia="宋体" w:cs="宋体"/>
          <w:color w:val="auto"/>
          <w:lang w:val="en-US" w:eastAsia="zh-Hans"/>
        </w:rPr>
        <w:t>前3期按每一服务周期起始月进行请款支付，</w:t>
      </w:r>
      <w:r>
        <w:rPr>
          <w:rFonts w:hint="eastAsia" w:ascii="宋体" w:hAnsi="宋体" w:eastAsia="宋体" w:cs="宋体"/>
          <w:color w:val="auto"/>
          <w:sz w:val="21"/>
          <w:szCs w:val="21"/>
          <w:lang w:val="en-US" w:eastAsia="zh-CN"/>
        </w:rPr>
        <w:t>乙方</w:t>
      </w:r>
      <w:r>
        <w:rPr>
          <w:rFonts w:hint="eastAsia" w:ascii="宋体" w:hAnsi="宋体" w:eastAsia="宋体" w:cs="宋体"/>
          <w:color w:val="auto"/>
          <w:lang w:val="en-US" w:eastAsia="zh-Hans"/>
        </w:rPr>
        <w:t>向</w:t>
      </w:r>
      <w:r>
        <w:rPr>
          <w:rFonts w:hint="eastAsia" w:ascii="宋体" w:hAnsi="宋体" w:eastAsia="宋体" w:cs="宋体"/>
          <w:color w:val="auto"/>
          <w:lang w:val="en-US" w:eastAsia="zh-CN"/>
        </w:rPr>
        <w:t>甲方</w:t>
      </w:r>
      <w:r>
        <w:rPr>
          <w:rFonts w:hint="eastAsia" w:ascii="宋体" w:hAnsi="宋体" w:eastAsia="宋体" w:cs="宋体"/>
          <w:color w:val="auto"/>
          <w:lang w:val="en-US" w:eastAsia="zh-Hans"/>
        </w:rPr>
        <w:t>提供</w:t>
      </w:r>
      <w:r>
        <w:rPr>
          <w:rFonts w:hint="eastAsia" w:ascii="宋体" w:hAnsi="宋体" w:eastAsia="宋体" w:cs="宋体"/>
          <w:color w:val="auto"/>
          <w:lang w:val="en-US" w:eastAsia="zh-CN"/>
        </w:rPr>
        <w:t>请款资料及有效发票</w:t>
      </w:r>
      <w:r>
        <w:rPr>
          <w:rFonts w:hint="eastAsia" w:ascii="宋体" w:hAnsi="宋体" w:eastAsia="宋体" w:cs="宋体"/>
          <w:color w:val="auto"/>
          <w:lang w:val="en-US" w:eastAsia="zh-Hans"/>
        </w:rPr>
        <w:t>，经</w:t>
      </w:r>
      <w:r>
        <w:rPr>
          <w:rFonts w:hint="eastAsia" w:ascii="宋体" w:hAnsi="宋体" w:eastAsia="宋体" w:cs="宋体"/>
          <w:color w:val="auto"/>
          <w:lang w:val="en-US" w:eastAsia="zh-CN"/>
        </w:rPr>
        <w:t>甲方</w:t>
      </w:r>
      <w:r>
        <w:rPr>
          <w:rFonts w:hint="eastAsia" w:ascii="宋体" w:hAnsi="宋体" w:eastAsia="宋体" w:cs="宋体"/>
          <w:color w:val="auto"/>
          <w:lang w:val="en-US" w:eastAsia="zh-Hans"/>
        </w:rPr>
        <w:t>确认无误后于10个工作日内向</w:t>
      </w:r>
      <w:r>
        <w:rPr>
          <w:rFonts w:hint="eastAsia" w:ascii="宋体" w:hAnsi="宋体" w:eastAsia="宋体" w:cs="宋体"/>
          <w:color w:val="auto"/>
          <w:sz w:val="21"/>
          <w:szCs w:val="21"/>
          <w:lang w:val="en-US" w:eastAsia="zh-CN"/>
        </w:rPr>
        <w:t>乙方</w:t>
      </w:r>
      <w:r>
        <w:rPr>
          <w:rFonts w:hint="eastAsia" w:ascii="宋体" w:hAnsi="宋体" w:eastAsia="宋体" w:cs="宋体"/>
          <w:color w:val="auto"/>
          <w:lang w:val="en-US" w:eastAsia="zh-Hans"/>
        </w:rPr>
        <w:t>支付当期的服务费；</w:t>
      </w:r>
    </w:p>
    <w:p w14:paraId="265518DC">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eastAsia="宋体" w:cs="宋体"/>
          <w:color w:val="auto"/>
          <w:lang w:val="en-US" w:eastAsia="zh-Hans"/>
        </w:rPr>
        <w:t>最后1期服务履约完成并经</w:t>
      </w:r>
      <w:r>
        <w:rPr>
          <w:rFonts w:hint="eastAsia" w:ascii="宋体" w:hAnsi="宋体" w:eastAsia="宋体" w:cs="宋体"/>
          <w:color w:val="auto"/>
          <w:lang w:val="en-US" w:eastAsia="zh-CN"/>
        </w:rPr>
        <w:t>甲方</w:t>
      </w:r>
      <w:r>
        <w:rPr>
          <w:rFonts w:hint="eastAsia" w:ascii="宋体" w:hAnsi="宋体" w:eastAsia="宋体" w:cs="宋体"/>
          <w:color w:val="auto"/>
          <w:lang w:val="en-US" w:eastAsia="zh-Hans"/>
        </w:rPr>
        <w:t>验收后，</w:t>
      </w:r>
      <w:r>
        <w:rPr>
          <w:rFonts w:hint="eastAsia" w:ascii="宋体" w:hAnsi="宋体" w:eastAsia="宋体" w:cs="宋体"/>
          <w:color w:val="auto"/>
          <w:sz w:val="21"/>
          <w:szCs w:val="21"/>
          <w:lang w:val="en-US" w:eastAsia="zh-CN"/>
        </w:rPr>
        <w:t>乙方</w:t>
      </w:r>
      <w:r>
        <w:rPr>
          <w:rFonts w:hint="eastAsia" w:ascii="宋体" w:hAnsi="宋体" w:eastAsia="宋体" w:cs="宋体"/>
          <w:color w:val="auto"/>
          <w:lang w:val="en-US" w:eastAsia="zh-Hans"/>
        </w:rPr>
        <w:t>向</w:t>
      </w:r>
      <w:r>
        <w:rPr>
          <w:rFonts w:hint="eastAsia" w:ascii="宋体" w:hAnsi="宋体" w:eastAsia="宋体" w:cs="宋体"/>
          <w:color w:val="auto"/>
          <w:lang w:val="en-US" w:eastAsia="zh-CN"/>
        </w:rPr>
        <w:t>甲方</w:t>
      </w:r>
      <w:r>
        <w:rPr>
          <w:rFonts w:hint="eastAsia" w:ascii="宋体" w:hAnsi="宋体" w:eastAsia="宋体" w:cs="宋体"/>
          <w:color w:val="auto"/>
          <w:lang w:val="en-US" w:eastAsia="zh-Hans"/>
        </w:rPr>
        <w:t>提供请款资料及有效发票，经</w:t>
      </w:r>
      <w:r>
        <w:rPr>
          <w:rFonts w:hint="eastAsia" w:ascii="宋体" w:hAnsi="宋体" w:eastAsia="宋体" w:cs="宋体"/>
          <w:color w:val="auto"/>
          <w:lang w:val="en-US" w:eastAsia="zh-CN"/>
        </w:rPr>
        <w:t>甲方</w:t>
      </w:r>
      <w:r>
        <w:rPr>
          <w:rFonts w:hint="eastAsia" w:ascii="宋体" w:hAnsi="宋体" w:eastAsia="宋体" w:cs="宋体"/>
          <w:color w:val="auto"/>
          <w:lang w:val="en-US" w:eastAsia="zh-Hans"/>
        </w:rPr>
        <w:t>确认无误后于15个</w:t>
      </w:r>
      <w:r>
        <w:rPr>
          <w:rFonts w:hint="eastAsia" w:ascii="宋体" w:hAnsi="宋体" w:eastAsia="宋体" w:cs="宋体"/>
          <w:color w:val="auto"/>
          <w:lang w:val="en-US" w:eastAsia="zh-CN"/>
        </w:rPr>
        <w:t>工作</w:t>
      </w:r>
      <w:bookmarkStart w:id="135" w:name="_GoBack"/>
      <w:bookmarkEnd w:id="135"/>
      <w:r>
        <w:rPr>
          <w:rFonts w:hint="eastAsia" w:ascii="宋体" w:hAnsi="宋体" w:eastAsia="宋体" w:cs="宋体"/>
          <w:color w:val="auto"/>
          <w:lang w:val="en-US" w:eastAsia="zh-Hans"/>
        </w:rPr>
        <w:t>日内向</w:t>
      </w:r>
      <w:r>
        <w:rPr>
          <w:rFonts w:hint="eastAsia" w:ascii="宋体" w:hAnsi="宋体" w:eastAsia="宋体" w:cs="宋体"/>
          <w:color w:val="auto"/>
          <w:sz w:val="21"/>
          <w:szCs w:val="21"/>
          <w:lang w:val="en-US" w:eastAsia="zh-CN"/>
        </w:rPr>
        <w:t>乙方</w:t>
      </w:r>
      <w:r>
        <w:rPr>
          <w:rFonts w:hint="eastAsia" w:ascii="Times New Roman" w:eastAsia="宋体"/>
          <w:color w:val="auto"/>
          <w:lang w:val="en-US" w:eastAsia="zh-Hans"/>
        </w:rPr>
        <w:t>支付剩余服务费。</w:t>
      </w:r>
    </w:p>
    <w:p w14:paraId="37A4B32A">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color w:val="auto"/>
          <w:szCs w:val="21"/>
          <w:highlight w:val="none"/>
        </w:rPr>
        <w:t>请款资料中收款方、发票的销售方、合同乙方均必须与</w:t>
      </w:r>
      <w:r>
        <w:rPr>
          <w:rFonts w:hint="eastAsia" w:ascii="宋体" w:hAnsi="宋体"/>
          <w:color w:val="auto"/>
          <w:szCs w:val="21"/>
          <w:highlight w:val="none"/>
          <w:lang w:val="en-US" w:eastAsia="zh-CN"/>
        </w:rPr>
        <w:t>乙方</w:t>
      </w:r>
      <w:r>
        <w:rPr>
          <w:rFonts w:hint="eastAsia" w:ascii="宋体" w:hAnsi="宋体"/>
          <w:color w:val="auto"/>
          <w:szCs w:val="21"/>
          <w:highlight w:val="none"/>
        </w:rPr>
        <w:t>名称一致</w:t>
      </w:r>
      <w:r>
        <w:rPr>
          <w:rFonts w:hint="eastAsia" w:ascii="宋体" w:hAnsi="宋体"/>
          <w:color w:val="auto"/>
          <w:szCs w:val="21"/>
          <w:highlight w:val="none"/>
          <w:lang w:eastAsia="zh-CN"/>
        </w:rPr>
        <w:t>。</w:t>
      </w:r>
    </w:p>
    <w:p w14:paraId="39120A94">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color w:val="auto"/>
          <w:szCs w:val="21"/>
          <w:highlight w:val="none"/>
        </w:rPr>
        <w:t>本项</w:t>
      </w:r>
      <w:r>
        <w:rPr>
          <w:rFonts w:hint="eastAsia" w:ascii="宋体" w:hAnsi="宋体"/>
          <w:color w:val="auto"/>
          <w:szCs w:val="21"/>
          <w:highlight w:val="none"/>
          <w:lang w:val="en-US" w:eastAsia="zh-CN"/>
        </w:rPr>
        <w:t>合同</w:t>
      </w:r>
      <w:r>
        <w:rPr>
          <w:rFonts w:hint="eastAsia" w:ascii="宋体" w:hAnsi="宋体"/>
          <w:color w:val="auto"/>
          <w:szCs w:val="21"/>
          <w:highlight w:val="none"/>
        </w:rPr>
        <w:t>资金为财政性资金，相关付款应遵守财政资金支付程序规定；如因执行该程序而使拨款未能及时到位，</w:t>
      </w:r>
      <w:r>
        <w:rPr>
          <w:rFonts w:hint="eastAsia" w:ascii="宋体" w:hAnsi="宋体"/>
          <w:color w:val="auto"/>
          <w:szCs w:val="21"/>
          <w:highlight w:val="none"/>
          <w:lang w:val="en-US" w:eastAsia="zh-CN"/>
        </w:rPr>
        <w:t>乙方</w:t>
      </w:r>
      <w:r>
        <w:rPr>
          <w:rFonts w:hint="eastAsia" w:ascii="宋体" w:hAnsi="宋体"/>
          <w:color w:val="auto"/>
          <w:szCs w:val="21"/>
          <w:highlight w:val="none"/>
        </w:rPr>
        <w:t>不得以此为由而不履行本合同规定的义务，也不得以此追究</w:t>
      </w:r>
      <w:r>
        <w:rPr>
          <w:rFonts w:hint="eastAsia" w:ascii="宋体" w:hAnsi="宋体"/>
          <w:color w:val="auto"/>
          <w:szCs w:val="21"/>
          <w:highlight w:val="none"/>
          <w:lang w:val="en-US" w:eastAsia="zh-CN"/>
        </w:rPr>
        <w:t>甲方</w:t>
      </w:r>
      <w:r>
        <w:rPr>
          <w:rFonts w:hint="eastAsia" w:ascii="宋体" w:hAnsi="宋体"/>
          <w:color w:val="auto"/>
          <w:szCs w:val="21"/>
          <w:highlight w:val="none"/>
        </w:rPr>
        <w:t>任何形式的违约责任，若</w:t>
      </w:r>
      <w:r>
        <w:rPr>
          <w:rFonts w:hint="eastAsia" w:ascii="宋体" w:hAnsi="宋体"/>
          <w:color w:val="auto"/>
          <w:szCs w:val="21"/>
          <w:highlight w:val="none"/>
          <w:lang w:val="en-US" w:eastAsia="zh-CN"/>
        </w:rPr>
        <w:t>乙方</w:t>
      </w:r>
      <w:r>
        <w:rPr>
          <w:rFonts w:hint="eastAsia" w:ascii="宋体" w:hAnsi="宋体"/>
          <w:color w:val="auto"/>
          <w:szCs w:val="21"/>
          <w:highlight w:val="none"/>
        </w:rPr>
        <w:t>以此为由不履行本合同规定，属于</w:t>
      </w:r>
      <w:r>
        <w:rPr>
          <w:rFonts w:hint="eastAsia" w:ascii="宋体" w:hAnsi="宋体"/>
          <w:color w:val="auto"/>
          <w:szCs w:val="21"/>
          <w:highlight w:val="none"/>
          <w:lang w:val="en-US" w:eastAsia="zh-CN"/>
        </w:rPr>
        <w:t>乙方</w:t>
      </w:r>
      <w:r>
        <w:rPr>
          <w:rFonts w:hint="eastAsia" w:ascii="宋体" w:hAnsi="宋体"/>
          <w:color w:val="auto"/>
          <w:szCs w:val="21"/>
          <w:highlight w:val="none"/>
        </w:rPr>
        <w:t>违约。</w:t>
      </w:r>
    </w:p>
    <w:p w14:paraId="1C259EA4">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color w:val="auto"/>
          <w:szCs w:val="21"/>
          <w:highlight w:val="none"/>
        </w:rPr>
        <w:t>因特殊原因需要提早或延迟结算的，经</w:t>
      </w:r>
      <w:r>
        <w:rPr>
          <w:rFonts w:hint="eastAsia" w:ascii="宋体" w:hAnsi="宋体"/>
          <w:color w:val="auto"/>
          <w:szCs w:val="21"/>
          <w:highlight w:val="none"/>
          <w:lang w:val="en-US" w:eastAsia="zh-CN"/>
        </w:rPr>
        <w:t>甲乙</w:t>
      </w:r>
      <w:r>
        <w:rPr>
          <w:rFonts w:hint="eastAsia" w:ascii="宋体" w:hAnsi="宋体"/>
          <w:color w:val="auto"/>
          <w:szCs w:val="21"/>
          <w:highlight w:val="none"/>
        </w:rPr>
        <w:t>双方协商一致后，按另定的结算期限执行。</w:t>
      </w:r>
    </w:p>
    <w:p w14:paraId="11D2DBE9">
      <w:pPr>
        <w:numPr>
          <w:ilvl w:val="0"/>
          <w:numId w:val="73"/>
        </w:numPr>
        <w:snapToGrid/>
        <w:spacing w:line="360" w:lineRule="auto"/>
        <w:ind w:left="425" w:hanging="425"/>
        <w:contextualSpacing w:val="0"/>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6A998BE7">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分包与转包</w:t>
      </w:r>
    </w:p>
    <w:p w14:paraId="1F9904EC">
      <w:pPr>
        <w:numPr>
          <w:ilvl w:val="0"/>
          <w:numId w:val="7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严禁转包，未经甲方书面同意不得分包</w:t>
      </w:r>
    </w:p>
    <w:p w14:paraId="4C5E89B5">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7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w:t>
      </w:r>
      <w:r>
        <w:rPr>
          <w:rFonts w:hint="eastAsia" w:ascii="宋体" w:hAnsi="宋体" w:cs="黑体"/>
          <w:color w:val="auto"/>
          <w:szCs w:val="21"/>
          <w:highlight w:val="none"/>
          <w:lang w:val="en-US" w:eastAsia="zh-CN"/>
        </w:rPr>
        <w:t>遴选</w:t>
      </w:r>
      <w:r>
        <w:rPr>
          <w:rFonts w:hint="eastAsia" w:ascii="宋体" w:hAnsi="宋体" w:cs="黑体"/>
          <w:color w:val="auto"/>
          <w:szCs w:val="21"/>
          <w:highlight w:val="none"/>
        </w:rPr>
        <w:t>文件约定的有关义务，对甲方造成经济损失的，</w:t>
      </w:r>
      <w:r>
        <w:rPr>
          <w:rFonts w:hint="eastAsia" w:ascii="宋体" w:hAnsi="宋体" w:cs="黑体"/>
          <w:color w:val="auto"/>
          <w:szCs w:val="21"/>
          <w:highlight w:val="none"/>
          <w:lang w:val="en-US" w:eastAsia="zh-CN"/>
        </w:rPr>
        <w:t>甲方可要求乙方支付违约金</w:t>
      </w:r>
      <w:r>
        <w:rPr>
          <w:rFonts w:hint="eastAsia" w:ascii="宋体" w:hAnsi="宋体" w:cs="黑体"/>
          <w:color w:val="auto"/>
          <w:szCs w:val="21"/>
          <w:highlight w:val="none"/>
        </w:rPr>
        <w:t>。</w:t>
      </w:r>
      <w:r>
        <w:rPr>
          <w:rFonts w:hint="eastAsia" w:ascii="宋体" w:hAnsi="宋体" w:cs="黑体"/>
          <w:color w:val="auto"/>
          <w:szCs w:val="21"/>
          <w:highlight w:val="none"/>
          <w:lang w:val="en-US" w:eastAsia="zh-CN"/>
        </w:rPr>
        <w:t>从服务逾期之日起每日按本合同总价3‰的数额向甲方支付违约金；逾期10天或以上的，甲方有权终止合同，要求乙方一次性支付合同总金额20%，并且给甲方造成的经济损失由乙方承担赔偿责任。</w:t>
      </w:r>
    </w:p>
    <w:p w14:paraId="608A43EC">
      <w:pPr>
        <w:numPr>
          <w:ilvl w:val="0"/>
          <w:numId w:val="7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甲方有权从未支付的款项中直接扣除乙方的违约金，不足的部分由乙方另行补足。</w:t>
      </w:r>
    </w:p>
    <w:p w14:paraId="7D52F638">
      <w:pPr>
        <w:numPr>
          <w:ilvl w:val="0"/>
          <w:numId w:val="7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lang w:val="en-US" w:eastAsia="zh-CN"/>
        </w:rPr>
        <w:t>任何一方违约，需承担守约方因维权而支出的全部费用，包括但不限于诉讼费、保全费、担保费、律师费、公证费、检测费、公告费、邮寄费等。</w:t>
      </w:r>
    </w:p>
    <w:p w14:paraId="335C9E62">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凡与本合同有关而引起的一切争议，甲乙双方应首先通过友好协商解决，如经协商后仍不能达成协议时，任何一方可以向法院提出诉讼。</w:t>
      </w:r>
    </w:p>
    <w:p w14:paraId="21794C39">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本合同发生的诉讼管辖地为</w:t>
      </w:r>
      <w:r>
        <w:rPr>
          <w:rFonts w:hint="eastAsia" w:ascii="宋体" w:hAnsi="宋体"/>
          <w:color w:val="auto"/>
          <w:szCs w:val="21"/>
          <w:highlight w:val="none"/>
          <w:lang w:val="en-US" w:eastAsia="zh-CN"/>
        </w:rPr>
        <w:t>甲方所在地</w:t>
      </w:r>
      <w:r>
        <w:rPr>
          <w:rFonts w:hint="eastAsia" w:ascii="宋体" w:hAnsi="宋体"/>
          <w:color w:val="auto"/>
          <w:szCs w:val="21"/>
          <w:highlight w:val="none"/>
        </w:rPr>
        <w:t>有管辖权的法院。</w:t>
      </w:r>
    </w:p>
    <w:p w14:paraId="456DF742">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7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59"/>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7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7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59"/>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78"/>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本合同由双方法定代表人或委托代理人签字盖章后立即生效，具有同等法律效力，合同有效期随服务期结束而自然终止</w:t>
      </w:r>
      <w:r>
        <w:rPr>
          <w:rFonts w:hint="eastAsia" w:ascii="宋体" w:hAnsi="宋体"/>
          <w:color w:val="auto"/>
          <w:szCs w:val="21"/>
          <w:highlight w:val="none"/>
          <w:lang w:eastAsia="zh-CN"/>
        </w:rPr>
        <w:t>。</w:t>
      </w:r>
    </w:p>
    <w:p w14:paraId="6E6C19D7">
      <w:pPr>
        <w:numPr>
          <w:ilvl w:val="0"/>
          <w:numId w:val="78"/>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w:t>
      </w:r>
    </w:p>
    <w:p w14:paraId="44284CEF">
      <w:pPr>
        <w:numPr>
          <w:ilvl w:val="0"/>
          <w:numId w:val="59"/>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1B2AA0C2">
      <w:pPr>
        <w:rPr>
          <w:rFonts w:hint="eastAsia" w:ascii="宋体" w:hAnsi="宋体" w:eastAsiaTheme="minorEastAsia"/>
          <w:color w:val="auto"/>
          <w:szCs w:val="21"/>
          <w:highlight w:val="none"/>
          <w:lang w:eastAsia="zh-CN"/>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以下无正文</w:t>
      </w:r>
      <w:r>
        <w:rPr>
          <w:rFonts w:hint="eastAsia" w:ascii="宋体" w:hAnsi="宋体"/>
          <w:color w:val="auto"/>
          <w:szCs w:val="21"/>
          <w:highlight w:val="none"/>
          <w:lang w:eastAsia="zh-CN"/>
        </w:rPr>
        <w:t>）</w:t>
      </w:r>
    </w:p>
    <w:p w14:paraId="4D65EB59">
      <w:pPr>
        <w:snapToGrid w:val="0"/>
        <w:spacing w:line="360" w:lineRule="auto"/>
        <w:contextualSpacing/>
        <w:rPr>
          <w:rFonts w:ascii="宋体" w:hAnsi="宋体"/>
          <w:color w:val="auto"/>
          <w:szCs w:val="21"/>
          <w:highlight w:val="none"/>
        </w:rPr>
      </w:pPr>
    </w:p>
    <w:p w14:paraId="5A028A00">
      <w:pPr>
        <w:snapToGrid w:val="0"/>
        <w:spacing w:line="360" w:lineRule="auto"/>
        <w:contextualSpacing/>
        <w:rPr>
          <w:rFonts w:ascii="宋体" w:hAnsi="宋体"/>
          <w:color w:val="auto"/>
          <w:szCs w:val="21"/>
          <w:highlight w:val="none"/>
        </w:rPr>
      </w:pPr>
    </w:p>
    <w:tbl>
      <w:tblPr>
        <w:tblStyle w:val="7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A63E7F7">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0B36C833">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29FC68F0">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D138A9D">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6397EF7">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28565CE8">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415382E3">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B37DE83">
            <w:pPr>
              <w:keepNext w:val="0"/>
              <w:keepLines w:val="0"/>
              <w:suppressLineNumbers w:val="0"/>
              <w:snapToGrid w:val="0"/>
              <w:spacing w:before="0" w:beforeAutospacing="0" w:after="0" w:afterAutospacing="0" w:line="360" w:lineRule="auto"/>
              <w:ind w:left="0" w:right="0"/>
              <w:contextualSpacing/>
              <w:rPr>
                <w:rFonts w:hint="default" w:ascii="宋体" w:hAnsi="宋体" w:eastAsia="宋体"/>
                <w:color w:val="auto"/>
                <w:szCs w:val="21"/>
                <w:highlight w:val="none"/>
              </w:rPr>
            </w:pPr>
            <w:r>
              <w:rPr>
                <w:rFonts w:hint="eastAsia" w:ascii="宋体" w:hAnsi="宋体" w:eastAsia="宋体"/>
                <w:color w:val="auto"/>
                <w:szCs w:val="21"/>
                <w:highlight w:val="none"/>
              </w:rPr>
              <w:t>银行账户：</w:t>
            </w:r>
          </w:p>
        </w:tc>
      </w:tr>
    </w:tbl>
    <w:p w14:paraId="65BD9B2D">
      <w:pPr>
        <w:pStyle w:val="3"/>
        <w:keepNext w:val="0"/>
        <w:keepLines w:val="0"/>
        <w:pageBreakBefore/>
        <w:spacing w:line="360" w:lineRule="auto"/>
        <w:jc w:val="center"/>
        <w:rPr>
          <w:rFonts w:asciiTheme="minorEastAsia" w:hAnsiTheme="minorEastAsia"/>
          <w:color w:val="auto"/>
          <w:spacing w:val="20"/>
          <w:sz w:val="32"/>
          <w:szCs w:val="32"/>
          <w:highlight w:val="none"/>
        </w:rPr>
      </w:pPr>
      <w:r>
        <w:rPr>
          <w:rFonts w:hint="eastAsia" w:asciiTheme="minorEastAsia" w:hAnsiTheme="minorEastAsia"/>
          <w:color w:val="auto"/>
          <w:spacing w:val="20"/>
          <w:sz w:val="32"/>
          <w:szCs w:val="32"/>
          <w:highlight w:val="none"/>
        </w:rPr>
        <w:t>第六部分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响应文件格式</w:t>
      </w:r>
      <w:bookmarkEnd w:id="50"/>
      <w:bookmarkEnd w:id="51"/>
      <w:bookmarkEnd w:id="52"/>
    </w:p>
    <w:p w14:paraId="35F70156">
      <w:pPr>
        <w:pStyle w:val="33"/>
        <w:spacing w:after="312" w:afterLines="100" w:line="360" w:lineRule="auto"/>
        <w:ind w:left="420" w:right="108" w:firstLine="0" w:firstLineChars="0"/>
        <w:jc w:val="right"/>
        <w:rPr>
          <w:rFonts w:asciiTheme="minorEastAsia" w:hAnsiTheme="minorEastAsia"/>
          <w:b/>
          <w:color w:val="auto"/>
          <w:sz w:val="36"/>
          <w:szCs w:val="36"/>
          <w:highlight w:val="none"/>
        </w:rPr>
      </w:pPr>
      <w:r>
        <w:rPr>
          <w:rFonts w:hint="eastAsia" w:asciiTheme="minorEastAsia" w:hAnsiTheme="minorEastAsia"/>
          <w:b/>
          <w:color w:val="auto"/>
          <w:sz w:val="36"/>
          <w:szCs w:val="36"/>
          <w:highlight w:val="none"/>
        </w:rPr>
        <w:t>正本</w:t>
      </w:r>
      <w:r>
        <w:rPr>
          <w:rFonts w:asciiTheme="minorEastAsia" w:hAnsiTheme="minorEastAsia"/>
          <w:b/>
          <w:color w:val="auto"/>
          <w:sz w:val="36"/>
          <w:szCs w:val="36"/>
          <w:highlight w:val="none"/>
        </w:rPr>
        <w:t>/副本</w:t>
      </w:r>
    </w:p>
    <w:p w14:paraId="5FFB20F9">
      <w:pPr>
        <w:spacing w:before="1092" w:beforeLines="350" w:after="780" w:afterLines="250"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东莞市消防救援支队消防亮化广告牌宣传运维服务项目</w:t>
      </w:r>
    </w:p>
    <w:p w14:paraId="402CDD67">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（评选编号：</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u w:val="single"/>
          <w:lang w:eastAsia="zh-CN"/>
        </w:rPr>
        <w:t xml:space="preserve">  </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rPr>
        <w:t>）</w:t>
      </w:r>
    </w:p>
    <w:p w14:paraId="1436964E">
      <w:pPr>
        <w:spacing w:before="1248" w:beforeLines="400" w:line="360" w:lineRule="auto"/>
        <w:jc w:val="center"/>
        <w:rPr>
          <w:rFonts w:asciiTheme="minorEastAsia" w:hAnsiTheme="minorEastAsia"/>
          <w:b/>
          <w:color w:val="auto"/>
          <w:spacing w:val="60"/>
          <w:sz w:val="72"/>
          <w:szCs w:val="72"/>
          <w:highlight w:val="none"/>
        </w:rPr>
      </w:pPr>
      <w:r>
        <w:rPr>
          <w:rFonts w:hint="eastAsia" w:asciiTheme="minorEastAsia" w:hAnsiTheme="minorEastAsia"/>
          <w:b/>
          <w:color w:val="auto"/>
          <w:spacing w:val="60"/>
          <w:sz w:val="72"/>
          <w:szCs w:val="72"/>
          <w:highlight w:val="none"/>
        </w:rPr>
        <w:t>响应文件</w:t>
      </w:r>
    </w:p>
    <w:p w14:paraId="0D30F8AB">
      <w:pPr>
        <w:spacing w:after="1560" w:afterLines="500"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（封面格式仅供参考）</w:t>
      </w:r>
    </w:p>
    <w:tbl>
      <w:tblPr>
        <w:tblStyle w:val="23"/>
        <w:tblW w:w="44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9"/>
        <w:gridCol w:w="5646"/>
      </w:tblGrid>
      <w:tr w14:paraId="14E7B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1420" w:type="pct"/>
            <w:vAlign w:val="center"/>
          </w:tcPr>
          <w:p w14:paraId="2AC072CB">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响应供应商名称：</w:t>
            </w:r>
          </w:p>
        </w:tc>
        <w:tc>
          <w:tcPr>
            <w:tcW w:w="3580" w:type="pct"/>
            <w:vAlign w:val="center"/>
          </w:tcPr>
          <w:p w14:paraId="340091D7">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61DB0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420" w:type="pct"/>
            <w:vAlign w:val="center"/>
          </w:tcPr>
          <w:p w14:paraId="17B7F10F">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响应供应商地址：</w:t>
            </w:r>
          </w:p>
        </w:tc>
        <w:tc>
          <w:tcPr>
            <w:tcW w:w="3580" w:type="pct"/>
            <w:vAlign w:val="center"/>
          </w:tcPr>
          <w:p w14:paraId="06A77909">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3DDEB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1420" w:type="pct"/>
            <w:vAlign w:val="center"/>
          </w:tcPr>
          <w:p w14:paraId="2A4EE904">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pacing w:val="-10"/>
                <w:sz w:val="24"/>
                <w:szCs w:val="24"/>
                <w:highlight w:val="none"/>
              </w:rPr>
            </w:pPr>
            <w:r>
              <w:rPr>
                <w:rFonts w:hint="eastAsia" w:asciiTheme="minorEastAsia" w:hAnsiTheme="minorEastAsia"/>
                <w:color w:val="auto"/>
                <w:sz w:val="24"/>
                <w:szCs w:val="24"/>
                <w:highlight w:val="none"/>
              </w:rPr>
              <w:t>联系人</w:t>
            </w:r>
            <w:r>
              <w:rPr>
                <w:rFonts w:hint="eastAsia" w:asciiTheme="minorEastAsia" w:hAnsiTheme="minorEastAsia"/>
                <w:color w:val="auto"/>
                <w:spacing w:val="-10"/>
                <w:sz w:val="24"/>
                <w:szCs w:val="24"/>
                <w:highlight w:val="none"/>
              </w:rPr>
              <w:t>：</w:t>
            </w:r>
          </w:p>
        </w:tc>
        <w:tc>
          <w:tcPr>
            <w:tcW w:w="3580" w:type="pct"/>
            <w:vAlign w:val="center"/>
          </w:tcPr>
          <w:p w14:paraId="304E1093">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0805A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1420" w:type="pct"/>
            <w:vAlign w:val="center"/>
          </w:tcPr>
          <w:p w14:paraId="23B56406">
            <w:pPr>
              <w:keepNext w:val="0"/>
              <w:keepLines w:val="0"/>
              <w:suppressLineNumbers w:val="0"/>
              <w:tabs>
                <w:tab w:val="left" w:pos="170"/>
              </w:tabs>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pacing w:val="24"/>
                <w:sz w:val="24"/>
                <w:szCs w:val="24"/>
                <w:highlight w:val="none"/>
              </w:rPr>
              <w:t>联系电话</w:t>
            </w:r>
            <w:r>
              <w:rPr>
                <w:rFonts w:hint="eastAsia" w:asciiTheme="minorEastAsia" w:hAnsiTheme="minorEastAsia"/>
                <w:color w:val="auto"/>
                <w:sz w:val="24"/>
                <w:szCs w:val="24"/>
                <w:highlight w:val="none"/>
              </w:rPr>
              <w:t>：</w:t>
            </w:r>
          </w:p>
        </w:tc>
        <w:tc>
          <w:tcPr>
            <w:tcW w:w="3580" w:type="pct"/>
            <w:vAlign w:val="center"/>
          </w:tcPr>
          <w:p w14:paraId="00CB082F">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bl>
    <w:p w14:paraId="5C549B13">
      <w:pPr>
        <w:spacing w:before="936" w:beforeLines="300" w:line="600" w:lineRule="exact"/>
        <w:jc w:val="center"/>
        <w:rPr>
          <w:rFonts w:asciiTheme="minorEastAsia" w:hAnsiTheme="minorEastAsia"/>
          <w:b/>
          <w:color w:val="auto"/>
          <w:spacing w:val="40"/>
          <w:sz w:val="24"/>
          <w:szCs w:val="24"/>
          <w:highlight w:val="none"/>
        </w:rPr>
      </w:pPr>
      <w:r>
        <w:rPr>
          <w:rFonts w:hint="eastAsia" w:asciiTheme="minorEastAsia" w:hAnsiTheme="minorEastAsia"/>
          <w:b/>
          <w:color w:val="auto"/>
          <w:spacing w:val="40"/>
          <w:sz w:val="24"/>
          <w:szCs w:val="24"/>
          <w:highlight w:val="none"/>
        </w:rPr>
        <w:t>日期：</w:t>
      </w:r>
      <w:r>
        <w:rPr>
          <w:rFonts w:hint="eastAsia" w:asciiTheme="minorEastAsia" w:hAnsiTheme="minorEastAsia"/>
          <w:b/>
          <w:color w:val="auto"/>
          <w:spacing w:val="20"/>
          <w:szCs w:val="21"/>
          <w:highlight w:val="none"/>
        </w:rPr>
        <w:t xml:space="preserve">    </w:t>
      </w:r>
      <w:r>
        <w:rPr>
          <w:rFonts w:hint="eastAsia" w:asciiTheme="minorEastAsia" w:hAnsiTheme="minorEastAsia"/>
          <w:b/>
          <w:color w:val="auto"/>
          <w:spacing w:val="40"/>
          <w:sz w:val="24"/>
          <w:szCs w:val="24"/>
          <w:highlight w:val="none"/>
        </w:rPr>
        <w:t>年</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月</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日</w:t>
      </w:r>
    </w:p>
    <w:p w14:paraId="34CE132A">
      <w:pPr>
        <w:widowControl/>
        <w:jc w:val="left"/>
        <w:rPr>
          <w:rFonts w:asciiTheme="minorEastAsia" w:hAnsiTheme="minorEastAsia"/>
          <w:b/>
          <w:bCs/>
          <w:color w:val="auto"/>
          <w:highlight w:val="none"/>
        </w:rPr>
      </w:pPr>
      <w:bookmarkStart w:id="54" w:name="_Toc391627754"/>
      <w:bookmarkStart w:id="55" w:name="_Toc405313958"/>
      <w:bookmarkStart w:id="56" w:name="_Hlk81205692"/>
      <w:r>
        <w:rPr>
          <w:rFonts w:asciiTheme="minorEastAsia" w:hAnsiTheme="minorEastAsia"/>
          <w:b/>
          <w:bCs/>
          <w:color w:val="auto"/>
          <w:highlight w:val="none"/>
        </w:rPr>
        <w:br w:type="page"/>
      </w:r>
    </w:p>
    <w:p w14:paraId="60C1F996">
      <w:pPr>
        <w:spacing w:line="360" w:lineRule="auto"/>
        <w:jc w:val="left"/>
        <w:rPr>
          <w:rFonts w:asciiTheme="minorEastAsia" w:hAnsiTheme="minorEastAsia"/>
          <w:color w:val="auto"/>
          <w:highlight w:val="none"/>
        </w:rPr>
      </w:pPr>
      <w:r>
        <w:rPr>
          <w:rFonts w:hint="eastAsia" w:asciiTheme="minorEastAsia" w:hAnsiTheme="minorEastAsia"/>
          <w:b/>
          <w:bCs/>
          <w:color w:val="auto"/>
          <w:highlight w:val="none"/>
        </w:rPr>
        <w:t>响应文件目录（响应文件包括但不限于以下组成内容，请按顺序制作。）</w:t>
      </w:r>
      <w:r>
        <w:rPr>
          <w:rFonts w:asciiTheme="minorEastAsia" w:hAnsiTheme="minorEastAsia"/>
          <w:b/>
          <w:bCs/>
          <w:color w:val="auto"/>
          <w:highlight w:val="none"/>
        </w:rPr>
        <w:cr/>
      </w:r>
    </w:p>
    <w:p w14:paraId="0C90ECB3">
      <w:pPr>
        <w:pStyle w:val="33"/>
        <w:numPr>
          <w:ilvl w:val="0"/>
          <w:numId w:val="80"/>
        </w:numPr>
        <w:spacing w:line="360" w:lineRule="auto"/>
        <w:ind w:firstLineChars="0"/>
        <w:jc w:val="left"/>
        <w:rPr>
          <w:rFonts w:asciiTheme="minorEastAsia" w:hAnsiTheme="minorEastAsia"/>
          <w:color w:val="auto"/>
          <w:highlight w:val="none"/>
        </w:rPr>
      </w:pPr>
      <w:r>
        <w:rPr>
          <w:rFonts w:hint="eastAsia" w:asciiTheme="minorEastAsia" w:hAnsiTheme="minorEastAsia"/>
          <w:color w:val="auto"/>
          <w:highlight w:val="none"/>
        </w:rPr>
        <w:t>初步</w:t>
      </w:r>
      <w:r>
        <w:rPr>
          <w:rFonts w:asciiTheme="minorEastAsia" w:hAnsiTheme="minorEastAsia"/>
          <w:color w:val="auto"/>
          <w:highlight w:val="none"/>
        </w:rPr>
        <w:t>自查索引表</w:t>
      </w:r>
    </w:p>
    <w:p w14:paraId="2ED55683">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详细评审索引表</w:t>
      </w:r>
    </w:p>
    <w:p w14:paraId="49649E01">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报价一览表</w:t>
      </w:r>
    </w:p>
    <w:p w14:paraId="340E71F8">
      <w:pPr>
        <w:pStyle w:val="33"/>
        <w:numPr>
          <w:ilvl w:val="0"/>
          <w:numId w:val="80"/>
        </w:numPr>
        <w:spacing w:line="360" w:lineRule="auto"/>
        <w:ind w:firstLineChars="0"/>
        <w:jc w:val="left"/>
        <w:rPr>
          <w:rFonts w:asciiTheme="minorEastAsia" w:hAnsiTheme="minorEastAsia"/>
          <w:color w:val="auto"/>
          <w:highlight w:val="none"/>
        </w:rPr>
      </w:pPr>
      <w:r>
        <w:rPr>
          <w:rFonts w:hint="eastAsia" w:asciiTheme="minorEastAsia" w:hAnsiTheme="minorEastAsia"/>
          <w:color w:val="auto"/>
          <w:highlight w:val="none"/>
        </w:rPr>
        <w:t>响应</w:t>
      </w:r>
      <w:r>
        <w:rPr>
          <w:rFonts w:asciiTheme="minorEastAsia" w:hAnsiTheme="minorEastAsia"/>
          <w:color w:val="auto"/>
          <w:highlight w:val="none"/>
        </w:rPr>
        <w:t>函</w:t>
      </w:r>
    </w:p>
    <w:p w14:paraId="2936F643">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资格声明函</w:t>
      </w:r>
    </w:p>
    <w:p w14:paraId="3C922089">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法定代表人身份证明书</w:t>
      </w:r>
    </w:p>
    <w:p w14:paraId="4CF70A73">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法定代表人授权委托书</w:t>
      </w:r>
    </w:p>
    <w:p w14:paraId="3C58C015">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响应供应商基本情况说明</w:t>
      </w:r>
    </w:p>
    <w:p w14:paraId="6E1625E8">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业绩表</w:t>
      </w:r>
    </w:p>
    <w:p w14:paraId="63044E4B">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商务要求偏离表</w:t>
      </w:r>
    </w:p>
    <w:p w14:paraId="0745A89A">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项目技术服务人员情况表</w:t>
      </w:r>
    </w:p>
    <w:p w14:paraId="1661D977">
      <w:pPr>
        <w:pStyle w:val="33"/>
        <w:numPr>
          <w:ilvl w:val="0"/>
          <w:numId w:val="80"/>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项目负责人简历表</w:t>
      </w:r>
    </w:p>
    <w:p w14:paraId="7018A3E1">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57" w:name="_Toc138770014"/>
      <w:r>
        <w:rPr>
          <w:rStyle w:val="25"/>
          <w:rFonts w:hint="eastAsia" w:asciiTheme="minorEastAsia" w:hAnsiTheme="minorEastAsia" w:eastAsiaTheme="minorEastAsia"/>
          <w:b/>
          <w:bCs/>
          <w:color w:val="auto"/>
          <w:spacing w:val="12"/>
          <w:sz w:val="21"/>
          <w:szCs w:val="21"/>
          <w:highlight w:val="none"/>
        </w:rPr>
        <w:t>初步自查索引表</w:t>
      </w:r>
      <w:bookmarkEnd w:id="57"/>
    </w:p>
    <w:p w14:paraId="7C53D550">
      <w:pPr>
        <w:spacing w:before="312" w:beforeLines="100" w:after="312" w:afterLines="100"/>
        <w:jc w:val="center"/>
        <w:rPr>
          <w:rFonts w:cs="Times New Roman" w:asciiTheme="minorEastAsia" w:hAnsiTheme="minorEastAsia"/>
          <w:b/>
          <w:color w:val="auto"/>
          <w:spacing w:val="20"/>
          <w:sz w:val="30"/>
          <w:szCs w:val="30"/>
          <w:highlight w:val="none"/>
        </w:rPr>
      </w:pPr>
      <w:r>
        <w:rPr>
          <w:rFonts w:hint="eastAsia" w:cs="Times New Roman" w:asciiTheme="minorEastAsia" w:hAnsiTheme="minorEastAsia"/>
          <w:b/>
          <w:color w:val="auto"/>
          <w:spacing w:val="20"/>
          <w:sz w:val="30"/>
          <w:szCs w:val="30"/>
          <w:highlight w:val="none"/>
        </w:rPr>
        <w:t>初步自查索引表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12AC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372B5187">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序号</w:t>
            </w:r>
          </w:p>
        </w:tc>
        <w:tc>
          <w:tcPr>
            <w:tcW w:w="2815" w:type="pct"/>
            <w:tcBorders>
              <w:bottom w:val="single" w:color="auto" w:sz="4" w:space="0"/>
              <w:tl2br w:val="nil"/>
            </w:tcBorders>
            <w:vAlign w:val="center"/>
          </w:tcPr>
          <w:p w14:paraId="13E37E70">
            <w:pPr>
              <w:keepNext w:val="0"/>
              <w:keepLines w:val="0"/>
              <w:suppressLineNumbers w:val="0"/>
              <w:spacing w:before="0" w:beforeAutospacing="0" w:after="0" w:afterAutospacing="0" w:line="360" w:lineRule="auto"/>
              <w:ind w:left="211" w:right="0" w:hanging="211" w:hangingChars="10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审查内容</w:t>
            </w:r>
          </w:p>
        </w:tc>
        <w:tc>
          <w:tcPr>
            <w:tcW w:w="748" w:type="pct"/>
            <w:vAlign w:val="center"/>
          </w:tcPr>
          <w:p w14:paraId="197652BA">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自查</w:t>
            </w:r>
          </w:p>
          <w:p w14:paraId="6B505A59">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结论</w:t>
            </w:r>
          </w:p>
        </w:tc>
        <w:tc>
          <w:tcPr>
            <w:tcW w:w="1030" w:type="pct"/>
            <w:vAlign w:val="center"/>
          </w:tcPr>
          <w:p w14:paraId="04A6EBB1">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pacing w:val="-10"/>
                <w:szCs w:val="21"/>
                <w:highlight w:val="none"/>
              </w:rPr>
            </w:pPr>
            <w:r>
              <w:rPr>
                <w:rFonts w:hint="default" w:asciiTheme="minorEastAsia" w:hAnsiTheme="minorEastAsia"/>
                <w:b/>
                <w:bCs/>
                <w:color w:val="auto"/>
                <w:spacing w:val="-10"/>
                <w:szCs w:val="21"/>
                <w:highlight w:val="none"/>
              </w:rPr>
              <w:t>响应文件响应页码</w:t>
            </w:r>
          </w:p>
        </w:tc>
      </w:tr>
      <w:tr w14:paraId="6A8E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019EE548">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1</w:t>
            </w:r>
          </w:p>
        </w:tc>
        <w:tc>
          <w:tcPr>
            <w:tcW w:w="2815" w:type="pct"/>
            <w:tcBorders>
              <w:tl2br w:val="nil"/>
            </w:tcBorders>
            <w:vAlign w:val="center"/>
          </w:tcPr>
          <w:p w14:paraId="47CEA3FE">
            <w:pPr>
              <w:keepNext w:val="0"/>
              <w:keepLines w:val="0"/>
              <w:suppressLineNumbers w:val="0"/>
              <w:spacing w:before="0" w:beforeAutospacing="0" w:after="0" w:afterAutospacing="0"/>
              <w:ind w:left="0" w:right="0"/>
              <w:jc w:val="left"/>
              <w:rPr>
                <w:rFonts w:hint="default" w:asciiTheme="minorEastAsia" w:hAnsiTheme="minorEastAsia"/>
                <w:color w:val="auto"/>
                <w:highlight w:val="none"/>
              </w:rPr>
            </w:pPr>
          </w:p>
        </w:tc>
        <w:tc>
          <w:tcPr>
            <w:tcW w:w="748" w:type="pct"/>
            <w:vAlign w:val="center"/>
          </w:tcPr>
          <w:p w14:paraId="5D7620E3">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p>
        </w:tc>
        <w:tc>
          <w:tcPr>
            <w:tcW w:w="1030" w:type="pct"/>
            <w:vAlign w:val="center"/>
          </w:tcPr>
          <w:p w14:paraId="17D89310">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p>
        </w:tc>
      </w:tr>
      <w:tr w14:paraId="48D7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871E1D4">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2</w:t>
            </w:r>
          </w:p>
        </w:tc>
        <w:tc>
          <w:tcPr>
            <w:tcW w:w="2815" w:type="pct"/>
            <w:vAlign w:val="center"/>
          </w:tcPr>
          <w:p w14:paraId="43F16B4A">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1FADD7AB">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6B37702B">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0B77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DEF07C7">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3</w:t>
            </w:r>
          </w:p>
        </w:tc>
        <w:tc>
          <w:tcPr>
            <w:tcW w:w="2815" w:type="pct"/>
            <w:vAlign w:val="center"/>
          </w:tcPr>
          <w:p w14:paraId="560A60B7">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672D3D65">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4D9941A1">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5953A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56589A8">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default" w:asciiTheme="minorEastAsia" w:hAnsiTheme="minorEastAsia"/>
                <w:bCs/>
                <w:color w:val="auto"/>
                <w:szCs w:val="21"/>
                <w:highlight w:val="none"/>
              </w:rPr>
              <w:t>4</w:t>
            </w:r>
          </w:p>
        </w:tc>
        <w:tc>
          <w:tcPr>
            <w:tcW w:w="2815" w:type="pct"/>
            <w:vAlign w:val="center"/>
          </w:tcPr>
          <w:p w14:paraId="235EB34C">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0311261B">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43EF95D4">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34566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A0B9EBA">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5</w:t>
            </w:r>
          </w:p>
        </w:tc>
        <w:tc>
          <w:tcPr>
            <w:tcW w:w="2815" w:type="pct"/>
            <w:vAlign w:val="center"/>
          </w:tcPr>
          <w:p w14:paraId="2AD53571">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506FEADE">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7092370A">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7C02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199D92E">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6</w:t>
            </w:r>
          </w:p>
        </w:tc>
        <w:tc>
          <w:tcPr>
            <w:tcW w:w="2815" w:type="pct"/>
            <w:vAlign w:val="center"/>
          </w:tcPr>
          <w:p w14:paraId="362DB2F2">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1236C3DC">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5A048F82">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4DD6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1E09FD4">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7</w:t>
            </w:r>
          </w:p>
        </w:tc>
        <w:tc>
          <w:tcPr>
            <w:tcW w:w="2815" w:type="pct"/>
            <w:vAlign w:val="center"/>
          </w:tcPr>
          <w:p w14:paraId="21604B14">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062D078D">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08876911">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73EDA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7B48BC0">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8</w:t>
            </w:r>
          </w:p>
        </w:tc>
        <w:tc>
          <w:tcPr>
            <w:tcW w:w="2815" w:type="pct"/>
            <w:vAlign w:val="center"/>
          </w:tcPr>
          <w:p w14:paraId="24621B72">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62C39DF5">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058FAD07">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r w14:paraId="77636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EBAB379">
            <w:pPr>
              <w:keepNext w:val="0"/>
              <w:keepLines w:val="0"/>
              <w:suppressLineNumbers w:val="0"/>
              <w:spacing w:before="0" w:beforeAutospacing="0" w:after="0" w:afterAutospacing="0" w:line="360" w:lineRule="auto"/>
              <w:ind w:left="0" w:right="0"/>
              <w:jc w:val="center"/>
              <w:rPr>
                <w:rFonts w:hint="default" w:asciiTheme="minorEastAsia" w:hAnsiTheme="minorEastAsia"/>
                <w:bCs/>
                <w:color w:val="auto"/>
                <w:szCs w:val="21"/>
                <w:highlight w:val="none"/>
              </w:rPr>
            </w:pPr>
            <w:r>
              <w:rPr>
                <w:rFonts w:hint="eastAsia" w:asciiTheme="minorEastAsia" w:hAnsiTheme="minorEastAsia"/>
                <w:bCs/>
                <w:color w:val="auto"/>
                <w:szCs w:val="21"/>
                <w:highlight w:val="none"/>
              </w:rPr>
              <w:t>9</w:t>
            </w:r>
          </w:p>
        </w:tc>
        <w:tc>
          <w:tcPr>
            <w:tcW w:w="2815" w:type="pct"/>
            <w:vAlign w:val="center"/>
          </w:tcPr>
          <w:p w14:paraId="5B8430CD">
            <w:pPr>
              <w:keepNext w:val="0"/>
              <w:keepLines w:val="0"/>
              <w:suppressLineNumbers w:val="0"/>
              <w:spacing w:before="0" w:beforeAutospacing="0" w:after="0" w:afterAutospacing="0" w:line="360" w:lineRule="auto"/>
              <w:ind w:left="0" w:right="0"/>
              <w:jc w:val="left"/>
              <w:rPr>
                <w:rFonts w:hint="default" w:asciiTheme="minorEastAsia" w:hAnsiTheme="minorEastAsia"/>
                <w:b/>
                <w:bCs/>
                <w:color w:val="auto"/>
                <w:szCs w:val="21"/>
                <w:highlight w:val="none"/>
              </w:rPr>
            </w:pPr>
          </w:p>
        </w:tc>
        <w:tc>
          <w:tcPr>
            <w:tcW w:w="748" w:type="pct"/>
            <w:vAlign w:val="center"/>
          </w:tcPr>
          <w:p w14:paraId="79510E72">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c>
          <w:tcPr>
            <w:tcW w:w="1030" w:type="pct"/>
            <w:vAlign w:val="center"/>
          </w:tcPr>
          <w:p w14:paraId="35A433C9">
            <w:pPr>
              <w:keepNext w:val="0"/>
              <w:keepLines w:val="0"/>
              <w:suppressLineNumbers w:val="0"/>
              <w:spacing w:before="0" w:beforeAutospacing="0" w:after="0" w:afterAutospacing="0" w:line="360" w:lineRule="auto"/>
              <w:ind w:left="0" w:right="0"/>
              <w:jc w:val="center"/>
              <w:rPr>
                <w:rFonts w:hint="default" w:asciiTheme="minorEastAsia" w:hAnsiTheme="minorEastAsia"/>
                <w:b/>
                <w:bCs/>
                <w:color w:val="auto"/>
                <w:szCs w:val="21"/>
                <w:highlight w:val="none"/>
              </w:rPr>
            </w:pPr>
          </w:p>
        </w:tc>
      </w:tr>
    </w:tbl>
    <w:p w14:paraId="3CCB8803">
      <w:pPr>
        <w:spacing w:before="156" w:beforeLines="50" w:line="360" w:lineRule="auto"/>
        <w:rPr>
          <w:rFonts w:asciiTheme="minorEastAsia" w:hAnsiTheme="minorEastAsia"/>
          <w:color w:val="auto"/>
          <w:highlight w:val="none"/>
        </w:rPr>
      </w:pPr>
      <w:r>
        <w:rPr>
          <w:rFonts w:hint="eastAsia" w:asciiTheme="minorEastAsia" w:hAnsiTheme="minorEastAsia"/>
          <w:color w:val="auto"/>
          <w:highlight w:val="none"/>
        </w:rPr>
        <w:t>注明：</w:t>
      </w:r>
    </w:p>
    <w:p w14:paraId="672DABEF">
      <w:pPr>
        <w:pStyle w:val="33"/>
        <w:numPr>
          <w:ilvl w:val="0"/>
          <w:numId w:val="82"/>
        </w:numPr>
        <w:spacing w:line="360" w:lineRule="auto"/>
        <w:ind w:firstLineChars="0"/>
        <w:rPr>
          <w:rFonts w:asciiTheme="minorEastAsia" w:hAnsiTheme="minorEastAsia"/>
          <w:color w:val="auto"/>
          <w:highlight w:val="none"/>
        </w:rPr>
      </w:pPr>
      <w:r>
        <w:rPr>
          <w:rFonts w:hint="eastAsia" w:asciiTheme="minorEastAsia" w:hAnsiTheme="minorEastAsia"/>
          <w:color w:val="auto"/>
          <w:highlight w:val="none"/>
        </w:rPr>
        <w:t>自查结论处请填写：通过</w:t>
      </w:r>
      <w:r>
        <w:rPr>
          <w:rFonts w:asciiTheme="minorEastAsia" w:hAnsiTheme="minorEastAsia"/>
          <w:color w:val="auto"/>
          <w:highlight w:val="none"/>
        </w:rPr>
        <w:t>/不通过；</w:t>
      </w:r>
    </w:p>
    <w:p w14:paraId="5E29EFA6">
      <w:pPr>
        <w:pStyle w:val="33"/>
        <w:numPr>
          <w:ilvl w:val="0"/>
          <w:numId w:val="82"/>
        </w:numPr>
        <w:spacing w:line="360" w:lineRule="auto"/>
        <w:ind w:firstLineChars="0"/>
        <w:rPr>
          <w:rFonts w:asciiTheme="minorEastAsia" w:hAnsiTheme="minorEastAsia"/>
          <w:color w:val="auto"/>
          <w:highlight w:val="none"/>
        </w:rPr>
      </w:pPr>
      <w:r>
        <w:rPr>
          <w:rFonts w:hint="eastAsia" w:asciiTheme="minorEastAsia" w:hAnsiTheme="minorEastAsia"/>
          <w:color w:val="auto"/>
          <w:szCs w:val="21"/>
          <w:highlight w:val="none"/>
        </w:rPr>
        <w:t>按遴选文件第四部分</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评审方法、步骤、标准之初步审查表（</w:t>
      </w:r>
      <w:r>
        <w:rPr>
          <w:rFonts w:hint="eastAsia" w:asciiTheme="minorEastAsia" w:hAnsiTheme="minorEastAsia"/>
          <w:color w:val="auto"/>
          <w:kern w:val="0"/>
          <w:szCs w:val="21"/>
          <w:highlight w:val="none"/>
        </w:rPr>
        <w:t>附表一）</w:t>
      </w:r>
      <w:r>
        <w:rPr>
          <w:rFonts w:hint="eastAsia" w:asciiTheme="minorEastAsia" w:hAnsiTheme="minorEastAsia"/>
          <w:color w:val="auto"/>
          <w:szCs w:val="21"/>
          <w:highlight w:val="none"/>
        </w:rPr>
        <w:t>相对应条款填写</w:t>
      </w:r>
      <w:r>
        <w:rPr>
          <w:rFonts w:hint="eastAsia" w:asciiTheme="minorEastAsia" w:hAnsiTheme="minorEastAsia"/>
          <w:color w:val="auto"/>
          <w:highlight w:val="none"/>
        </w:rPr>
        <w:t>。</w:t>
      </w:r>
    </w:p>
    <w:p w14:paraId="09DBAEDD">
      <w:pPr>
        <w:spacing w:line="360" w:lineRule="auto"/>
        <w:rPr>
          <w:rFonts w:asciiTheme="minorEastAsia" w:hAnsiTheme="minorEastAsia"/>
          <w:color w:val="auto"/>
          <w:highlight w:val="none"/>
        </w:rPr>
      </w:pPr>
    </w:p>
    <w:p w14:paraId="09CBD2BA">
      <w:pPr>
        <w:spacing w:line="360" w:lineRule="auto"/>
        <w:rPr>
          <w:rFonts w:asciiTheme="minorEastAsia" w:hAnsiTheme="minorEastAsia"/>
          <w:color w:val="auto"/>
          <w:highlight w:val="none"/>
        </w:rPr>
      </w:pPr>
    </w:p>
    <w:tbl>
      <w:tblPr>
        <w:tblStyle w:val="22"/>
        <w:tblW w:w="0" w:type="auto"/>
        <w:tblInd w:w="0" w:type="dxa"/>
        <w:tblLayout w:type="autofit"/>
        <w:tblCellMar>
          <w:top w:w="0" w:type="dxa"/>
          <w:left w:w="108" w:type="dxa"/>
          <w:bottom w:w="0" w:type="dxa"/>
          <w:right w:w="108" w:type="dxa"/>
        </w:tblCellMar>
      </w:tblPr>
      <w:tblGrid>
        <w:gridCol w:w="5353"/>
        <w:gridCol w:w="3175"/>
      </w:tblGrid>
      <w:tr w14:paraId="512C683B">
        <w:tblPrEx>
          <w:tblCellMar>
            <w:top w:w="0" w:type="dxa"/>
            <w:left w:w="108" w:type="dxa"/>
            <w:bottom w:w="0" w:type="dxa"/>
            <w:right w:w="108" w:type="dxa"/>
          </w:tblCellMar>
        </w:tblPrEx>
        <w:trPr>
          <w:trHeight w:val="577" w:hRule="atLeast"/>
        </w:trPr>
        <w:tc>
          <w:tcPr>
            <w:tcW w:w="5353" w:type="dxa"/>
          </w:tcPr>
          <w:p w14:paraId="6B5FE091">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583700F4">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43AB01EB">
        <w:tblPrEx>
          <w:tblCellMar>
            <w:top w:w="0" w:type="dxa"/>
            <w:left w:w="108" w:type="dxa"/>
            <w:bottom w:w="0" w:type="dxa"/>
            <w:right w:w="108" w:type="dxa"/>
          </w:tblCellMar>
        </w:tblPrEx>
        <w:trPr>
          <w:trHeight w:val="590" w:hRule="atLeast"/>
        </w:trPr>
        <w:tc>
          <w:tcPr>
            <w:tcW w:w="5353" w:type="dxa"/>
          </w:tcPr>
          <w:p w14:paraId="2FA7863D">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48D58DB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12757D0D">
      <w:pPr>
        <w:rPr>
          <w:rFonts w:asciiTheme="minorEastAsia" w:hAnsiTheme="minorEastAsia"/>
          <w:color w:val="auto"/>
          <w:highlight w:val="none"/>
        </w:rPr>
      </w:pPr>
    </w:p>
    <w:p w14:paraId="404B05AF">
      <w:pPr>
        <w:rPr>
          <w:rFonts w:asciiTheme="minorEastAsia" w:hAnsiTheme="minorEastAsia"/>
          <w:color w:val="auto"/>
          <w:highlight w:val="none"/>
        </w:rPr>
      </w:pPr>
    </w:p>
    <w:p w14:paraId="5C1A9ACD">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58" w:name="_Toc103272787"/>
      <w:bookmarkEnd w:id="58"/>
      <w:bookmarkStart w:id="59" w:name="_Toc103272788"/>
      <w:bookmarkEnd w:id="59"/>
      <w:bookmarkStart w:id="60" w:name="_Toc103272791"/>
      <w:bookmarkEnd w:id="60"/>
      <w:bookmarkStart w:id="61" w:name="_Toc103272789"/>
      <w:bookmarkEnd w:id="61"/>
      <w:bookmarkStart w:id="62" w:name="_Toc103272790"/>
      <w:bookmarkEnd w:id="62"/>
      <w:bookmarkStart w:id="63" w:name="_Toc103272735"/>
      <w:bookmarkEnd w:id="63"/>
      <w:bookmarkStart w:id="64" w:name="_Toc103272734"/>
      <w:bookmarkEnd w:id="64"/>
      <w:bookmarkStart w:id="65" w:name="_Toc138770015"/>
      <w:r>
        <w:rPr>
          <w:rStyle w:val="25"/>
          <w:rFonts w:hint="eastAsia" w:asciiTheme="minorEastAsia" w:hAnsiTheme="minorEastAsia" w:eastAsiaTheme="minorEastAsia"/>
          <w:b/>
          <w:bCs/>
          <w:color w:val="auto"/>
          <w:spacing w:val="12"/>
          <w:sz w:val="21"/>
          <w:szCs w:val="21"/>
          <w:highlight w:val="none"/>
        </w:rPr>
        <w:t>详细评审索引表</w:t>
      </w:r>
      <w:bookmarkEnd w:id="65"/>
    </w:p>
    <w:p w14:paraId="03B195D9">
      <w:pPr>
        <w:spacing w:before="312" w:beforeLines="100" w:after="312" w:afterLines="100"/>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详细评审索引表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5EF1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4ECE6479">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商务评审细则</w:t>
            </w:r>
          </w:p>
        </w:tc>
      </w:tr>
      <w:tr w14:paraId="03A8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9B4A09C">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1551" w:type="dxa"/>
            <w:vAlign w:val="center"/>
          </w:tcPr>
          <w:p w14:paraId="5182605B">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评分内容</w:t>
            </w:r>
          </w:p>
        </w:tc>
        <w:tc>
          <w:tcPr>
            <w:tcW w:w="3382" w:type="dxa"/>
            <w:vAlign w:val="center"/>
          </w:tcPr>
          <w:p w14:paraId="11B75B2D">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评分标准</w:t>
            </w:r>
          </w:p>
        </w:tc>
        <w:tc>
          <w:tcPr>
            <w:tcW w:w="2452" w:type="dxa"/>
            <w:vAlign w:val="center"/>
          </w:tcPr>
          <w:p w14:paraId="42319834">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响应文件响应页码</w:t>
            </w:r>
          </w:p>
        </w:tc>
      </w:tr>
      <w:tr w14:paraId="6E3D3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7D0C876D">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64B456FC">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7579DB15">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5ED6B727">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0F492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3E615B77">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37FEB5FA">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4198182E">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02E466D2">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0534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2BDD8C">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7EDF00C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4C2D9F9E">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0D515BA0">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3D93F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2C9D667">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243305D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5473A31B">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73451DC5">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2B36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7138CDA4">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技术评审细则</w:t>
            </w:r>
          </w:p>
        </w:tc>
      </w:tr>
      <w:tr w14:paraId="34EA0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3BA84A5">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1551" w:type="dxa"/>
            <w:vAlign w:val="center"/>
          </w:tcPr>
          <w:p w14:paraId="357F9E7C">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评分内容</w:t>
            </w:r>
          </w:p>
        </w:tc>
        <w:tc>
          <w:tcPr>
            <w:tcW w:w="3382" w:type="dxa"/>
            <w:vAlign w:val="center"/>
          </w:tcPr>
          <w:p w14:paraId="7BEFCE24">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评分标准</w:t>
            </w:r>
          </w:p>
        </w:tc>
        <w:tc>
          <w:tcPr>
            <w:tcW w:w="2452" w:type="dxa"/>
            <w:vAlign w:val="center"/>
          </w:tcPr>
          <w:p w14:paraId="39C425C7">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响应文件响应页码</w:t>
            </w:r>
          </w:p>
        </w:tc>
      </w:tr>
      <w:tr w14:paraId="704B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27289CA">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4F1CB9D0">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1C113994">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5BDAB483">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747FA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2AC16562">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585B2CCD">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3CD2AA43">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78DA947E">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3785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F995EF1">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19DC3A77">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30BBA4D3">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29AEF1F8">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2AD5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21F483">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0CAE0249">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0A9A62F2">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5FD288C5">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7A6C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B79F6F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41042B3C">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57FB7DFA">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661CD03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r w14:paraId="5A46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325598A8">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1551" w:type="dxa"/>
            <w:vAlign w:val="center"/>
          </w:tcPr>
          <w:p w14:paraId="18CE311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3382" w:type="dxa"/>
            <w:vAlign w:val="center"/>
          </w:tcPr>
          <w:p w14:paraId="393DDA7B">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c>
          <w:tcPr>
            <w:tcW w:w="2452" w:type="dxa"/>
            <w:vAlign w:val="center"/>
          </w:tcPr>
          <w:p w14:paraId="14F37116">
            <w:pPr>
              <w:keepNext w:val="0"/>
              <w:keepLines w:val="0"/>
              <w:suppressLineNumbers w:val="0"/>
              <w:spacing w:before="0" w:beforeAutospacing="0" w:after="0" w:afterAutospacing="0" w:line="360" w:lineRule="auto"/>
              <w:ind w:left="0" w:right="0"/>
              <w:jc w:val="center"/>
              <w:rPr>
                <w:rFonts w:hint="default" w:asciiTheme="minorEastAsia" w:hAnsiTheme="minorEastAsia"/>
                <w:b/>
                <w:color w:val="auto"/>
                <w:szCs w:val="21"/>
                <w:highlight w:val="none"/>
              </w:rPr>
            </w:pPr>
          </w:p>
        </w:tc>
      </w:tr>
    </w:tbl>
    <w:p w14:paraId="4BC68FDC">
      <w:pPr>
        <w:spacing w:before="156" w:beforeLines="50" w:line="360" w:lineRule="auto"/>
        <w:rPr>
          <w:rFonts w:asciiTheme="minorEastAsia" w:hAnsiTheme="minorEastAsia"/>
          <w:color w:val="auto"/>
          <w:highlight w:val="none"/>
        </w:rPr>
      </w:pPr>
      <w:r>
        <w:rPr>
          <w:rFonts w:hint="eastAsia" w:asciiTheme="minorEastAsia" w:hAnsiTheme="minorEastAsia"/>
          <w:color w:val="auto"/>
          <w:szCs w:val="21"/>
          <w:highlight w:val="none"/>
        </w:rPr>
        <w:t>注明：按遴选文件第四部分</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评审方法、步骤、标准之附表二详细评审表相对应条款填写。</w:t>
      </w:r>
    </w:p>
    <w:p w14:paraId="1B89D6AC">
      <w:pPr>
        <w:spacing w:line="360" w:lineRule="auto"/>
        <w:rPr>
          <w:rFonts w:asciiTheme="minorEastAsia" w:hAnsiTheme="minorEastAsia"/>
          <w:color w:val="auto"/>
          <w:highlight w:val="none"/>
        </w:rPr>
      </w:pPr>
    </w:p>
    <w:p w14:paraId="11FD3F9B">
      <w:pPr>
        <w:spacing w:line="360" w:lineRule="auto"/>
        <w:rPr>
          <w:rFonts w:asciiTheme="minorEastAsia" w:hAnsiTheme="minorEastAsia"/>
          <w:color w:val="auto"/>
          <w:highlight w:val="none"/>
        </w:rPr>
      </w:pPr>
    </w:p>
    <w:p w14:paraId="3B7DDCD9">
      <w:pPr>
        <w:spacing w:line="360" w:lineRule="auto"/>
        <w:rPr>
          <w:rFonts w:asciiTheme="minorEastAsia" w:hAnsiTheme="minorEastAsia"/>
          <w:color w:val="auto"/>
          <w:highlight w:val="none"/>
        </w:rPr>
      </w:pPr>
    </w:p>
    <w:tbl>
      <w:tblPr>
        <w:tblStyle w:val="22"/>
        <w:tblW w:w="0" w:type="auto"/>
        <w:tblInd w:w="0" w:type="dxa"/>
        <w:tblLayout w:type="autofit"/>
        <w:tblCellMar>
          <w:top w:w="0" w:type="dxa"/>
          <w:left w:w="108" w:type="dxa"/>
          <w:bottom w:w="0" w:type="dxa"/>
          <w:right w:w="108" w:type="dxa"/>
        </w:tblCellMar>
      </w:tblPr>
      <w:tblGrid>
        <w:gridCol w:w="5353"/>
        <w:gridCol w:w="3175"/>
      </w:tblGrid>
      <w:tr w14:paraId="5F68C82B">
        <w:tblPrEx>
          <w:tblCellMar>
            <w:top w:w="0" w:type="dxa"/>
            <w:left w:w="108" w:type="dxa"/>
            <w:bottom w:w="0" w:type="dxa"/>
            <w:right w:w="108" w:type="dxa"/>
          </w:tblCellMar>
        </w:tblPrEx>
        <w:tc>
          <w:tcPr>
            <w:tcW w:w="5353" w:type="dxa"/>
          </w:tcPr>
          <w:p w14:paraId="668E4BDE">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7C017815">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2F7FFEA2">
        <w:tblPrEx>
          <w:tblCellMar>
            <w:top w:w="0" w:type="dxa"/>
            <w:left w:w="108" w:type="dxa"/>
            <w:bottom w:w="0" w:type="dxa"/>
            <w:right w:w="108" w:type="dxa"/>
          </w:tblCellMar>
        </w:tblPrEx>
        <w:tc>
          <w:tcPr>
            <w:tcW w:w="5353" w:type="dxa"/>
          </w:tcPr>
          <w:p w14:paraId="51D41447">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501ACEE5">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bookmarkEnd w:id="54"/>
      <w:bookmarkEnd w:id="55"/>
    </w:tbl>
    <w:p w14:paraId="5C5865B7">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val="0"/>
          <w:color w:val="auto"/>
          <w:spacing w:val="12"/>
          <w:sz w:val="21"/>
          <w:szCs w:val="21"/>
          <w:highlight w:val="none"/>
        </w:rPr>
      </w:pPr>
      <w:bookmarkStart w:id="66" w:name="_Toc138770016"/>
      <w:r>
        <w:rPr>
          <w:rStyle w:val="25"/>
          <w:rFonts w:hint="eastAsia" w:asciiTheme="minorEastAsia" w:hAnsiTheme="minorEastAsia" w:eastAsiaTheme="minorEastAsia"/>
          <w:b/>
          <w:bCs w:val="0"/>
          <w:color w:val="auto"/>
          <w:spacing w:val="12"/>
          <w:sz w:val="21"/>
          <w:szCs w:val="21"/>
          <w:highlight w:val="none"/>
        </w:rPr>
        <w:t>报价一览表</w:t>
      </w:r>
      <w:bookmarkEnd w:id="66"/>
    </w:p>
    <w:p w14:paraId="464307A7">
      <w:pPr>
        <w:spacing w:before="624" w:beforeLines="200" w:after="312" w:afterLines="100" w:line="360" w:lineRule="auto"/>
        <w:jc w:val="center"/>
        <w:rPr>
          <w:rFonts w:asciiTheme="minorEastAsia" w:hAnsiTheme="minorEastAsia"/>
          <w:b/>
          <w:color w:val="auto"/>
          <w:spacing w:val="20"/>
          <w:sz w:val="28"/>
          <w:szCs w:val="28"/>
          <w:highlight w:val="none"/>
        </w:rPr>
      </w:pPr>
      <w:r>
        <w:rPr>
          <w:rFonts w:hint="eastAsia" w:asciiTheme="minorEastAsia" w:hAnsiTheme="minorEastAsia"/>
          <w:b/>
          <w:color w:val="auto"/>
          <w:spacing w:val="20"/>
          <w:sz w:val="28"/>
          <w:szCs w:val="28"/>
          <w:highlight w:val="none"/>
        </w:rPr>
        <w:t>报价一览表</w:t>
      </w:r>
    </w:p>
    <w:tbl>
      <w:tblPr>
        <w:tblStyle w:val="22"/>
        <w:tblW w:w="5294"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1"/>
        <w:gridCol w:w="4168"/>
        <w:gridCol w:w="3243"/>
        <w:gridCol w:w="1140"/>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4" w:type="pct"/>
            <w:tcBorders>
              <w:top w:val="single" w:color="auto" w:sz="4" w:space="0"/>
              <w:left w:val="single" w:color="auto" w:sz="4" w:space="0"/>
              <w:right w:val="single" w:color="auto" w:sz="4" w:space="0"/>
            </w:tcBorders>
            <w:vAlign w:val="center"/>
          </w:tcPr>
          <w:p w14:paraId="7EE548CF">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b/>
                <w:color w:val="auto"/>
                <w:szCs w:val="21"/>
              </w:rPr>
            </w:pPr>
            <w:r>
              <w:rPr>
                <w:rFonts w:hint="eastAsia" w:ascii="宋体" w:hAnsi="宋体"/>
                <w:b/>
                <w:color w:val="auto"/>
                <w:szCs w:val="21"/>
              </w:rPr>
              <w:t>序号</w:t>
            </w:r>
          </w:p>
        </w:tc>
        <w:tc>
          <w:tcPr>
            <w:tcW w:w="2244" w:type="pct"/>
            <w:tcBorders>
              <w:top w:val="single" w:color="auto" w:sz="4" w:space="0"/>
              <w:left w:val="single" w:color="auto" w:sz="4" w:space="0"/>
              <w:right w:val="single" w:color="auto" w:sz="4" w:space="0"/>
            </w:tcBorders>
            <w:vAlign w:val="center"/>
          </w:tcPr>
          <w:p w14:paraId="3D272A8E">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b/>
                <w:color w:val="auto"/>
                <w:szCs w:val="21"/>
              </w:rPr>
            </w:pPr>
            <w:r>
              <w:rPr>
                <w:rFonts w:hint="eastAsia" w:ascii="宋体" w:hAnsi="宋体"/>
                <w:b/>
                <w:color w:val="auto"/>
                <w:szCs w:val="21"/>
              </w:rPr>
              <w:t>项目名称及项目编号</w:t>
            </w:r>
          </w:p>
        </w:tc>
        <w:tc>
          <w:tcPr>
            <w:tcW w:w="1746" w:type="pct"/>
            <w:tcBorders>
              <w:top w:val="single" w:color="auto" w:sz="4" w:space="0"/>
              <w:left w:val="single" w:color="auto" w:sz="4" w:space="0"/>
              <w:bottom w:val="single" w:color="auto" w:sz="4" w:space="0"/>
              <w:right w:val="single" w:color="auto" w:sz="4" w:space="0"/>
            </w:tcBorders>
            <w:vAlign w:val="center"/>
          </w:tcPr>
          <w:p w14:paraId="22985F15">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b/>
                <w:color w:val="auto"/>
                <w:szCs w:val="21"/>
              </w:rPr>
            </w:pPr>
            <w:r>
              <w:rPr>
                <w:rFonts w:hint="eastAsia" w:ascii="宋体" w:hAnsi="宋体"/>
                <w:b/>
                <w:color w:val="auto"/>
                <w:szCs w:val="21"/>
              </w:rPr>
              <w:t>总报价（单位：元）</w:t>
            </w:r>
          </w:p>
        </w:tc>
        <w:tc>
          <w:tcPr>
            <w:tcW w:w="614" w:type="pct"/>
            <w:tcBorders>
              <w:top w:val="single" w:color="auto" w:sz="4" w:space="0"/>
              <w:left w:val="single" w:color="auto" w:sz="4" w:space="0"/>
              <w:right w:val="single" w:color="auto" w:sz="4" w:space="0"/>
            </w:tcBorders>
            <w:vAlign w:val="center"/>
          </w:tcPr>
          <w:p w14:paraId="4A8465C5">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b/>
                <w:color w:val="auto"/>
                <w:szCs w:val="21"/>
              </w:rPr>
            </w:pPr>
            <w:r>
              <w:rPr>
                <w:rFonts w:hint="eastAsia" w:ascii="宋体" w:hAnsi="宋体"/>
                <w:b/>
                <w:color w:val="auto"/>
                <w:szCs w:val="21"/>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4" w:type="pct"/>
            <w:tcBorders>
              <w:top w:val="single" w:color="auto" w:sz="4" w:space="0"/>
              <w:left w:val="single" w:color="auto" w:sz="4" w:space="0"/>
              <w:bottom w:val="single" w:color="auto" w:sz="4" w:space="0"/>
              <w:right w:val="single" w:color="auto" w:sz="4" w:space="0"/>
            </w:tcBorders>
            <w:vAlign w:val="center"/>
          </w:tcPr>
          <w:p w14:paraId="606128F8">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color w:val="auto"/>
                <w:szCs w:val="21"/>
              </w:rPr>
            </w:pPr>
            <w:r>
              <w:rPr>
                <w:rFonts w:hint="default" w:ascii="宋体" w:hAnsi="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color w:val="auto"/>
                <w:szCs w:val="21"/>
              </w:rPr>
            </w:pPr>
          </w:p>
        </w:tc>
        <w:tc>
          <w:tcPr>
            <w:tcW w:w="1746" w:type="pct"/>
            <w:tcBorders>
              <w:top w:val="single" w:color="auto" w:sz="4" w:space="0"/>
              <w:left w:val="single" w:color="auto" w:sz="4" w:space="0"/>
              <w:bottom w:val="single" w:color="auto" w:sz="4" w:space="0"/>
              <w:right w:val="single" w:color="auto" w:sz="4" w:space="0"/>
            </w:tcBorders>
            <w:vAlign w:val="center"/>
          </w:tcPr>
          <w:p w14:paraId="275EE458">
            <w:pPr>
              <w:keepNext w:val="0"/>
              <w:keepLines w:val="0"/>
              <w:suppressLineNumbers w:val="0"/>
              <w:overflowPunct w:val="0"/>
              <w:adjustRightInd w:val="0"/>
              <w:snapToGrid w:val="0"/>
              <w:spacing w:before="0" w:beforeAutospacing="0" w:after="0" w:afterAutospacing="0" w:line="360" w:lineRule="auto"/>
              <w:ind w:left="0" w:right="0"/>
              <w:contextualSpacing/>
              <w:jc w:val="left"/>
              <w:rPr>
                <w:rFonts w:hint="default" w:ascii="宋体" w:hAnsi="宋体"/>
                <w:color w:val="auto"/>
                <w:szCs w:val="21"/>
              </w:rPr>
            </w:pPr>
            <w:r>
              <w:rPr>
                <w:rFonts w:hint="eastAsia" w:ascii="宋体" w:hAnsi="宋体"/>
                <w:color w:val="auto"/>
                <w:szCs w:val="21"/>
              </w:rPr>
              <w:t>大写：</w:t>
            </w:r>
            <w:r>
              <w:rPr>
                <w:rFonts w:hint="default" w:ascii="宋体" w:hAnsi="宋体"/>
                <w:color w:val="auto"/>
                <w:szCs w:val="21"/>
                <w:u w:val="single"/>
              </w:rPr>
              <w:t xml:space="preserve">                    </w:t>
            </w:r>
          </w:p>
          <w:p w14:paraId="7E6AC4EE">
            <w:pPr>
              <w:keepNext w:val="0"/>
              <w:keepLines w:val="0"/>
              <w:suppressLineNumbers w:val="0"/>
              <w:overflowPunct w:val="0"/>
              <w:adjustRightInd w:val="0"/>
              <w:snapToGrid w:val="0"/>
              <w:spacing w:before="0" w:beforeAutospacing="0" w:after="0" w:afterAutospacing="0" w:line="360" w:lineRule="auto"/>
              <w:ind w:left="0" w:right="0"/>
              <w:contextualSpacing/>
              <w:jc w:val="left"/>
              <w:rPr>
                <w:rFonts w:hint="default" w:ascii="宋体" w:hAnsi="宋体"/>
                <w:color w:val="auto"/>
                <w:szCs w:val="21"/>
              </w:rPr>
            </w:pPr>
            <w:r>
              <w:rPr>
                <w:rFonts w:hint="eastAsia" w:ascii="宋体" w:hAnsi="宋体"/>
                <w:color w:val="auto"/>
                <w:szCs w:val="21"/>
              </w:rPr>
              <w:t>小写：</w:t>
            </w:r>
            <w:r>
              <w:rPr>
                <w:rFonts w:hint="default" w:ascii="宋体" w:hAnsi="宋体"/>
                <w:color w:val="auto"/>
                <w:szCs w:val="21"/>
                <w:u w:val="single"/>
              </w:rPr>
              <w:t xml:space="preserve">                    </w:t>
            </w:r>
          </w:p>
        </w:tc>
        <w:tc>
          <w:tcPr>
            <w:tcW w:w="614" w:type="pct"/>
            <w:tcBorders>
              <w:top w:val="single" w:color="auto" w:sz="4" w:space="0"/>
              <w:left w:val="single" w:color="auto" w:sz="4" w:space="0"/>
              <w:bottom w:val="single" w:color="auto" w:sz="4" w:space="0"/>
              <w:right w:val="single" w:color="auto" w:sz="4" w:space="0"/>
            </w:tcBorders>
            <w:vAlign w:val="center"/>
          </w:tcPr>
          <w:p w14:paraId="6111CACE">
            <w:pPr>
              <w:keepNext w:val="0"/>
              <w:keepLines w:val="0"/>
              <w:suppressLineNumbers w:val="0"/>
              <w:overflowPunct w:val="0"/>
              <w:adjustRightInd w:val="0"/>
              <w:snapToGrid w:val="0"/>
              <w:spacing w:before="0" w:beforeAutospacing="0" w:after="0" w:afterAutospacing="0" w:line="360" w:lineRule="auto"/>
              <w:ind w:left="0" w:right="0"/>
              <w:contextualSpacing/>
              <w:jc w:val="center"/>
              <w:rPr>
                <w:rFonts w:hint="default" w:ascii="宋体" w:hAnsi="宋体"/>
                <w:color w:val="auto"/>
                <w:szCs w:val="21"/>
              </w:rPr>
            </w:pPr>
          </w:p>
        </w:tc>
      </w:tr>
    </w:tbl>
    <w:p w14:paraId="4738823D">
      <w:pPr>
        <w:spacing w:before="312" w:beforeLines="10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注明：</w:t>
      </w:r>
    </w:p>
    <w:p w14:paraId="5DE92E08">
      <w:pPr>
        <w:pStyle w:val="33"/>
        <w:numPr>
          <w:ilvl w:val="0"/>
          <w:numId w:val="8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w:t>
      </w:r>
      <w:r>
        <w:rPr>
          <w:rFonts w:hint="eastAsia" w:asciiTheme="minorEastAsia" w:hAnsiTheme="minorEastAsia"/>
          <w:color w:val="auto"/>
          <w:szCs w:val="21"/>
          <w:highlight w:val="none"/>
          <w:lang w:val="en-US" w:eastAsia="zh-CN"/>
        </w:rPr>
        <w:t>报价</w:t>
      </w:r>
      <w:r>
        <w:rPr>
          <w:rFonts w:hint="eastAsia" w:asciiTheme="minorEastAsia" w:hAnsiTheme="minorEastAsia"/>
          <w:color w:val="auto"/>
          <w:szCs w:val="21"/>
          <w:highlight w:val="none"/>
        </w:rPr>
        <w:t>栏须用文字和数字两种方式表示</w:t>
      </w:r>
      <w:r>
        <w:rPr>
          <w:rFonts w:hint="eastAsia" w:asciiTheme="minorEastAsia" w:hAnsiTheme="minorEastAsia"/>
          <w:color w:val="auto"/>
          <w:szCs w:val="21"/>
          <w:highlight w:val="none"/>
          <w:lang w:eastAsia="zh-CN"/>
        </w:rPr>
        <w:t>，</w:t>
      </w:r>
      <w:r>
        <w:rPr>
          <w:rFonts w:hint="eastAsia" w:asciiTheme="minorEastAsia" w:hAnsiTheme="minorEastAsia"/>
          <w:color w:val="auto"/>
          <w:szCs w:val="21"/>
          <w:highlight w:val="none"/>
          <w:lang w:val="en-US" w:eastAsia="zh-CN"/>
        </w:rPr>
        <w:t>报价最多保留两位小数</w:t>
      </w:r>
      <w:r>
        <w:rPr>
          <w:rFonts w:hint="eastAsia" w:asciiTheme="minorEastAsia" w:hAnsiTheme="minorEastAsia"/>
          <w:color w:val="auto"/>
          <w:szCs w:val="21"/>
          <w:highlight w:val="none"/>
        </w:rPr>
        <w:t>。</w:t>
      </w:r>
    </w:p>
    <w:p w14:paraId="5597DADF">
      <w:pPr>
        <w:pStyle w:val="33"/>
        <w:numPr>
          <w:ilvl w:val="0"/>
          <w:numId w:val="8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报价一览表内容与响应文件中相应内容不一致的，以报价一览表为准。</w:t>
      </w:r>
    </w:p>
    <w:p w14:paraId="3DB4816B">
      <w:pPr>
        <w:pStyle w:val="33"/>
        <w:numPr>
          <w:ilvl w:val="0"/>
          <w:numId w:val="8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大写和小写不一致的，以大写为准。</w:t>
      </w:r>
    </w:p>
    <w:p w14:paraId="50D5A8A2">
      <w:pPr>
        <w:spacing w:line="360" w:lineRule="auto"/>
        <w:rPr>
          <w:rFonts w:asciiTheme="minorEastAsia" w:hAnsiTheme="minorEastAsia"/>
          <w:color w:val="auto"/>
          <w:szCs w:val="21"/>
          <w:highlight w:val="none"/>
        </w:rPr>
      </w:pPr>
    </w:p>
    <w:p w14:paraId="2FB3229F">
      <w:pPr>
        <w:spacing w:line="360" w:lineRule="auto"/>
        <w:rPr>
          <w:rFonts w:asciiTheme="minorEastAsia" w:hAnsiTheme="minorEastAsia"/>
          <w:color w:val="auto"/>
          <w:szCs w:val="21"/>
          <w:highlight w:val="none"/>
        </w:rPr>
      </w:pPr>
    </w:p>
    <w:p w14:paraId="06440A74">
      <w:pPr>
        <w:spacing w:line="360" w:lineRule="auto"/>
        <w:rPr>
          <w:rFonts w:asciiTheme="minorEastAsia" w:hAnsiTheme="minorEastAsia"/>
          <w:color w:val="auto"/>
          <w:szCs w:val="21"/>
          <w:highlight w:val="none"/>
        </w:rPr>
      </w:pPr>
    </w:p>
    <w:p w14:paraId="7B51ABB3">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gridCol w:w="1899"/>
      </w:tblGrid>
      <w:tr w14:paraId="4910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0734EEA3">
            <w:pPr>
              <w:keepNext w:val="0"/>
              <w:keepLines w:val="0"/>
              <w:suppressLineNumbers w:val="0"/>
              <w:overflowPunct w:val="0"/>
              <w:adjustRightInd w:val="0"/>
              <w:spacing w:before="0" w:beforeAutospacing="0" w:after="0" w:afterAutospacing="0" w:line="48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p>
        </w:tc>
        <w:tc>
          <w:tcPr>
            <w:tcW w:w="1899" w:type="dxa"/>
          </w:tcPr>
          <w:p w14:paraId="14B39964">
            <w:pPr>
              <w:keepNext w:val="0"/>
              <w:keepLines w:val="0"/>
              <w:suppressLineNumbers w:val="0"/>
              <w:spacing w:before="0" w:beforeAutospacing="0" w:after="0" w:afterAutospacing="0" w:line="480" w:lineRule="auto"/>
              <w:ind w:left="0" w:right="0"/>
              <w:rPr>
                <w:rFonts w:hint="default" w:asciiTheme="minorEastAsia" w:hAnsiTheme="minorEastAsia"/>
                <w:color w:val="auto"/>
                <w:szCs w:val="21"/>
                <w:highlight w:val="none"/>
              </w:rPr>
            </w:pPr>
          </w:p>
        </w:tc>
      </w:tr>
      <w:tr w14:paraId="7DD1D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120C6EEA">
            <w:pPr>
              <w:keepNext w:val="0"/>
              <w:keepLines w:val="0"/>
              <w:suppressLineNumbers w:val="0"/>
              <w:spacing w:before="0" w:beforeAutospacing="0" w:after="0" w:afterAutospacing="0" w:line="48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响应供应商法定代表人或被授权人（签名或盖私章）：</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p>
        </w:tc>
        <w:tc>
          <w:tcPr>
            <w:tcW w:w="1899" w:type="dxa"/>
          </w:tcPr>
          <w:p w14:paraId="0207BC5C">
            <w:pPr>
              <w:keepNext w:val="0"/>
              <w:keepLines w:val="0"/>
              <w:suppressLineNumbers w:val="0"/>
              <w:spacing w:before="0" w:beforeAutospacing="0" w:after="0" w:afterAutospacing="0" w:line="480" w:lineRule="auto"/>
              <w:ind w:left="0" w:right="0"/>
              <w:rPr>
                <w:rFonts w:hint="default" w:asciiTheme="minorEastAsia" w:hAnsiTheme="minorEastAsia"/>
                <w:color w:val="auto"/>
                <w:szCs w:val="21"/>
                <w:highlight w:val="none"/>
              </w:rPr>
            </w:pPr>
          </w:p>
        </w:tc>
      </w:tr>
      <w:tr w14:paraId="3B55D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75F7DB80">
            <w:pPr>
              <w:keepNext w:val="0"/>
              <w:keepLines w:val="0"/>
              <w:suppressLineNumbers w:val="0"/>
              <w:spacing w:before="0" w:beforeAutospacing="0" w:after="0" w:afterAutospacing="0" w:line="48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1899" w:type="dxa"/>
          </w:tcPr>
          <w:p w14:paraId="40ACAC2B">
            <w:pPr>
              <w:keepNext w:val="0"/>
              <w:keepLines w:val="0"/>
              <w:suppressLineNumbers w:val="0"/>
              <w:spacing w:before="0" w:beforeAutospacing="0" w:after="0" w:afterAutospacing="0" w:line="480" w:lineRule="auto"/>
              <w:ind w:left="0" w:right="0"/>
              <w:rPr>
                <w:rFonts w:hint="default" w:asciiTheme="minorEastAsia" w:hAnsiTheme="minorEastAsia"/>
                <w:color w:val="auto"/>
                <w:szCs w:val="21"/>
                <w:highlight w:val="none"/>
              </w:rPr>
            </w:pPr>
          </w:p>
        </w:tc>
      </w:tr>
    </w:tbl>
    <w:p w14:paraId="667578A8">
      <w:pPr>
        <w:spacing w:line="360" w:lineRule="auto"/>
        <w:rPr>
          <w:rFonts w:asciiTheme="minorEastAsia" w:hAnsiTheme="minorEastAsia"/>
          <w:color w:val="auto"/>
          <w:szCs w:val="21"/>
          <w:highlight w:val="none"/>
        </w:rPr>
      </w:pPr>
    </w:p>
    <w:p w14:paraId="43A2AA8F">
      <w:pPr>
        <w:spacing w:line="360" w:lineRule="auto"/>
        <w:rPr>
          <w:rFonts w:asciiTheme="minorEastAsia" w:hAnsiTheme="minorEastAsia"/>
          <w:color w:val="auto"/>
          <w:szCs w:val="21"/>
          <w:highlight w:val="none"/>
        </w:rPr>
      </w:pPr>
    </w:p>
    <w:p w14:paraId="52760E82">
      <w:pPr>
        <w:tabs>
          <w:tab w:val="left" w:pos="1180"/>
        </w:tabs>
        <w:rPr>
          <w:rFonts w:asciiTheme="minorEastAsia" w:hAnsiTheme="minorEastAsia"/>
          <w:color w:val="auto"/>
          <w:sz w:val="28"/>
          <w:szCs w:val="28"/>
          <w:highlight w:val="none"/>
        </w:rPr>
      </w:pPr>
    </w:p>
    <w:p w14:paraId="161773E9">
      <w:pPr>
        <w:tabs>
          <w:tab w:val="left" w:pos="1180"/>
        </w:tabs>
        <w:rPr>
          <w:rFonts w:asciiTheme="minorEastAsia" w:hAnsiTheme="minorEastAsia"/>
          <w:color w:val="auto"/>
          <w:sz w:val="28"/>
          <w:szCs w:val="28"/>
          <w:highlight w:val="none"/>
        </w:rPr>
      </w:pPr>
    </w:p>
    <w:p w14:paraId="2AE95C55">
      <w:pPr>
        <w:rPr>
          <w:rStyle w:val="25"/>
          <w:rFonts w:asciiTheme="minorEastAsia" w:hAnsiTheme="minorEastAsia" w:eastAsiaTheme="minorEastAsia"/>
          <w:b/>
          <w:bCs/>
          <w:color w:val="auto"/>
          <w:spacing w:val="12"/>
          <w:sz w:val="21"/>
          <w:szCs w:val="21"/>
          <w:highlight w:val="none"/>
        </w:rPr>
      </w:pPr>
      <w:bookmarkStart w:id="67" w:name="_Toc103272908"/>
      <w:bookmarkEnd w:id="67"/>
      <w:bookmarkStart w:id="68" w:name="_Toc103272835"/>
      <w:bookmarkEnd w:id="68"/>
      <w:bookmarkStart w:id="69" w:name="_Toc103272832"/>
      <w:bookmarkEnd w:id="69"/>
      <w:bookmarkStart w:id="70" w:name="_Toc103272805"/>
      <w:bookmarkEnd w:id="70"/>
      <w:bookmarkStart w:id="71" w:name="_Toc103272828"/>
      <w:bookmarkEnd w:id="71"/>
      <w:bookmarkStart w:id="72" w:name="_Toc103272803"/>
      <w:bookmarkEnd w:id="72"/>
      <w:bookmarkStart w:id="73" w:name="_Toc103272819"/>
      <w:bookmarkEnd w:id="73"/>
      <w:bookmarkStart w:id="74" w:name="_Toc103272812"/>
      <w:bookmarkEnd w:id="74"/>
      <w:bookmarkStart w:id="75" w:name="_Toc103272830"/>
      <w:bookmarkEnd w:id="75"/>
      <w:bookmarkStart w:id="76" w:name="_Toc103272834"/>
      <w:bookmarkEnd w:id="76"/>
      <w:bookmarkStart w:id="77" w:name="_Toc103272810"/>
      <w:bookmarkEnd w:id="77"/>
      <w:bookmarkStart w:id="78" w:name="_Toc103272818"/>
      <w:bookmarkEnd w:id="78"/>
      <w:bookmarkStart w:id="79" w:name="_Toc103272814"/>
      <w:bookmarkEnd w:id="79"/>
      <w:bookmarkStart w:id="80" w:name="_Toc103272808"/>
      <w:bookmarkEnd w:id="80"/>
      <w:bookmarkStart w:id="81" w:name="_Toc103272807"/>
      <w:bookmarkEnd w:id="81"/>
      <w:bookmarkStart w:id="82" w:name="_Toc103272821"/>
      <w:bookmarkEnd w:id="82"/>
      <w:bookmarkStart w:id="83" w:name="_Toc103272815"/>
      <w:bookmarkEnd w:id="83"/>
      <w:bookmarkStart w:id="84" w:name="_Toc103272905"/>
      <w:bookmarkEnd w:id="84"/>
      <w:bookmarkStart w:id="85" w:name="_Toc103272806"/>
      <w:bookmarkEnd w:id="85"/>
      <w:bookmarkStart w:id="86" w:name="_Toc103272802"/>
      <w:bookmarkEnd w:id="86"/>
      <w:bookmarkStart w:id="87" w:name="_Toc103272813"/>
      <w:bookmarkEnd w:id="87"/>
      <w:bookmarkStart w:id="88" w:name="_Toc103272904"/>
      <w:bookmarkEnd w:id="88"/>
      <w:bookmarkStart w:id="89" w:name="_Toc103272809"/>
      <w:bookmarkEnd w:id="89"/>
      <w:bookmarkStart w:id="90" w:name="_Toc103272817"/>
      <w:bookmarkEnd w:id="90"/>
      <w:bookmarkStart w:id="91" w:name="_Toc103272903"/>
      <w:bookmarkEnd w:id="91"/>
      <w:bookmarkStart w:id="92" w:name="_Toc103272836"/>
      <w:bookmarkEnd w:id="92"/>
      <w:bookmarkStart w:id="93" w:name="_Toc103272829"/>
      <w:bookmarkEnd w:id="93"/>
      <w:bookmarkStart w:id="94" w:name="_Toc103272816"/>
      <w:bookmarkEnd w:id="94"/>
      <w:bookmarkStart w:id="95" w:name="_Toc103272804"/>
      <w:bookmarkEnd w:id="95"/>
      <w:bookmarkStart w:id="96" w:name="_Toc103272833"/>
      <w:bookmarkEnd w:id="96"/>
      <w:bookmarkStart w:id="97" w:name="_Toc103272907"/>
      <w:bookmarkEnd w:id="97"/>
      <w:bookmarkStart w:id="98" w:name="_Toc103272915"/>
      <w:bookmarkEnd w:id="98"/>
      <w:bookmarkStart w:id="99" w:name="_Toc103272801"/>
      <w:bookmarkEnd w:id="99"/>
      <w:bookmarkStart w:id="100" w:name="_Toc103272906"/>
      <w:bookmarkEnd w:id="100"/>
      <w:bookmarkStart w:id="101" w:name="_Toc103272831"/>
      <w:bookmarkEnd w:id="101"/>
      <w:bookmarkStart w:id="102" w:name="_Toc103272916"/>
      <w:bookmarkEnd w:id="102"/>
      <w:bookmarkStart w:id="103" w:name="_Toc103272820"/>
      <w:bookmarkEnd w:id="103"/>
      <w:bookmarkStart w:id="104" w:name="_Toc103272811"/>
      <w:bookmarkEnd w:id="104"/>
      <w:bookmarkStart w:id="105" w:name="_Toc391627757"/>
      <w:bookmarkStart w:id="106" w:name="_Toc405313961"/>
      <w:bookmarkStart w:id="107" w:name="_Toc138770017"/>
      <w:r>
        <w:rPr>
          <w:rStyle w:val="25"/>
          <w:rFonts w:hint="eastAsia" w:asciiTheme="minorEastAsia" w:hAnsiTheme="minorEastAsia" w:eastAsiaTheme="minorEastAsia"/>
          <w:b/>
          <w:bCs/>
          <w:color w:val="auto"/>
          <w:spacing w:val="12"/>
          <w:sz w:val="21"/>
          <w:szCs w:val="21"/>
          <w:highlight w:val="none"/>
        </w:rPr>
        <w:br w:type="page"/>
      </w:r>
    </w:p>
    <w:p w14:paraId="1CC66D97">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r>
        <w:rPr>
          <w:rStyle w:val="25"/>
          <w:rFonts w:hint="eastAsia" w:asciiTheme="minorEastAsia" w:hAnsiTheme="minorEastAsia" w:eastAsiaTheme="minorEastAsia"/>
          <w:b/>
          <w:bCs/>
          <w:color w:val="auto"/>
          <w:spacing w:val="12"/>
          <w:sz w:val="21"/>
          <w:szCs w:val="21"/>
          <w:highlight w:val="none"/>
        </w:rPr>
        <w:t>响应函</w:t>
      </w:r>
      <w:bookmarkEnd w:id="105"/>
      <w:bookmarkEnd w:id="106"/>
      <w:bookmarkEnd w:id="107"/>
    </w:p>
    <w:p w14:paraId="0366F953">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响应函</w:t>
      </w:r>
    </w:p>
    <w:p w14:paraId="207792DC">
      <w:pPr>
        <w:spacing w:before="156" w:beforeLines="50" w:after="156" w:afterLines="5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p w14:paraId="2649D41F">
      <w:pPr>
        <w:autoSpaceDE w:val="0"/>
        <w:autoSpaceDN w:val="0"/>
        <w:adjustRightInd w:val="0"/>
        <w:spacing w:line="360" w:lineRule="auto"/>
        <w:ind w:right="26" w:firstLine="420" w:firstLineChars="200"/>
        <w:rPr>
          <w:rFonts w:asciiTheme="minorEastAsia" w:hAnsiTheme="minorEastAsia"/>
          <w:color w:val="auto"/>
          <w:kern w:val="0"/>
          <w:szCs w:val="21"/>
          <w:highlight w:val="none"/>
        </w:rPr>
      </w:pPr>
      <w:r>
        <w:rPr>
          <w:rFonts w:hint="eastAsia" w:asciiTheme="minorEastAsia" w:hAnsiTheme="minorEastAsia"/>
          <w:bCs/>
          <w:color w:val="auto"/>
          <w:kern w:val="0"/>
          <w:szCs w:val="21"/>
          <w:highlight w:val="none"/>
        </w:rPr>
        <w:t>依据贵方</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项目名称</w:t>
      </w:r>
      <w:r>
        <w:rPr>
          <w:rFonts w:asciiTheme="minorEastAsia" w:hAnsiTheme="minorEastAsia"/>
          <w:b/>
          <w:bCs/>
          <w:color w:val="auto"/>
          <w:szCs w:val="21"/>
          <w:highlight w:val="none"/>
          <w:u w:val="single"/>
        </w:rPr>
        <w:t xml:space="preserve"> </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项目</w:t>
      </w:r>
      <w:r>
        <w:rPr>
          <w:rFonts w:hint="eastAsia" w:asciiTheme="minorEastAsia" w:hAnsiTheme="minorEastAsia"/>
          <w:bCs/>
          <w:color w:val="auto"/>
          <w:szCs w:val="21"/>
          <w:highlight w:val="none"/>
          <w:u w:val="single"/>
        </w:rPr>
        <w:t>（</w:t>
      </w:r>
      <w:r>
        <w:rPr>
          <w:rFonts w:hint="eastAsia" w:asciiTheme="minorEastAsia" w:hAnsiTheme="minorEastAsia"/>
          <w:b/>
          <w:bCs/>
          <w:color w:val="auto"/>
          <w:szCs w:val="21"/>
          <w:highlight w:val="none"/>
          <w:u w:val="single"/>
        </w:rPr>
        <w:t>评选编号：</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的邀请，我方代表</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（姓名、职务）</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经正式授权并代表</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（响应供应商名称）</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rPr>
        <w:t>提交响应信封一份、</w:t>
      </w:r>
      <w:r>
        <w:rPr>
          <w:rFonts w:hint="eastAsia" w:asciiTheme="minorEastAsia" w:hAnsiTheme="minorEastAsia"/>
          <w:bCs/>
          <w:color w:val="auto"/>
          <w:kern w:val="0"/>
          <w:szCs w:val="21"/>
          <w:highlight w:val="none"/>
        </w:rPr>
        <w:t>响应文件</w:t>
      </w:r>
      <w:r>
        <w:rPr>
          <w:rFonts w:asciiTheme="minorEastAsia" w:hAnsiTheme="minorEastAsia"/>
          <w:bCs/>
          <w:color w:val="auto"/>
          <w:kern w:val="0"/>
          <w:szCs w:val="21"/>
          <w:highlight w:val="none"/>
        </w:rPr>
        <w:t>正本一份，副本</w:t>
      </w:r>
      <w:r>
        <w:rPr>
          <w:rFonts w:hint="eastAsia" w:asciiTheme="minorEastAsia" w:hAnsiTheme="minorEastAsia"/>
          <w:bCs/>
          <w:color w:val="auto"/>
          <w:kern w:val="0"/>
          <w:szCs w:val="21"/>
          <w:highlight w:val="none"/>
        </w:rPr>
        <w:t>五份。</w:t>
      </w:r>
    </w:p>
    <w:p w14:paraId="795B66B3">
      <w:pPr>
        <w:autoSpaceDE w:val="0"/>
        <w:autoSpaceDN w:val="0"/>
        <w:adjustRightInd w:val="0"/>
        <w:spacing w:line="360" w:lineRule="auto"/>
        <w:ind w:right="246"/>
        <w:rPr>
          <w:rFonts w:asciiTheme="minorEastAsia" w:hAnsiTheme="minorEastAsia"/>
          <w:color w:val="auto"/>
          <w:kern w:val="0"/>
          <w:szCs w:val="21"/>
          <w:highlight w:val="none"/>
        </w:rPr>
      </w:pPr>
      <w:r>
        <w:rPr>
          <w:rFonts w:hint="eastAsia" w:asciiTheme="minorEastAsia" w:hAnsiTheme="minorEastAsia"/>
          <w:color w:val="auto"/>
          <w:kern w:val="0"/>
          <w:szCs w:val="21"/>
          <w:highlight w:val="none"/>
        </w:rPr>
        <w:t>在此，我方声明如下：</w:t>
      </w:r>
    </w:p>
    <w:p w14:paraId="427FDF22">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pacing w:val="-6"/>
          <w:szCs w:val="21"/>
          <w:highlight w:val="none"/>
        </w:rPr>
        <w:t>同意并接受遴选文件的各项要求，遵守遴选文件中的各项规定，按遴选文件的要求提供报价</w:t>
      </w:r>
      <w:r>
        <w:rPr>
          <w:rFonts w:hint="eastAsia" w:asciiTheme="minorEastAsia" w:hAnsiTheme="minorEastAsia"/>
          <w:color w:val="auto"/>
          <w:szCs w:val="21"/>
          <w:highlight w:val="none"/>
        </w:rPr>
        <w:t>。</w:t>
      </w:r>
    </w:p>
    <w:p w14:paraId="3E9FE9CD">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投标有效期为递交响应文件截止日起</w:t>
      </w:r>
      <w:r>
        <w:rPr>
          <w:rFonts w:asciiTheme="minorEastAsia" w:hAnsiTheme="minorEastAsia"/>
          <w:color w:val="auto"/>
          <w:szCs w:val="21"/>
          <w:highlight w:val="none"/>
          <w:u w:val="single"/>
        </w:rPr>
        <w:t xml:space="preserve"> 90 </w:t>
      </w:r>
      <w:r>
        <w:rPr>
          <w:rFonts w:hint="eastAsia" w:asciiTheme="minorEastAsia" w:hAnsiTheme="minorEastAsia"/>
          <w:color w:val="auto"/>
          <w:szCs w:val="21"/>
          <w:highlight w:val="none"/>
        </w:rPr>
        <w:t>天，如中标，有效期将延至合同终止日为止。</w:t>
      </w:r>
    </w:p>
    <w:p w14:paraId="17D93E22">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我方已经详细地阅读了全部遴选文件及其附件，</w:t>
      </w:r>
      <w:bookmarkStart w:id="108" w:name="_Hlk90989655"/>
      <w:r>
        <w:rPr>
          <w:rFonts w:hint="eastAsia" w:asciiTheme="minorEastAsia" w:hAnsiTheme="minorEastAsia"/>
          <w:color w:val="auto"/>
          <w:szCs w:val="21"/>
          <w:highlight w:val="none"/>
        </w:rPr>
        <w:t>包括澄清及参考文件</w:t>
      </w:r>
      <w:r>
        <w:rPr>
          <w:rFonts w:asciiTheme="minorEastAsia" w:hAnsiTheme="minorEastAsia"/>
          <w:color w:val="auto"/>
          <w:szCs w:val="21"/>
          <w:highlight w:val="none"/>
        </w:rPr>
        <w:t>(如有)。我方已完全清晰理解遴选文件的要求，不存在任何含糊不清和误解之处，同意放弃对这些文件所提出的</w:t>
      </w:r>
      <w:r>
        <w:rPr>
          <w:rFonts w:hint="eastAsia" w:asciiTheme="minorEastAsia" w:hAnsiTheme="minorEastAsia"/>
          <w:color w:val="auto"/>
          <w:szCs w:val="21"/>
          <w:highlight w:val="none"/>
        </w:rPr>
        <w:t>询问</w:t>
      </w:r>
      <w:r>
        <w:rPr>
          <w:rFonts w:asciiTheme="minorEastAsia" w:hAnsiTheme="minorEastAsia"/>
          <w:color w:val="auto"/>
          <w:szCs w:val="21"/>
          <w:highlight w:val="none"/>
        </w:rPr>
        <w:t>和质疑的权利。</w:t>
      </w:r>
      <w:bookmarkEnd w:id="108"/>
    </w:p>
    <w:p w14:paraId="04315DF8">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我方已毫无保留地向贵方提供一切所需的证明材料。</w:t>
      </w:r>
    </w:p>
    <w:p w14:paraId="74EEAEBC">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我方承诺在本次响应文件中提供的一切文件，无论是原件还是复印件均为真实和准确的，绝无任何虚假、伪造和夸大的成份，否则，愿承担相应的后果和法律责任。</w:t>
      </w:r>
    </w:p>
    <w:p w14:paraId="03B2529E">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我方完全服从和尊重评审委员会所作的评定结果，同时清楚理解到报价最低并非意味着必定获得成交资格。</w:t>
      </w:r>
    </w:p>
    <w:p w14:paraId="6B1835A9">
      <w:pPr>
        <w:pStyle w:val="33"/>
        <w:numPr>
          <w:ilvl w:val="0"/>
          <w:numId w:val="84"/>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我方同意按遴选文件规定向采购代理机构缴纳中标服务费。</w:t>
      </w:r>
    </w:p>
    <w:p w14:paraId="1ACF926D">
      <w:pPr>
        <w:pStyle w:val="33"/>
        <w:numPr>
          <w:ilvl w:val="0"/>
          <w:numId w:val="84"/>
        </w:numPr>
        <w:tabs>
          <w:tab w:val="left" w:pos="567"/>
          <w:tab w:val="left" w:pos="709"/>
        </w:tabs>
        <w:spacing w:after="312" w:afterLines="10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所有与本</w:t>
      </w:r>
      <w:r>
        <w:rPr>
          <w:rFonts w:hint="eastAsia" w:asciiTheme="minorEastAsia" w:hAnsiTheme="minorEastAsia"/>
          <w:color w:val="auto"/>
          <w:szCs w:val="21"/>
          <w:highlight w:val="none"/>
        </w:rPr>
        <w:t>项目</w:t>
      </w:r>
      <w:r>
        <w:rPr>
          <w:rFonts w:asciiTheme="minorEastAsia" w:hAnsiTheme="minorEastAsia"/>
          <w:color w:val="auto"/>
          <w:szCs w:val="21"/>
          <w:highlight w:val="none"/>
        </w:rPr>
        <w:t>有关的函件请发往下列地址：</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2B556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28312728">
            <w:pPr>
              <w:keepNext w:val="0"/>
              <w:keepLines w:val="0"/>
              <w:suppressLineNumbers w:val="0"/>
              <w:spacing w:before="156" w:beforeLines="5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响应供应商地址：</w:t>
            </w:r>
            <w:r>
              <w:rPr>
                <w:rFonts w:hint="default" w:asciiTheme="minorEastAsia" w:hAnsiTheme="minorEastAsia"/>
                <w:color w:val="auto"/>
                <w:szCs w:val="21"/>
                <w:highlight w:val="none"/>
                <w:u w:val="single"/>
              </w:rPr>
              <w:t xml:space="preserve">                          </w:t>
            </w:r>
          </w:p>
        </w:tc>
        <w:tc>
          <w:tcPr>
            <w:tcW w:w="2500" w:type="pct"/>
          </w:tcPr>
          <w:p w14:paraId="00B7EEEB">
            <w:pPr>
              <w:keepNext w:val="0"/>
              <w:keepLines w:val="0"/>
              <w:suppressLineNumbers w:val="0"/>
              <w:spacing w:before="156" w:beforeLines="5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邮编：</w:t>
            </w:r>
            <w:r>
              <w:rPr>
                <w:rFonts w:hint="default" w:asciiTheme="minorEastAsia" w:hAnsiTheme="minorEastAsia"/>
                <w:color w:val="auto"/>
                <w:szCs w:val="21"/>
                <w:highlight w:val="none"/>
                <w:u w:val="single"/>
              </w:rPr>
              <w:t xml:space="preserve">                                </w:t>
            </w:r>
          </w:p>
        </w:tc>
      </w:tr>
      <w:tr w14:paraId="337DD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696695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联系电话：</w:t>
            </w:r>
            <w:r>
              <w:rPr>
                <w:rFonts w:hint="default" w:asciiTheme="minorEastAsia" w:hAnsiTheme="minorEastAsia"/>
                <w:color w:val="auto"/>
                <w:szCs w:val="21"/>
                <w:highlight w:val="none"/>
                <w:u w:val="single"/>
              </w:rPr>
              <w:t xml:space="preserve">                            </w:t>
            </w:r>
          </w:p>
        </w:tc>
        <w:tc>
          <w:tcPr>
            <w:tcW w:w="2500" w:type="pct"/>
          </w:tcPr>
          <w:p w14:paraId="5353089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传真：</w:t>
            </w:r>
            <w:r>
              <w:rPr>
                <w:rFonts w:hint="default" w:asciiTheme="minorEastAsia" w:hAnsiTheme="minorEastAsia"/>
                <w:color w:val="auto"/>
                <w:szCs w:val="21"/>
                <w:highlight w:val="none"/>
                <w:u w:val="single"/>
              </w:rPr>
              <w:t xml:space="preserve">                                </w:t>
            </w:r>
          </w:p>
        </w:tc>
      </w:tr>
      <w:tr w14:paraId="4F294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DEDFCA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项目联系人：</w:t>
            </w:r>
            <w:r>
              <w:rPr>
                <w:rFonts w:hint="default" w:asciiTheme="minorEastAsia" w:hAnsiTheme="minorEastAsia"/>
                <w:color w:val="auto"/>
                <w:szCs w:val="21"/>
                <w:highlight w:val="none"/>
                <w:u w:val="single"/>
              </w:rPr>
              <w:t xml:space="preserve">                          </w:t>
            </w:r>
          </w:p>
        </w:tc>
        <w:tc>
          <w:tcPr>
            <w:tcW w:w="2500" w:type="pct"/>
          </w:tcPr>
          <w:p w14:paraId="2E03498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手机：</w:t>
            </w:r>
            <w:r>
              <w:rPr>
                <w:rFonts w:hint="default" w:asciiTheme="minorEastAsia" w:hAnsiTheme="minorEastAsia"/>
                <w:color w:val="auto"/>
                <w:szCs w:val="21"/>
                <w:highlight w:val="none"/>
                <w:u w:val="single"/>
              </w:rPr>
              <w:t xml:space="preserve">                                </w:t>
            </w:r>
          </w:p>
        </w:tc>
      </w:tr>
      <w:tr w14:paraId="17CF8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E40D245">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r>
      <w:tr w14:paraId="50B09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0FF54DA6">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响应供应商法定代表人或被授权人（签名或盖私章）：</w:t>
            </w:r>
            <w:r>
              <w:rPr>
                <w:rFonts w:hint="default" w:asciiTheme="minorEastAsia" w:hAnsiTheme="minorEastAsia"/>
                <w:color w:val="auto"/>
                <w:szCs w:val="21"/>
                <w:highlight w:val="none"/>
                <w:u w:val="single"/>
              </w:rPr>
              <w:t xml:space="preserve">                                   </w:t>
            </w:r>
          </w:p>
        </w:tc>
      </w:tr>
      <w:tr w14:paraId="67A2E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218E3563">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年</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月</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日</w:t>
            </w:r>
          </w:p>
        </w:tc>
      </w:tr>
    </w:tbl>
    <w:p w14:paraId="70814611">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09" w:name="_Toc391627764"/>
      <w:bookmarkStart w:id="110" w:name="_Toc405313969"/>
      <w:bookmarkStart w:id="111" w:name="_Toc75734373"/>
      <w:bookmarkStart w:id="112" w:name="_Toc138770018"/>
      <w:bookmarkStart w:id="113" w:name="_Toc391627758"/>
      <w:bookmarkStart w:id="114" w:name="_Toc405313962"/>
      <w:r>
        <w:rPr>
          <w:rStyle w:val="25"/>
          <w:rFonts w:hint="eastAsia" w:asciiTheme="minorEastAsia" w:hAnsiTheme="minorEastAsia" w:eastAsiaTheme="minorEastAsia"/>
          <w:b/>
          <w:bCs/>
          <w:color w:val="auto"/>
          <w:spacing w:val="12"/>
          <w:sz w:val="21"/>
          <w:szCs w:val="21"/>
          <w:highlight w:val="none"/>
        </w:rPr>
        <w:t>资格</w:t>
      </w:r>
      <w:bookmarkEnd w:id="109"/>
      <w:bookmarkEnd w:id="110"/>
      <w:r>
        <w:rPr>
          <w:rStyle w:val="25"/>
          <w:rFonts w:hint="eastAsia" w:asciiTheme="minorEastAsia" w:hAnsiTheme="minorEastAsia" w:eastAsiaTheme="minorEastAsia"/>
          <w:b/>
          <w:bCs/>
          <w:color w:val="auto"/>
          <w:spacing w:val="12"/>
          <w:sz w:val="21"/>
          <w:szCs w:val="21"/>
          <w:highlight w:val="none"/>
        </w:rPr>
        <w:t>声明函</w:t>
      </w:r>
      <w:bookmarkEnd w:id="111"/>
      <w:bookmarkEnd w:id="112"/>
    </w:p>
    <w:p w14:paraId="2A69EB52">
      <w:pPr>
        <w:spacing w:before="156" w:beforeLines="50" w:after="312" w:afterLines="100" w:line="360" w:lineRule="auto"/>
        <w:jc w:val="center"/>
        <w:rPr>
          <w:rFonts w:asciiTheme="minorEastAsia" w:hAnsiTheme="minorEastAsia"/>
          <w:b/>
          <w:color w:val="auto"/>
          <w:spacing w:val="20"/>
          <w:sz w:val="30"/>
          <w:szCs w:val="30"/>
          <w:highlight w:val="none"/>
        </w:rPr>
      </w:pPr>
      <w:bookmarkStart w:id="115" w:name="_Hlk81177964"/>
      <w:r>
        <w:rPr>
          <w:rFonts w:hint="eastAsia" w:asciiTheme="minorEastAsia" w:hAnsiTheme="minorEastAsia"/>
          <w:b/>
          <w:color w:val="auto"/>
          <w:spacing w:val="20"/>
          <w:sz w:val="30"/>
          <w:szCs w:val="30"/>
          <w:highlight w:val="none"/>
        </w:rPr>
        <w:t>资格声明函</w:t>
      </w:r>
    </w:p>
    <w:bookmarkEnd w:id="115"/>
    <w:p w14:paraId="3C75670E">
      <w:pPr>
        <w:adjustRightInd w:val="0"/>
        <w:snapToGrid w:val="0"/>
        <w:spacing w:after="156" w:afterLines="50" w:line="360" w:lineRule="auto"/>
        <w:rPr>
          <w:rFonts w:asciiTheme="minorEastAsia" w:hAnsiTheme="minorEastAsia"/>
          <w:b/>
          <w:color w:val="auto"/>
          <w:szCs w:val="21"/>
          <w:highlight w:val="none"/>
        </w:rPr>
      </w:pPr>
      <w:r>
        <w:rPr>
          <w:rFonts w:hint="eastAsia" w:asciiTheme="minorEastAsia" w:hAnsiTheme="minorEastAsia"/>
          <w:b/>
          <w:color w:val="auto"/>
          <w:szCs w:val="21"/>
          <w:highlight w:val="none"/>
        </w:rPr>
        <w:t>广东智汇城市招标采购有限公司：</w:t>
      </w:r>
    </w:p>
    <w:p w14:paraId="7EFF5BC0">
      <w:pPr>
        <w:adjustRightInd w:val="0"/>
        <w:snapToGrid w:val="0"/>
        <w:spacing w:line="360" w:lineRule="auto"/>
        <w:ind w:firstLine="424" w:firstLineChars="202"/>
        <w:rPr>
          <w:rFonts w:asciiTheme="minorEastAsia" w:hAnsiTheme="minorEastAsia"/>
          <w:color w:val="auto"/>
          <w:szCs w:val="21"/>
          <w:highlight w:val="none"/>
        </w:rPr>
      </w:pPr>
      <w:r>
        <w:rPr>
          <w:rFonts w:hint="eastAsia" w:asciiTheme="minorEastAsia" w:hAnsiTheme="minorEastAsia"/>
          <w:color w:val="auto"/>
          <w:szCs w:val="21"/>
          <w:highlight w:val="none"/>
        </w:rPr>
        <w:t xml:space="preserve">关于贵公司 </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年</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月</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日发布</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项目（评选编号：</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）的采购公告，本单位愿意参加投标，并声明：</w:t>
      </w:r>
    </w:p>
    <w:p w14:paraId="256FC286">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本单位具有依法缴纳税收和社会保障资金的良好记录。</w:t>
      </w:r>
    </w:p>
    <w:p w14:paraId="4B864634">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本单位具有良好的商业信誉和健全的财务会计制度。</w:t>
      </w:r>
    </w:p>
    <w:p w14:paraId="79400337">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本单位具有履行合同所必需的设备和专业技术能力。</w:t>
      </w:r>
    </w:p>
    <w:p w14:paraId="27C85C61">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本单位参加采购活动前</w:t>
      </w:r>
      <w:r>
        <w:rPr>
          <w:rFonts w:cs="宋体" w:asciiTheme="minorEastAsia" w:hAnsiTheme="minorEastAsia"/>
          <w:color w:val="auto"/>
          <w:kern w:val="0"/>
          <w:szCs w:val="21"/>
          <w:highlight w:val="none"/>
        </w:rPr>
        <w:t>3年内，在经营活动中没有重大违法记录：重大违法记录，是指响应供应商因违法经营受到刑事处罚或者责令停产停业、吊销许可证或者执照、较大数额罚款等行政处罚。（较大数额罚款按照发出行政处罚决定</w:t>
      </w:r>
      <w:r>
        <w:rPr>
          <w:rFonts w:hint="eastAsia" w:cs="宋体" w:asciiTheme="minorEastAsia" w:hAnsiTheme="minorEastAsia"/>
          <w:color w:val="auto"/>
          <w:kern w:val="0"/>
          <w:szCs w:val="21"/>
          <w:highlight w:val="none"/>
        </w:rPr>
        <w:t>书部门所在省级政府，或实行垂直领导的国务院有关行政主管部门制定的较大数额罚款标准，或罚款决定之前需要举行听证会的金额标准来认定）。</w:t>
      </w:r>
    </w:p>
    <w:p w14:paraId="4C8CB168">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本单位具备法律、行政法规规定的其他条件。</w:t>
      </w:r>
    </w:p>
    <w:p w14:paraId="4C7EB726">
      <w:pPr>
        <w:pStyle w:val="33"/>
        <w:widowControl/>
        <w:numPr>
          <w:ilvl w:val="0"/>
          <w:numId w:val="85"/>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本单位承诺单位负责人为同一人或者存在直接控股、管理关系的不同响应供应商，不得同时参加本采购项目（或采购包）投标。</w:t>
      </w:r>
    </w:p>
    <w:p w14:paraId="34451AE0">
      <w:pPr>
        <w:adjustRightInd w:val="0"/>
        <w:snapToGrid w:val="0"/>
        <w:spacing w:line="360" w:lineRule="auto"/>
        <w:ind w:firstLine="424" w:firstLineChars="202"/>
        <w:rPr>
          <w:rFonts w:asciiTheme="minorEastAsia" w:hAnsiTheme="minorEastAsia"/>
          <w:color w:val="auto"/>
          <w:szCs w:val="21"/>
          <w:highlight w:val="none"/>
        </w:rPr>
      </w:pPr>
      <w:r>
        <w:rPr>
          <w:rFonts w:hint="eastAsia" w:asciiTheme="minorEastAsia" w:hAnsiTheme="minorEastAsia"/>
          <w:color w:val="auto"/>
          <w:szCs w:val="21"/>
          <w:highlight w:val="none"/>
        </w:rPr>
        <w:t>本单位承诺在本次采购活动中，如有违法、违规、弄虚作假行为，所造成的损失、不良后果及法律责任，一律由本单位承担。</w:t>
      </w:r>
    </w:p>
    <w:p w14:paraId="5A24D6B2">
      <w:pPr>
        <w:adjustRightInd w:val="0"/>
        <w:snapToGrid w:val="0"/>
        <w:spacing w:before="156" w:beforeLines="50" w:line="360" w:lineRule="auto"/>
        <w:ind w:firstLine="420"/>
        <w:rPr>
          <w:rFonts w:asciiTheme="minorEastAsia" w:hAnsiTheme="minorEastAsia"/>
          <w:color w:val="auto"/>
          <w:szCs w:val="21"/>
          <w:highlight w:val="none"/>
        </w:rPr>
      </w:pPr>
      <w:r>
        <w:rPr>
          <w:rFonts w:hint="eastAsia" w:asciiTheme="minorEastAsia" w:hAnsiTheme="minorEastAsia"/>
          <w:color w:val="auto"/>
          <w:szCs w:val="21"/>
          <w:highlight w:val="none"/>
        </w:rPr>
        <w:t>特此声明！</w:t>
      </w:r>
    </w:p>
    <w:p w14:paraId="524D43E7">
      <w:pPr>
        <w:adjustRightInd w:val="0"/>
        <w:snapToGrid w:val="0"/>
        <w:spacing w:before="312" w:beforeLines="100" w:line="360" w:lineRule="auto"/>
        <w:ind w:firstLine="420"/>
        <w:rPr>
          <w:rFonts w:asciiTheme="minorEastAsia" w:hAnsiTheme="minorEastAsia"/>
          <w:b/>
          <w:color w:val="auto"/>
          <w:szCs w:val="21"/>
          <w:highlight w:val="none"/>
        </w:rPr>
      </w:pPr>
      <w:r>
        <w:rPr>
          <w:rFonts w:hint="eastAsia" w:asciiTheme="minorEastAsia" w:hAnsiTheme="minorEastAsia"/>
          <w:b/>
          <w:color w:val="auto"/>
          <w:szCs w:val="21"/>
          <w:highlight w:val="none"/>
        </w:rPr>
        <w:t>备注：</w:t>
      </w:r>
      <w:r>
        <w:rPr>
          <w:rFonts w:asciiTheme="minorEastAsia" w:hAnsiTheme="minorEastAsia"/>
          <w:b/>
          <w:color w:val="auto"/>
          <w:szCs w:val="21"/>
          <w:highlight w:val="none"/>
        </w:rPr>
        <w:t>1.本声明</w:t>
      </w:r>
      <w:r>
        <w:rPr>
          <w:rFonts w:hint="eastAsia" w:asciiTheme="minorEastAsia" w:hAnsiTheme="minorEastAsia"/>
          <w:b/>
          <w:color w:val="auto"/>
          <w:szCs w:val="21"/>
          <w:highlight w:val="none"/>
        </w:rPr>
        <w:t>函必须提供且内容不得擅自删改，否则视为无效响应。</w:t>
      </w:r>
    </w:p>
    <w:p w14:paraId="7932DB91">
      <w:pPr>
        <w:adjustRightInd w:val="0"/>
        <w:snapToGrid w:val="0"/>
        <w:spacing w:line="360" w:lineRule="auto"/>
        <w:ind w:firstLine="1138" w:firstLineChars="540"/>
        <w:rPr>
          <w:rFonts w:asciiTheme="minorEastAsia" w:hAnsiTheme="minorEastAsia"/>
          <w:b/>
          <w:color w:val="auto"/>
          <w:szCs w:val="21"/>
          <w:highlight w:val="none"/>
        </w:rPr>
      </w:pPr>
      <w:r>
        <w:rPr>
          <w:rFonts w:asciiTheme="minorEastAsia" w:hAnsiTheme="minorEastAsia"/>
          <w:b/>
          <w:color w:val="auto"/>
          <w:szCs w:val="21"/>
          <w:highlight w:val="none"/>
        </w:rPr>
        <w:t>2.本</w:t>
      </w:r>
      <w:bookmarkStart w:id="116" w:name="_Hlk20518506"/>
      <w:r>
        <w:rPr>
          <w:rFonts w:asciiTheme="minorEastAsia" w:hAnsiTheme="minorEastAsia"/>
          <w:b/>
          <w:color w:val="auto"/>
          <w:szCs w:val="21"/>
          <w:highlight w:val="none"/>
        </w:rPr>
        <w:t>声明</w:t>
      </w:r>
      <w:bookmarkEnd w:id="116"/>
      <w:r>
        <w:rPr>
          <w:rFonts w:asciiTheme="minorEastAsia" w:hAnsiTheme="minorEastAsia"/>
          <w:b/>
          <w:color w:val="auto"/>
          <w:szCs w:val="21"/>
          <w:highlight w:val="none"/>
        </w:rPr>
        <w:t>函如有虚假或与事实不符的，作无效</w:t>
      </w:r>
      <w:r>
        <w:rPr>
          <w:rFonts w:hint="eastAsia" w:asciiTheme="minorEastAsia" w:hAnsiTheme="minorEastAsia"/>
          <w:b/>
          <w:color w:val="auto"/>
          <w:szCs w:val="21"/>
          <w:highlight w:val="none"/>
        </w:rPr>
        <w:t>响应</w:t>
      </w:r>
      <w:r>
        <w:rPr>
          <w:rFonts w:asciiTheme="minorEastAsia" w:hAnsiTheme="minorEastAsia"/>
          <w:b/>
          <w:color w:val="auto"/>
          <w:szCs w:val="21"/>
          <w:highlight w:val="none"/>
        </w:rPr>
        <w:t>处理。</w:t>
      </w:r>
    </w:p>
    <w:p w14:paraId="2F1E4409">
      <w:pPr>
        <w:adjustRightInd w:val="0"/>
        <w:snapToGrid w:val="0"/>
        <w:spacing w:after="156" w:afterLines="50" w:line="360" w:lineRule="auto"/>
        <w:jc w:val="left"/>
        <w:rPr>
          <w:rFonts w:asciiTheme="minorEastAsia" w:hAnsiTheme="minorEastAsia"/>
          <w:b/>
          <w:color w:val="auto"/>
          <w:szCs w:val="21"/>
          <w:highlight w:val="none"/>
        </w:rPr>
      </w:pPr>
    </w:p>
    <w:p w14:paraId="3724D893">
      <w:pPr>
        <w:adjustRightInd w:val="0"/>
        <w:snapToGrid w:val="0"/>
        <w:spacing w:after="156" w:afterLines="50" w:line="360" w:lineRule="auto"/>
        <w:jc w:val="left"/>
        <w:rPr>
          <w:rFonts w:asciiTheme="minorEastAsia" w:hAnsiTheme="minorEastAsia"/>
          <w:b/>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AB2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B9547E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48F56F12">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2606B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A0E0AF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57C7C613">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6B67BB9E">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17" w:name="_Toc138770019"/>
      <w:r>
        <w:rPr>
          <w:rStyle w:val="25"/>
          <w:rFonts w:hint="eastAsia" w:asciiTheme="minorEastAsia" w:hAnsiTheme="minorEastAsia" w:eastAsiaTheme="minorEastAsia"/>
          <w:b/>
          <w:bCs/>
          <w:color w:val="auto"/>
          <w:spacing w:val="12"/>
          <w:sz w:val="21"/>
          <w:szCs w:val="21"/>
          <w:highlight w:val="none"/>
        </w:rPr>
        <w:t>法定代表人身份证明书</w:t>
      </w:r>
      <w:bookmarkEnd w:id="113"/>
      <w:bookmarkEnd w:id="114"/>
      <w:bookmarkEnd w:id="117"/>
    </w:p>
    <w:p w14:paraId="05959842">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法定代表人身份证明书</w:t>
      </w:r>
    </w:p>
    <w:p w14:paraId="56FED931">
      <w:pPr>
        <w:spacing w:before="312" w:beforeLines="100" w:after="156" w:afterLines="5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4E5BD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09DF160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同志，现任我单位</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职务，为法定代表人，特此证明。</w:t>
            </w:r>
          </w:p>
        </w:tc>
      </w:tr>
      <w:tr w14:paraId="7E56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3496A33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p w14:paraId="1200B660">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附：</w:t>
            </w:r>
          </w:p>
          <w:p w14:paraId="40612D3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代表人性别：</w:t>
            </w:r>
          </w:p>
          <w:p w14:paraId="6B111EA7">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身份证号码：</w:t>
            </w:r>
          </w:p>
          <w:p w14:paraId="0AD1CDEE">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联系电话：</w:t>
            </w:r>
          </w:p>
          <w:p w14:paraId="2DD5CE3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主营（产）：</w:t>
            </w:r>
          </w:p>
        </w:tc>
      </w:tr>
      <w:tr w14:paraId="34819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479183F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0CED4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6A84A1B3">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3357" w:type="pct"/>
          </w:tcPr>
          <w:p w14:paraId="7D3C49E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r>
      <w:tr w14:paraId="7F7FB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05555B8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3357" w:type="pct"/>
          </w:tcPr>
          <w:p w14:paraId="36A55376">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法定代表人（签名或盖私章）：</w:t>
            </w:r>
            <w:r>
              <w:rPr>
                <w:rFonts w:hint="default" w:asciiTheme="minorEastAsia" w:hAnsiTheme="minorEastAsia"/>
                <w:color w:val="auto"/>
                <w:szCs w:val="21"/>
                <w:highlight w:val="none"/>
                <w:u w:val="single"/>
              </w:rPr>
              <w:t xml:space="preserve">                         </w:t>
            </w:r>
          </w:p>
        </w:tc>
      </w:tr>
      <w:tr w14:paraId="3CCCB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61423BE3">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3357" w:type="pct"/>
          </w:tcPr>
          <w:p w14:paraId="45006FC5">
            <w:pPr>
              <w:keepNext w:val="0"/>
              <w:keepLines w:val="0"/>
              <w:suppressLineNumbers w:val="0"/>
              <w:spacing w:before="0" w:beforeAutospacing="0" w:after="312" w:afterLines="10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r>
    </w:tbl>
    <w:p w14:paraId="15DC1AD3">
      <w:pPr>
        <w:spacing w:before="156" w:beforeLines="50" w:after="156" w:after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82D072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37FDCB66">
            <w:pPr>
              <w:pStyle w:val="39"/>
              <w:keepNext w:val="0"/>
              <w:keepLines w:val="0"/>
              <w:suppressLineNumbers w:val="0"/>
              <w:spacing w:before="0" w:beforeAutospacing="0" w:after="0" w:afterAutospacing="0" w:line="460" w:lineRule="exact"/>
              <w:ind w:left="0" w:right="0" w:firstLine="0" w:firstLineChars="0"/>
              <w:jc w:val="center"/>
              <w:rPr>
                <w:rFonts w:hint="default"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正面</w:t>
            </w:r>
          </w:p>
        </w:tc>
        <w:tc>
          <w:tcPr>
            <w:tcW w:w="2500" w:type="pct"/>
            <w:vAlign w:val="center"/>
          </w:tcPr>
          <w:p w14:paraId="1E70CB1E">
            <w:pPr>
              <w:pStyle w:val="39"/>
              <w:keepNext w:val="0"/>
              <w:keepLines w:val="0"/>
              <w:suppressLineNumbers w:val="0"/>
              <w:spacing w:before="0" w:beforeAutospacing="0" w:after="0" w:afterAutospacing="0" w:line="460" w:lineRule="exact"/>
              <w:ind w:left="0" w:right="0" w:firstLine="0" w:firstLineChars="0"/>
              <w:jc w:val="center"/>
              <w:rPr>
                <w:rFonts w:hint="default"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背面</w:t>
            </w:r>
          </w:p>
        </w:tc>
      </w:tr>
    </w:tbl>
    <w:p w14:paraId="22793BEA">
      <w:pPr>
        <w:spacing w:before="156" w:beforeLines="50" w:after="93" w:afterLines="30" w:line="360" w:lineRule="auto"/>
        <w:rPr>
          <w:rFonts w:asciiTheme="minorEastAsia" w:hAnsiTheme="minorEastAsia"/>
          <w:color w:val="auto"/>
          <w:szCs w:val="21"/>
          <w:highlight w:val="none"/>
        </w:rPr>
      </w:pPr>
    </w:p>
    <w:p w14:paraId="1FFC4F6F">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18" w:name="_Toc405313963"/>
      <w:bookmarkStart w:id="119" w:name="_Toc138770020"/>
      <w:bookmarkStart w:id="120" w:name="_Toc391627759"/>
      <w:r>
        <w:rPr>
          <w:rStyle w:val="25"/>
          <w:rFonts w:hint="eastAsia" w:asciiTheme="minorEastAsia" w:hAnsiTheme="minorEastAsia" w:eastAsiaTheme="minorEastAsia"/>
          <w:b/>
          <w:bCs/>
          <w:color w:val="auto"/>
          <w:spacing w:val="12"/>
          <w:sz w:val="21"/>
          <w:szCs w:val="21"/>
          <w:highlight w:val="none"/>
        </w:rPr>
        <w:t>法定代表人授权委托书</w:t>
      </w:r>
      <w:bookmarkEnd w:id="118"/>
      <w:bookmarkEnd w:id="119"/>
      <w:bookmarkEnd w:id="120"/>
    </w:p>
    <w:p w14:paraId="2D801D7B">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法定代表人授权委托书</w:t>
      </w:r>
    </w:p>
    <w:p w14:paraId="26F7CE74">
      <w:pPr>
        <w:spacing w:before="468" w:beforeLines="150" w:after="312" w:afterLines="10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p w14:paraId="0BB7F8A8">
      <w:pPr>
        <w:pStyle w:val="39"/>
        <w:spacing w:line="360" w:lineRule="auto"/>
        <w:ind w:firstLine="450" w:firstLine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本人</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u w:val="single"/>
        </w:rPr>
        <w:t>（姓名）</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系</w:t>
      </w:r>
      <w:r>
        <w:rPr>
          <w:rFonts w:asciiTheme="minorEastAsia" w:hAnsiTheme="minorEastAsia" w:eastAsiaTheme="minorEastAsia"/>
          <w:color w:val="auto"/>
          <w:sz w:val="21"/>
          <w:szCs w:val="21"/>
          <w:highlight w:val="none"/>
          <w:u w:val="single"/>
        </w:rPr>
        <w:t xml:space="preserve">  （响应供应商名称）  </w:t>
      </w:r>
      <w:r>
        <w:rPr>
          <w:rFonts w:hint="eastAsia" w:asciiTheme="minorEastAsia" w:hAnsiTheme="minorEastAsia" w:eastAsiaTheme="minorEastAsia"/>
          <w:color w:val="auto"/>
          <w:sz w:val="21"/>
          <w:szCs w:val="21"/>
          <w:highlight w:val="none"/>
        </w:rPr>
        <w:t>的法定代表人，现委托</w:t>
      </w:r>
      <w:r>
        <w:rPr>
          <w:rFonts w:asciiTheme="minorEastAsia" w:hAnsiTheme="minorEastAsia" w:eastAsiaTheme="minorEastAsia"/>
          <w:color w:val="auto"/>
          <w:sz w:val="21"/>
          <w:szCs w:val="21"/>
          <w:highlight w:val="none"/>
          <w:u w:val="single"/>
        </w:rPr>
        <w:t xml:space="preserve"> （姓名） </w:t>
      </w:r>
      <w:r>
        <w:rPr>
          <w:rFonts w:hint="eastAsia" w:asciiTheme="minorEastAsia" w:hAnsiTheme="minorEastAsia" w:eastAsiaTheme="minorEastAsia"/>
          <w:color w:val="auto"/>
          <w:sz w:val="21"/>
          <w:szCs w:val="21"/>
          <w:highlight w:val="none"/>
        </w:rPr>
        <w:t>为我方合法代理人。代理人根据授权，以我方名义签署、澄清、说明、补正、递交、撤回、修改</w:t>
      </w:r>
      <w:r>
        <w:rPr>
          <w:rFonts w:asciiTheme="minorEastAsia" w:hAnsiTheme="minorEastAsia" w:eastAsiaTheme="minorEastAsia"/>
          <w:color w:val="auto"/>
          <w:sz w:val="21"/>
          <w:szCs w:val="21"/>
          <w:highlight w:val="none"/>
          <w:u w:val="single"/>
        </w:rPr>
        <w:t xml:space="preserve">  （项目名称）  </w:t>
      </w:r>
      <w:r>
        <w:rPr>
          <w:rFonts w:hint="eastAsia" w:asciiTheme="minorEastAsia" w:hAnsiTheme="minorEastAsia" w:eastAsiaTheme="minorEastAsia"/>
          <w:color w:val="auto"/>
          <w:sz w:val="21"/>
          <w:szCs w:val="21"/>
          <w:highlight w:val="none"/>
        </w:rPr>
        <w:t>（评选编号：</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u w:val="single"/>
        </w:rPr>
        <w:t>　</w:t>
      </w:r>
      <w:r>
        <w:rPr>
          <w:rFonts w:hint="eastAsia" w:asciiTheme="minorEastAsia" w:hAnsiTheme="minorEastAsia" w:eastAsiaTheme="minorEastAsia"/>
          <w:color w:val="auto"/>
          <w:sz w:val="21"/>
          <w:szCs w:val="21"/>
          <w:highlight w:val="none"/>
        </w:rPr>
        <w:t>）响应文件、签订合同和处理有关事宜，其法律后果由我方承担。</w:t>
      </w:r>
    </w:p>
    <w:p w14:paraId="2BCB0792">
      <w:pPr>
        <w:pStyle w:val="39"/>
        <w:spacing w:line="360" w:lineRule="auto"/>
        <w:ind w:firstLine="428" w:firstLineChars="204"/>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本委托书于</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年</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月</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日签字生效，特此证明。</w:t>
      </w:r>
    </w:p>
    <w:p w14:paraId="26EE2AE8">
      <w:pPr>
        <w:pStyle w:val="39"/>
        <w:spacing w:line="360" w:lineRule="auto"/>
        <w:ind w:firstLine="428" w:firstLineChars="204"/>
        <w:rPr>
          <w:rFonts w:asciiTheme="minorEastAsia" w:hAnsiTheme="minorEastAsia" w:eastAsiaTheme="minorEastAsia"/>
          <w:color w:val="auto"/>
          <w:sz w:val="21"/>
          <w:szCs w:val="21"/>
          <w:highlight w:val="none"/>
        </w:rPr>
      </w:pPr>
    </w:p>
    <w:p w14:paraId="19F0C8F8">
      <w:pPr>
        <w:pStyle w:val="39"/>
        <w:spacing w:line="360" w:lineRule="auto"/>
        <w:ind w:firstLine="0" w:firstLineChars="0"/>
        <w:rPr>
          <w:rFonts w:asciiTheme="minorEastAsia" w:hAnsiTheme="minorEastAsia" w:eastAsiaTheme="minorEastAsia"/>
          <w:color w:val="auto"/>
          <w:sz w:val="21"/>
          <w:szCs w:val="21"/>
          <w:highlight w:val="none"/>
        </w:rPr>
      </w:pPr>
    </w:p>
    <w:p w14:paraId="455A9EE5">
      <w:pPr>
        <w:pStyle w:val="39"/>
        <w:spacing w:line="360" w:lineRule="auto"/>
        <w:ind w:firstLine="0" w:firstLineChars="0"/>
        <w:rPr>
          <w:rFonts w:asciiTheme="minorEastAsia" w:hAnsiTheme="minorEastAsia" w:eastAsiaTheme="minorEastAsia"/>
          <w:color w:val="auto"/>
          <w:sz w:val="21"/>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363C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08E9800">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396A058D">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r>
      <w:tr w14:paraId="3C706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1695739E">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7E812B8B">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法定代表人（签名或盖私章）：</w:t>
            </w:r>
            <w:r>
              <w:rPr>
                <w:rFonts w:hint="default" w:asciiTheme="minorEastAsia" w:hAnsiTheme="minorEastAsia"/>
                <w:color w:val="auto"/>
                <w:szCs w:val="21"/>
                <w:highlight w:val="none"/>
                <w:u w:val="single"/>
              </w:rPr>
              <w:t xml:space="preserve">                         </w:t>
            </w:r>
          </w:p>
        </w:tc>
      </w:tr>
      <w:tr w14:paraId="7DE0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F478077">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35183CC8">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职务：</w:t>
            </w:r>
            <w:r>
              <w:rPr>
                <w:rFonts w:hint="default" w:asciiTheme="minorEastAsia" w:hAnsiTheme="minorEastAsia"/>
                <w:color w:val="auto"/>
                <w:szCs w:val="21"/>
                <w:highlight w:val="none"/>
                <w:u w:val="single"/>
              </w:rPr>
              <w:t xml:space="preserve">                                              </w:t>
            </w:r>
          </w:p>
        </w:tc>
      </w:tr>
      <w:tr w14:paraId="0C3CE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2D557E00">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43CF8C0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被授权人（签名或盖私章）：</w:t>
            </w:r>
            <w:r>
              <w:rPr>
                <w:rFonts w:hint="default" w:asciiTheme="minorEastAsia" w:hAnsiTheme="minorEastAsia"/>
                <w:color w:val="auto"/>
                <w:szCs w:val="21"/>
                <w:highlight w:val="none"/>
                <w:u w:val="single"/>
              </w:rPr>
              <w:t xml:space="preserve">                           </w:t>
            </w:r>
          </w:p>
        </w:tc>
      </w:tr>
      <w:tr w14:paraId="3EA73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18A6948D">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499D9D45">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职务：</w:t>
            </w:r>
            <w:r>
              <w:rPr>
                <w:rFonts w:hint="default" w:asciiTheme="minorEastAsia" w:hAnsiTheme="minorEastAsia"/>
                <w:color w:val="auto"/>
                <w:szCs w:val="21"/>
                <w:highlight w:val="none"/>
                <w:u w:val="single"/>
              </w:rPr>
              <w:t xml:space="preserve">                                              </w:t>
            </w:r>
          </w:p>
        </w:tc>
      </w:tr>
      <w:tr w14:paraId="6EA14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2FA1D3C0">
            <w:pPr>
              <w:pStyle w:val="39"/>
              <w:keepNext w:val="0"/>
              <w:keepLines w:val="0"/>
              <w:suppressLineNumbers w:val="0"/>
              <w:spacing w:before="0" w:beforeAutospacing="0" w:after="0" w:afterAutospacing="0" w:line="360" w:lineRule="auto"/>
              <w:ind w:left="0" w:right="0" w:firstLine="0" w:firstLineChars="0"/>
              <w:rPr>
                <w:rFonts w:hint="default" w:asciiTheme="minorEastAsia" w:hAnsiTheme="minorEastAsia" w:eastAsiaTheme="minorEastAsia"/>
                <w:color w:val="auto"/>
                <w:sz w:val="21"/>
                <w:szCs w:val="21"/>
                <w:highlight w:val="none"/>
              </w:rPr>
            </w:pPr>
          </w:p>
        </w:tc>
        <w:tc>
          <w:tcPr>
            <w:tcW w:w="5726" w:type="dxa"/>
          </w:tcPr>
          <w:p w14:paraId="6E452B76">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r>
    </w:tbl>
    <w:p w14:paraId="3D6DB803">
      <w:pPr>
        <w:pStyle w:val="39"/>
        <w:spacing w:line="360" w:lineRule="auto"/>
        <w:ind w:firstLine="0" w:firstLineChars="0"/>
        <w:rPr>
          <w:rFonts w:asciiTheme="minorEastAsia" w:hAnsiTheme="minorEastAsia" w:eastAsiaTheme="minorEastAsia"/>
          <w:color w:val="auto"/>
          <w:sz w:val="21"/>
          <w:szCs w:val="21"/>
          <w:highlight w:val="none"/>
        </w:rPr>
      </w:pPr>
    </w:p>
    <w:p w14:paraId="35392B39">
      <w:pPr>
        <w:pStyle w:val="39"/>
        <w:spacing w:line="360" w:lineRule="auto"/>
        <w:ind w:firstLine="0" w:firstLineChars="0"/>
        <w:rPr>
          <w:rFonts w:asciiTheme="minorEastAsia" w:hAnsiTheme="minorEastAsia" w:eastAsiaTheme="minorEastAsia"/>
          <w:color w:val="auto"/>
          <w:sz w:val="21"/>
          <w:szCs w:val="21"/>
          <w:highlight w:val="none"/>
        </w:rPr>
      </w:pPr>
    </w:p>
    <w:p w14:paraId="6D3C0544">
      <w:pPr>
        <w:spacing w:after="156" w:after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2360C1D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32A3008F">
            <w:pPr>
              <w:pStyle w:val="39"/>
              <w:keepNext w:val="0"/>
              <w:keepLines w:val="0"/>
              <w:suppressLineNumbers w:val="0"/>
              <w:spacing w:before="0" w:beforeAutospacing="0" w:after="0" w:afterAutospacing="0" w:line="460" w:lineRule="exact"/>
              <w:ind w:left="0" w:right="0" w:firstLine="0" w:firstLineChars="0"/>
              <w:jc w:val="center"/>
              <w:rPr>
                <w:rFonts w:hint="default"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正面</w:t>
            </w:r>
          </w:p>
        </w:tc>
        <w:tc>
          <w:tcPr>
            <w:tcW w:w="2500" w:type="pct"/>
            <w:vAlign w:val="center"/>
          </w:tcPr>
          <w:p w14:paraId="3259355B">
            <w:pPr>
              <w:pStyle w:val="39"/>
              <w:keepNext w:val="0"/>
              <w:keepLines w:val="0"/>
              <w:suppressLineNumbers w:val="0"/>
              <w:spacing w:before="0" w:beforeAutospacing="0" w:after="0" w:afterAutospacing="0" w:line="460" w:lineRule="exact"/>
              <w:ind w:left="0" w:right="0" w:firstLine="0" w:firstLineChars="0"/>
              <w:jc w:val="center"/>
              <w:rPr>
                <w:rFonts w:hint="default"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背面</w:t>
            </w:r>
          </w:p>
        </w:tc>
      </w:tr>
    </w:tbl>
    <w:p w14:paraId="51FA4B5F">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1" w:name="_Toc138770021"/>
      <w:bookmarkStart w:id="122" w:name="_Toc405313964"/>
      <w:bookmarkStart w:id="123" w:name="_Toc391627760"/>
      <w:r>
        <w:rPr>
          <w:rStyle w:val="25"/>
          <w:rFonts w:hint="eastAsia" w:asciiTheme="minorEastAsia" w:hAnsiTheme="minorEastAsia" w:eastAsiaTheme="minorEastAsia"/>
          <w:b/>
          <w:bCs/>
          <w:color w:val="auto"/>
          <w:spacing w:val="12"/>
          <w:sz w:val="21"/>
          <w:szCs w:val="21"/>
          <w:highlight w:val="none"/>
        </w:rPr>
        <w:t>响应供应商基本情况说明</w:t>
      </w:r>
      <w:bookmarkEnd w:id="121"/>
      <w:bookmarkEnd w:id="122"/>
      <w:bookmarkEnd w:id="123"/>
    </w:p>
    <w:p w14:paraId="0A2A60AB">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响应供应商基本情况说明</w:t>
      </w:r>
    </w:p>
    <w:p w14:paraId="16CB3BD7">
      <w:pPr>
        <w:pStyle w:val="33"/>
        <w:numPr>
          <w:ilvl w:val="0"/>
          <w:numId w:val="86"/>
        </w:numPr>
        <w:spacing w:after="156" w:afterLines="5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公司基本情况</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265A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3000" w:type="pct"/>
            <w:gridSpan w:val="3"/>
          </w:tcPr>
          <w:p w14:paraId="0DC37808">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default" w:asciiTheme="minorEastAsia" w:hAnsiTheme="minorEastAsia"/>
                <w:color w:val="auto"/>
                <w:szCs w:val="21"/>
                <w:highlight w:val="none"/>
              </w:rPr>
              <w:t>公司名称：</w:t>
            </w:r>
            <w:r>
              <w:rPr>
                <w:rFonts w:hint="default"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r>
              <w:rPr>
                <w:rFonts w:hint="default" w:asciiTheme="minorEastAsia" w:hAnsiTheme="minorEastAsia"/>
                <w:color w:val="auto"/>
                <w:szCs w:val="21"/>
                <w:highlight w:val="none"/>
                <w:u w:val="single"/>
              </w:rPr>
              <w:t xml:space="preserve">    </w:t>
            </w:r>
            <w:r>
              <w:rPr>
                <w:rFonts w:hint="default" w:asciiTheme="minorEastAsia" w:hAnsiTheme="minorEastAsia"/>
                <w:color w:val="auto"/>
                <w:szCs w:val="21"/>
                <w:highlight w:val="none"/>
              </w:rPr>
              <w:t xml:space="preserve"> </w:t>
            </w:r>
          </w:p>
        </w:tc>
        <w:tc>
          <w:tcPr>
            <w:tcW w:w="2000" w:type="pct"/>
            <w:gridSpan w:val="2"/>
          </w:tcPr>
          <w:p w14:paraId="1EE084F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公司固话：</w:t>
            </w:r>
            <w:r>
              <w:rPr>
                <w:rFonts w:hint="eastAsia" w:asciiTheme="minorEastAsia" w:hAnsiTheme="minorEastAsia"/>
                <w:color w:val="auto"/>
                <w:szCs w:val="21"/>
                <w:highlight w:val="none"/>
                <w:u w:val="single"/>
              </w:rPr>
              <w:t xml:space="preserve">                    </w:t>
            </w:r>
          </w:p>
        </w:tc>
      </w:tr>
      <w:tr w14:paraId="1CFEF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6EB88832">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单位地址：</w:t>
            </w:r>
            <w:r>
              <w:rPr>
                <w:rFonts w:hint="eastAsia" w:asciiTheme="minorEastAsia" w:hAnsiTheme="minorEastAsia"/>
                <w:color w:val="auto"/>
                <w:szCs w:val="21"/>
                <w:highlight w:val="none"/>
                <w:u w:val="single"/>
              </w:rPr>
              <w:t xml:space="preserve">                                    </w:t>
            </w:r>
          </w:p>
        </w:tc>
        <w:tc>
          <w:tcPr>
            <w:tcW w:w="2000" w:type="pct"/>
            <w:gridSpan w:val="2"/>
          </w:tcPr>
          <w:p w14:paraId="384DD55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公司传真：</w:t>
            </w:r>
            <w:r>
              <w:rPr>
                <w:rFonts w:hint="eastAsia" w:asciiTheme="minorEastAsia" w:hAnsiTheme="minorEastAsia"/>
                <w:color w:val="auto"/>
                <w:szCs w:val="21"/>
                <w:highlight w:val="none"/>
                <w:u w:val="single"/>
              </w:rPr>
              <w:t xml:space="preserve">                    </w:t>
            </w:r>
          </w:p>
        </w:tc>
      </w:tr>
      <w:tr w14:paraId="59BE3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BC3ED7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注册资金：</w:t>
            </w:r>
            <w:r>
              <w:rPr>
                <w:rFonts w:hint="eastAsia" w:asciiTheme="minorEastAsia" w:hAnsiTheme="minorEastAsia"/>
                <w:color w:val="auto"/>
                <w:szCs w:val="21"/>
                <w:highlight w:val="none"/>
                <w:u w:val="single"/>
              </w:rPr>
              <w:t xml:space="preserve">                                    </w:t>
            </w:r>
          </w:p>
        </w:tc>
        <w:tc>
          <w:tcPr>
            <w:tcW w:w="2000" w:type="pct"/>
            <w:gridSpan w:val="2"/>
          </w:tcPr>
          <w:p w14:paraId="267B0D6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单位性质：</w:t>
            </w:r>
            <w:r>
              <w:rPr>
                <w:rFonts w:hint="eastAsia" w:asciiTheme="minorEastAsia" w:hAnsiTheme="minorEastAsia"/>
                <w:color w:val="auto"/>
                <w:szCs w:val="21"/>
                <w:highlight w:val="none"/>
                <w:u w:val="single"/>
              </w:rPr>
              <w:t xml:space="preserve">                    </w:t>
            </w:r>
          </w:p>
        </w:tc>
      </w:tr>
      <w:tr w14:paraId="33D10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E0CE22">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公司开户银行名称：</w:t>
            </w:r>
            <w:r>
              <w:rPr>
                <w:rFonts w:hint="eastAsia" w:asciiTheme="minorEastAsia" w:hAnsiTheme="minorEastAsia"/>
                <w:color w:val="auto"/>
                <w:szCs w:val="21"/>
                <w:highlight w:val="none"/>
                <w:u w:val="single"/>
              </w:rPr>
              <w:t xml:space="preserve">                            </w:t>
            </w:r>
          </w:p>
        </w:tc>
        <w:tc>
          <w:tcPr>
            <w:tcW w:w="2000" w:type="pct"/>
            <w:gridSpan w:val="2"/>
          </w:tcPr>
          <w:p w14:paraId="5850EE4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开户账号：</w:t>
            </w:r>
            <w:r>
              <w:rPr>
                <w:rFonts w:hint="eastAsia" w:asciiTheme="minorEastAsia" w:hAnsiTheme="minorEastAsia"/>
                <w:color w:val="auto"/>
                <w:szCs w:val="21"/>
                <w:highlight w:val="none"/>
                <w:u w:val="single"/>
              </w:rPr>
              <w:t xml:space="preserve">                    </w:t>
            </w:r>
          </w:p>
        </w:tc>
      </w:tr>
      <w:tr w14:paraId="723FF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7659E8A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default" w:asciiTheme="minorEastAsia" w:hAnsiTheme="minorEastAsia"/>
                <w:color w:val="auto"/>
                <w:szCs w:val="21"/>
                <w:highlight w:val="none"/>
              </w:rPr>
              <w:t>营业注册执照</w:t>
            </w:r>
            <w:r>
              <w:rPr>
                <w:rFonts w:hint="eastAsia" w:asciiTheme="minorEastAsia" w:hAnsiTheme="minorEastAsia"/>
                <w:color w:val="auto"/>
                <w:szCs w:val="21"/>
                <w:highlight w:val="none"/>
              </w:rPr>
              <w:t>或事业单位法人证书</w:t>
            </w:r>
            <w:r>
              <w:rPr>
                <w:rFonts w:hint="default" w:asciiTheme="minorEastAsia" w:hAnsiTheme="minorEastAsia"/>
                <w:color w:val="auto"/>
                <w:szCs w:val="21"/>
                <w:highlight w:val="none"/>
              </w:rPr>
              <w:t>号</w:t>
            </w:r>
            <w:r>
              <w:rPr>
                <w:rFonts w:hint="eastAsia" w:asciiTheme="minorEastAsia" w:hAnsiTheme="minorEastAsia"/>
                <w:color w:val="auto"/>
                <w:szCs w:val="21"/>
                <w:highlight w:val="none"/>
              </w:rPr>
              <w:t>：</w:t>
            </w:r>
            <w:r>
              <w:rPr>
                <w:rFonts w:hint="eastAsia" w:asciiTheme="minorEastAsia" w:hAnsiTheme="minorEastAsia"/>
                <w:color w:val="auto"/>
                <w:szCs w:val="21"/>
                <w:highlight w:val="none"/>
                <w:u w:val="single"/>
              </w:rPr>
              <w:t xml:space="preserve">                                             </w:t>
            </w:r>
          </w:p>
        </w:tc>
      </w:tr>
      <w:tr w14:paraId="2707C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1BEB256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公司财务状况：（如有）                                  【价格单位：（人民币）元】</w:t>
            </w:r>
          </w:p>
        </w:tc>
      </w:tr>
      <w:tr w14:paraId="4765C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6FB04029">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579A579C">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571FD91B">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7BD8CE0D">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年净利润（元）</w:t>
            </w:r>
          </w:p>
        </w:tc>
      </w:tr>
      <w:tr w14:paraId="28816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25E2C8F8">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0844953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A1DC8AE">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73A8A9A7">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7A106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692ED18">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4D9E547C">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E1BFDAD">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22DFAD84">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62806F3B">
      <w:pPr>
        <w:pStyle w:val="33"/>
        <w:numPr>
          <w:ilvl w:val="0"/>
          <w:numId w:val="86"/>
        </w:numPr>
        <w:spacing w:after="156" w:afterLines="5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响应供应商获得国家有关部门颁发的资质证明</w:t>
      </w:r>
      <w:r>
        <w:rPr>
          <w:rFonts w:hint="eastAsia" w:asciiTheme="minorEastAsia" w:hAnsiTheme="minorEastAsia"/>
          <w:color w:val="auto"/>
          <w:szCs w:val="21"/>
          <w:highlight w:val="none"/>
        </w:rPr>
        <w:t>或荣誉</w:t>
      </w:r>
      <w:r>
        <w:rPr>
          <w:rFonts w:asciiTheme="minorEastAsia" w:hAnsiTheme="minorEastAsia"/>
          <w:color w:val="auto"/>
          <w:szCs w:val="21"/>
          <w:highlight w:val="none"/>
        </w:rPr>
        <w:t>：</w:t>
      </w:r>
      <w:r>
        <w:rPr>
          <w:rFonts w:hint="eastAsia" w:asciiTheme="minorEastAsia" w:hAnsiTheme="minorEastAsia"/>
          <w:color w:val="auto"/>
          <w:szCs w:val="21"/>
          <w:highlight w:val="none"/>
        </w:rPr>
        <w:t>（如有）</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1472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74381428">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证书名称</w:t>
            </w:r>
          </w:p>
        </w:tc>
        <w:tc>
          <w:tcPr>
            <w:tcW w:w="1250" w:type="pct"/>
            <w:vAlign w:val="center"/>
          </w:tcPr>
          <w:p w14:paraId="266A27B0">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发证单位</w:t>
            </w:r>
          </w:p>
        </w:tc>
        <w:tc>
          <w:tcPr>
            <w:tcW w:w="1250" w:type="pct"/>
            <w:vAlign w:val="center"/>
          </w:tcPr>
          <w:p w14:paraId="518146CE">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证书等级</w:t>
            </w:r>
          </w:p>
        </w:tc>
        <w:tc>
          <w:tcPr>
            <w:tcW w:w="1250" w:type="pct"/>
            <w:vAlign w:val="center"/>
          </w:tcPr>
          <w:p w14:paraId="67862BB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r>
              <w:rPr>
                <w:rFonts w:hint="default" w:asciiTheme="minorEastAsia" w:hAnsiTheme="minorEastAsia"/>
                <w:color w:val="auto"/>
                <w:szCs w:val="21"/>
                <w:highlight w:val="none"/>
              </w:rPr>
              <w:t>证书有效期</w:t>
            </w:r>
          </w:p>
        </w:tc>
      </w:tr>
      <w:tr w14:paraId="71A8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41375A6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03932292">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3EA1DAA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624E51E5">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1A2F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E7AFE7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7F8033C0">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744E52F2">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c>
          <w:tcPr>
            <w:tcW w:w="1250" w:type="pct"/>
          </w:tcPr>
          <w:p w14:paraId="7BD0F40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1B11B66D">
      <w:pPr>
        <w:spacing w:before="156" w:beforeLines="50" w:after="624" w:afterLines="200" w:line="360" w:lineRule="auto"/>
        <w:rPr>
          <w:rFonts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兹证明上述声明是真实、正确的，并提供了全部能提供的资料和数据，我方同意遵照贵方要求出示有关证明文件。</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59924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1903563">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eastAsia" w:asciiTheme="minorEastAsia" w:hAnsiTheme="minorEastAsia"/>
                <w:color w:val="auto"/>
                <w:szCs w:val="21"/>
                <w:highlight w:val="none"/>
                <w:u w:val="single"/>
              </w:rPr>
              <w:t xml:space="preserve">                         </w:t>
            </w:r>
          </w:p>
        </w:tc>
        <w:tc>
          <w:tcPr>
            <w:tcW w:w="3175" w:type="dxa"/>
          </w:tcPr>
          <w:p w14:paraId="645CDCD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62B80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5B1DADB3">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eastAsia" w:asciiTheme="minorEastAsia" w:hAnsiTheme="minorEastAsia"/>
                <w:color w:val="auto"/>
                <w:szCs w:val="21"/>
                <w:highlight w:val="none"/>
                <w:u w:val="single"/>
              </w:rPr>
              <w:t xml:space="preserve">             年           月            日</w:t>
            </w:r>
          </w:p>
        </w:tc>
        <w:tc>
          <w:tcPr>
            <w:tcW w:w="3175" w:type="dxa"/>
          </w:tcPr>
          <w:p w14:paraId="1C9D89B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4800A69A">
      <w:pPr>
        <w:spacing w:line="360" w:lineRule="auto"/>
        <w:rPr>
          <w:rFonts w:asciiTheme="minorEastAsia" w:hAnsiTheme="minorEastAsia"/>
          <w:color w:val="auto"/>
          <w:szCs w:val="21"/>
          <w:highlight w:val="none"/>
        </w:rPr>
      </w:pPr>
    </w:p>
    <w:p w14:paraId="5C044347">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4" w:name="_Toc405313968"/>
      <w:bookmarkStart w:id="125" w:name="_Toc391627765"/>
      <w:bookmarkStart w:id="126" w:name="_Toc138770022"/>
      <w:r>
        <w:rPr>
          <w:rStyle w:val="25"/>
          <w:rFonts w:asciiTheme="minorEastAsia" w:hAnsiTheme="minorEastAsia" w:eastAsiaTheme="minorEastAsia"/>
          <w:b/>
          <w:bCs/>
          <w:color w:val="auto"/>
          <w:spacing w:val="12"/>
          <w:sz w:val="21"/>
          <w:szCs w:val="21"/>
          <w:highlight w:val="none"/>
        </w:rPr>
        <w:t>业绩表</w:t>
      </w:r>
      <w:bookmarkEnd w:id="124"/>
      <w:bookmarkEnd w:id="125"/>
      <w:bookmarkEnd w:id="126"/>
    </w:p>
    <w:p w14:paraId="2A95D2C3">
      <w:pPr>
        <w:spacing w:before="312" w:beforeLines="100" w:after="468" w:afterLines="1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业绩表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69D0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50C33FC1">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default" w:asciiTheme="minorEastAsia" w:hAnsiTheme="minorEastAsia"/>
                <w:b/>
                <w:bCs/>
                <w:color w:val="auto"/>
                <w:szCs w:val="21"/>
                <w:highlight w:val="none"/>
              </w:rPr>
              <w:t>序号</w:t>
            </w:r>
          </w:p>
        </w:tc>
        <w:tc>
          <w:tcPr>
            <w:tcW w:w="1347" w:type="pct"/>
            <w:vAlign w:val="center"/>
          </w:tcPr>
          <w:p w14:paraId="6D71C2CD">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项目名称</w:t>
            </w:r>
          </w:p>
        </w:tc>
        <w:tc>
          <w:tcPr>
            <w:tcW w:w="916" w:type="pct"/>
            <w:vAlign w:val="center"/>
          </w:tcPr>
          <w:p w14:paraId="404B1DB2">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合同金额</w:t>
            </w:r>
          </w:p>
        </w:tc>
        <w:tc>
          <w:tcPr>
            <w:tcW w:w="913" w:type="pct"/>
            <w:vAlign w:val="center"/>
          </w:tcPr>
          <w:p w14:paraId="1CBF0CCF">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签约时间</w:t>
            </w:r>
          </w:p>
        </w:tc>
        <w:tc>
          <w:tcPr>
            <w:tcW w:w="830" w:type="pct"/>
            <w:vAlign w:val="center"/>
          </w:tcPr>
          <w:p w14:paraId="685B1E30">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完成情况</w:t>
            </w:r>
          </w:p>
        </w:tc>
        <w:tc>
          <w:tcPr>
            <w:tcW w:w="615" w:type="pct"/>
            <w:vAlign w:val="center"/>
          </w:tcPr>
          <w:p w14:paraId="0AA21219">
            <w:pPr>
              <w:keepNext w:val="0"/>
              <w:keepLines w:val="0"/>
              <w:suppressLineNumbers w:val="0"/>
              <w:spacing w:before="156" w:beforeAutospacing="0" w:after="156" w:afterAutospacing="0" w:line="240" w:lineRule="exact"/>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备注</w:t>
            </w:r>
          </w:p>
        </w:tc>
      </w:tr>
      <w:tr w14:paraId="6B17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18E94BB">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65ECA2CC">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422E5648">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06B0F0C3">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4D110BD5">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21FFBD8D">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1F60C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2D0249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0617EEA7">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5F2B289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15C0912C">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178E0041">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3DAC8B17">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56D3C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E51DAFE">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054B1F6A">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2E00D085">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704C3BD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37A03917">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18BAF19D">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718F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5A25DE0">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10F82768">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1B0C69C5">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46426BC1">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7D2CA5FF">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34E93481">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77297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3C33773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1D70ED38">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1049435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65A8BA0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14F516C1">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1976A1CA">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35D2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C5EED50">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30C2D2FB">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3D24B483">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442DCA73">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2BBC74D8">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77DB5EDA">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56F1A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3816A2E">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46D36809">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374B0EE4">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558710B3">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399894FE">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2D98B8AE">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527E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0ABFD3B">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311E76C2">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78BEBE66">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489B4BA9">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08B26EEF">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405686D0">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r w14:paraId="0643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2678012">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1347" w:type="pct"/>
            <w:vAlign w:val="center"/>
          </w:tcPr>
          <w:p w14:paraId="37A918F8">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6" w:type="pct"/>
            <w:vAlign w:val="center"/>
          </w:tcPr>
          <w:p w14:paraId="6D2FA12E">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913" w:type="pct"/>
            <w:vAlign w:val="center"/>
          </w:tcPr>
          <w:p w14:paraId="57475FAA">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830" w:type="pct"/>
            <w:vAlign w:val="center"/>
          </w:tcPr>
          <w:p w14:paraId="682DE3A2">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c>
          <w:tcPr>
            <w:tcW w:w="615" w:type="pct"/>
            <w:vAlign w:val="center"/>
          </w:tcPr>
          <w:p w14:paraId="4382A6C0">
            <w:pPr>
              <w:keepNext w:val="0"/>
              <w:keepLines w:val="0"/>
              <w:suppressLineNumbers w:val="0"/>
              <w:spacing w:before="156" w:beforeAutospacing="0" w:after="156" w:afterAutospacing="0" w:line="240" w:lineRule="exact"/>
              <w:ind w:left="0" w:right="0"/>
              <w:jc w:val="center"/>
              <w:rPr>
                <w:rFonts w:hint="default" w:asciiTheme="minorEastAsia" w:hAnsiTheme="minorEastAsia"/>
                <w:color w:val="auto"/>
                <w:szCs w:val="21"/>
                <w:highlight w:val="none"/>
              </w:rPr>
            </w:pPr>
          </w:p>
        </w:tc>
      </w:tr>
    </w:tbl>
    <w:p w14:paraId="78B377DE">
      <w:pPr>
        <w:spacing w:line="360" w:lineRule="auto"/>
        <w:rPr>
          <w:rFonts w:asciiTheme="minorEastAsia" w:hAnsiTheme="minorEastAsia"/>
          <w:color w:val="auto"/>
          <w:szCs w:val="21"/>
          <w:highlight w:val="none"/>
        </w:rPr>
      </w:pPr>
    </w:p>
    <w:p w14:paraId="180A72D1">
      <w:pPr>
        <w:spacing w:line="360" w:lineRule="auto"/>
        <w:rPr>
          <w:rFonts w:asciiTheme="minorEastAsia" w:hAnsiTheme="minorEastAsia"/>
          <w:color w:val="auto"/>
          <w:szCs w:val="21"/>
          <w:highlight w:val="none"/>
        </w:rPr>
      </w:pPr>
    </w:p>
    <w:p w14:paraId="63E37671">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54915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843C7EF">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4B59F178">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5DAE2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43C77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51484C91">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7D3A98A0">
      <w:pPr>
        <w:spacing w:line="360" w:lineRule="auto"/>
        <w:rPr>
          <w:rFonts w:asciiTheme="minorEastAsia" w:hAnsiTheme="minorEastAsia"/>
          <w:color w:val="auto"/>
          <w:szCs w:val="21"/>
          <w:highlight w:val="none"/>
        </w:rPr>
      </w:pPr>
    </w:p>
    <w:p w14:paraId="4BFE1D32">
      <w:pPr>
        <w:spacing w:line="360" w:lineRule="auto"/>
        <w:rPr>
          <w:rFonts w:asciiTheme="minorEastAsia" w:hAnsiTheme="minorEastAsia"/>
          <w:color w:val="auto"/>
          <w:szCs w:val="21"/>
          <w:highlight w:val="none"/>
        </w:rPr>
      </w:pPr>
    </w:p>
    <w:p w14:paraId="6EB2F6BB">
      <w:pPr>
        <w:spacing w:line="360" w:lineRule="auto"/>
        <w:rPr>
          <w:rFonts w:asciiTheme="minorEastAsia" w:hAnsiTheme="minorEastAsia"/>
          <w:color w:val="auto"/>
          <w:szCs w:val="21"/>
          <w:highlight w:val="none"/>
        </w:rPr>
      </w:pPr>
    </w:p>
    <w:p w14:paraId="62B04F87">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7" w:name="_Toc138770023"/>
      <w:r>
        <w:rPr>
          <w:rStyle w:val="25"/>
          <w:rFonts w:hint="eastAsia" w:asciiTheme="minorEastAsia" w:hAnsiTheme="minorEastAsia" w:eastAsiaTheme="minorEastAsia"/>
          <w:b/>
          <w:bCs/>
          <w:color w:val="auto"/>
          <w:spacing w:val="12"/>
          <w:sz w:val="21"/>
          <w:szCs w:val="21"/>
          <w:highlight w:val="none"/>
        </w:rPr>
        <w:t>商务要求偏离表</w:t>
      </w:r>
      <w:bookmarkEnd w:id="127"/>
    </w:p>
    <w:p w14:paraId="20E7E7F4">
      <w:pPr>
        <w:spacing w:before="624" w:beforeLines="200" w:after="468" w:afterLines="1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商务要求偏离表</w:t>
      </w:r>
    </w:p>
    <w:tbl>
      <w:tblPr>
        <w:tblStyle w:val="22"/>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F44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7BBA436B">
            <w:pPr>
              <w:keepNext w:val="0"/>
              <w:keepLines w:val="0"/>
              <w:suppressLineNumbers w:val="0"/>
              <w:spacing w:before="0" w:beforeAutospacing="0" w:after="0" w:afterAutospacing="0"/>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2352" w:type="dxa"/>
            <w:vAlign w:val="center"/>
          </w:tcPr>
          <w:p w14:paraId="33B96086">
            <w:pPr>
              <w:keepNext w:val="0"/>
              <w:keepLines w:val="0"/>
              <w:suppressLineNumbers w:val="0"/>
              <w:spacing w:before="0" w:beforeAutospacing="0" w:after="0" w:afterAutospacing="0"/>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遴选文件要求</w:t>
            </w:r>
          </w:p>
        </w:tc>
        <w:tc>
          <w:tcPr>
            <w:tcW w:w="2126" w:type="dxa"/>
            <w:vAlign w:val="center"/>
          </w:tcPr>
          <w:p w14:paraId="69B8C9DF">
            <w:pPr>
              <w:keepNext w:val="0"/>
              <w:keepLines w:val="0"/>
              <w:suppressLineNumbers w:val="0"/>
              <w:spacing w:before="0" w:beforeAutospacing="0" w:after="0" w:afterAutospacing="0"/>
              <w:ind w:left="0" w:right="0"/>
              <w:jc w:val="center"/>
              <w:rPr>
                <w:rFonts w:hint="default" w:asciiTheme="minorEastAsia" w:hAnsiTheme="minorEastAsia"/>
                <w:b/>
                <w:color w:val="auto"/>
                <w:szCs w:val="21"/>
                <w:highlight w:val="none"/>
              </w:rPr>
            </w:pPr>
            <w:r>
              <w:rPr>
                <w:rFonts w:hint="eastAsia" w:asciiTheme="minorEastAsia" w:hAnsiTheme="minorEastAsia"/>
                <w:b/>
                <w:bCs/>
                <w:color w:val="auto"/>
                <w:szCs w:val="21"/>
                <w:highlight w:val="none"/>
              </w:rPr>
              <w:t>响应文件响应内容</w:t>
            </w:r>
          </w:p>
        </w:tc>
        <w:tc>
          <w:tcPr>
            <w:tcW w:w="1644" w:type="dxa"/>
            <w:vAlign w:val="center"/>
          </w:tcPr>
          <w:p w14:paraId="71255E01">
            <w:pPr>
              <w:keepNext w:val="0"/>
              <w:keepLines w:val="0"/>
              <w:suppressLineNumbers w:val="0"/>
              <w:spacing w:before="0" w:beforeAutospacing="0" w:after="0" w:afterAutospacing="0"/>
              <w:ind w:left="293" w:right="0" w:hanging="293" w:hangingChars="139"/>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偏离情况</w:t>
            </w:r>
          </w:p>
        </w:tc>
        <w:tc>
          <w:tcPr>
            <w:tcW w:w="1575" w:type="dxa"/>
            <w:vAlign w:val="center"/>
          </w:tcPr>
          <w:p w14:paraId="41943F14">
            <w:pPr>
              <w:keepNext w:val="0"/>
              <w:keepLines w:val="0"/>
              <w:suppressLineNumbers w:val="0"/>
              <w:spacing w:before="0" w:beforeAutospacing="0" w:after="0" w:afterAutospacing="0"/>
              <w:ind w:left="0" w:right="0"/>
              <w:jc w:val="center"/>
              <w:rPr>
                <w:rFonts w:hint="default" w:asciiTheme="minorEastAsia" w:hAnsiTheme="minorEastAsia"/>
                <w:b/>
                <w:color w:val="auto"/>
                <w:szCs w:val="21"/>
                <w:highlight w:val="none"/>
              </w:rPr>
            </w:pPr>
            <w:r>
              <w:rPr>
                <w:rFonts w:hint="eastAsia" w:asciiTheme="minorEastAsia" w:hAnsiTheme="minorEastAsia"/>
                <w:b/>
                <w:color w:val="auto"/>
                <w:szCs w:val="21"/>
                <w:highlight w:val="none"/>
              </w:rPr>
              <w:t>说明</w:t>
            </w:r>
          </w:p>
        </w:tc>
      </w:tr>
      <w:tr w14:paraId="1E18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7B234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352" w:type="dxa"/>
            <w:vAlign w:val="center"/>
          </w:tcPr>
          <w:p w14:paraId="7E0507F9">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126" w:type="dxa"/>
            <w:vAlign w:val="center"/>
          </w:tcPr>
          <w:p w14:paraId="220FC99B">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644" w:type="dxa"/>
            <w:vAlign w:val="center"/>
          </w:tcPr>
          <w:p w14:paraId="52B5F362">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575" w:type="dxa"/>
            <w:vAlign w:val="center"/>
          </w:tcPr>
          <w:p w14:paraId="2946D9A9">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r>
      <w:tr w14:paraId="791A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jc w:val="center"/>
        </w:trPr>
        <w:tc>
          <w:tcPr>
            <w:tcW w:w="920" w:type="dxa"/>
            <w:vAlign w:val="center"/>
          </w:tcPr>
          <w:p w14:paraId="3B75832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352" w:type="dxa"/>
            <w:vAlign w:val="center"/>
          </w:tcPr>
          <w:p w14:paraId="26351EC0">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126" w:type="dxa"/>
            <w:vAlign w:val="center"/>
          </w:tcPr>
          <w:p w14:paraId="5EE96C5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644" w:type="dxa"/>
            <w:vAlign w:val="center"/>
          </w:tcPr>
          <w:p w14:paraId="3BEE0F1C">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575" w:type="dxa"/>
            <w:vAlign w:val="center"/>
          </w:tcPr>
          <w:p w14:paraId="36C68648">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r>
      <w:tr w14:paraId="17690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7E5E9C9F">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352" w:type="dxa"/>
            <w:vAlign w:val="center"/>
          </w:tcPr>
          <w:p w14:paraId="0EAB727B">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126" w:type="dxa"/>
            <w:vAlign w:val="center"/>
          </w:tcPr>
          <w:p w14:paraId="62538FC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644" w:type="dxa"/>
            <w:vAlign w:val="center"/>
          </w:tcPr>
          <w:p w14:paraId="3ABECC5C">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575" w:type="dxa"/>
            <w:vAlign w:val="center"/>
          </w:tcPr>
          <w:p w14:paraId="44B2B8D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r>
      <w:tr w14:paraId="3921D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jc w:val="center"/>
        </w:trPr>
        <w:tc>
          <w:tcPr>
            <w:tcW w:w="920" w:type="dxa"/>
            <w:vAlign w:val="center"/>
          </w:tcPr>
          <w:p w14:paraId="33B69CE2">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352" w:type="dxa"/>
            <w:vAlign w:val="center"/>
          </w:tcPr>
          <w:p w14:paraId="7FAD5E78">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126" w:type="dxa"/>
            <w:vAlign w:val="center"/>
          </w:tcPr>
          <w:p w14:paraId="390E0FAA">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644" w:type="dxa"/>
            <w:vAlign w:val="center"/>
          </w:tcPr>
          <w:p w14:paraId="6B7BC027">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575" w:type="dxa"/>
            <w:vAlign w:val="center"/>
          </w:tcPr>
          <w:p w14:paraId="0587786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r>
      <w:tr w14:paraId="596F9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6337B32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352" w:type="dxa"/>
            <w:vAlign w:val="center"/>
          </w:tcPr>
          <w:p w14:paraId="6AE0A6DF">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2126" w:type="dxa"/>
            <w:vAlign w:val="center"/>
          </w:tcPr>
          <w:p w14:paraId="476EB2B2">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644" w:type="dxa"/>
            <w:vAlign w:val="center"/>
          </w:tcPr>
          <w:p w14:paraId="7CCA2FE6">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c>
          <w:tcPr>
            <w:tcW w:w="1575" w:type="dxa"/>
            <w:vAlign w:val="center"/>
          </w:tcPr>
          <w:p w14:paraId="739C9791">
            <w:pPr>
              <w:keepNext w:val="0"/>
              <w:keepLines w:val="0"/>
              <w:suppressLineNumbers w:val="0"/>
              <w:spacing w:before="0" w:beforeAutospacing="0" w:after="0" w:afterAutospacing="0" w:line="360" w:lineRule="auto"/>
              <w:ind w:left="0" w:right="0"/>
              <w:jc w:val="center"/>
              <w:rPr>
                <w:rFonts w:hint="default" w:asciiTheme="minorEastAsia" w:hAnsiTheme="minorEastAsia"/>
                <w:color w:val="auto"/>
                <w:szCs w:val="21"/>
                <w:highlight w:val="none"/>
              </w:rPr>
            </w:pPr>
          </w:p>
        </w:tc>
      </w:tr>
    </w:tbl>
    <w:p w14:paraId="27FB3451">
      <w:pPr>
        <w:spacing w:before="156" w:before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注明：</w:t>
      </w:r>
    </w:p>
    <w:p w14:paraId="6B12C7B6">
      <w:pPr>
        <w:pStyle w:val="33"/>
        <w:numPr>
          <w:ilvl w:val="0"/>
          <w:numId w:val="87"/>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偏离情况项填写“正”、“负”或“无”，说明项中填写原因。</w:t>
      </w:r>
    </w:p>
    <w:p w14:paraId="4A848B7A">
      <w:pPr>
        <w:pStyle w:val="33"/>
        <w:numPr>
          <w:ilvl w:val="0"/>
          <w:numId w:val="87"/>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响应供应商应按照遴选文件要求，根据“采购需求”内容作出全面响应。对响应有偏离的，则说明偏离的内容。</w:t>
      </w:r>
      <w:r>
        <w:rPr>
          <w:rFonts w:hint="eastAsia" w:cs="Times New Roman" w:asciiTheme="minorEastAsia" w:hAnsiTheme="minorEastAsia"/>
          <w:color w:val="auto"/>
          <w:szCs w:val="21"/>
          <w:highlight w:val="none"/>
        </w:rPr>
        <w:t>“采购需求”内容中若有要求提供相关证明资料的，须按要求提供，否则视为负偏离</w:t>
      </w:r>
      <w:r>
        <w:rPr>
          <w:rFonts w:hint="eastAsia" w:asciiTheme="minorEastAsia" w:hAnsiTheme="minorEastAsia"/>
          <w:color w:val="auto"/>
          <w:szCs w:val="21"/>
          <w:highlight w:val="none"/>
        </w:rPr>
        <w:t>。</w:t>
      </w:r>
    </w:p>
    <w:p w14:paraId="59E7929F">
      <w:pPr>
        <w:spacing w:line="360" w:lineRule="auto"/>
        <w:rPr>
          <w:rFonts w:asciiTheme="minorEastAsia" w:hAnsiTheme="minorEastAsia"/>
          <w:color w:val="auto"/>
          <w:szCs w:val="21"/>
          <w:highlight w:val="none"/>
        </w:rPr>
      </w:pPr>
    </w:p>
    <w:p w14:paraId="23F0CCA8">
      <w:pPr>
        <w:spacing w:line="360" w:lineRule="auto"/>
        <w:rPr>
          <w:rFonts w:asciiTheme="minorEastAsia" w:hAnsiTheme="minorEastAsia"/>
          <w:color w:val="auto"/>
          <w:szCs w:val="21"/>
          <w:highlight w:val="none"/>
        </w:rPr>
      </w:pPr>
    </w:p>
    <w:p w14:paraId="67E81C46">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48859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E91A210">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44032A96">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708C9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6F6774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784B01AF">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5BDA698A">
      <w:pPr>
        <w:spacing w:line="360" w:lineRule="auto"/>
        <w:rPr>
          <w:rFonts w:asciiTheme="minorEastAsia" w:hAnsiTheme="minorEastAsia"/>
          <w:color w:val="auto"/>
          <w:szCs w:val="21"/>
          <w:highlight w:val="none"/>
        </w:rPr>
      </w:pPr>
    </w:p>
    <w:p w14:paraId="650FBC68">
      <w:pPr>
        <w:spacing w:line="360" w:lineRule="auto"/>
        <w:rPr>
          <w:rFonts w:asciiTheme="minorEastAsia" w:hAnsiTheme="minorEastAsia"/>
          <w:color w:val="auto"/>
          <w:szCs w:val="21"/>
          <w:highlight w:val="none"/>
        </w:rPr>
      </w:pPr>
    </w:p>
    <w:p w14:paraId="27BBC37D">
      <w:pPr>
        <w:spacing w:line="360" w:lineRule="auto"/>
        <w:rPr>
          <w:rFonts w:asciiTheme="minorEastAsia" w:hAnsiTheme="minorEastAsia"/>
          <w:color w:val="auto"/>
          <w:szCs w:val="21"/>
          <w:highlight w:val="none"/>
        </w:rPr>
      </w:pPr>
      <w:bookmarkStart w:id="128" w:name="_Toc391627770"/>
      <w:bookmarkStart w:id="129" w:name="_Toc405313974"/>
    </w:p>
    <w:bookmarkEnd w:id="128"/>
    <w:bookmarkEnd w:id="129"/>
    <w:p w14:paraId="694766DA">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30" w:name="_Toc138770024"/>
      <w:r>
        <w:rPr>
          <w:rStyle w:val="25"/>
          <w:rFonts w:hint="eastAsia" w:asciiTheme="minorEastAsia" w:hAnsiTheme="minorEastAsia" w:eastAsiaTheme="minorEastAsia"/>
          <w:b/>
          <w:bCs/>
          <w:color w:val="auto"/>
          <w:spacing w:val="12"/>
          <w:sz w:val="21"/>
          <w:szCs w:val="21"/>
          <w:highlight w:val="none"/>
        </w:rPr>
        <w:t>项目技术服务人员情况表</w:t>
      </w:r>
      <w:bookmarkEnd w:id="130"/>
    </w:p>
    <w:p w14:paraId="7341AE3B">
      <w:pPr>
        <w:spacing w:before="624" w:beforeLines="200" w:after="312" w:afterLines="10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7A47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9C602FF">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序号</w:t>
            </w:r>
          </w:p>
        </w:tc>
        <w:tc>
          <w:tcPr>
            <w:tcW w:w="653" w:type="pct"/>
            <w:vAlign w:val="center"/>
          </w:tcPr>
          <w:p w14:paraId="7C6DCA53">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姓名</w:t>
            </w:r>
          </w:p>
        </w:tc>
        <w:tc>
          <w:tcPr>
            <w:tcW w:w="739" w:type="pct"/>
            <w:vAlign w:val="center"/>
          </w:tcPr>
          <w:p w14:paraId="1AF7BC41">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职位</w:t>
            </w:r>
          </w:p>
        </w:tc>
        <w:tc>
          <w:tcPr>
            <w:tcW w:w="1081" w:type="pct"/>
            <w:vAlign w:val="center"/>
          </w:tcPr>
          <w:p w14:paraId="2CFDC4E2">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持何种资格证件</w:t>
            </w:r>
          </w:p>
        </w:tc>
        <w:tc>
          <w:tcPr>
            <w:tcW w:w="830" w:type="pct"/>
            <w:vAlign w:val="center"/>
          </w:tcPr>
          <w:p w14:paraId="1E76DF94">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发证时间</w:t>
            </w:r>
          </w:p>
        </w:tc>
        <w:tc>
          <w:tcPr>
            <w:tcW w:w="582" w:type="pct"/>
            <w:vAlign w:val="center"/>
          </w:tcPr>
          <w:p w14:paraId="516C0390">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学历</w:t>
            </w:r>
          </w:p>
        </w:tc>
        <w:tc>
          <w:tcPr>
            <w:tcW w:w="699" w:type="pct"/>
            <w:vAlign w:val="center"/>
          </w:tcPr>
          <w:p w14:paraId="37D17A23">
            <w:pPr>
              <w:keepNext w:val="0"/>
              <w:keepLines w:val="0"/>
              <w:suppressLineNumbers w:val="0"/>
              <w:spacing w:before="0" w:beforeAutospacing="0" w:after="0" w:afterAutospacing="0"/>
              <w:ind w:left="0" w:right="0"/>
              <w:jc w:val="center"/>
              <w:rPr>
                <w:rFonts w:hint="default" w:asciiTheme="minorEastAsia" w:hAnsiTheme="minorEastAsia"/>
                <w:b/>
                <w:bCs/>
                <w:color w:val="auto"/>
                <w:szCs w:val="21"/>
                <w:highlight w:val="none"/>
              </w:rPr>
            </w:pPr>
            <w:r>
              <w:rPr>
                <w:rFonts w:hint="eastAsia" w:asciiTheme="minorEastAsia" w:hAnsiTheme="minorEastAsia"/>
                <w:b/>
                <w:bCs/>
                <w:color w:val="auto"/>
                <w:szCs w:val="21"/>
                <w:highlight w:val="none"/>
              </w:rPr>
              <w:t>经验年限</w:t>
            </w:r>
          </w:p>
        </w:tc>
      </w:tr>
      <w:tr w14:paraId="7A5E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14E1592">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4B9E3FB4">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10FEC90A">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197346A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766A02C0">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5BF885A5">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682BFB8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215F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50894AB">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053C313A">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71392E0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39A77F9C">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69D75F02">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0664B9A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6133F58A">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61869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E382F0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7C70F56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14839D4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1835886F">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58BFC36B">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4FB8C972">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7F14F1A1">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38F3A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AD6D1">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1A8FB1A5">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159ED6B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09A0FBA9">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7FE3448D">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4CC9E45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78498EA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7C47F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91BB02">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4FC03243">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1B551BF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2B1EB497">
            <w:pPr>
              <w:keepNext w:val="0"/>
              <w:keepLines w:val="0"/>
              <w:widowControl/>
              <w:suppressLineNumbers w:val="0"/>
              <w:tabs>
                <w:tab w:val="right" w:leader="dot" w:pos="8302"/>
              </w:tabs>
              <w:spacing w:before="0" w:beforeAutospacing="0" w:after="0" w:afterAutospacing="0" w:line="480" w:lineRule="auto"/>
              <w:ind w:left="0" w:right="0"/>
              <w:jc w:val="center"/>
              <w:rPr>
                <w:rFonts w:hint="default" w:asciiTheme="minorEastAsia" w:hAnsiTheme="minorEastAsia"/>
                <w:color w:val="auto"/>
                <w:kern w:val="0"/>
                <w:szCs w:val="21"/>
                <w:highlight w:val="none"/>
              </w:rPr>
            </w:pPr>
          </w:p>
        </w:tc>
        <w:tc>
          <w:tcPr>
            <w:tcW w:w="830" w:type="pct"/>
          </w:tcPr>
          <w:p w14:paraId="5402C0DF">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08AE17D0">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19D4302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5348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F76E72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3F8ED31B">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65458A19">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37CFD260">
            <w:pPr>
              <w:keepNext w:val="0"/>
              <w:keepLines w:val="0"/>
              <w:widowControl/>
              <w:suppressLineNumbers w:val="0"/>
              <w:tabs>
                <w:tab w:val="right" w:leader="dot" w:pos="8302"/>
              </w:tabs>
              <w:spacing w:before="0" w:beforeAutospacing="0" w:after="0" w:afterAutospacing="0" w:line="480" w:lineRule="auto"/>
              <w:ind w:left="0" w:right="0"/>
              <w:jc w:val="center"/>
              <w:rPr>
                <w:rFonts w:hint="default" w:asciiTheme="minorEastAsia" w:hAnsiTheme="minorEastAsia"/>
                <w:color w:val="auto"/>
                <w:kern w:val="0"/>
                <w:szCs w:val="21"/>
                <w:highlight w:val="none"/>
              </w:rPr>
            </w:pPr>
          </w:p>
        </w:tc>
        <w:tc>
          <w:tcPr>
            <w:tcW w:w="830" w:type="pct"/>
          </w:tcPr>
          <w:p w14:paraId="3AC678E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6B1A03F2">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601651AC">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4D5C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363FF14">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7E3D638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142013E7">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2DA8411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2AD5BD5D">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64CE607D">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5C58951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r w14:paraId="4340B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37EA7A7">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53" w:type="pct"/>
            <w:vAlign w:val="center"/>
          </w:tcPr>
          <w:p w14:paraId="5CF2AC06">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739" w:type="pct"/>
            <w:vAlign w:val="center"/>
          </w:tcPr>
          <w:p w14:paraId="64BE53D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1081" w:type="pct"/>
            <w:vAlign w:val="center"/>
          </w:tcPr>
          <w:p w14:paraId="74A3745C">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830" w:type="pct"/>
          </w:tcPr>
          <w:p w14:paraId="3DB3E708">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582" w:type="pct"/>
            <w:vAlign w:val="center"/>
          </w:tcPr>
          <w:p w14:paraId="39B2F041">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c>
          <w:tcPr>
            <w:tcW w:w="699" w:type="pct"/>
          </w:tcPr>
          <w:p w14:paraId="20B7B8FE">
            <w:pPr>
              <w:keepNext w:val="0"/>
              <w:keepLines w:val="0"/>
              <w:suppressLineNumbers w:val="0"/>
              <w:spacing w:before="0" w:beforeAutospacing="0" w:after="0" w:afterAutospacing="0" w:line="480" w:lineRule="auto"/>
              <w:ind w:left="0" w:right="0"/>
              <w:jc w:val="center"/>
              <w:rPr>
                <w:rFonts w:hint="default" w:asciiTheme="minorEastAsia" w:hAnsiTheme="minorEastAsia"/>
                <w:color w:val="auto"/>
                <w:szCs w:val="21"/>
                <w:highlight w:val="none"/>
              </w:rPr>
            </w:pPr>
          </w:p>
        </w:tc>
      </w:tr>
    </w:tbl>
    <w:p w14:paraId="24D6F60E">
      <w:pPr>
        <w:pStyle w:val="2"/>
        <w:overflowPunct w:val="0"/>
        <w:spacing w:before="156" w:beforeLines="50" w:after="0" w:line="360" w:lineRule="auto"/>
        <w:rPr>
          <w:rFonts w:asciiTheme="minorEastAsia" w:hAnsiTheme="minorEastAsia" w:eastAsiaTheme="minorEastAsia"/>
          <w:color w:val="auto"/>
          <w:szCs w:val="21"/>
          <w:highlight w:val="none"/>
        </w:rPr>
      </w:pPr>
    </w:p>
    <w:p w14:paraId="65AA49BB">
      <w:pPr>
        <w:pStyle w:val="2"/>
        <w:overflowPunct w:val="0"/>
        <w:spacing w:before="156" w:beforeLines="50" w:after="0"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p>
    <w:p w14:paraId="50DB722F">
      <w:pPr>
        <w:spacing w:line="360" w:lineRule="auto"/>
        <w:rPr>
          <w:rFonts w:asciiTheme="minorEastAsia" w:hAnsiTheme="minorEastAsia"/>
          <w:color w:val="auto"/>
          <w:highlight w:val="none"/>
        </w:rPr>
      </w:pPr>
    </w:p>
    <w:p w14:paraId="0DB85A75">
      <w:pPr>
        <w:spacing w:line="360" w:lineRule="auto"/>
        <w:rPr>
          <w:rFonts w:asciiTheme="minorEastAsia" w:hAnsiTheme="minorEastAsia"/>
          <w:color w:val="auto"/>
          <w:highlight w:val="none"/>
        </w:rPr>
      </w:pPr>
    </w:p>
    <w:p w14:paraId="7472E4C3">
      <w:pPr>
        <w:spacing w:line="360" w:lineRule="auto"/>
        <w:rPr>
          <w:rFonts w:asciiTheme="minorEastAsia" w:hAnsiTheme="minorEastAsia"/>
          <w:color w:val="auto"/>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A915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76BEF7C2">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1733D57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7AC40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3CA64FD">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36912EFA">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4DD00C99">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31" w:name="_Toc391627771"/>
      <w:bookmarkStart w:id="132" w:name="_Toc138770025"/>
      <w:bookmarkStart w:id="133" w:name="_Toc405313975"/>
      <w:r>
        <w:rPr>
          <w:rStyle w:val="25"/>
          <w:rFonts w:hint="eastAsia" w:asciiTheme="minorEastAsia" w:hAnsiTheme="minorEastAsia" w:eastAsiaTheme="minorEastAsia"/>
          <w:b/>
          <w:bCs/>
          <w:color w:val="auto"/>
          <w:spacing w:val="12"/>
          <w:sz w:val="21"/>
          <w:szCs w:val="21"/>
          <w:highlight w:val="none"/>
        </w:rPr>
        <w:t>项目负责人简历表</w:t>
      </w:r>
      <w:bookmarkEnd w:id="131"/>
      <w:bookmarkEnd w:id="132"/>
      <w:bookmarkEnd w:id="133"/>
    </w:p>
    <w:p w14:paraId="41803B19">
      <w:pPr>
        <w:spacing w:before="624" w:beforeLines="200" w:after="312" w:afterLines="10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745B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F680F09">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姓名</w:t>
            </w:r>
          </w:p>
        </w:tc>
        <w:tc>
          <w:tcPr>
            <w:tcW w:w="1493" w:type="pct"/>
            <w:gridSpan w:val="4"/>
            <w:vAlign w:val="center"/>
          </w:tcPr>
          <w:p w14:paraId="0615CE20">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480" w:type="pct"/>
            <w:vAlign w:val="center"/>
          </w:tcPr>
          <w:p w14:paraId="0D914CD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性别</w:t>
            </w:r>
          </w:p>
        </w:tc>
        <w:tc>
          <w:tcPr>
            <w:tcW w:w="962" w:type="pct"/>
            <w:gridSpan w:val="3"/>
            <w:vAlign w:val="center"/>
          </w:tcPr>
          <w:p w14:paraId="1A3E6658">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617" w:type="pct"/>
            <w:gridSpan w:val="2"/>
            <w:vAlign w:val="center"/>
          </w:tcPr>
          <w:p w14:paraId="66E91050">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年龄</w:t>
            </w:r>
          </w:p>
        </w:tc>
        <w:tc>
          <w:tcPr>
            <w:tcW w:w="1030" w:type="pct"/>
            <w:gridSpan w:val="2"/>
            <w:vAlign w:val="center"/>
          </w:tcPr>
          <w:p w14:paraId="1623BECE">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50FB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7D22165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职务</w:t>
            </w:r>
          </w:p>
        </w:tc>
        <w:tc>
          <w:tcPr>
            <w:tcW w:w="1493" w:type="pct"/>
            <w:gridSpan w:val="4"/>
            <w:vAlign w:val="center"/>
          </w:tcPr>
          <w:p w14:paraId="1FC0E6CC">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480" w:type="pct"/>
            <w:vAlign w:val="center"/>
          </w:tcPr>
          <w:p w14:paraId="4662E11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职称</w:t>
            </w:r>
          </w:p>
        </w:tc>
        <w:tc>
          <w:tcPr>
            <w:tcW w:w="962" w:type="pct"/>
            <w:gridSpan w:val="3"/>
            <w:vAlign w:val="center"/>
          </w:tcPr>
          <w:p w14:paraId="5A615BE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617" w:type="pct"/>
            <w:gridSpan w:val="2"/>
            <w:vAlign w:val="center"/>
          </w:tcPr>
          <w:p w14:paraId="640EDFF7">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学历</w:t>
            </w:r>
          </w:p>
        </w:tc>
        <w:tc>
          <w:tcPr>
            <w:tcW w:w="1030" w:type="pct"/>
            <w:gridSpan w:val="2"/>
            <w:vAlign w:val="center"/>
          </w:tcPr>
          <w:p w14:paraId="29B2F208">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1E7E7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68170A07">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参加工作时间</w:t>
            </w:r>
          </w:p>
        </w:tc>
        <w:tc>
          <w:tcPr>
            <w:tcW w:w="1081" w:type="pct"/>
            <w:gridSpan w:val="4"/>
            <w:vAlign w:val="center"/>
          </w:tcPr>
          <w:p w14:paraId="56E8ADB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502" w:type="pct"/>
            <w:gridSpan w:val="5"/>
            <w:vAlign w:val="center"/>
          </w:tcPr>
          <w:p w14:paraId="375C68DF">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相关经验年限</w:t>
            </w:r>
          </w:p>
        </w:tc>
        <w:tc>
          <w:tcPr>
            <w:tcW w:w="796" w:type="pct"/>
            <w:vAlign w:val="center"/>
          </w:tcPr>
          <w:p w14:paraId="6F2FF95E">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552C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752E0A9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资格证书名称、编号</w:t>
            </w:r>
          </w:p>
        </w:tc>
        <w:tc>
          <w:tcPr>
            <w:tcW w:w="3379" w:type="pct"/>
            <w:gridSpan w:val="10"/>
            <w:vAlign w:val="center"/>
          </w:tcPr>
          <w:p w14:paraId="025A16E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5FF2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B365F4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目前在任及以往服务项目情况</w:t>
            </w:r>
          </w:p>
        </w:tc>
      </w:tr>
      <w:tr w14:paraId="5CB5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02C47FC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采购人</w:t>
            </w:r>
          </w:p>
        </w:tc>
        <w:tc>
          <w:tcPr>
            <w:tcW w:w="962" w:type="pct"/>
            <w:gridSpan w:val="2"/>
            <w:vAlign w:val="center"/>
          </w:tcPr>
          <w:p w14:paraId="4767919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项目名称</w:t>
            </w:r>
          </w:p>
        </w:tc>
        <w:tc>
          <w:tcPr>
            <w:tcW w:w="903" w:type="pct"/>
            <w:gridSpan w:val="4"/>
            <w:vAlign w:val="center"/>
          </w:tcPr>
          <w:p w14:paraId="6B486D6C">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项目规模</w:t>
            </w:r>
          </w:p>
        </w:tc>
        <w:tc>
          <w:tcPr>
            <w:tcW w:w="892" w:type="pct"/>
            <w:gridSpan w:val="2"/>
            <w:vAlign w:val="center"/>
          </w:tcPr>
          <w:p w14:paraId="549AC1D8">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所任职务</w:t>
            </w:r>
          </w:p>
        </w:tc>
        <w:tc>
          <w:tcPr>
            <w:tcW w:w="1399" w:type="pct"/>
            <w:gridSpan w:val="3"/>
            <w:vAlign w:val="center"/>
          </w:tcPr>
          <w:p w14:paraId="500B4DD0">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r>
              <w:rPr>
                <w:rFonts w:hint="eastAsia" w:asciiTheme="minorEastAsia" w:hAnsiTheme="minorEastAsia"/>
                <w:color w:val="auto"/>
                <w:szCs w:val="21"/>
                <w:highlight w:val="none"/>
              </w:rPr>
              <w:t>起止时间</w:t>
            </w:r>
          </w:p>
        </w:tc>
      </w:tr>
      <w:tr w14:paraId="54D86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A257DD6">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62" w:type="pct"/>
            <w:gridSpan w:val="2"/>
            <w:vAlign w:val="center"/>
          </w:tcPr>
          <w:p w14:paraId="7B5949D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03" w:type="pct"/>
            <w:gridSpan w:val="4"/>
            <w:vAlign w:val="center"/>
          </w:tcPr>
          <w:p w14:paraId="2B739C4C">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892" w:type="pct"/>
            <w:gridSpan w:val="2"/>
            <w:vAlign w:val="center"/>
          </w:tcPr>
          <w:p w14:paraId="0D3FD093">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399" w:type="pct"/>
            <w:gridSpan w:val="3"/>
            <w:vAlign w:val="center"/>
          </w:tcPr>
          <w:p w14:paraId="64315D6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2DB69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D9F9F88">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62" w:type="pct"/>
            <w:gridSpan w:val="2"/>
            <w:vAlign w:val="center"/>
          </w:tcPr>
          <w:p w14:paraId="3FB7DC14">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03" w:type="pct"/>
            <w:gridSpan w:val="4"/>
            <w:vAlign w:val="center"/>
          </w:tcPr>
          <w:p w14:paraId="0B82C389">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892" w:type="pct"/>
            <w:gridSpan w:val="2"/>
            <w:vAlign w:val="center"/>
          </w:tcPr>
          <w:p w14:paraId="32941133">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399" w:type="pct"/>
            <w:gridSpan w:val="3"/>
            <w:vAlign w:val="center"/>
          </w:tcPr>
          <w:p w14:paraId="75648E5E">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070E8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1136C11">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62" w:type="pct"/>
            <w:gridSpan w:val="2"/>
            <w:vAlign w:val="center"/>
          </w:tcPr>
          <w:p w14:paraId="7125A5D5">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03" w:type="pct"/>
            <w:gridSpan w:val="4"/>
            <w:vAlign w:val="center"/>
          </w:tcPr>
          <w:p w14:paraId="4C57DE87">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892" w:type="pct"/>
            <w:gridSpan w:val="2"/>
            <w:vAlign w:val="center"/>
          </w:tcPr>
          <w:p w14:paraId="6200CE83">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399" w:type="pct"/>
            <w:gridSpan w:val="3"/>
            <w:vAlign w:val="center"/>
          </w:tcPr>
          <w:p w14:paraId="53FF5FE4">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73D42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2918723">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62" w:type="pct"/>
            <w:gridSpan w:val="2"/>
            <w:vAlign w:val="center"/>
          </w:tcPr>
          <w:p w14:paraId="33FA39E2">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03" w:type="pct"/>
            <w:gridSpan w:val="4"/>
            <w:vAlign w:val="center"/>
          </w:tcPr>
          <w:p w14:paraId="218B69B9">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892" w:type="pct"/>
            <w:gridSpan w:val="2"/>
            <w:vAlign w:val="center"/>
          </w:tcPr>
          <w:p w14:paraId="7C6390C8">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399" w:type="pct"/>
            <w:gridSpan w:val="3"/>
            <w:vAlign w:val="center"/>
          </w:tcPr>
          <w:p w14:paraId="12B639CD">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r w14:paraId="617C7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D9EC954">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62" w:type="pct"/>
            <w:gridSpan w:val="2"/>
            <w:vAlign w:val="center"/>
          </w:tcPr>
          <w:p w14:paraId="3F9E6313">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903" w:type="pct"/>
            <w:gridSpan w:val="4"/>
            <w:vAlign w:val="center"/>
          </w:tcPr>
          <w:p w14:paraId="3A4B9549">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892" w:type="pct"/>
            <w:gridSpan w:val="2"/>
            <w:vAlign w:val="center"/>
          </w:tcPr>
          <w:p w14:paraId="00AAF301">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c>
          <w:tcPr>
            <w:tcW w:w="1399" w:type="pct"/>
            <w:gridSpan w:val="3"/>
            <w:vAlign w:val="center"/>
          </w:tcPr>
          <w:p w14:paraId="39392CE7">
            <w:pPr>
              <w:keepNext w:val="0"/>
              <w:keepLines w:val="0"/>
              <w:suppressLineNumbers w:val="0"/>
              <w:spacing w:before="0" w:beforeAutospacing="0" w:after="0" w:afterAutospacing="0"/>
              <w:ind w:left="0" w:right="0"/>
              <w:jc w:val="center"/>
              <w:rPr>
                <w:rFonts w:hint="default" w:asciiTheme="minorEastAsia" w:hAnsiTheme="minorEastAsia"/>
                <w:color w:val="auto"/>
                <w:szCs w:val="21"/>
                <w:highlight w:val="none"/>
              </w:rPr>
            </w:pPr>
          </w:p>
        </w:tc>
      </w:tr>
    </w:tbl>
    <w:p w14:paraId="7E9FB48A">
      <w:pPr>
        <w:spacing w:line="360" w:lineRule="auto"/>
        <w:rPr>
          <w:rFonts w:asciiTheme="minorEastAsia" w:hAnsiTheme="minorEastAsia"/>
          <w:color w:val="auto"/>
          <w:szCs w:val="21"/>
          <w:highlight w:val="none"/>
        </w:rPr>
      </w:pPr>
    </w:p>
    <w:p w14:paraId="4FDE14A8">
      <w:pPr>
        <w:spacing w:line="360" w:lineRule="auto"/>
        <w:rPr>
          <w:rFonts w:asciiTheme="minorEastAsia" w:hAnsiTheme="minorEastAsia"/>
          <w:color w:val="auto"/>
          <w:szCs w:val="21"/>
          <w:highlight w:val="none"/>
        </w:rPr>
      </w:pPr>
    </w:p>
    <w:p w14:paraId="15CB5B0F">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7D49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357102C0">
            <w:pPr>
              <w:keepNext w:val="0"/>
              <w:keepLines w:val="0"/>
              <w:suppressLineNumbers w:val="0"/>
              <w:overflowPunct w:val="0"/>
              <w:adjustRightInd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default" w:asciiTheme="minorEastAsia" w:hAnsiTheme="minorEastAsia"/>
                <w:color w:val="auto"/>
                <w:szCs w:val="21"/>
                <w:highlight w:val="none"/>
                <w:u w:val="single"/>
              </w:rPr>
              <w:t xml:space="preserve">                         </w:t>
            </w:r>
          </w:p>
        </w:tc>
        <w:tc>
          <w:tcPr>
            <w:tcW w:w="3175" w:type="dxa"/>
          </w:tcPr>
          <w:p w14:paraId="4B835159">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r w14:paraId="6CDFA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181DF77">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r>
              <w:rPr>
                <w:rFonts w:hint="eastAsia" w:asciiTheme="minorEastAsia" w:hAnsiTheme="minorEastAsia"/>
                <w:color w:val="auto"/>
                <w:szCs w:val="21"/>
                <w:highlight w:val="none"/>
              </w:rPr>
              <w:t>日期：</w:t>
            </w:r>
            <w:r>
              <w:rPr>
                <w:rFonts w:hint="default" w:asciiTheme="minorEastAsia" w:hAnsiTheme="minorEastAsia"/>
                <w:color w:val="auto"/>
                <w:szCs w:val="21"/>
                <w:highlight w:val="none"/>
                <w:u w:val="single"/>
              </w:rPr>
              <w:t xml:space="preserve">             年           月            日</w:t>
            </w:r>
          </w:p>
        </w:tc>
        <w:tc>
          <w:tcPr>
            <w:tcW w:w="3175" w:type="dxa"/>
          </w:tcPr>
          <w:p w14:paraId="6E667D3E">
            <w:pPr>
              <w:keepNext w:val="0"/>
              <w:keepLines w:val="0"/>
              <w:suppressLineNumbers w:val="0"/>
              <w:spacing w:before="0" w:beforeAutospacing="0" w:after="0" w:afterAutospacing="0" w:line="360" w:lineRule="auto"/>
              <w:ind w:left="0" w:right="0"/>
              <w:rPr>
                <w:rFonts w:hint="default" w:asciiTheme="minorEastAsia" w:hAnsiTheme="minorEastAsia"/>
                <w:color w:val="auto"/>
                <w:szCs w:val="21"/>
                <w:highlight w:val="none"/>
              </w:rPr>
            </w:pPr>
          </w:p>
        </w:tc>
      </w:tr>
    </w:tbl>
    <w:p w14:paraId="5B7215B4">
      <w:pPr>
        <w:spacing w:line="360" w:lineRule="auto"/>
        <w:rPr>
          <w:rFonts w:asciiTheme="minorEastAsia" w:hAnsiTheme="minorEastAsia"/>
          <w:color w:val="auto"/>
          <w:szCs w:val="21"/>
          <w:highlight w:val="none"/>
        </w:rPr>
      </w:pPr>
    </w:p>
    <w:p w14:paraId="42B77308">
      <w:pPr>
        <w:spacing w:line="360" w:lineRule="auto"/>
        <w:rPr>
          <w:rFonts w:asciiTheme="minorEastAsia" w:hAnsiTheme="minorEastAsia"/>
          <w:color w:val="auto"/>
          <w:szCs w:val="21"/>
          <w:highlight w:val="none"/>
        </w:rPr>
      </w:pPr>
    </w:p>
    <w:p w14:paraId="12C4CF2D">
      <w:pPr>
        <w:spacing w:line="360" w:lineRule="auto"/>
        <w:rPr>
          <w:rFonts w:asciiTheme="minorEastAsia" w:hAnsiTheme="minorEastAsia"/>
          <w:color w:val="auto"/>
          <w:szCs w:val="21"/>
          <w:highlight w:val="none"/>
        </w:rPr>
      </w:pPr>
    </w:p>
    <w:bookmarkEnd w:id="56"/>
    <w:p w14:paraId="234CBFF3">
      <w:pPr>
        <w:spacing w:line="360" w:lineRule="auto"/>
        <w:rPr>
          <w:rFonts w:asciiTheme="minorEastAsia" w:hAnsiTheme="minorEastAsia"/>
          <w:color w:val="auto"/>
          <w:highlight w:val="none"/>
        </w:rPr>
      </w:pPr>
    </w:p>
    <w:p w14:paraId="526C9582">
      <w:pPr>
        <w:pStyle w:val="4"/>
        <w:keepNext w:val="0"/>
        <w:keepLines w:val="0"/>
        <w:pageBreakBefore/>
        <w:numPr>
          <w:ilvl w:val="0"/>
          <w:numId w:val="81"/>
        </w:numPr>
        <w:tabs>
          <w:tab w:val="left" w:pos="284"/>
        </w:tabs>
        <w:spacing w:line="360" w:lineRule="auto"/>
        <w:jc w:val="left"/>
        <w:rPr>
          <w:rStyle w:val="25"/>
          <w:rFonts w:asciiTheme="minorEastAsia" w:hAnsiTheme="minorEastAsia" w:eastAsiaTheme="minorEastAsia"/>
          <w:b/>
          <w:bCs w:val="0"/>
          <w:color w:val="auto"/>
          <w:spacing w:val="12"/>
          <w:sz w:val="21"/>
          <w:szCs w:val="21"/>
          <w:highlight w:val="none"/>
        </w:rPr>
      </w:pPr>
      <w:bookmarkStart w:id="134" w:name="_Toc138770026"/>
      <w:r>
        <w:rPr>
          <w:rStyle w:val="25"/>
          <w:rFonts w:hint="eastAsia" w:asciiTheme="minorEastAsia" w:hAnsiTheme="minorEastAsia" w:eastAsiaTheme="minorEastAsia"/>
          <w:b/>
          <w:bCs w:val="0"/>
          <w:color w:val="auto"/>
          <w:spacing w:val="12"/>
          <w:sz w:val="21"/>
          <w:szCs w:val="21"/>
          <w:highlight w:val="none"/>
        </w:rPr>
        <w:t>响应信封格式</w:t>
      </w:r>
      <w:bookmarkEnd w:id="134"/>
    </w:p>
    <w:p w14:paraId="2AB079F7">
      <w:pPr>
        <w:spacing w:line="360" w:lineRule="auto"/>
        <w:jc w:val="center"/>
        <w:rPr>
          <w:rFonts w:asciiTheme="minorEastAsia" w:hAnsiTheme="minorEastAsia"/>
          <w:bCs/>
          <w:color w:val="auto"/>
          <w:sz w:val="50"/>
          <w:szCs w:val="50"/>
          <w:highlight w:val="none"/>
        </w:rPr>
      </w:pPr>
    </w:p>
    <w:p w14:paraId="4F43B51F">
      <w:pPr>
        <w:spacing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东莞市消防救援支队消防亮化广告牌宣传运维服务项目</w:t>
      </w:r>
    </w:p>
    <w:p w14:paraId="73884F88">
      <w:pPr>
        <w:spacing w:line="360" w:lineRule="auto"/>
        <w:jc w:val="center"/>
        <w:rPr>
          <w:rFonts w:asciiTheme="minorEastAsia" w:hAnsiTheme="minorEastAsia"/>
          <w:b/>
          <w:color w:val="auto"/>
          <w:szCs w:val="21"/>
          <w:highlight w:val="none"/>
        </w:rPr>
      </w:pPr>
    </w:p>
    <w:p w14:paraId="4F601C7A">
      <w:pPr>
        <w:spacing w:line="360" w:lineRule="auto"/>
        <w:jc w:val="center"/>
        <w:rPr>
          <w:rFonts w:asciiTheme="minorEastAsia" w:hAnsiTheme="minorEastAsia"/>
          <w:b/>
          <w:color w:val="auto"/>
          <w:szCs w:val="21"/>
          <w:highlight w:val="none"/>
        </w:rPr>
      </w:pPr>
    </w:p>
    <w:p w14:paraId="353148C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（评选编号：</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u w:val="single"/>
          <w:lang w:eastAsia="zh-CN"/>
        </w:rPr>
        <w:t xml:space="preserve">  </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rPr>
        <w:t>）</w:t>
      </w:r>
    </w:p>
    <w:p w14:paraId="3EC155E1">
      <w:pPr>
        <w:spacing w:before="1404" w:beforeLines="450" w:line="360" w:lineRule="auto"/>
        <w:jc w:val="center"/>
        <w:rPr>
          <w:rFonts w:asciiTheme="minorEastAsia" w:hAnsiTheme="minorEastAsia"/>
          <w:b/>
          <w:color w:val="auto"/>
          <w:spacing w:val="60"/>
          <w:sz w:val="72"/>
          <w:szCs w:val="72"/>
          <w:highlight w:val="none"/>
        </w:rPr>
      </w:pPr>
      <w:r>
        <w:rPr>
          <w:rFonts w:hint="eastAsia" w:asciiTheme="minorEastAsia" w:hAnsiTheme="minorEastAsia"/>
          <w:b/>
          <w:color w:val="auto"/>
          <w:spacing w:val="60"/>
          <w:sz w:val="72"/>
          <w:szCs w:val="72"/>
          <w:highlight w:val="none"/>
          <w:lang w:val="en-US" w:eastAsia="zh-CN"/>
        </w:rPr>
        <w:t>响应</w:t>
      </w:r>
      <w:r>
        <w:rPr>
          <w:rFonts w:hint="eastAsia" w:asciiTheme="minorEastAsia" w:hAnsiTheme="minorEastAsia"/>
          <w:b/>
          <w:color w:val="auto"/>
          <w:spacing w:val="60"/>
          <w:sz w:val="72"/>
          <w:szCs w:val="72"/>
          <w:highlight w:val="none"/>
        </w:rPr>
        <w:t>信封</w:t>
      </w:r>
    </w:p>
    <w:p w14:paraId="1A0867F1">
      <w:pPr>
        <w:spacing w:after="2028" w:afterLines="650"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（封面格式仅供参考）</w:t>
      </w:r>
    </w:p>
    <w:tbl>
      <w:tblPr>
        <w:tblStyle w:val="23"/>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71"/>
        <w:gridCol w:w="4865"/>
      </w:tblGrid>
      <w:tr w14:paraId="7D829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684" w:type="pct"/>
            <w:vAlign w:val="center"/>
          </w:tcPr>
          <w:p w14:paraId="4F883BCD">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响应供应商名称：</w:t>
            </w:r>
          </w:p>
        </w:tc>
        <w:tc>
          <w:tcPr>
            <w:tcW w:w="3316" w:type="pct"/>
            <w:vAlign w:val="center"/>
          </w:tcPr>
          <w:p w14:paraId="386B0A9B">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4522C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684" w:type="pct"/>
            <w:vAlign w:val="center"/>
          </w:tcPr>
          <w:p w14:paraId="169BEF22">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响应供应商地址：</w:t>
            </w:r>
          </w:p>
        </w:tc>
        <w:tc>
          <w:tcPr>
            <w:tcW w:w="3316" w:type="pct"/>
            <w:vAlign w:val="center"/>
          </w:tcPr>
          <w:p w14:paraId="77319B61">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5A579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684" w:type="pct"/>
            <w:vAlign w:val="center"/>
          </w:tcPr>
          <w:p w14:paraId="6191BE5B">
            <w:pPr>
              <w:keepNext w:val="0"/>
              <w:keepLines w:val="0"/>
              <w:suppressLineNumbers w:val="0"/>
              <w:spacing w:before="0" w:beforeAutospacing="0" w:after="0" w:afterAutospacing="0" w:line="360" w:lineRule="auto"/>
              <w:ind w:left="0" w:right="0"/>
              <w:jc w:val="right"/>
              <w:rPr>
                <w:rFonts w:hint="default" w:asciiTheme="minorEastAsia" w:hAnsiTheme="minorEastAsia"/>
                <w:color w:val="auto"/>
                <w:spacing w:val="-10"/>
                <w:sz w:val="24"/>
                <w:szCs w:val="24"/>
                <w:highlight w:val="none"/>
              </w:rPr>
            </w:pPr>
            <w:r>
              <w:rPr>
                <w:rFonts w:hint="eastAsia" w:asciiTheme="minorEastAsia" w:hAnsiTheme="minorEastAsia"/>
                <w:color w:val="auto"/>
                <w:sz w:val="24"/>
                <w:szCs w:val="24"/>
                <w:highlight w:val="none"/>
              </w:rPr>
              <w:t>联系人</w:t>
            </w:r>
            <w:r>
              <w:rPr>
                <w:rFonts w:hint="eastAsia" w:asciiTheme="minorEastAsia" w:hAnsiTheme="minorEastAsia"/>
                <w:color w:val="auto"/>
                <w:spacing w:val="-10"/>
                <w:sz w:val="24"/>
                <w:szCs w:val="24"/>
                <w:highlight w:val="none"/>
              </w:rPr>
              <w:t>：</w:t>
            </w:r>
          </w:p>
        </w:tc>
        <w:tc>
          <w:tcPr>
            <w:tcW w:w="3316" w:type="pct"/>
            <w:vAlign w:val="center"/>
          </w:tcPr>
          <w:p w14:paraId="2F408C6A">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r w14:paraId="5234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684" w:type="pct"/>
            <w:vAlign w:val="center"/>
          </w:tcPr>
          <w:p w14:paraId="6CA7A992">
            <w:pPr>
              <w:keepNext w:val="0"/>
              <w:keepLines w:val="0"/>
              <w:suppressLineNumbers w:val="0"/>
              <w:tabs>
                <w:tab w:val="left" w:pos="170"/>
              </w:tabs>
              <w:spacing w:before="0" w:beforeAutospacing="0" w:after="0" w:afterAutospacing="0" w:line="360" w:lineRule="auto"/>
              <w:ind w:left="0" w:right="0"/>
              <w:jc w:val="right"/>
              <w:rPr>
                <w:rFonts w:hint="default" w:asciiTheme="minorEastAsia" w:hAnsiTheme="minorEastAsia"/>
                <w:color w:val="auto"/>
                <w:sz w:val="24"/>
                <w:szCs w:val="24"/>
                <w:highlight w:val="none"/>
              </w:rPr>
            </w:pPr>
            <w:r>
              <w:rPr>
                <w:rFonts w:hint="eastAsia" w:asciiTheme="minorEastAsia" w:hAnsiTheme="minorEastAsia"/>
                <w:color w:val="auto"/>
                <w:spacing w:val="24"/>
                <w:sz w:val="24"/>
                <w:szCs w:val="24"/>
                <w:highlight w:val="none"/>
              </w:rPr>
              <w:t>联系电话</w:t>
            </w:r>
            <w:r>
              <w:rPr>
                <w:rFonts w:hint="eastAsia" w:asciiTheme="minorEastAsia" w:hAnsiTheme="minorEastAsia"/>
                <w:color w:val="auto"/>
                <w:sz w:val="24"/>
                <w:szCs w:val="24"/>
                <w:highlight w:val="none"/>
              </w:rPr>
              <w:t>：</w:t>
            </w:r>
          </w:p>
        </w:tc>
        <w:tc>
          <w:tcPr>
            <w:tcW w:w="3316" w:type="pct"/>
            <w:vAlign w:val="center"/>
          </w:tcPr>
          <w:p w14:paraId="772143D7">
            <w:pPr>
              <w:keepNext w:val="0"/>
              <w:keepLines w:val="0"/>
              <w:suppressLineNumbers w:val="0"/>
              <w:spacing w:before="0" w:beforeAutospacing="0" w:after="0" w:afterAutospacing="0" w:line="360" w:lineRule="auto"/>
              <w:ind w:left="0" w:right="0"/>
              <w:jc w:val="left"/>
              <w:rPr>
                <w:rFonts w:hint="default" w:asciiTheme="minorEastAsia" w:hAnsiTheme="minorEastAsia"/>
                <w:color w:val="auto"/>
                <w:sz w:val="24"/>
                <w:szCs w:val="24"/>
                <w:highlight w:val="none"/>
                <w:u w:val="single"/>
              </w:rPr>
            </w:pPr>
            <w:r>
              <w:rPr>
                <w:rFonts w:hint="default" w:asciiTheme="minorEastAsia" w:hAnsiTheme="minorEastAsia"/>
                <w:color w:val="auto"/>
                <w:sz w:val="24"/>
                <w:szCs w:val="24"/>
                <w:highlight w:val="none"/>
                <w:u w:val="single"/>
              </w:rPr>
              <w:t xml:space="preserve">                                       </w:t>
            </w:r>
          </w:p>
        </w:tc>
      </w:tr>
    </w:tbl>
    <w:p w14:paraId="45481CFF">
      <w:pPr>
        <w:spacing w:before="468" w:beforeLines="150" w:line="600" w:lineRule="exact"/>
        <w:jc w:val="center"/>
        <w:rPr>
          <w:rFonts w:asciiTheme="minorEastAsia" w:hAnsiTheme="minorEastAsia"/>
          <w:b/>
          <w:bCs/>
          <w:color w:val="auto"/>
          <w:spacing w:val="40"/>
          <w:sz w:val="24"/>
          <w:szCs w:val="24"/>
          <w:highlight w:val="none"/>
        </w:rPr>
      </w:pPr>
      <w:r>
        <w:rPr>
          <w:rFonts w:hint="eastAsia" w:asciiTheme="minorEastAsia" w:hAnsiTheme="minorEastAsia"/>
          <w:b/>
          <w:color w:val="auto"/>
          <w:spacing w:val="40"/>
          <w:sz w:val="24"/>
          <w:szCs w:val="24"/>
          <w:highlight w:val="none"/>
        </w:rPr>
        <w:t>日期：</w:t>
      </w:r>
      <w:r>
        <w:rPr>
          <w:rFonts w:hint="eastAsia" w:asciiTheme="minorEastAsia" w:hAnsiTheme="minorEastAsia"/>
          <w:b/>
          <w:color w:val="auto"/>
          <w:spacing w:val="20"/>
          <w:szCs w:val="21"/>
          <w:highlight w:val="none"/>
        </w:rPr>
        <w:t xml:space="preserve">    </w:t>
      </w:r>
      <w:r>
        <w:rPr>
          <w:rFonts w:hint="eastAsia" w:asciiTheme="minorEastAsia" w:hAnsiTheme="minorEastAsia"/>
          <w:b/>
          <w:color w:val="auto"/>
          <w:spacing w:val="40"/>
          <w:sz w:val="24"/>
          <w:szCs w:val="24"/>
          <w:highlight w:val="none"/>
        </w:rPr>
        <w:t xml:space="preserve">年 </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 xml:space="preserve">月 </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日</w:t>
      </w:r>
    </w:p>
    <w:p w14:paraId="7A8D4E15">
      <w:pPr>
        <w:spacing w:line="360" w:lineRule="auto"/>
        <w:rPr>
          <w:rFonts w:asciiTheme="minorEastAsia" w:hAnsiTheme="minorEastAsia"/>
          <w:color w:val="auto"/>
          <w:highlight w:val="none"/>
        </w:rPr>
      </w:pPr>
    </w:p>
    <w:p w14:paraId="19F9679A">
      <w:pPr>
        <w:spacing w:line="360" w:lineRule="auto"/>
        <w:rPr>
          <w:rFonts w:asciiTheme="minorEastAsia" w:hAnsiTheme="minorEastAsia"/>
          <w:color w:val="auto"/>
          <w:highlight w:val="none"/>
        </w:rPr>
      </w:pPr>
    </w:p>
    <w:p w14:paraId="10084F0C">
      <w:pPr>
        <w:pStyle w:val="33"/>
        <w:numPr>
          <w:ilvl w:val="0"/>
          <w:numId w:val="88"/>
        </w:numPr>
        <w:spacing w:before="312" w:beforeLines="100" w:after="312" w:afterLines="100" w:line="360" w:lineRule="auto"/>
        <w:ind w:firstLineChars="0"/>
        <w:jc w:val="left"/>
        <w:rPr>
          <w:rFonts w:asciiTheme="minorEastAsia" w:hAnsiTheme="minorEastAsia"/>
          <w:b/>
          <w:color w:val="auto"/>
          <w:spacing w:val="20"/>
          <w:sz w:val="28"/>
          <w:szCs w:val="28"/>
          <w:highlight w:val="none"/>
        </w:rPr>
      </w:pPr>
      <w:r>
        <w:rPr>
          <w:rFonts w:hint="eastAsia" w:asciiTheme="minorEastAsia" w:hAnsiTheme="minorEastAsia"/>
          <w:b/>
          <w:color w:val="auto"/>
          <w:spacing w:val="20"/>
          <w:sz w:val="28"/>
          <w:szCs w:val="28"/>
          <w:highlight w:val="none"/>
          <w:lang w:val="en-US" w:eastAsia="zh-CN"/>
        </w:rPr>
        <w:t>响应</w:t>
      </w:r>
      <w:r>
        <w:rPr>
          <w:rFonts w:hint="eastAsia" w:asciiTheme="minorEastAsia" w:hAnsiTheme="minorEastAsia"/>
          <w:b/>
          <w:color w:val="auto"/>
          <w:spacing w:val="20"/>
          <w:sz w:val="28"/>
          <w:szCs w:val="28"/>
          <w:highlight w:val="none"/>
        </w:rPr>
        <w:t>信封内装：</w:t>
      </w:r>
    </w:p>
    <w:p w14:paraId="29CD3981">
      <w:pPr>
        <w:pStyle w:val="33"/>
        <w:numPr>
          <w:ilvl w:val="0"/>
          <w:numId w:val="89"/>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报价一览表加盖响应供应商公章；</w:t>
      </w:r>
    </w:p>
    <w:p w14:paraId="4123E1E7">
      <w:pPr>
        <w:pStyle w:val="33"/>
        <w:numPr>
          <w:ilvl w:val="0"/>
          <w:numId w:val="89"/>
        </w:numPr>
        <w:spacing w:line="360" w:lineRule="auto"/>
        <w:ind w:firstLineChars="0"/>
        <w:rPr>
          <w:rFonts w:asciiTheme="minorEastAsia" w:hAnsiTheme="minorEastAsia"/>
          <w:color w:val="auto"/>
          <w:highlight w:val="none"/>
        </w:rPr>
      </w:pPr>
      <w:r>
        <w:rPr>
          <w:rFonts w:hint="eastAsia" w:asciiTheme="minorEastAsia" w:hAnsiTheme="minorEastAsia"/>
          <w:color w:val="auto"/>
          <w:szCs w:val="21"/>
          <w:highlight w:val="none"/>
        </w:rPr>
        <w:t>法定代表人证明书或法定代表人授权委托书加盖响应供应商公章；</w:t>
      </w:r>
    </w:p>
    <w:p w14:paraId="189E452B">
      <w:pPr>
        <w:pStyle w:val="33"/>
        <w:numPr>
          <w:ilvl w:val="0"/>
          <w:numId w:val="89"/>
        </w:numPr>
        <w:spacing w:line="360" w:lineRule="auto"/>
        <w:ind w:firstLineChars="0"/>
        <w:rPr>
          <w:rFonts w:asciiTheme="minorEastAsia" w:hAnsiTheme="minorEastAsia"/>
          <w:color w:val="auto"/>
          <w:szCs w:val="21"/>
          <w:highlight w:val="none"/>
        </w:rPr>
      </w:pPr>
      <w:r>
        <w:rPr>
          <w:rFonts w:hint="eastAsia" w:asciiTheme="minorEastAsia" w:hAnsiTheme="minorEastAsia"/>
          <w:bCs/>
          <w:color w:val="auto"/>
          <w:szCs w:val="21"/>
          <w:highlight w:val="none"/>
        </w:rPr>
        <w:t>其他格式（如有）</w:t>
      </w:r>
      <w:r>
        <w:rPr>
          <w:rFonts w:hint="eastAsia" w:asciiTheme="minorEastAsia" w:hAnsiTheme="minorEastAsia"/>
          <w:color w:val="auto"/>
          <w:szCs w:val="21"/>
          <w:highlight w:val="none"/>
        </w:rPr>
        <w:t>。</w:t>
      </w:r>
    </w:p>
    <w:p w14:paraId="0AD04BD4">
      <w:pPr>
        <w:spacing w:line="360" w:lineRule="auto"/>
        <w:rPr>
          <w:rFonts w:asciiTheme="minorEastAsia" w:hAnsiTheme="minorEastAsia"/>
          <w:color w:val="auto"/>
          <w:highlight w:val="none"/>
        </w:rPr>
      </w:pPr>
    </w:p>
    <w:sectPr>
      <w:footerReference r:id="rId5" w:type="first"/>
      <w:headerReference r:id="rId3" w:type="default"/>
      <w:footerReference r:id="rId4" w:type="default"/>
      <w:pgSz w:w="11906" w:h="16838"/>
      <w:pgMar w:top="1521" w:right="1558" w:bottom="993" w:left="1797" w:header="851" w:footer="680"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_x000B__x000C_">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2123494"/>
    </w:sdtPr>
    <w:sdtContent>
      <w:p w14:paraId="12806CAB">
        <w:pPr>
          <w:pStyle w:val="15"/>
          <w:jc w:val="center"/>
        </w:pPr>
        <w:r>
          <w:fldChar w:fldCharType="begin"/>
        </w:r>
        <w:r>
          <w:instrText xml:space="preserve">PAGE   \* MERGEFORMAT</w:instrText>
        </w:r>
        <w:r>
          <w:fldChar w:fldCharType="separate"/>
        </w:r>
        <w:r>
          <w:rPr>
            <w:lang w:val="zh-CN"/>
          </w:rPr>
          <w:t>53</w:t>
        </w:r>
        <w:r>
          <w:fldChar w:fldCharType="end"/>
        </w:r>
      </w:p>
    </w:sdtContent>
  </w:sdt>
  <w:p w14:paraId="63D5A360">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9669008"/>
    </w:sdtPr>
    <w:sdtContent>
      <w:p w14:paraId="03562A4D">
        <w:pPr>
          <w:pStyle w:val="15"/>
          <w:jc w:val="center"/>
        </w:pPr>
      </w:p>
    </w:sdtContent>
  </w:sdt>
  <w:p w14:paraId="1BA16E7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56E53">
    <w:pPr>
      <w:pStyle w:val="16"/>
      <w:jc w:val="left"/>
      <w:rPr>
        <w:rFonts w:ascii="黑体" w:hAnsi="黑体" w:eastAsia="黑体"/>
        <w:color w:val="FF0000"/>
      </w:rPr>
    </w:pP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ascii="宋体" w:hAnsi="宋体" w:eastAsia="宋体"/>
        <w:b/>
        <w:sz w:val="32"/>
      </w:rPr>
      <w:drawing>
        <wp:inline distT="0" distB="0" distL="0" distR="0">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color w:val="FF0000"/>
      </w:rPr>
      <w:t>广东智汇城市招标采购有限公司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D65A5"/>
    <w:multiLevelType w:val="singleLevel"/>
    <w:tmpl w:val="84CD65A5"/>
    <w:lvl w:ilvl="0" w:tentative="0">
      <w:start w:val="1"/>
      <w:numFmt w:val="decimal"/>
      <w:suff w:val="space"/>
      <w:lvlText w:val="%1."/>
      <w:lvlJc w:val="left"/>
      <w:pPr>
        <w:ind w:left="425" w:hanging="425"/>
      </w:pPr>
      <w:rPr>
        <w:rFonts w:hint="default"/>
        <w:color w:val="auto"/>
      </w:rPr>
    </w:lvl>
  </w:abstractNum>
  <w:abstractNum w:abstractNumId="1">
    <w:nsid w:val="8A4763B7"/>
    <w:multiLevelType w:val="multilevel"/>
    <w:tmpl w:val="8A4763B7"/>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B542B06E"/>
    <w:multiLevelType w:val="multilevel"/>
    <w:tmpl w:val="B542B06E"/>
    <w:lvl w:ilvl="0" w:tentative="0">
      <w:start w:val="1"/>
      <w:numFmt w:val="chineseCountingThousand"/>
      <w:suff w:val="space"/>
      <w:lvlText w:val="(%1)"/>
      <w:lvlJc w:val="left"/>
      <w:pPr>
        <w:ind w:left="420" w:hanging="420"/>
      </w:pPr>
      <w:rPr>
        <w:rFonts w:hint="eastAsia"/>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BBB53A66"/>
    <w:multiLevelType w:val="singleLevel"/>
    <w:tmpl w:val="BBB53A66"/>
    <w:lvl w:ilvl="0" w:tentative="0">
      <w:start w:val="1"/>
      <w:numFmt w:val="decimal"/>
      <w:suff w:val="space"/>
      <w:lvlText w:val="%1."/>
      <w:lvlJc w:val="left"/>
      <w:pPr>
        <w:ind w:left="425" w:hanging="425"/>
      </w:pPr>
      <w:rPr>
        <w:rFonts w:hint="default"/>
        <w:color w:val="auto"/>
      </w:rPr>
    </w:lvl>
  </w:abstractNum>
  <w:abstractNum w:abstractNumId="4">
    <w:nsid w:val="BE2B7B8C"/>
    <w:multiLevelType w:val="singleLevel"/>
    <w:tmpl w:val="BE2B7B8C"/>
    <w:lvl w:ilvl="0" w:tentative="0">
      <w:start w:val="1"/>
      <w:numFmt w:val="decimal"/>
      <w:lvlText w:val="(%1)"/>
      <w:lvlJc w:val="left"/>
      <w:pPr>
        <w:ind w:left="425" w:hanging="425"/>
      </w:pPr>
      <w:rPr>
        <w:rFonts w:hint="default"/>
      </w:rPr>
    </w:lvl>
  </w:abstractNum>
  <w:abstractNum w:abstractNumId="5">
    <w:nsid w:val="C5B41914"/>
    <w:multiLevelType w:val="singleLevel"/>
    <w:tmpl w:val="C5B41914"/>
    <w:lvl w:ilvl="0" w:tentative="0">
      <w:start w:val="1"/>
      <w:numFmt w:val="decimal"/>
      <w:lvlText w:val="(%1)"/>
      <w:lvlJc w:val="left"/>
      <w:pPr>
        <w:ind w:left="425" w:hanging="425"/>
      </w:pPr>
      <w:rPr>
        <w:rFonts w:hint="default"/>
      </w:rPr>
    </w:lvl>
  </w:abstractNum>
  <w:abstractNum w:abstractNumId="6">
    <w:nsid w:val="CAB5EB21"/>
    <w:multiLevelType w:val="singleLevel"/>
    <w:tmpl w:val="CAB5EB21"/>
    <w:lvl w:ilvl="0" w:tentative="0">
      <w:start w:val="1"/>
      <w:numFmt w:val="decimal"/>
      <w:suff w:val="space"/>
      <w:lvlText w:val="%1."/>
      <w:lvlJc w:val="left"/>
      <w:pPr>
        <w:ind w:left="425" w:hanging="425"/>
      </w:pPr>
      <w:rPr>
        <w:rFonts w:hint="default"/>
        <w:color w:val="auto"/>
      </w:rPr>
    </w:lvl>
  </w:abstractNum>
  <w:abstractNum w:abstractNumId="7">
    <w:nsid w:val="DBBB6B06"/>
    <w:multiLevelType w:val="singleLevel"/>
    <w:tmpl w:val="DBBB6B06"/>
    <w:lvl w:ilvl="0" w:tentative="0">
      <w:start w:val="1"/>
      <w:numFmt w:val="decimal"/>
      <w:suff w:val="space"/>
      <w:lvlText w:val="%1."/>
      <w:lvlJc w:val="left"/>
      <w:pPr>
        <w:ind w:left="425" w:hanging="425"/>
      </w:pPr>
      <w:rPr>
        <w:rFonts w:hint="default"/>
        <w:color w:val="auto"/>
      </w:rPr>
    </w:lvl>
  </w:abstractNum>
  <w:abstractNum w:abstractNumId="8">
    <w:nsid w:val="F248D9A0"/>
    <w:multiLevelType w:val="singleLevel"/>
    <w:tmpl w:val="F248D9A0"/>
    <w:lvl w:ilvl="0" w:tentative="0">
      <w:start w:val="1"/>
      <w:numFmt w:val="decimal"/>
      <w:suff w:val="space"/>
      <w:lvlText w:val="%1."/>
      <w:lvlJc w:val="left"/>
      <w:pPr>
        <w:ind w:left="425" w:hanging="425"/>
      </w:pPr>
      <w:rPr>
        <w:rFonts w:hint="default"/>
        <w:color w:val="auto"/>
      </w:rPr>
    </w:lvl>
  </w:abstractNum>
  <w:abstractNum w:abstractNumId="9">
    <w:nsid w:val="F5ACAE2E"/>
    <w:multiLevelType w:val="singleLevel"/>
    <w:tmpl w:val="F5ACAE2E"/>
    <w:lvl w:ilvl="0" w:tentative="0">
      <w:start w:val="1"/>
      <w:numFmt w:val="decimal"/>
      <w:suff w:val="space"/>
      <w:lvlText w:val="%1."/>
      <w:lvlJc w:val="left"/>
      <w:pPr>
        <w:ind w:left="425" w:hanging="425"/>
      </w:pPr>
      <w:rPr>
        <w:rFonts w:hint="default"/>
        <w:color w:val="auto"/>
      </w:rPr>
    </w:lvl>
  </w:abstractNum>
  <w:abstractNum w:abstractNumId="10">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6342F4C"/>
    <w:multiLevelType w:val="multilevel"/>
    <w:tmpl w:val="06342F4C"/>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B5D1CF6"/>
    <w:multiLevelType w:val="multilevel"/>
    <w:tmpl w:val="0B5D1CF6"/>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2004C9B"/>
    <w:multiLevelType w:val="multilevel"/>
    <w:tmpl w:val="12004C9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76E0134"/>
    <w:multiLevelType w:val="multilevel"/>
    <w:tmpl w:val="176E0134"/>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83154B4"/>
    <w:multiLevelType w:val="multilevel"/>
    <w:tmpl w:val="183154B4"/>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CD77AF"/>
    <w:multiLevelType w:val="multilevel"/>
    <w:tmpl w:val="19CD77AF"/>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A973E3B"/>
    <w:multiLevelType w:val="multilevel"/>
    <w:tmpl w:val="1A973E3B"/>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7">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7.%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0">
    <w:nsid w:val="25321F35"/>
    <w:multiLevelType w:val="multilevel"/>
    <w:tmpl w:val="25321F35"/>
    <w:lvl w:ilvl="0" w:tentative="0">
      <w:start w:val="1"/>
      <w:numFmt w:val="decimal"/>
      <w:lvlText w:val="%1."/>
      <w:lvlJc w:val="left"/>
      <w:pPr>
        <w:ind w:left="842" w:hanging="420"/>
      </w:pPr>
      <w:rPr>
        <w:rFonts w:hint="eastAsia"/>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31">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8C3233B"/>
    <w:multiLevelType w:val="singleLevel"/>
    <w:tmpl w:val="28C3233B"/>
    <w:lvl w:ilvl="0" w:tentative="0">
      <w:start w:val="1"/>
      <w:numFmt w:val="decimal"/>
      <w:suff w:val="space"/>
      <w:lvlText w:val="%1."/>
      <w:lvlJc w:val="left"/>
      <w:pPr>
        <w:ind w:left="425" w:hanging="425"/>
      </w:pPr>
      <w:rPr>
        <w:rFonts w:hint="default"/>
        <w:color w:val="auto"/>
      </w:rPr>
    </w:lvl>
  </w:abstractNum>
  <w:abstractNum w:abstractNumId="34">
    <w:nsid w:val="299304F3"/>
    <w:multiLevelType w:val="singleLevel"/>
    <w:tmpl w:val="299304F3"/>
    <w:lvl w:ilvl="0" w:tentative="0">
      <w:start w:val="1"/>
      <w:numFmt w:val="decimal"/>
      <w:lvlText w:val="(%1)"/>
      <w:lvlJc w:val="left"/>
      <w:pPr>
        <w:ind w:left="425" w:hanging="425"/>
      </w:pPr>
      <w:rPr>
        <w:rFonts w:hint="default"/>
      </w:rPr>
    </w:lvl>
  </w:abstractNum>
  <w:abstractNum w:abstractNumId="35">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A16535C"/>
    <w:multiLevelType w:val="multilevel"/>
    <w:tmpl w:val="2A16535C"/>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B1320B6"/>
    <w:multiLevelType w:val="multilevel"/>
    <w:tmpl w:val="2B1320B6"/>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9">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1">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E7B3266"/>
    <w:multiLevelType w:val="multilevel"/>
    <w:tmpl w:val="3E7B3266"/>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F4115D6"/>
    <w:multiLevelType w:val="singleLevel"/>
    <w:tmpl w:val="3F4115D6"/>
    <w:lvl w:ilvl="0" w:tentative="0">
      <w:start w:val="1"/>
      <w:numFmt w:val="decimal"/>
      <w:suff w:val="space"/>
      <w:lvlText w:val="%1."/>
      <w:lvlJc w:val="left"/>
      <w:pPr>
        <w:ind w:left="425" w:hanging="425"/>
      </w:pPr>
      <w:rPr>
        <w:rFonts w:hint="default"/>
        <w:color w:val="auto"/>
      </w:rPr>
    </w:lvl>
  </w:abstractNum>
  <w:abstractNum w:abstractNumId="49">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b w:val="0"/>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0">
    <w:nsid w:val="429B7FED"/>
    <w:multiLevelType w:val="multilevel"/>
    <w:tmpl w:val="429B7FED"/>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5B9030C"/>
    <w:multiLevelType w:val="multilevel"/>
    <w:tmpl w:val="45B9030C"/>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4791187A"/>
    <w:multiLevelType w:val="singleLevel"/>
    <w:tmpl w:val="4791187A"/>
    <w:lvl w:ilvl="0" w:tentative="0">
      <w:start w:val="1"/>
      <w:numFmt w:val="decimal"/>
      <w:lvlText w:val="%1."/>
      <w:lvlJc w:val="left"/>
      <w:pPr>
        <w:ind w:left="425" w:hanging="425"/>
      </w:pPr>
      <w:rPr>
        <w:rFonts w:hint="default"/>
      </w:rPr>
    </w:lvl>
  </w:abstractNum>
  <w:abstractNum w:abstractNumId="53">
    <w:nsid w:val="49BF5D86"/>
    <w:multiLevelType w:val="multilevel"/>
    <w:tmpl w:val="49BF5D86"/>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A2DFF66"/>
    <w:multiLevelType w:val="multilevel"/>
    <w:tmpl w:val="4A2DFF66"/>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6">
    <w:nsid w:val="4AD52286"/>
    <w:multiLevelType w:val="multilevel"/>
    <w:tmpl w:val="4AD52286"/>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0">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1">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2">
    <w:nsid w:val="537A3F02"/>
    <w:multiLevelType w:val="multilevel"/>
    <w:tmpl w:val="537A3F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5F09C53"/>
    <w:multiLevelType w:val="multilevel"/>
    <w:tmpl w:val="55F09C53"/>
    <w:lvl w:ilvl="0" w:tentative="0">
      <w:start w:val="1"/>
      <w:numFmt w:val="decimal"/>
      <w:lvlText w:val="3.%1"/>
      <w:lvlJc w:val="left"/>
      <w:pPr>
        <w:ind w:left="420" w:hanging="420"/>
      </w:pPr>
      <w:rPr>
        <w:rFonts w:hint="default"/>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8DC2BF5"/>
    <w:multiLevelType w:val="multilevel"/>
    <w:tmpl w:val="58DC2BF5"/>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E017870"/>
    <w:multiLevelType w:val="singleLevel"/>
    <w:tmpl w:val="5E017870"/>
    <w:lvl w:ilvl="0" w:tentative="0">
      <w:start w:val="1"/>
      <w:numFmt w:val="decimal"/>
      <w:lvlText w:val="%1."/>
      <w:lvlJc w:val="left"/>
      <w:pPr>
        <w:ind w:left="425" w:hanging="425"/>
      </w:pPr>
      <w:rPr>
        <w:rFonts w:hint="default"/>
      </w:rPr>
    </w:lvl>
  </w:abstractNum>
  <w:abstractNum w:abstractNumId="70">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65C87B74"/>
    <w:multiLevelType w:val="multilevel"/>
    <w:tmpl w:val="65C87B7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936AEF7"/>
    <w:multiLevelType w:val="singleLevel"/>
    <w:tmpl w:val="6936AEF7"/>
    <w:lvl w:ilvl="0" w:tentative="0">
      <w:start w:val="1"/>
      <w:numFmt w:val="decimal"/>
      <w:suff w:val="space"/>
      <w:lvlText w:val="%1."/>
      <w:lvlJc w:val="left"/>
      <w:pPr>
        <w:ind w:left="425" w:hanging="425"/>
      </w:pPr>
      <w:rPr>
        <w:rFonts w:hint="default"/>
        <w:color w:val="auto"/>
      </w:rPr>
    </w:lvl>
  </w:abstractNum>
  <w:abstractNum w:abstractNumId="76">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9">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28821B6"/>
    <w:multiLevelType w:val="multilevel"/>
    <w:tmpl w:val="728821B6"/>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3B36AB0"/>
    <w:multiLevelType w:val="multilevel"/>
    <w:tmpl w:val="73B36AB0"/>
    <w:lvl w:ilvl="0" w:tentative="0">
      <w:start w:val="1"/>
      <w:numFmt w:val="decimal"/>
      <w:lvlText w:val="20.%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75B47745"/>
    <w:multiLevelType w:val="singleLevel"/>
    <w:tmpl w:val="75B47745"/>
    <w:lvl w:ilvl="0" w:tentative="0">
      <w:start w:val="1"/>
      <w:numFmt w:val="decimal"/>
      <w:lvlText w:val="(%1)"/>
      <w:lvlJc w:val="left"/>
      <w:pPr>
        <w:ind w:left="425" w:hanging="425"/>
      </w:pPr>
      <w:rPr>
        <w:rFonts w:hint="default"/>
      </w:rPr>
    </w:lvl>
  </w:abstractNum>
  <w:abstractNum w:abstractNumId="83">
    <w:nsid w:val="7BA40B41"/>
    <w:multiLevelType w:val="multilevel"/>
    <w:tmpl w:val="7BA40B41"/>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4">
    <w:nsid w:val="7C2C7A19"/>
    <w:multiLevelType w:val="multilevel"/>
    <w:tmpl w:val="7C2C7A19"/>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6">
    <w:nsid w:val="7D4753CF"/>
    <w:multiLevelType w:val="multilevel"/>
    <w:tmpl w:val="7D4753CF"/>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FEF4FD5"/>
    <w:multiLevelType w:val="multilevel"/>
    <w:tmpl w:val="7FEF4FD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4"/>
  </w:num>
  <w:num w:numId="2">
    <w:abstractNumId w:val="30"/>
  </w:num>
  <w:num w:numId="3">
    <w:abstractNumId w:val="19"/>
  </w:num>
  <w:num w:numId="4">
    <w:abstractNumId w:val="41"/>
  </w:num>
  <w:num w:numId="5">
    <w:abstractNumId w:val="64"/>
  </w:num>
  <w:num w:numId="6">
    <w:abstractNumId w:val="18"/>
  </w:num>
  <w:num w:numId="7">
    <w:abstractNumId w:val="84"/>
  </w:num>
  <w:num w:numId="8">
    <w:abstractNumId w:val="86"/>
  </w:num>
  <w:num w:numId="9">
    <w:abstractNumId w:val="74"/>
  </w:num>
  <w:num w:numId="10">
    <w:abstractNumId w:val="2"/>
  </w:num>
  <w:num w:numId="11">
    <w:abstractNumId w:val="69"/>
  </w:num>
  <w:num w:numId="12">
    <w:abstractNumId w:val="7"/>
  </w:num>
  <w:num w:numId="13">
    <w:abstractNumId w:val="32"/>
  </w:num>
  <w:num w:numId="14">
    <w:abstractNumId w:val="8"/>
  </w:num>
  <w:num w:numId="15">
    <w:abstractNumId w:val="5"/>
  </w:num>
  <w:num w:numId="16">
    <w:abstractNumId w:val="4"/>
  </w:num>
  <w:num w:numId="17">
    <w:abstractNumId w:val="9"/>
  </w:num>
  <w:num w:numId="18">
    <w:abstractNumId w:val="6"/>
  </w:num>
  <w:num w:numId="19">
    <w:abstractNumId w:val="42"/>
  </w:num>
  <w:num w:numId="20">
    <w:abstractNumId w:val="28"/>
  </w:num>
  <w:num w:numId="21">
    <w:abstractNumId w:val="68"/>
  </w:num>
  <w:num w:numId="22">
    <w:abstractNumId w:val="16"/>
  </w:num>
  <w:num w:numId="23">
    <w:abstractNumId w:val="24"/>
  </w:num>
  <w:num w:numId="24">
    <w:abstractNumId w:val="71"/>
  </w:num>
  <w:num w:numId="25">
    <w:abstractNumId w:val="80"/>
  </w:num>
  <w:num w:numId="26">
    <w:abstractNumId w:val="66"/>
  </w:num>
  <w:num w:numId="27">
    <w:abstractNumId w:val="17"/>
  </w:num>
  <w:num w:numId="28">
    <w:abstractNumId w:val="88"/>
  </w:num>
  <w:num w:numId="29">
    <w:abstractNumId w:val="31"/>
  </w:num>
  <w:num w:numId="30">
    <w:abstractNumId w:val="36"/>
  </w:num>
  <w:num w:numId="31">
    <w:abstractNumId w:val="25"/>
  </w:num>
  <w:num w:numId="32">
    <w:abstractNumId w:val="22"/>
  </w:num>
  <w:num w:numId="33">
    <w:abstractNumId w:val="21"/>
  </w:num>
  <w:num w:numId="34">
    <w:abstractNumId w:val="56"/>
  </w:num>
  <w:num w:numId="35">
    <w:abstractNumId w:val="72"/>
  </w:num>
  <w:num w:numId="36">
    <w:abstractNumId w:val="37"/>
  </w:num>
  <w:num w:numId="37">
    <w:abstractNumId w:val="23"/>
  </w:num>
  <w:num w:numId="38">
    <w:abstractNumId w:val="83"/>
  </w:num>
  <w:num w:numId="39">
    <w:abstractNumId w:val="27"/>
  </w:num>
  <w:num w:numId="40">
    <w:abstractNumId w:val="38"/>
  </w:num>
  <w:num w:numId="41">
    <w:abstractNumId w:val="81"/>
  </w:num>
  <w:num w:numId="42">
    <w:abstractNumId w:val="50"/>
  </w:num>
  <w:num w:numId="43">
    <w:abstractNumId w:val="53"/>
  </w:num>
  <w:num w:numId="44">
    <w:abstractNumId w:val="15"/>
  </w:num>
  <w:num w:numId="45">
    <w:abstractNumId w:val="47"/>
  </w:num>
  <w:num w:numId="46">
    <w:abstractNumId w:val="43"/>
  </w:num>
  <w:num w:numId="47">
    <w:abstractNumId w:val="67"/>
  </w:num>
  <w:num w:numId="48">
    <w:abstractNumId w:val="65"/>
  </w:num>
  <w:num w:numId="49">
    <w:abstractNumId w:val="59"/>
  </w:num>
  <w:num w:numId="50">
    <w:abstractNumId w:val="85"/>
  </w:num>
  <w:num w:numId="51">
    <w:abstractNumId w:val="70"/>
  </w:num>
  <w:num w:numId="52">
    <w:abstractNumId w:val="61"/>
  </w:num>
  <w:num w:numId="53">
    <w:abstractNumId w:val="57"/>
  </w:num>
  <w:num w:numId="54">
    <w:abstractNumId w:val="29"/>
  </w:num>
  <w:num w:numId="55">
    <w:abstractNumId w:val="60"/>
  </w:num>
  <w:num w:numId="56">
    <w:abstractNumId w:val="49"/>
  </w:num>
  <w:num w:numId="57">
    <w:abstractNumId w:val="78"/>
  </w:num>
  <w:num w:numId="58">
    <w:abstractNumId w:val="26"/>
  </w:num>
  <w:num w:numId="59">
    <w:abstractNumId w:val="55"/>
  </w:num>
  <w:num w:numId="60">
    <w:abstractNumId w:val="11"/>
  </w:num>
  <w:num w:numId="61">
    <w:abstractNumId w:val="51"/>
  </w:num>
  <w:num w:numId="62">
    <w:abstractNumId w:val="1"/>
  </w:num>
  <w:num w:numId="63">
    <w:abstractNumId w:val="77"/>
  </w:num>
  <w:num w:numId="64">
    <w:abstractNumId w:val="58"/>
  </w:num>
  <w:num w:numId="65">
    <w:abstractNumId w:val="33"/>
  </w:num>
  <w:num w:numId="66">
    <w:abstractNumId w:val="34"/>
  </w:num>
  <w:num w:numId="67">
    <w:abstractNumId w:val="82"/>
  </w:num>
  <w:num w:numId="68">
    <w:abstractNumId w:val="3"/>
  </w:num>
  <w:num w:numId="69">
    <w:abstractNumId w:val="48"/>
  </w:num>
  <w:num w:numId="70">
    <w:abstractNumId w:val="0"/>
  </w:num>
  <w:num w:numId="71">
    <w:abstractNumId w:val="10"/>
  </w:num>
  <w:num w:numId="72">
    <w:abstractNumId w:val="75"/>
  </w:num>
  <w:num w:numId="73">
    <w:abstractNumId w:val="52"/>
  </w:num>
  <w:num w:numId="74">
    <w:abstractNumId w:val="14"/>
  </w:num>
  <w:num w:numId="75">
    <w:abstractNumId w:val="35"/>
  </w:num>
  <w:num w:numId="76">
    <w:abstractNumId w:val="46"/>
  </w:num>
  <w:num w:numId="77">
    <w:abstractNumId w:val="76"/>
  </w:num>
  <w:num w:numId="78">
    <w:abstractNumId w:val="12"/>
  </w:num>
  <w:num w:numId="79">
    <w:abstractNumId w:val="13"/>
  </w:num>
  <w:num w:numId="80">
    <w:abstractNumId w:val="20"/>
  </w:num>
  <w:num w:numId="81">
    <w:abstractNumId w:val="62"/>
  </w:num>
  <w:num w:numId="82">
    <w:abstractNumId w:val="39"/>
  </w:num>
  <w:num w:numId="83">
    <w:abstractNumId w:val="73"/>
  </w:num>
  <w:num w:numId="84">
    <w:abstractNumId w:val="79"/>
  </w:num>
  <w:num w:numId="85">
    <w:abstractNumId w:val="45"/>
  </w:num>
  <w:num w:numId="86">
    <w:abstractNumId w:val="87"/>
  </w:num>
  <w:num w:numId="87">
    <w:abstractNumId w:val="54"/>
  </w:num>
  <w:num w:numId="88">
    <w:abstractNumId w:val="40"/>
  </w:num>
  <w:num w:numId="89">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113B06"/>
    <w:rsid w:val="000003F9"/>
    <w:rsid w:val="00001F97"/>
    <w:rsid w:val="00002932"/>
    <w:rsid w:val="00002B11"/>
    <w:rsid w:val="00002E7B"/>
    <w:rsid w:val="00003266"/>
    <w:rsid w:val="00003270"/>
    <w:rsid w:val="00003C75"/>
    <w:rsid w:val="000047C9"/>
    <w:rsid w:val="0000569B"/>
    <w:rsid w:val="0000591B"/>
    <w:rsid w:val="00005C0B"/>
    <w:rsid w:val="00005D02"/>
    <w:rsid w:val="0000736C"/>
    <w:rsid w:val="00007AFD"/>
    <w:rsid w:val="000100E9"/>
    <w:rsid w:val="0001065E"/>
    <w:rsid w:val="00011C70"/>
    <w:rsid w:val="0001212F"/>
    <w:rsid w:val="00012350"/>
    <w:rsid w:val="00012887"/>
    <w:rsid w:val="000129CC"/>
    <w:rsid w:val="000132B0"/>
    <w:rsid w:val="000133AD"/>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324"/>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014"/>
    <w:rsid w:val="00046138"/>
    <w:rsid w:val="00047632"/>
    <w:rsid w:val="00047959"/>
    <w:rsid w:val="000500B4"/>
    <w:rsid w:val="000504E2"/>
    <w:rsid w:val="00050CF5"/>
    <w:rsid w:val="00051B0A"/>
    <w:rsid w:val="00051C4F"/>
    <w:rsid w:val="000527EE"/>
    <w:rsid w:val="00052FD9"/>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0C6C"/>
    <w:rsid w:val="00071077"/>
    <w:rsid w:val="0007138C"/>
    <w:rsid w:val="000714D9"/>
    <w:rsid w:val="00071998"/>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BBA"/>
    <w:rsid w:val="00080FAB"/>
    <w:rsid w:val="0008149C"/>
    <w:rsid w:val="000815EF"/>
    <w:rsid w:val="00081949"/>
    <w:rsid w:val="00081DE6"/>
    <w:rsid w:val="00081FD7"/>
    <w:rsid w:val="00084527"/>
    <w:rsid w:val="00084E44"/>
    <w:rsid w:val="0008500E"/>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81"/>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69D"/>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15F"/>
    <w:rsid w:val="000E07AC"/>
    <w:rsid w:val="000E11BC"/>
    <w:rsid w:val="000E203E"/>
    <w:rsid w:val="000E2612"/>
    <w:rsid w:val="000E2C1B"/>
    <w:rsid w:val="000E2CA1"/>
    <w:rsid w:val="000E2ED0"/>
    <w:rsid w:val="000E32B6"/>
    <w:rsid w:val="000E3365"/>
    <w:rsid w:val="000E3C2F"/>
    <w:rsid w:val="000E3F95"/>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067"/>
    <w:rsid w:val="000F4184"/>
    <w:rsid w:val="000F4431"/>
    <w:rsid w:val="000F47AB"/>
    <w:rsid w:val="000F5A7C"/>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89C"/>
    <w:rsid w:val="00112CD1"/>
    <w:rsid w:val="00112D11"/>
    <w:rsid w:val="0011304C"/>
    <w:rsid w:val="001136AE"/>
    <w:rsid w:val="00113B06"/>
    <w:rsid w:val="00114454"/>
    <w:rsid w:val="001144BF"/>
    <w:rsid w:val="00114B8F"/>
    <w:rsid w:val="001158FA"/>
    <w:rsid w:val="00115CFE"/>
    <w:rsid w:val="001165DE"/>
    <w:rsid w:val="001170E9"/>
    <w:rsid w:val="0011792B"/>
    <w:rsid w:val="00120AFE"/>
    <w:rsid w:val="00120EB5"/>
    <w:rsid w:val="0012116F"/>
    <w:rsid w:val="00121E2B"/>
    <w:rsid w:val="00122058"/>
    <w:rsid w:val="0012389E"/>
    <w:rsid w:val="00125CD6"/>
    <w:rsid w:val="00126C77"/>
    <w:rsid w:val="00130554"/>
    <w:rsid w:val="0013097B"/>
    <w:rsid w:val="00130D4F"/>
    <w:rsid w:val="00131000"/>
    <w:rsid w:val="00131D9B"/>
    <w:rsid w:val="00132732"/>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6AE3"/>
    <w:rsid w:val="00146B7B"/>
    <w:rsid w:val="001470A4"/>
    <w:rsid w:val="00150234"/>
    <w:rsid w:val="00150C6F"/>
    <w:rsid w:val="001514DC"/>
    <w:rsid w:val="0015186C"/>
    <w:rsid w:val="00151976"/>
    <w:rsid w:val="00151A3C"/>
    <w:rsid w:val="00151D66"/>
    <w:rsid w:val="0015282A"/>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275"/>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708"/>
    <w:rsid w:val="001A0F34"/>
    <w:rsid w:val="001A1A00"/>
    <w:rsid w:val="001A2059"/>
    <w:rsid w:val="001A23EE"/>
    <w:rsid w:val="001A241E"/>
    <w:rsid w:val="001A336E"/>
    <w:rsid w:val="001A3FD4"/>
    <w:rsid w:val="001A4243"/>
    <w:rsid w:val="001A4347"/>
    <w:rsid w:val="001A45CD"/>
    <w:rsid w:val="001A46DE"/>
    <w:rsid w:val="001A4746"/>
    <w:rsid w:val="001A49B7"/>
    <w:rsid w:val="001A4BDA"/>
    <w:rsid w:val="001A57E8"/>
    <w:rsid w:val="001A5BE3"/>
    <w:rsid w:val="001A6433"/>
    <w:rsid w:val="001A6DF8"/>
    <w:rsid w:val="001A6FD4"/>
    <w:rsid w:val="001A70D7"/>
    <w:rsid w:val="001A7604"/>
    <w:rsid w:val="001A7B69"/>
    <w:rsid w:val="001A7C33"/>
    <w:rsid w:val="001B0384"/>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67"/>
    <w:rsid w:val="001C3AEF"/>
    <w:rsid w:val="001C43B5"/>
    <w:rsid w:val="001C4514"/>
    <w:rsid w:val="001C529F"/>
    <w:rsid w:val="001C59C0"/>
    <w:rsid w:val="001C5C11"/>
    <w:rsid w:val="001C6BBA"/>
    <w:rsid w:val="001C6D02"/>
    <w:rsid w:val="001C700E"/>
    <w:rsid w:val="001C747C"/>
    <w:rsid w:val="001C7550"/>
    <w:rsid w:val="001C79CC"/>
    <w:rsid w:val="001D20A2"/>
    <w:rsid w:val="001D2383"/>
    <w:rsid w:val="001D23D5"/>
    <w:rsid w:val="001D2542"/>
    <w:rsid w:val="001D321C"/>
    <w:rsid w:val="001D3F56"/>
    <w:rsid w:val="001D423C"/>
    <w:rsid w:val="001D4645"/>
    <w:rsid w:val="001D4D1A"/>
    <w:rsid w:val="001D58DC"/>
    <w:rsid w:val="001D5F83"/>
    <w:rsid w:val="001D6257"/>
    <w:rsid w:val="001D6369"/>
    <w:rsid w:val="001D6CB4"/>
    <w:rsid w:val="001D7096"/>
    <w:rsid w:val="001D70AB"/>
    <w:rsid w:val="001D70E2"/>
    <w:rsid w:val="001D7F3B"/>
    <w:rsid w:val="001E1017"/>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0F5"/>
    <w:rsid w:val="001F31F7"/>
    <w:rsid w:val="001F3E3E"/>
    <w:rsid w:val="001F4EFE"/>
    <w:rsid w:val="001F57E3"/>
    <w:rsid w:val="001F6059"/>
    <w:rsid w:val="001F64DC"/>
    <w:rsid w:val="001F6582"/>
    <w:rsid w:val="001F6EE7"/>
    <w:rsid w:val="001F737C"/>
    <w:rsid w:val="001F73CE"/>
    <w:rsid w:val="001F7963"/>
    <w:rsid w:val="001F7C7E"/>
    <w:rsid w:val="00200527"/>
    <w:rsid w:val="00200C6B"/>
    <w:rsid w:val="00201183"/>
    <w:rsid w:val="00201240"/>
    <w:rsid w:val="00201269"/>
    <w:rsid w:val="002012D4"/>
    <w:rsid w:val="0020139E"/>
    <w:rsid w:val="0020271E"/>
    <w:rsid w:val="00202DB5"/>
    <w:rsid w:val="00204087"/>
    <w:rsid w:val="0020462F"/>
    <w:rsid w:val="00205E57"/>
    <w:rsid w:val="0020658C"/>
    <w:rsid w:val="002066DD"/>
    <w:rsid w:val="00206B08"/>
    <w:rsid w:val="00206F32"/>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CDC"/>
    <w:rsid w:val="00212FC2"/>
    <w:rsid w:val="0021302A"/>
    <w:rsid w:val="00214707"/>
    <w:rsid w:val="00214A72"/>
    <w:rsid w:val="00214C58"/>
    <w:rsid w:val="00215084"/>
    <w:rsid w:val="0021580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75"/>
    <w:rsid w:val="00233096"/>
    <w:rsid w:val="002337A9"/>
    <w:rsid w:val="002338E9"/>
    <w:rsid w:val="002339A1"/>
    <w:rsid w:val="00234854"/>
    <w:rsid w:val="00234A4F"/>
    <w:rsid w:val="00235A7E"/>
    <w:rsid w:val="00236077"/>
    <w:rsid w:val="00236F48"/>
    <w:rsid w:val="002370E3"/>
    <w:rsid w:val="0024025C"/>
    <w:rsid w:val="002403BF"/>
    <w:rsid w:val="00240C44"/>
    <w:rsid w:val="002416A8"/>
    <w:rsid w:val="00241D1D"/>
    <w:rsid w:val="00241F39"/>
    <w:rsid w:val="002421C0"/>
    <w:rsid w:val="002423DF"/>
    <w:rsid w:val="00242F8C"/>
    <w:rsid w:val="00243C71"/>
    <w:rsid w:val="00243F51"/>
    <w:rsid w:val="0024507E"/>
    <w:rsid w:val="00246C38"/>
    <w:rsid w:val="00246E57"/>
    <w:rsid w:val="00246E8A"/>
    <w:rsid w:val="00247599"/>
    <w:rsid w:val="00250236"/>
    <w:rsid w:val="00250717"/>
    <w:rsid w:val="002507E3"/>
    <w:rsid w:val="00250EAB"/>
    <w:rsid w:val="00251207"/>
    <w:rsid w:val="0025154B"/>
    <w:rsid w:val="002515E8"/>
    <w:rsid w:val="0025164E"/>
    <w:rsid w:val="00251C83"/>
    <w:rsid w:val="00253370"/>
    <w:rsid w:val="00253546"/>
    <w:rsid w:val="00254329"/>
    <w:rsid w:val="00254A25"/>
    <w:rsid w:val="00255469"/>
    <w:rsid w:val="002554DC"/>
    <w:rsid w:val="00255559"/>
    <w:rsid w:val="00255947"/>
    <w:rsid w:val="00255A4A"/>
    <w:rsid w:val="00255BEF"/>
    <w:rsid w:val="00255D3D"/>
    <w:rsid w:val="00256603"/>
    <w:rsid w:val="0025726A"/>
    <w:rsid w:val="00257EE2"/>
    <w:rsid w:val="00260D08"/>
    <w:rsid w:val="00260D2A"/>
    <w:rsid w:val="002613ED"/>
    <w:rsid w:val="002615A1"/>
    <w:rsid w:val="00261617"/>
    <w:rsid w:val="00261A39"/>
    <w:rsid w:val="0026201B"/>
    <w:rsid w:val="0026213E"/>
    <w:rsid w:val="0026286F"/>
    <w:rsid w:val="002634D2"/>
    <w:rsid w:val="00263550"/>
    <w:rsid w:val="0026533C"/>
    <w:rsid w:val="00265715"/>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930"/>
    <w:rsid w:val="0027465C"/>
    <w:rsid w:val="00275549"/>
    <w:rsid w:val="00276B74"/>
    <w:rsid w:val="0027765F"/>
    <w:rsid w:val="00277CC1"/>
    <w:rsid w:val="00277E36"/>
    <w:rsid w:val="00280439"/>
    <w:rsid w:val="00280638"/>
    <w:rsid w:val="0028083D"/>
    <w:rsid w:val="00280EAD"/>
    <w:rsid w:val="00281353"/>
    <w:rsid w:val="002825E2"/>
    <w:rsid w:val="00283352"/>
    <w:rsid w:val="0028420E"/>
    <w:rsid w:val="00284A19"/>
    <w:rsid w:val="00285A9C"/>
    <w:rsid w:val="00286245"/>
    <w:rsid w:val="00286319"/>
    <w:rsid w:val="002867E0"/>
    <w:rsid w:val="0028687B"/>
    <w:rsid w:val="00290C97"/>
    <w:rsid w:val="0029144F"/>
    <w:rsid w:val="00291911"/>
    <w:rsid w:val="00292448"/>
    <w:rsid w:val="002927E9"/>
    <w:rsid w:val="00292AD3"/>
    <w:rsid w:val="002932A0"/>
    <w:rsid w:val="00293316"/>
    <w:rsid w:val="0029349C"/>
    <w:rsid w:val="00293CDA"/>
    <w:rsid w:val="00293D3E"/>
    <w:rsid w:val="00294D11"/>
    <w:rsid w:val="002963B4"/>
    <w:rsid w:val="002965DD"/>
    <w:rsid w:val="0029694E"/>
    <w:rsid w:val="00296B5C"/>
    <w:rsid w:val="00297FF0"/>
    <w:rsid w:val="002A0127"/>
    <w:rsid w:val="002A0904"/>
    <w:rsid w:val="002A106B"/>
    <w:rsid w:val="002A1678"/>
    <w:rsid w:val="002A178D"/>
    <w:rsid w:val="002A1796"/>
    <w:rsid w:val="002A2871"/>
    <w:rsid w:val="002A4CF8"/>
    <w:rsid w:val="002A4E95"/>
    <w:rsid w:val="002A4FF9"/>
    <w:rsid w:val="002A5140"/>
    <w:rsid w:val="002A51D4"/>
    <w:rsid w:val="002A6416"/>
    <w:rsid w:val="002A66DA"/>
    <w:rsid w:val="002A6A9C"/>
    <w:rsid w:val="002A76C8"/>
    <w:rsid w:val="002A7850"/>
    <w:rsid w:val="002A7AD7"/>
    <w:rsid w:val="002A7B49"/>
    <w:rsid w:val="002A7DB3"/>
    <w:rsid w:val="002B0BA7"/>
    <w:rsid w:val="002B0DFA"/>
    <w:rsid w:val="002B0EB2"/>
    <w:rsid w:val="002B262B"/>
    <w:rsid w:val="002B3425"/>
    <w:rsid w:val="002B3C61"/>
    <w:rsid w:val="002B4174"/>
    <w:rsid w:val="002B4995"/>
    <w:rsid w:val="002B5493"/>
    <w:rsid w:val="002B70E8"/>
    <w:rsid w:val="002B73B0"/>
    <w:rsid w:val="002B7942"/>
    <w:rsid w:val="002C0A98"/>
    <w:rsid w:val="002C0BCC"/>
    <w:rsid w:val="002C11CB"/>
    <w:rsid w:val="002C25D7"/>
    <w:rsid w:val="002C27B7"/>
    <w:rsid w:val="002C2940"/>
    <w:rsid w:val="002C2BC6"/>
    <w:rsid w:val="002C3064"/>
    <w:rsid w:val="002C3608"/>
    <w:rsid w:val="002C36D9"/>
    <w:rsid w:val="002C69B3"/>
    <w:rsid w:val="002C6B61"/>
    <w:rsid w:val="002C6CCF"/>
    <w:rsid w:val="002C6FEB"/>
    <w:rsid w:val="002C7DB0"/>
    <w:rsid w:val="002C7E0E"/>
    <w:rsid w:val="002D0038"/>
    <w:rsid w:val="002D0053"/>
    <w:rsid w:val="002D0672"/>
    <w:rsid w:val="002D0793"/>
    <w:rsid w:val="002D273A"/>
    <w:rsid w:val="002D2BAA"/>
    <w:rsid w:val="002D330C"/>
    <w:rsid w:val="002D34D6"/>
    <w:rsid w:val="002D375C"/>
    <w:rsid w:val="002D3C57"/>
    <w:rsid w:val="002D3E94"/>
    <w:rsid w:val="002D3F17"/>
    <w:rsid w:val="002D49E7"/>
    <w:rsid w:val="002D4E71"/>
    <w:rsid w:val="002D4EFB"/>
    <w:rsid w:val="002D4F22"/>
    <w:rsid w:val="002D6273"/>
    <w:rsid w:val="002D6E10"/>
    <w:rsid w:val="002D6ECF"/>
    <w:rsid w:val="002E076A"/>
    <w:rsid w:val="002E07E5"/>
    <w:rsid w:val="002E0A8F"/>
    <w:rsid w:val="002E3B14"/>
    <w:rsid w:val="002E3F27"/>
    <w:rsid w:val="002E3FDD"/>
    <w:rsid w:val="002E4973"/>
    <w:rsid w:val="002E4A46"/>
    <w:rsid w:val="002E5CA5"/>
    <w:rsid w:val="002E65A1"/>
    <w:rsid w:val="002E666B"/>
    <w:rsid w:val="002E7B2E"/>
    <w:rsid w:val="002F00FF"/>
    <w:rsid w:val="002F0156"/>
    <w:rsid w:val="002F09AB"/>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07982"/>
    <w:rsid w:val="00311093"/>
    <w:rsid w:val="00311207"/>
    <w:rsid w:val="00311B92"/>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0F66"/>
    <w:rsid w:val="0033104E"/>
    <w:rsid w:val="0033256A"/>
    <w:rsid w:val="00333077"/>
    <w:rsid w:val="00334009"/>
    <w:rsid w:val="0033468A"/>
    <w:rsid w:val="003346D6"/>
    <w:rsid w:val="003351E2"/>
    <w:rsid w:val="003351E6"/>
    <w:rsid w:val="00335EDC"/>
    <w:rsid w:val="00336528"/>
    <w:rsid w:val="00337356"/>
    <w:rsid w:val="00337459"/>
    <w:rsid w:val="00337848"/>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5E"/>
    <w:rsid w:val="0035009D"/>
    <w:rsid w:val="00350258"/>
    <w:rsid w:val="0035054D"/>
    <w:rsid w:val="003505F6"/>
    <w:rsid w:val="0035120B"/>
    <w:rsid w:val="003513E7"/>
    <w:rsid w:val="00351B28"/>
    <w:rsid w:val="00351DDD"/>
    <w:rsid w:val="00351F0E"/>
    <w:rsid w:val="0035253A"/>
    <w:rsid w:val="00352A72"/>
    <w:rsid w:val="003530D5"/>
    <w:rsid w:val="00353B26"/>
    <w:rsid w:val="00353B32"/>
    <w:rsid w:val="00353BF5"/>
    <w:rsid w:val="00353D0D"/>
    <w:rsid w:val="00354383"/>
    <w:rsid w:val="00354DEB"/>
    <w:rsid w:val="0035513C"/>
    <w:rsid w:val="00355B21"/>
    <w:rsid w:val="00355C6C"/>
    <w:rsid w:val="00355D66"/>
    <w:rsid w:val="00356107"/>
    <w:rsid w:val="003563ED"/>
    <w:rsid w:val="00356963"/>
    <w:rsid w:val="00357221"/>
    <w:rsid w:val="003577B3"/>
    <w:rsid w:val="00357D5D"/>
    <w:rsid w:val="00360498"/>
    <w:rsid w:val="00360BC9"/>
    <w:rsid w:val="0036107A"/>
    <w:rsid w:val="0036125B"/>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020A"/>
    <w:rsid w:val="003706AA"/>
    <w:rsid w:val="003718E2"/>
    <w:rsid w:val="003723C0"/>
    <w:rsid w:val="003729AC"/>
    <w:rsid w:val="00373BDD"/>
    <w:rsid w:val="00373CCB"/>
    <w:rsid w:val="0037429D"/>
    <w:rsid w:val="00375540"/>
    <w:rsid w:val="00375CEB"/>
    <w:rsid w:val="003761CC"/>
    <w:rsid w:val="00376254"/>
    <w:rsid w:val="00376792"/>
    <w:rsid w:val="00376B66"/>
    <w:rsid w:val="00380609"/>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87E94"/>
    <w:rsid w:val="003908CE"/>
    <w:rsid w:val="0039092A"/>
    <w:rsid w:val="00391D51"/>
    <w:rsid w:val="0039209A"/>
    <w:rsid w:val="003920BC"/>
    <w:rsid w:val="0039310D"/>
    <w:rsid w:val="00394B59"/>
    <w:rsid w:val="00394D0A"/>
    <w:rsid w:val="00396815"/>
    <w:rsid w:val="00396F97"/>
    <w:rsid w:val="00397524"/>
    <w:rsid w:val="003A0597"/>
    <w:rsid w:val="003A060B"/>
    <w:rsid w:val="003A0760"/>
    <w:rsid w:val="003A0C5B"/>
    <w:rsid w:val="003A138D"/>
    <w:rsid w:val="003A23EE"/>
    <w:rsid w:val="003A286E"/>
    <w:rsid w:val="003A2988"/>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3F9"/>
    <w:rsid w:val="003B4766"/>
    <w:rsid w:val="003B4B26"/>
    <w:rsid w:val="003B4BC3"/>
    <w:rsid w:val="003B50E7"/>
    <w:rsid w:val="003B53B8"/>
    <w:rsid w:val="003B5491"/>
    <w:rsid w:val="003B6F1D"/>
    <w:rsid w:val="003C04D2"/>
    <w:rsid w:val="003C096C"/>
    <w:rsid w:val="003C0A3B"/>
    <w:rsid w:val="003C13B1"/>
    <w:rsid w:val="003C16A4"/>
    <w:rsid w:val="003C1977"/>
    <w:rsid w:val="003C1C6F"/>
    <w:rsid w:val="003C1E05"/>
    <w:rsid w:val="003C1E48"/>
    <w:rsid w:val="003C22CA"/>
    <w:rsid w:val="003C26CF"/>
    <w:rsid w:val="003C2EDD"/>
    <w:rsid w:val="003C3367"/>
    <w:rsid w:val="003C40FB"/>
    <w:rsid w:val="003C490C"/>
    <w:rsid w:val="003C4C7E"/>
    <w:rsid w:val="003C4CF9"/>
    <w:rsid w:val="003C584D"/>
    <w:rsid w:val="003C6811"/>
    <w:rsid w:val="003C6AF7"/>
    <w:rsid w:val="003C6E30"/>
    <w:rsid w:val="003C7489"/>
    <w:rsid w:val="003C787B"/>
    <w:rsid w:val="003C7BA3"/>
    <w:rsid w:val="003C7C73"/>
    <w:rsid w:val="003D033E"/>
    <w:rsid w:val="003D06A7"/>
    <w:rsid w:val="003D0E64"/>
    <w:rsid w:val="003D0FCD"/>
    <w:rsid w:val="003D1049"/>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56D"/>
    <w:rsid w:val="003E3D8A"/>
    <w:rsid w:val="003E41E6"/>
    <w:rsid w:val="003E42C8"/>
    <w:rsid w:val="003E51A3"/>
    <w:rsid w:val="003E64EE"/>
    <w:rsid w:val="003E753A"/>
    <w:rsid w:val="003E7944"/>
    <w:rsid w:val="003F002B"/>
    <w:rsid w:val="003F0666"/>
    <w:rsid w:val="003F2351"/>
    <w:rsid w:val="003F23EF"/>
    <w:rsid w:val="003F270C"/>
    <w:rsid w:val="003F2DE4"/>
    <w:rsid w:val="003F39A7"/>
    <w:rsid w:val="003F3C8B"/>
    <w:rsid w:val="003F47B6"/>
    <w:rsid w:val="003F5009"/>
    <w:rsid w:val="003F55D5"/>
    <w:rsid w:val="003F59F6"/>
    <w:rsid w:val="003F5C83"/>
    <w:rsid w:val="003F5D4D"/>
    <w:rsid w:val="003F678D"/>
    <w:rsid w:val="003F6AD6"/>
    <w:rsid w:val="003F6BE1"/>
    <w:rsid w:val="003F799D"/>
    <w:rsid w:val="0040021D"/>
    <w:rsid w:val="00400222"/>
    <w:rsid w:val="00400F10"/>
    <w:rsid w:val="00400F6E"/>
    <w:rsid w:val="004011DB"/>
    <w:rsid w:val="00401722"/>
    <w:rsid w:val="004022B2"/>
    <w:rsid w:val="00403008"/>
    <w:rsid w:val="004045B1"/>
    <w:rsid w:val="00404FAE"/>
    <w:rsid w:val="00405931"/>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284"/>
    <w:rsid w:val="0042082F"/>
    <w:rsid w:val="00420C78"/>
    <w:rsid w:val="00421109"/>
    <w:rsid w:val="00421463"/>
    <w:rsid w:val="00421A9F"/>
    <w:rsid w:val="00423834"/>
    <w:rsid w:val="0042493E"/>
    <w:rsid w:val="00424959"/>
    <w:rsid w:val="004250EE"/>
    <w:rsid w:val="004253C7"/>
    <w:rsid w:val="004260A6"/>
    <w:rsid w:val="00426631"/>
    <w:rsid w:val="004267CA"/>
    <w:rsid w:val="00426FE4"/>
    <w:rsid w:val="004272A4"/>
    <w:rsid w:val="004272E8"/>
    <w:rsid w:val="00427CAD"/>
    <w:rsid w:val="0043018B"/>
    <w:rsid w:val="004306CD"/>
    <w:rsid w:val="00431246"/>
    <w:rsid w:val="0043147B"/>
    <w:rsid w:val="004328A3"/>
    <w:rsid w:val="004328D8"/>
    <w:rsid w:val="00433B49"/>
    <w:rsid w:val="00433E07"/>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62F"/>
    <w:rsid w:val="004617D3"/>
    <w:rsid w:val="00461E39"/>
    <w:rsid w:val="00462064"/>
    <w:rsid w:val="004626B9"/>
    <w:rsid w:val="00462752"/>
    <w:rsid w:val="00463E78"/>
    <w:rsid w:val="0046459B"/>
    <w:rsid w:val="00464A24"/>
    <w:rsid w:val="00464A80"/>
    <w:rsid w:val="00464E84"/>
    <w:rsid w:val="00464F1F"/>
    <w:rsid w:val="00465FC5"/>
    <w:rsid w:val="00466001"/>
    <w:rsid w:val="00467062"/>
    <w:rsid w:val="004713AF"/>
    <w:rsid w:val="00472258"/>
    <w:rsid w:val="00472E95"/>
    <w:rsid w:val="00473178"/>
    <w:rsid w:val="00473341"/>
    <w:rsid w:val="00473AFD"/>
    <w:rsid w:val="00476377"/>
    <w:rsid w:val="0047690C"/>
    <w:rsid w:val="004769F0"/>
    <w:rsid w:val="00476F3A"/>
    <w:rsid w:val="004772FE"/>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722C"/>
    <w:rsid w:val="0049747B"/>
    <w:rsid w:val="004975AF"/>
    <w:rsid w:val="004A05B1"/>
    <w:rsid w:val="004A06B4"/>
    <w:rsid w:val="004A07AC"/>
    <w:rsid w:val="004A11CF"/>
    <w:rsid w:val="004A2A57"/>
    <w:rsid w:val="004A2F57"/>
    <w:rsid w:val="004A3FFD"/>
    <w:rsid w:val="004A4473"/>
    <w:rsid w:val="004A4EB2"/>
    <w:rsid w:val="004A5056"/>
    <w:rsid w:val="004A56D4"/>
    <w:rsid w:val="004A5B63"/>
    <w:rsid w:val="004A68C7"/>
    <w:rsid w:val="004A725D"/>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0E1"/>
    <w:rsid w:val="004C23B4"/>
    <w:rsid w:val="004C24DE"/>
    <w:rsid w:val="004C2938"/>
    <w:rsid w:val="004C2B5C"/>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74F"/>
    <w:rsid w:val="004D1E12"/>
    <w:rsid w:val="004D1FAD"/>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3C2"/>
    <w:rsid w:val="004E773F"/>
    <w:rsid w:val="004E7D05"/>
    <w:rsid w:val="004E7D75"/>
    <w:rsid w:val="004F1DEC"/>
    <w:rsid w:val="004F2B73"/>
    <w:rsid w:val="004F2E1C"/>
    <w:rsid w:val="004F32AF"/>
    <w:rsid w:val="004F3D71"/>
    <w:rsid w:val="004F4CA2"/>
    <w:rsid w:val="004F508B"/>
    <w:rsid w:val="004F5AE2"/>
    <w:rsid w:val="004F5D57"/>
    <w:rsid w:val="004F614A"/>
    <w:rsid w:val="004F6680"/>
    <w:rsid w:val="004F6DBE"/>
    <w:rsid w:val="004F740A"/>
    <w:rsid w:val="004F7D80"/>
    <w:rsid w:val="004F7E8F"/>
    <w:rsid w:val="00500663"/>
    <w:rsid w:val="005006FC"/>
    <w:rsid w:val="00500DB4"/>
    <w:rsid w:val="00501B34"/>
    <w:rsid w:val="00501C0F"/>
    <w:rsid w:val="00502230"/>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079"/>
    <w:rsid w:val="005215D5"/>
    <w:rsid w:val="0052164C"/>
    <w:rsid w:val="0052170B"/>
    <w:rsid w:val="00521DDD"/>
    <w:rsid w:val="00522169"/>
    <w:rsid w:val="00522BB2"/>
    <w:rsid w:val="00522BFC"/>
    <w:rsid w:val="00523E15"/>
    <w:rsid w:val="00525ADF"/>
    <w:rsid w:val="00525E80"/>
    <w:rsid w:val="005261ED"/>
    <w:rsid w:val="00526D52"/>
    <w:rsid w:val="00527516"/>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37FD8"/>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61D"/>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55C"/>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61F"/>
    <w:rsid w:val="00592897"/>
    <w:rsid w:val="00593334"/>
    <w:rsid w:val="00593C15"/>
    <w:rsid w:val="0059471F"/>
    <w:rsid w:val="00594E97"/>
    <w:rsid w:val="005959D7"/>
    <w:rsid w:val="00595B5B"/>
    <w:rsid w:val="005971F1"/>
    <w:rsid w:val="005978DE"/>
    <w:rsid w:val="005A0239"/>
    <w:rsid w:val="005A03CF"/>
    <w:rsid w:val="005A041A"/>
    <w:rsid w:val="005A07E8"/>
    <w:rsid w:val="005A0F2A"/>
    <w:rsid w:val="005A1277"/>
    <w:rsid w:val="005A14DF"/>
    <w:rsid w:val="005A1980"/>
    <w:rsid w:val="005A2075"/>
    <w:rsid w:val="005A21D7"/>
    <w:rsid w:val="005A2968"/>
    <w:rsid w:val="005A29BB"/>
    <w:rsid w:val="005A2D64"/>
    <w:rsid w:val="005A2DCC"/>
    <w:rsid w:val="005A32EC"/>
    <w:rsid w:val="005A35F4"/>
    <w:rsid w:val="005A4475"/>
    <w:rsid w:val="005A46AE"/>
    <w:rsid w:val="005A48DB"/>
    <w:rsid w:val="005A4D74"/>
    <w:rsid w:val="005A4EF5"/>
    <w:rsid w:val="005A5772"/>
    <w:rsid w:val="005A5961"/>
    <w:rsid w:val="005A5DFF"/>
    <w:rsid w:val="005A791B"/>
    <w:rsid w:val="005A7CC8"/>
    <w:rsid w:val="005B0B40"/>
    <w:rsid w:val="005B0BD1"/>
    <w:rsid w:val="005B103E"/>
    <w:rsid w:val="005B1994"/>
    <w:rsid w:val="005B1A3B"/>
    <w:rsid w:val="005B1F35"/>
    <w:rsid w:val="005B2024"/>
    <w:rsid w:val="005B2735"/>
    <w:rsid w:val="005B29C2"/>
    <w:rsid w:val="005B2AE0"/>
    <w:rsid w:val="005B31B6"/>
    <w:rsid w:val="005B3A48"/>
    <w:rsid w:val="005B3EA6"/>
    <w:rsid w:val="005B408B"/>
    <w:rsid w:val="005B40AD"/>
    <w:rsid w:val="005B5115"/>
    <w:rsid w:val="005B5700"/>
    <w:rsid w:val="005B5E6B"/>
    <w:rsid w:val="005B5F37"/>
    <w:rsid w:val="005B5FC4"/>
    <w:rsid w:val="005B60D3"/>
    <w:rsid w:val="005B7E7C"/>
    <w:rsid w:val="005C006E"/>
    <w:rsid w:val="005C0393"/>
    <w:rsid w:val="005C0816"/>
    <w:rsid w:val="005C10E0"/>
    <w:rsid w:val="005C149F"/>
    <w:rsid w:val="005C1776"/>
    <w:rsid w:val="005C1FAE"/>
    <w:rsid w:val="005C2D73"/>
    <w:rsid w:val="005C2F0E"/>
    <w:rsid w:val="005C345B"/>
    <w:rsid w:val="005C3DCF"/>
    <w:rsid w:val="005C4038"/>
    <w:rsid w:val="005C42C9"/>
    <w:rsid w:val="005C42F5"/>
    <w:rsid w:val="005C4772"/>
    <w:rsid w:val="005C57B0"/>
    <w:rsid w:val="005C5C22"/>
    <w:rsid w:val="005C5DAC"/>
    <w:rsid w:val="005C6195"/>
    <w:rsid w:val="005C6284"/>
    <w:rsid w:val="005C6B5B"/>
    <w:rsid w:val="005C6DDB"/>
    <w:rsid w:val="005C6EF3"/>
    <w:rsid w:val="005C76F8"/>
    <w:rsid w:val="005C7D42"/>
    <w:rsid w:val="005D0E45"/>
    <w:rsid w:val="005D0E4B"/>
    <w:rsid w:val="005D0EC4"/>
    <w:rsid w:val="005D1A1A"/>
    <w:rsid w:val="005D1EB5"/>
    <w:rsid w:val="005D1ED8"/>
    <w:rsid w:val="005D29DF"/>
    <w:rsid w:val="005D31FE"/>
    <w:rsid w:val="005D3BB9"/>
    <w:rsid w:val="005D3C12"/>
    <w:rsid w:val="005D40E6"/>
    <w:rsid w:val="005D4685"/>
    <w:rsid w:val="005D4961"/>
    <w:rsid w:val="005D4E13"/>
    <w:rsid w:val="005D62F5"/>
    <w:rsid w:val="005D6999"/>
    <w:rsid w:val="005D6B24"/>
    <w:rsid w:val="005D7D69"/>
    <w:rsid w:val="005E0C14"/>
    <w:rsid w:val="005E1779"/>
    <w:rsid w:val="005E2659"/>
    <w:rsid w:val="005E297E"/>
    <w:rsid w:val="005E310E"/>
    <w:rsid w:val="005E35A3"/>
    <w:rsid w:val="005E3731"/>
    <w:rsid w:val="005E3977"/>
    <w:rsid w:val="005E460C"/>
    <w:rsid w:val="005E4669"/>
    <w:rsid w:val="005E5013"/>
    <w:rsid w:val="005E50F0"/>
    <w:rsid w:val="005E50F1"/>
    <w:rsid w:val="005E60C4"/>
    <w:rsid w:val="005E6B5D"/>
    <w:rsid w:val="005E6B87"/>
    <w:rsid w:val="005E70B7"/>
    <w:rsid w:val="005E7159"/>
    <w:rsid w:val="005E75C4"/>
    <w:rsid w:val="005F0EE9"/>
    <w:rsid w:val="005F11CC"/>
    <w:rsid w:val="005F2121"/>
    <w:rsid w:val="005F27AD"/>
    <w:rsid w:val="005F2C74"/>
    <w:rsid w:val="005F30B5"/>
    <w:rsid w:val="005F31FD"/>
    <w:rsid w:val="005F34D0"/>
    <w:rsid w:val="005F3C70"/>
    <w:rsid w:val="005F3F99"/>
    <w:rsid w:val="005F62A3"/>
    <w:rsid w:val="006000F1"/>
    <w:rsid w:val="00601749"/>
    <w:rsid w:val="00601D40"/>
    <w:rsid w:val="00602457"/>
    <w:rsid w:val="006042FE"/>
    <w:rsid w:val="00604305"/>
    <w:rsid w:val="00604640"/>
    <w:rsid w:val="006048BC"/>
    <w:rsid w:val="00604977"/>
    <w:rsid w:val="00605674"/>
    <w:rsid w:val="0060578F"/>
    <w:rsid w:val="00605C67"/>
    <w:rsid w:val="00605F0E"/>
    <w:rsid w:val="0060635A"/>
    <w:rsid w:val="00606577"/>
    <w:rsid w:val="006065DC"/>
    <w:rsid w:val="006069AC"/>
    <w:rsid w:val="00607249"/>
    <w:rsid w:val="006077EA"/>
    <w:rsid w:val="00610A6C"/>
    <w:rsid w:val="00610D57"/>
    <w:rsid w:val="00610DCE"/>
    <w:rsid w:val="00611BED"/>
    <w:rsid w:val="00611D71"/>
    <w:rsid w:val="006122CF"/>
    <w:rsid w:val="00612321"/>
    <w:rsid w:val="0061488B"/>
    <w:rsid w:val="00614C35"/>
    <w:rsid w:val="006156BD"/>
    <w:rsid w:val="00615A52"/>
    <w:rsid w:val="00616F9A"/>
    <w:rsid w:val="00617636"/>
    <w:rsid w:val="00620975"/>
    <w:rsid w:val="00621742"/>
    <w:rsid w:val="0062195D"/>
    <w:rsid w:val="00621BFC"/>
    <w:rsid w:val="00622F77"/>
    <w:rsid w:val="00623101"/>
    <w:rsid w:val="00623FBC"/>
    <w:rsid w:val="00624168"/>
    <w:rsid w:val="006241E0"/>
    <w:rsid w:val="00624A57"/>
    <w:rsid w:val="00624EDB"/>
    <w:rsid w:val="006259C6"/>
    <w:rsid w:val="00625DF2"/>
    <w:rsid w:val="00626AE8"/>
    <w:rsid w:val="00627CDB"/>
    <w:rsid w:val="00627D7A"/>
    <w:rsid w:val="0063044C"/>
    <w:rsid w:val="00630A55"/>
    <w:rsid w:val="00630FB3"/>
    <w:rsid w:val="00631115"/>
    <w:rsid w:val="0063227D"/>
    <w:rsid w:val="006325FC"/>
    <w:rsid w:val="00632707"/>
    <w:rsid w:val="0063311C"/>
    <w:rsid w:val="006333E0"/>
    <w:rsid w:val="0063403F"/>
    <w:rsid w:val="006343EE"/>
    <w:rsid w:val="00634B9A"/>
    <w:rsid w:val="006356BC"/>
    <w:rsid w:val="00635E0C"/>
    <w:rsid w:val="00636C8D"/>
    <w:rsid w:val="0063703D"/>
    <w:rsid w:val="006375F9"/>
    <w:rsid w:val="0063770F"/>
    <w:rsid w:val="00640D62"/>
    <w:rsid w:val="00640F46"/>
    <w:rsid w:val="00641D61"/>
    <w:rsid w:val="00641ECA"/>
    <w:rsid w:val="00642680"/>
    <w:rsid w:val="006428CE"/>
    <w:rsid w:val="00642B6A"/>
    <w:rsid w:val="00643170"/>
    <w:rsid w:val="006433C6"/>
    <w:rsid w:val="00644888"/>
    <w:rsid w:val="0064490B"/>
    <w:rsid w:val="00645020"/>
    <w:rsid w:val="00645525"/>
    <w:rsid w:val="006458E6"/>
    <w:rsid w:val="00645D63"/>
    <w:rsid w:val="00646825"/>
    <w:rsid w:val="00646BCA"/>
    <w:rsid w:val="00646DC1"/>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389A"/>
    <w:rsid w:val="00655663"/>
    <w:rsid w:val="00655F84"/>
    <w:rsid w:val="00656FA5"/>
    <w:rsid w:val="0065703D"/>
    <w:rsid w:val="00657CEB"/>
    <w:rsid w:val="00657CFA"/>
    <w:rsid w:val="0066034A"/>
    <w:rsid w:val="0066089F"/>
    <w:rsid w:val="00660D1A"/>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BE1"/>
    <w:rsid w:val="00672906"/>
    <w:rsid w:val="006757BF"/>
    <w:rsid w:val="00675970"/>
    <w:rsid w:val="00676C7D"/>
    <w:rsid w:val="006773F6"/>
    <w:rsid w:val="00677702"/>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920"/>
    <w:rsid w:val="00690B26"/>
    <w:rsid w:val="00690BDC"/>
    <w:rsid w:val="00690E1D"/>
    <w:rsid w:val="006917FC"/>
    <w:rsid w:val="006922B2"/>
    <w:rsid w:val="00692E47"/>
    <w:rsid w:val="00692FA6"/>
    <w:rsid w:val="006933FC"/>
    <w:rsid w:val="006933FE"/>
    <w:rsid w:val="00693498"/>
    <w:rsid w:val="006946A9"/>
    <w:rsid w:val="006948F1"/>
    <w:rsid w:val="00694EE7"/>
    <w:rsid w:val="0069525C"/>
    <w:rsid w:val="00696069"/>
    <w:rsid w:val="00696081"/>
    <w:rsid w:val="0069629C"/>
    <w:rsid w:val="00696436"/>
    <w:rsid w:val="00696D7F"/>
    <w:rsid w:val="0069743F"/>
    <w:rsid w:val="00697B3C"/>
    <w:rsid w:val="00697EE8"/>
    <w:rsid w:val="006A01D3"/>
    <w:rsid w:val="006A0507"/>
    <w:rsid w:val="006A0721"/>
    <w:rsid w:val="006A0A5C"/>
    <w:rsid w:val="006A0C72"/>
    <w:rsid w:val="006A1618"/>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54E4"/>
    <w:rsid w:val="006B56F1"/>
    <w:rsid w:val="006B610B"/>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2D3"/>
    <w:rsid w:val="006C4FF6"/>
    <w:rsid w:val="006C5680"/>
    <w:rsid w:val="006C649E"/>
    <w:rsid w:val="006C652A"/>
    <w:rsid w:val="006C684E"/>
    <w:rsid w:val="006C76CB"/>
    <w:rsid w:val="006D043F"/>
    <w:rsid w:val="006D067B"/>
    <w:rsid w:val="006D13B1"/>
    <w:rsid w:val="006D1505"/>
    <w:rsid w:val="006D178E"/>
    <w:rsid w:val="006D1C37"/>
    <w:rsid w:val="006D1F2C"/>
    <w:rsid w:val="006D23F3"/>
    <w:rsid w:val="006D2709"/>
    <w:rsid w:val="006D29B1"/>
    <w:rsid w:val="006D2BAA"/>
    <w:rsid w:val="006D2E74"/>
    <w:rsid w:val="006D2F4B"/>
    <w:rsid w:val="006D311C"/>
    <w:rsid w:val="006D3CDA"/>
    <w:rsid w:val="006D4E2E"/>
    <w:rsid w:val="006D512C"/>
    <w:rsid w:val="006D5397"/>
    <w:rsid w:val="006D5E8B"/>
    <w:rsid w:val="006D5EA4"/>
    <w:rsid w:val="006D66CC"/>
    <w:rsid w:val="006D75C8"/>
    <w:rsid w:val="006D7679"/>
    <w:rsid w:val="006E05BE"/>
    <w:rsid w:val="006E0C09"/>
    <w:rsid w:val="006E1174"/>
    <w:rsid w:val="006E1A75"/>
    <w:rsid w:val="006E2A1C"/>
    <w:rsid w:val="006E2C09"/>
    <w:rsid w:val="006E3226"/>
    <w:rsid w:val="006E32A1"/>
    <w:rsid w:val="006E3981"/>
    <w:rsid w:val="006E3F4B"/>
    <w:rsid w:val="006E4DE0"/>
    <w:rsid w:val="006E56E4"/>
    <w:rsid w:val="006E583C"/>
    <w:rsid w:val="006E5886"/>
    <w:rsid w:val="006E670F"/>
    <w:rsid w:val="006E6F07"/>
    <w:rsid w:val="006E7345"/>
    <w:rsid w:val="006F04E8"/>
    <w:rsid w:val="006F0E20"/>
    <w:rsid w:val="006F183B"/>
    <w:rsid w:val="006F190F"/>
    <w:rsid w:val="006F208F"/>
    <w:rsid w:val="006F3458"/>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80D"/>
    <w:rsid w:val="00705959"/>
    <w:rsid w:val="0070737A"/>
    <w:rsid w:val="007075C5"/>
    <w:rsid w:val="00707D80"/>
    <w:rsid w:val="00707F07"/>
    <w:rsid w:val="0071021F"/>
    <w:rsid w:val="00710936"/>
    <w:rsid w:val="007117A0"/>
    <w:rsid w:val="0071188D"/>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B07"/>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F3D"/>
    <w:rsid w:val="0073666A"/>
    <w:rsid w:val="00736B8B"/>
    <w:rsid w:val="00737B31"/>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5B3"/>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5EF"/>
    <w:rsid w:val="007746D4"/>
    <w:rsid w:val="00774F01"/>
    <w:rsid w:val="007750CB"/>
    <w:rsid w:val="00775686"/>
    <w:rsid w:val="00775B8E"/>
    <w:rsid w:val="007765AF"/>
    <w:rsid w:val="0077760A"/>
    <w:rsid w:val="00777FBA"/>
    <w:rsid w:val="00780828"/>
    <w:rsid w:val="007811E5"/>
    <w:rsid w:val="007811F8"/>
    <w:rsid w:val="007812E9"/>
    <w:rsid w:val="00781631"/>
    <w:rsid w:val="00781D94"/>
    <w:rsid w:val="00781DE5"/>
    <w:rsid w:val="00783B18"/>
    <w:rsid w:val="00783EEF"/>
    <w:rsid w:val="0078414B"/>
    <w:rsid w:val="00784616"/>
    <w:rsid w:val="0078481B"/>
    <w:rsid w:val="00785663"/>
    <w:rsid w:val="00785AD3"/>
    <w:rsid w:val="007868C5"/>
    <w:rsid w:val="0078792E"/>
    <w:rsid w:val="00790BF9"/>
    <w:rsid w:val="00790E82"/>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A0C99"/>
    <w:rsid w:val="007A0F11"/>
    <w:rsid w:val="007A1BD3"/>
    <w:rsid w:val="007A1DA0"/>
    <w:rsid w:val="007A1F7C"/>
    <w:rsid w:val="007A24D3"/>
    <w:rsid w:val="007A3709"/>
    <w:rsid w:val="007A3D5F"/>
    <w:rsid w:val="007A41F0"/>
    <w:rsid w:val="007A4384"/>
    <w:rsid w:val="007A444A"/>
    <w:rsid w:val="007A444D"/>
    <w:rsid w:val="007A47A0"/>
    <w:rsid w:val="007A4843"/>
    <w:rsid w:val="007A5C24"/>
    <w:rsid w:val="007A6167"/>
    <w:rsid w:val="007A73FB"/>
    <w:rsid w:val="007A772B"/>
    <w:rsid w:val="007A7E95"/>
    <w:rsid w:val="007A7FA1"/>
    <w:rsid w:val="007A7FE1"/>
    <w:rsid w:val="007B0423"/>
    <w:rsid w:val="007B0F82"/>
    <w:rsid w:val="007B1828"/>
    <w:rsid w:val="007B1947"/>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3AB"/>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0A07"/>
    <w:rsid w:val="007D1124"/>
    <w:rsid w:val="007D1B1D"/>
    <w:rsid w:val="007D2A0E"/>
    <w:rsid w:val="007D2CD3"/>
    <w:rsid w:val="007D2DD6"/>
    <w:rsid w:val="007D4062"/>
    <w:rsid w:val="007D42B0"/>
    <w:rsid w:val="007D4334"/>
    <w:rsid w:val="007D4435"/>
    <w:rsid w:val="007D469E"/>
    <w:rsid w:val="007D522F"/>
    <w:rsid w:val="007D5329"/>
    <w:rsid w:val="007D5E57"/>
    <w:rsid w:val="007D62CD"/>
    <w:rsid w:val="007D6AB8"/>
    <w:rsid w:val="007D6FAE"/>
    <w:rsid w:val="007D7038"/>
    <w:rsid w:val="007D75D0"/>
    <w:rsid w:val="007D75ED"/>
    <w:rsid w:val="007D7DE3"/>
    <w:rsid w:val="007E0051"/>
    <w:rsid w:val="007E00DC"/>
    <w:rsid w:val="007E020B"/>
    <w:rsid w:val="007E0A8E"/>
    <w:rsid w:val="007E1104"/>
    <w:rsid w:val="007E2158"/>
    <w:rsid w:val="007E2260"/>
    <w:rsid w:val="007E2E32"/>
    <w:rsid w:val="007E36B0"/>
    <w:rsid w:val="007E4022"/>
    <w:rsid w:val="007E46B6"/>
    <w:rsid w:val="007E4A47"/>
    <w:rsid w:val="007E4FC0"/>
    <w:rsid w:val="007E516A"/>
    <w:rsid w:val="007E570D"/>
    <w:rsid w:val="007E60A0"/>
    <w:rsid w:val="007E6194"/>
    <w:rsid w:val="007E68B8"/>
    <w:rsid w:val="007E745B"/>
    <w:rsid w:val="007F10E0"/>
    <w:rsid w:val="007F118D"/>
    <w:rsid w:val="007F19D7"/>
    <w:rsid w:val="007F1D03"/>
    <w:rsid w:val="007F2431"/>
    <w:rsid w:val="007F2821"/>
    <w:rsid w:val="007F282E"/>
    <w:rsid w:val="007F287A"/>
    <w:rsid w:val="007F2AF5"/>
    <w:rsid w:val="007F2D79"/>
    <w:rsid w:val="007F42B6"/>
    <w:rsid w:val="007F44E1"/>
    <w:rsid w:val="007F4679"/>
    <w:rsid w:val="007F4769"/>
    <w:rsid w:val="007F4B97"/>
    <w:rsid w:val="007F5C9B"/>
    <w:rsid w:val="007F5EE7"/>
    <w:rsid w:val="007F6A5A"/>
    <w:rsid w:val="007F6EB5"/>
    <w:rsid w:val="007F6FED"/>
    <w:rsid w:val="007F706F"/>
    <w:rsid w:val="007F746D"/>
    <w:rsid w:val="007F77E4"/>
    <w:rsid w:val="007F7904"/>
    <w:rsid w:val="007F7964"/>
    <w:rsid w:val="008007D9"/>
    <w:rsid w:val="00801514"/>
    <w:rsid w:val="00803105"/>
    <w:rsid w:val="008038D1"/>
    <w:rsid w:val="00804732"/>
    <w:rsid w:val="00804D49"/>
    <w:rsid w:val="00804DB0"/>
    <w:rsid w:val="00804E26"/>
    <w:rsid w:val="00805A33"/>
    <w:rsid w:val="00805C37"/>
    <w:rsid w:val="0080625E"/>
    <w:rsid w:val="00806314"/>
    <w:rsid w:val="008067F0"/>
    <w:rsid w:val="00806866"/>
    <w:rsid w:val="008074E0"/>
    <w:rsid w:val="00807CC9"/>
    <w:rsid w:val="00810E56"/>
    <w:rsid w:val="00812058"/>
    <w:rsid w:val="00812B0F"/>
    <w:rsid w:val="00812EC1"/>
    <w:rsid w:val="00813087"/>
    <w:rsid w:val="00813279"/>
    <w:rsid w:val="008135FB"/>
    <w:rsid w:val="008138F7"/>
    <w:rsid w:val="00813951"/>
    <w:rsid w:val="00813C06"/>
    <w:rsid w:val="00813F8B"/>
    <w:rsid w:val="00814590"/>
    <w:rsid w:val="0081492C"/>
    <w:rsid w:val="00815512"/>
    <w:rsid w:val="008164A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5F63"/>
    <w:rsid w:val="008371A2"/>
    <w:rsid w:val="0083752C"/>
    <w:rsid w:val="00840371"/>
    <w:rsid w:val="00840A7A"/>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6E1"/>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1565"/>
    <w:rsid w:val="008728E5"/>
    <w:rsid w:val="00873C32"/>
    <w:rsid w:val="0087405A"/>
    <w:rsid w:val="008745A4"/>
    <w:rsid w:val="008752ED"/>
    <w:rsid w:val="008762DD"/>
    <w:rsid w:val="00876303"/>
    <w:rsid w:val="00876875"/>
    <w:rsid w:val="00877686"/>
    <w:rsid w:val="00877B01"/>
    <w:rsid w:val="00877E08"/>
    <w:rsid w:val="008806C6"/>
    <w:rsid w:val="0088097E"/>
    <w:rsid w:val="00880A1E"/>
    <w:rsid w:val="00882B3D"/>
    <w:rsid w:val="00882D1F"/>
    <w:rsid w:val="00883F90"/>
    <w:rsid w:val="00886679"/>
    <w:rsid w:val="00886B47"/>
    <w:rsid w:val="0088770C"/>
    <w:rsid w:val="00887AE8"/>
    <w:rsid w:val="00890467"/>
    <w:rsid w:val="008905FB"/>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5B6C"/>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5A79"/>
    <w:rsid w:val="008A7950"/>
    <w:rsid w:val="008A7997"/>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2A80"/>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4D5"/>
    <w:rsid w:val="008D369C"/>
    <w:rsid w:val="008D3C92"/>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267"/>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495"/>
    <w:rsid w:val="008F686D"/>
    <w:rsid w:val="008F6892"/>
    <w:rsid w:val="008F68AE"/>
    <w:rsid w:val="008F6985"/>
    <w:rsid w:val="008F6E26"/>
    <w:rsid w:val="008F7066"/>
    <w:rsid w:val="008F77FD"/>
    <w:rsid w:val="008F796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5F77"/>
    <w:rsid w:val="00906027"/>
    <w:rsid w:val="009074E0"/>
    <w:rsid w:val="00907506"/>
    <w:rsid w:val="00907812"/>
    <w:rsid w:val="0090781A"/>
    <w:rsid w:val="00907AF2"/>
    <w:rsid w:val="0091002E"/>
    <w:rsid w:val="0091052A"/>
    <w:rsid w:val="00910F16"/>
    <w:rsid w:val="00911898"/>
    <w:rsid w:val="00911A93"/>
    <w:rsid w:val="00913861"/>
    <w:rsid w:val="009138E2"/>
    <w:rsid w:val="00913B86"/>
    <w:rsid w:val="009141E4"/>
    <w:rsid w:val="00914222"/>
    <w:rsid w:val="00914574"/>
    <w:rsid w:val="0091462C"/>
    <w:rsid w:val="009149C2"/>
    <w:rsid w:val="00914B53"/>
    <w:rsid w:val="009156EF"/>
    <w:rsid w:val="00916008"/>
    <w:rsid w:val="00916343"/>
    <w:rsid w:val="00916766"/>
    <w:rsid w:val="00917462"/>
    <w:rsid w:val="00917A60"/>
    <w:rsid w:val="00920921"/>
    <w:rsid w:val="00920B77"/>
    <w:rsid w:val="00921364"/>
    <w:rsid w:val="00921983"/>
    <w:rsid w:val="00921A0C"/>
    <w:rsid w:val="00921D2A"/>
    <w:rsid w:val="0092258F"/>
    <w:rsid w:val="00922C91"/>
    <w:rsid w:val="00923889"/>
    <w:rsid w:val="0092392C"/>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4095"/>
    <w:rsid w:val="00934410"/>
    <w:rsid w:val="009362E3"/>
    <w:rsid w:val="0093696D"/>
    <w:rsid w:val="0094091F"/>
    <w:rsid w:val="0094121F"/>
    <w:rsid w:val="0094156E"/>
    <w:rsid w:val="00941CF5"/>
    <w:rsid w:val="009423E3"/>
    <w:rsid w:val="00942786"/>
    <w:rsid w:val="0094398F"/>
    <w:rsid w:val="00943A9A"/>
    <w:rsid w:val="00943F2D"/>
    <w:rsid w:val="00945187"/>
    <w:rsid w:val="00945C2F"/>
    <w:rsid w:val="00946A15"/>
    <w:rsid w:val="00946C16"/>
    <w:rsid w:val="00947008"/>
    <w:rsid w:val="0094713B"/>
    <w:rsid w:val="00947EBD"/>
    <w:rsid w:val="0095050F"/>
    <w:rsid w:val="00951B2D"/>
    <w:rsid w:val="00951CCB"/>
    <w:rsid w:val="009520B1"/>
    <w:rsid w:val="0095278B"/>
    <w:rsid w:val="0095481B"/>
    <w:rsid w:val="00955C76"/>
    <w:rsid w:val="00955CA3"/>
    <w:rsid w:val="00955DDC"/>
    <w:rsid w:val="00956D16"/>
    <w:rsid w:val="00956E3F"/>
    <w:rsid w:val="0095754A"/>
    <w:rsid w:val="0095755B"/>
    <w:rsid w:val="009578E4"/>
    <w:rsid w:val="00960B5B"/>
    <w:rsid w:val="00961BB3"/>
    <w:rsid w:val="00961D12"/>
    <w:rsid w:val="009620AC"/>
    <w:rsid w:val="009630BF"/>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393C"/>
    <w:rsid w:val="0097412F"/>
    <w:rsid w:val="00974980"/>
    <w:rsid w:val="009753FC"/>
    <w:rsid w:val="00975515"/>
    <w:rsid w:val="009762CF"/>
    <w:rsid w:val="00976EA2"/>
    <w:rsid w:val="009806C0"/>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5F2D"/>
    <w:rsid w:val="00986835"/>
    <w:rsid w:val="00986BA4"/>
    <w:rsid w:val="00986D0F"/>
    <w:rsid w:val="0098734A"/>
    <w:rsid w:val="00987381"/>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56B"/>
    <w:rsid w:val="009B2A8B"/>
    <w:rsid w:val="009B2D99"/>
    <w:rsid w:val="009B3DDE"/>
    <w:rsid w:val="009B42EE"/>
    <w:rsid w:val="009B4BB3"/>
    <w:rsid w:val="009B5FC6"/>
    <w:rsid w:val="009B6694"/>
    <w:rsid w:val="009B6962"/>
    <w:rsid w:val="009B72F5"/>
    <w:rsid w:val="009C09C9"/>
    <w:rsid w:val="009C0D65"/>
    <w:rsid w:val="009C0E09"/>
    <w:rsid w:val="009C131D"/>
    <w:rsid w:val="009C18B7"/>
    <w:rsid w:val="009C2142"/>
    <w:rsid w:val="009C2302"/>
    <w:rsid w:val="009C29A5"/>
    <w:rsid w:val="009C2D85"/>
    <w:rsid w:val="009C3869"/>
    <w:rsid w:val="009C3920"/>
    <w:rsid w:val="009C402F"/>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0A1"/>
    <w:rsid w:val="009D4745"/>
    <w:rsid w:val="009D4BEE"/>
    <w:rsid w:val="009D6566"/>
    <w:rsid w:val="009D65FB"/>
    <w:rsid w:val="009D6806"/>
    <w:rsid w:val="009D688D"/>
    <w:rsid w:val="009D6F4D"/>
    <w:rsid w:val="009D705A"/>
    <w:rsid w:val="009E0BD0"/>
    <w:rsid w:val="009E13C3"/>
    <w:rsid w:val="009E232C"/>
    <w:rsid w:val="009E2504"/>
    <w:rsid w:val="009E2628"/>
    <w:rsid w:val="009E2C5D"/>
    <w:rsid w:val="009E32B7"/>
    <w:rsid w:val="009E347F"/>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0ED3"/>
    <w:rsid w:val="00A01437"/>
    <w:rsid w:val="00A0239E"/>
    <w:rsid w:val="00A02BD8"/>
    <w:rsid w:val="00A0353A"/>
    <w:rsid w:val="00A03B5A"/>
    <w:rsid w:val="00A040EF"/>
    <w:rsid w:val="00A04694"/>
    <w:rsid w:val="00A04B9A"/>
    <w:rsid w:val="00A052F1"/>
    <w:rsid w:val="00A05461"/>
    <w:rsid w:val="00A055C1"/>
    <w:rsid w:val="00A05D17"/>
    <w:rsid w:val="00A05FF4"/>
    <w:rsid w:val="00A06044"/>
    <w:rsid w:val="00A06E2D"/>
    <w:rsid w:val="00A07169"/>
    <w:rsid w:val="00A07423"/>
    <w:rsid w:val="00A077F2"/>
    <w:rsid w:val="00A10619"/>
    <w:rsid w:val="00A12741"/>
    <w:rsid w:val="00A133F1"/>
    <w:rsid w:val="00A13E3F"/>
    <w:rsid w:val="00A13FF7"/>
    <w:rsid w:val="00A14049"/>
    <w:rsid w:val="00A14276"/>
    <w:rsid w:val="00A149FF"/>
    <w:rsid w:val="00A15C4D"/>
    <w:rsid w:val="00A16150"/>
    <w:rsid w:val="00A164FD"/>
    <w:rsid w:val="00A2018E"/>
    <w:rsid w:val="00A2028A"/>
    <w:rsid w:val="00A21218"/>
    <w:rsid w:val="00A2187D"/>
    <w:rsid w:val="00A2243F"/>
    <w:rsid w:val="00A225DC"/>
    <w:rsid w:val="00A23916"/>
    <w:rsid w:val="00A23EDF"/>
    <w:rsid w:val="00A2423A"/>
    <w:rsid w:val="00A244C6"/>
    <w:rsid w:val="00A247AC"/>
    <w:rsid w:val="00A24CAD"/>
    <w:rsid w:val="00A25F5A"/>
    <w:rsid w:val="00A267E4"/>
    <w:rsid w:val="00A27139"/>
    <w:rsid w:val="00A27783"/>
    <w:rsid w:val="00A3093F"/>
    <w:rsid w:val="00A309B5"/>
    <w:rsid w:val="00A31060"/>
    <w:rsid w:val="00A31114"/>
    <w:rsid w:val="00A31CAE"/>
    <w:rsid w:val="00A31CFE"/>
    <w:rsid w:val="00A31E9D"/>
    <w:rsid w:val="00A3264D"/>
    <w:rsid w:val="00A32EC6"/>
    <w:rsid w:val="00A32FB7"/>
    <w:rsid w:val="00A341F3"/>
    <w:rsid w:val="00A35C5F"/>
    <w:rsid w:val="00A35F58"/>
    <w:rsid w:val="00A36A42"/>
    <w:rsid w:val="00A379D0"/>
    <w:rsid w:val="00A379FD"/>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B28"/>
    <w:rsid w:val="00A50D71"/>
    <w:rsid w:val="00A5109B"/>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8E8"/>
    <w:rsid w:val="00A63B6C"/>
    <w:rsid w:val="00A648AE"/>
    <w:rsid w:val="00A64BC9"/>
    <w:rsid w:val="00A658C2"/>
    <w:rsid w:val="00A65C3D"/>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5FF6"/>
    <w:rsid w:val="00A96DD7"/>
    <w:rsid w:val="00A9734F"/>
    <w:rsid w:val="00A97607"/>
    <w:rsid w:val="00A97967"/>
    <w:rsid w:val="00A97D7D"/>
    <w:rsid w:val="00AA136E"/>
    <w:rsid w:val="00AA228C"/>
    <w:rsid w:val="00AA2304"/>
    <w:rsid w:val="00AA2EAF"/>
    <w:rsid w:val="00AA2F84"/>
    <w:rsid w:val="00AA3289"/>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1548"/>
    <w:rsid w:val="00AB1A94"/>
    <w:rsid w:val="00AB221D"/>
    <w:rsid w:val="00AB271D"/>
    <w:rsid w:val="00AB30C7"/>
    <w:rsid w:val="00AB493A"/>
    <w:rsid w:val="00AB7060"/>
    <w:rsid w:val="00AB7176"/>
    <w:rsid w:val="00AB7C47"/>
    <w:rsid w:val="00AC0B1D"/>
    <w:rsid w:val="00AC0CE3"/>
    <w:rsid w:val="00AC10B1"/>
    <w:rsid w:val="00AC150B"/>
    <w:rsid w:val="00AC17C0"/>
    <w:rsid w:val="00AC1DB2"/>
    <w:rsid w:val="00AC22D5"/>
    <w:rsid w:val="00AC2B73"/>
    <w:rsid w:val="00AC37B4"/>
    <w:rsid w:val="00AC389F"/>
    <w:rsid w:val="00AC3C0F"/>
    <w:rsid w:val="00AC3C76"/>
    <w:rsid w:val="00AC3E9C"/>
    <w:rsid w:val="00AC402A"/>
    <w:rsid w:val="00AC4044"/>
    <w:rsid w:val="00AC460A"/>
    <w:rsid w:val="00AC4DFF"/>
    <w:rsid w:val="00AC5141"/>
    <w:rsid w:val="00AC559D"/>
    <w:rsid w:val="00AC61BC"/>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248A"/>
    <w:rsid w:val="00AE3072"/>
    <w:rsid w:val="00AE3BF7"/>
    <w:rsid w:val="00AE4142"/>
    <w:rsid w:val="00AE4415"/>
    <w:rsid w:val="00AE458A"/>
    <w:rsid w:val="00AE4D6D"/>
    <w:rsid w:val="00AE4DF8"/>
    <w:rsid w:val="00AE4FE6"/>
    <w:rsid w:val="00AE63AE"/>
    <w:rsid w:val="00AE6937"/>
    <w:rsid w:val="00AE6B52"/>
    <w:rsid w:val="00AE7048"/>
    <w:rsid w:val="00AE70AC"/>
    <w:rsid w:val="00AE7922"/>
    <w:rsid w:val="00AE7B17"/>
    <w:rsid w:val="00AE7FE8"/>
    <w:rsid w:val="00AF02DB"/>
    <w:rsid w:val="00AF0A6F"/>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0891"/>
    <w:rsid w:val="00B00A9B"/>
    <w:rsid w:val="00B01500"/>
    <w:rsid w:val="00B016C6"/>
    <w:rsid w:val="00B020A9"/>
    <w:rsid w:val="00B023CB"/>
    <w:rsid w:val="00B02A70"/>
    <w:rsid w:val="00B02C38"/>
    <w:rsid w:val="00B02E9A"/>
    <w:rsid w:val="00B03181"/>
    <w:rsid w:val="00B032EC"/>
    <w:rsid w:val="00B03A8A"/>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90C"/>
    <w:rsid w:val="00B17E7D"/>
    <w:rsid w:val="00B17F65"/>
    <w:rsid w:val="00B20082"/>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CD"/>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25F"/>
    <w:rsid w:val="00B44530"/>
    <w:rsid w:val="00B44A85"/>
    <w:rsid w:val="00B451E9"/>
    <w:rsid w:val="00B45DE3"/>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3AF4"/>
    <w:rsid w:val="00B74C50"/>
    <w:rsid w:val="00B75D67"/>
    <w:rsid w:val="00B76785"/>
    <w:rsid w:val="00B7788E"/>
    <w:rsid w:val="00B77E4C"/>
    <w:rsid w:val="00B77E9F"/>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505"/>
    <w:rsid w:val="00B855B8"/>
    <w:rsid w:val="00B85604"/>
    <w:rsid w:val="00B85E16"/>
    <w:rsid w:val="00B86738"/>
    <w:rsid w:val="00B87402"/>
    <w:rsid w:val="00B90343"/>
    <w:rsid w:val="00B90B10"/>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46D0"/>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4C7E"/>
    <w:rsid w:val="00BB58D5"/>
    <w:rsid w:val="00BB5BF2"/>
    <w:rsid w:val="00BB5E2F"/>
    <w:rsid w:val="00BB5ED9"/>
    <w:rsid w:val="00BB65B6"/>
    <w:rsid w:val="00BB67B7"/>
    <w:rsid w:val="00BB6D6D"/>
    <w:rsid w:val="00BB71CC"/>
    <w:rsid w:val="00BB731A"/>
    <w:rsid w:val="00BB789D"/>
    <w:rsid w:val="00BB79B3"/>
    <w:rsid w:val="00BC020C"/>
    <w:rsid w:val="00BC08B7"/>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2F6"/>
    <w:rsid w:val="00BD3A1B"/>
    <w:rsid w:val="00BD3E33"/>
    <w:rsid w:val="00BD3FE5"/>
    <w:rsid w:val="00BD4044"/>
    <w:rsid w:val="00BD4943"/>
    <w:rsid w:val="00BD583E"/>
    <w:rsid w:val="00BD6042"/>
    <w:rsid w:val="00BD615D"/>
    <w:rsid w:val="00BD7063"/>
    <w:rsid w:val="00BD7268"/>
    <w:rsid w:val="00BD7270"/>
    <w:rsid w:val="00BD7D82"/>
    <w:rsid w:val="00BE070E"/>
    <w:rsid w:val="00BE0D02"/>
    <w:rsid w:val="00BE1086"/>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7"/>
    <w:rsid w:val="00BF4698"/>
    <w:rsid w:val="00BF59FF"/>
    <w:rsid w:val="00BF6934"/>
    <w:rsid w:val="00BF6A3A"/>
    <w:rsid w:val="00BF6A4C"/>
    <w:rsid w:val="00BF6B6B"/>
    <w:rsid w:val="00BF6E33"/>
    <w:rsid w:val="00BF6FAC"/>
    <w:rsid w:val="00BF7692"/>
    <w:rsid w:val="00BF7F05"/>
    <w:rsid w:val="00C0053C"/>
    <w:rsid w:val="00C00626"/>
    <w:rsid w:val="00C01623"/>
    <w:rsid w:val="00C01E94"/>
    <w:rsid w:val="00C02011"/>
    <w:rsid w:val="00C0211F"/>
    <w:rsid w:val="00C0231A"/>
    <w:rsid w:val="00C02519"/>
    <w:rsid w:val="00C025E6"/>
    <w:rsid w:val="00C03109"/>
    <w:rsid w:val="00C036D0"/>
    <w:rsid w:val="00C037C7"/>
    <w:rsid w:val="00C04121"/>
    <w:rsid w:val="00C04227"/>
    <w:rsid w:val="00C04957"/>
    <w:rsid w:val="00C05D12"/>
    <w:rsid w:val="00C05DC6"/>
    <w:rsid w:val="00C069FB"/>
    <w:rsid w:val="00C06BEA"/>
    <w:rsid w:val="00C06D98"/>
    <w:rsid w:val="00C07759"/>
    <w:rsid w:val="00C07F76"/>
    <w:rsid w:val="00C1071A"/>
    <w:rsid w:val="00C10A48"/>
    <w:rsid w:val="00C10D9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160"/>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48C1"/>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DA1"/>
    <w:rsid w:val="00C33E4A"/>
    <w:rsid w:val="00C34153"/>
    <w:rsid w:val="00C343BD"/>
    <w:rsid w:val="00C344E5"/>
    <w:rsid w:val="00C34D6E"/>
    <w:rsid w:val="00C3528F"/>
    <w:rsid w:val="00C35ED3"/>
    <w:rsid w:val="00C36E2D"/>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498"/>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3E1C"/>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2F09"/>
    <w:rsid w:val="00C73327"/>
    <w:rsid w:val="00C739BF"/>
    <w:rsid w:val="00C74275"/>
    <w:rsid w:val="00C74CEA"/>
    <w:rsid w:val="00C75370"/>
    <w:rsid w:val="00C7550B"/>
    <w:rsid w:val="00C75D94"/>
    <w:rsid w:val="00C76296"/>
    <w:rsid w:val="00C76303"/>
    <w:rsid w:val="00C76947"/>
    <w:rsid w:val="00C77E9A"/>
    <w:rsid w:val="00C80285"/>
    <w:rsid w:val="00C80DE3"/>
    <w:rsid w:val="00C80F01"/>
    <w:rsid w:val="00C81130"/>
    <w:rsid w:val="00C8170D"/>
    <w:rsid w:val="00C81948"/>
    <w:rsid w:val="00C819DF"/>
    <w:rsid w:val="00C81D7E"/>
    <w:rsid w:val="00C8296E"/>
    <w:rsid w:val="00C82D1B"/>
    <w:rsid w:val="00C83E11"/>
    <w:rsid w:val="00C84418"/>
    <w:rsid w:val="00C84737"/>
    <w:rsid w:val="00C84B89"/>
    <w:rsid w:val="00C84CBC"/>
    <w:rsid w:val="00C85A3A"/>
    <w:rsid w:val="00C85CE4"/>
    <w:rsid w:val="00C8689C"/>
    <w:rsid w:val="00C86CC1"/>
    <w:rsid w:val="00C86E77"/>
    <w:rsid w:val="00C8711E"/>
    <w:rsid w:val="00C8772F"/>
    <w:rsid w:val="00C877BF"/>
    <w:rsid w:val="00C87E46"/>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819"/>
    <w:rsid w:val="00CA2BF7"/>
    <w:rsid w:val="00CA2E03"/>
    <w:rsid w:val="00CA3561"/>
    <w:rsid w:val="00CA3876"/>
    <w:rsid w:val="00CA48A5"/>
    <w:rsid w:val="00CA504A"/>
    <w:rsid w:val="00CA55A2"/>
    <w:rsid w:val="00CA598A"/>
    <w:rsid w:val="00CA5B7C"/>
    <w:rsid w:val="00CA5E19"/>
    <w:rsid w:val="00CA6779"/>
    <w:rsid w:val="00CA6CB9"/>
    <w:rsid w:val="00CA6DFD"/>
    <w:rsid w:val="00CA7018"/>
    <w:rsid w:val="00CA729D"/>
    <w:rsid w:val="00CB02F5"/>
    <w:rsid w:val="00CB0F8B"/>
    <w:rsid w:val="00CB102D"/>
    <w:rsid w:val="00CB1701"/>
    <w:rsid w:val="00CB173F"/>
    <w:rsid w:val="00CB1EB4"/>
    <w:rsid w:val="00CB2F89"/>
    <w:rsid w:val="00CB40E3"/>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29B9"/>
    <w:rsid w:val="00CD41D2"/>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6A5"/>
    <w:rsid w:val="00CE3ADA"/>
    <w:rsid w:val="00CE3DBD"/>
    <w:rsid w:val="00CE5E19"/>
    <w:rsid w:val="00CE6306"/>
    <w:rsid w:val="00CE6844"/>
    <w:rsid w:val="00CE6917"/>
    <w:rsid w:val="00CE6EAF"/>
    <w:rsid w:val="00CE7CCB"/>
    <w:rsid w:val="00CF0281"/>
    <w:rsid w:val="00CF0ABD"/>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3171"/>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91A"/>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CFC"/>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568"/>
    <w:rsid w:val="00D406FD"/>
    <w:rsid w:val="00D40C66"/>
    <w:rsid w:val="00D41514"/>
    <w:rsid w:val="00D41951"/>
    <w:rsid w:val="00D419FD"/>
    <w:rsid w:val="00D41FB1"/>
    <w:rsid w:val="00D420CB"/>
    <w:rsid w:val="00D421A9"/>
    <w:rsid w:val="00D42C57"/>
    <w:rsid w:val="00D4332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23AA"/>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3486"/>
    <w:rsid w:val="00D64CC0"/>
    <w:rsid w:val="00D65165"/>
    <w:rsid w:val="00D670A9"/>
    <w:rsid w:val="00D674AA"/>
    <w:rsid w:val="00D67559"/>
    <w:rsid w:val="00D67A03"/>
    <w:rsid w:val="00D67F30"/>
    <w:rsid w:val="00D70117"/>
    <w:rsid w:val="00D70348"/>
    <w:rsid w:val="00D703E8"/>
    <w:rsid w:val="00D704DD"/>
    <w:rsid w:val="00D7056E"/>
    <w:rsid w:val="00D70B76"/>
    <w:rsid w:val="00D70BCC"/>
    <w:rsid w:val="00D71357"/>
    <w:rsid w:val="00D713F2"/>
    <w:rsid w:val="00D714B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7B0E"/>
    <w:rsid w:val="00D8010F"/>
    <w:rsid w:val="00D808F8"/>
    <w:rsid w:val="00D81EB8"/>
    <w:rsid w:val="00D820AD"/>
    <w:rsid w:val="00D82E5D"/>
    <w:rsid w:val="00D82F31"/>
    <w:rsid w:val="00D83471"/>
    <w:rsid w:val="00D8382B"/>
    <w:rsid w:val="00D83DEE"/>
    <w:rsid w:val="00D83EEC"/>
    <w:rsid w:val="00D849D2"/>
    <w:rsid w:val="00D84C00"/>
    <w:rsid w:val="00D8540D"/>
    <w:rsid w:val="00D859B2"/>
    <w:rsid w:val="00D85B30"/>
    <w:rsid w:val="00D8649F"/>
    <w:rsid w:val="00D867B9"/>
    <w:rsid w:val="00D86A80"/>
    <w:rsid w:val="00D86C6E"/>
    <w:rsid w:val="00D87B7E"/>
    <w:rsid w:val="00D90172"/>
    <w:rsid w:val="00D92DE4"/>
    <w:rsid w:val="00D92E7C"/>
    <w:rsid w:val="00D93656"/>
    <w:rsid w:val="00D94136"/>
    <w:rsid w:val="00D94A8A"/>
    <w:rsid w:val="00D9554B"/>
    <w:rsid w:val="00D95777"/>
    <w:rsid w:val="00D95894"/>
    <w:rsid w:val="00D95D44"/>
    <w:rsid w:val="00D967CA"/>
    <w:rsid w:val="00D96FA9"/>
    <w:rsid w:val="00D971C3"/>
    <w:rsid w:val="00D97338"/>
    <w:rsid w:val="00D97501"/>
    <w:rsid w:val="00D97CBF"/>
    <w:rsid w:val="00DA06CB"/>
    <w:rsid w:val="00DA0794"/>
    <w:rsid w:val="00DA1CB0"/>
    <w:rsid w:val="00DA1DFD"/>
    <w:rsid w:val="00DA2125"/>
    <w:rsid w:val="00DA3C69"/>
    <w:rsid w:val="00DA4206"/>
    <w:rsid w:val="00DA45E4"/>
    <w:rsid w:val="00DA46F4"/>
    <w:rsid w:val="00DA56C0"/>
    <w:rsid w:val="00DA6300"/>
    <w:rsid w:val="00DA66B0"/>
    <w:rsid w:val="00DA786B"/>
    <w:rsid w:val="00DA7B35"/>
    <w:rsid w:val="00DB031A"/>
    <w:rsid w:val="00DB05F9"/>
    <w:rsid w:val="00DB2446"/>
    <w:rsid w:val="00DB2633"/>
    <w:rsid w:val="00DB493A"/>
    <w:rsid w:val="00DB4F50"/>
    <w:rsid w:val="00DB5001"/>
    <w:rsid w:val="00DB5119"/>
    <w:rsid w:val="00DB51FF"/>
    <w:rsid w:val="00DB5D59"/>
    <w:rsid w:val="00DB6164"/>
    <w:rsid w:val="00DB6E35"/>
    <w:rsid w:val="00DB7504"/>
    <w:rsid w:val="00DB7961"/>
    <w:rsid w:val="00DB7BE1"/>
    <w:rsid w:val="00DB7C0E"/>
    <w:rsid w:val="00DB7E48"/>
    <w:rsid w:val="00DB7F14"/>
    <w:rsid w:val="00DC03EA"/>
    <w:rsid w:val="00DC04EA"/>
    <w:rsid w:val="00DC0589"/>
    <w:rsid w:val="00DC1421"/>
    <w:rsid w:val="00DC2BD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E41"/>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12D"/>
    <w:rsid w:val="00DF3576"/>
    <w:rsid w:val="00DF3BB4"/>
    <w:rsid w:val="00DF3C41"/>
    <w:rsid w:val="00DF4A3E"/>
    <w:rsid w:val="00DF4BA1"/>
    <w:rsid w:val="00DF4F71"/>
    <w:rsid w:val="00DF51A1"/>
    <w:rsid w:val="00DF581A"/>
    <w:rsid w:val="00DF5E64"/>
    <w:rsid w:val="00DF61ED"/>
    <w:rsid w:val="00DF638D"/>
    <w:rsid w:val="00DF6AFA"/>
    <w:rsid w:val="00DF6FE2"/>
    <w:rsid w:val="00DF7609"/>
    <w:rsid w:val="00DF7850"/>
    <w:rsid w:val="00DF7E47"/>
    <w:rsid w:val="00E0051A"/>
    <w:rsid w:val="00E00883"/>
    <w:rsid w:val="00E00B6B"/>
    <w:rsid w:val="00E0193E"/>
    <w:rsid w:val="00E02D42"/>
    <w:rsid w:val="00E035AD"/>
    <w:rsid w:val="00E0595D"/>
    <w:rsid w:val="00E05C4F"/>
    <w:rsid w:val="00E06848"/>
    <w:rsid w:val="00E06C71"/>
    <w:rsid w:val="00E1047D"/>
    <w:rsid w:val="00E1107E"/>
    <w:rsid w:val="00E11B0C"/>
    <w:rsid w:val="00E129F8"/>
    <w:rsid w:val="00E12F4E"/>
    <w:rsid w:val="00E13779"/>
    <w:rsid w:val="00E13A85"/>
    <w:rsid w:val="00E141DF"/>
    <w:rsid w:val="00E14697"/>
    <w:rsid w:val="00E148EF"/>
    <w:rsid w:val="00E14AE5"/>
    <w:rsid w:val="00E1523E"/>
    <w:rsid w:val="00E1590F"/>
    <w:rsid w:val="00E16147"/>
    <w:rsid w:val="00E16368"/>
    <w:rsid w:val="00E16D49"/>
    <w:rsid w:val="00E16DBA"/>
    <w:rsid w:val="00E176E0"/>
    <w:rsid w:val="00E1779F"/>
    <w:rsid w:val="00E1794D"/>
    <w:rsid w:val="00E200E7"/>
    <w:rsid w:val="00E20187"/>
    <w:rsid w:val="00E202E0"/>
    <w:rsid w:val="00E20EDA"/>
    <w:rsid w:val="00E20FFA"/>
    <w:rsid w:val="00E21885"/>
    <w:rsid w:val="00E21F5A"/>
    <w:rsid w:val="00E221EC"/>
    <w:rsid w:val="00E230FF"/>
    <w:rsid w:val="00E23691"/>
    <w:rsid w:val="00E23A03"/>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28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8F2"/>
    <w:rsid w:val="00E42DF3"/>
    <w:rsid w:val="00E430F9"/>
    <w:rsid w:val="00E43D7E"/>
    <w:rsid w:val="00E43DAC"/>
    <w:rsid w:val="00E43EB7"/>
    <w:rsid w:val="00E43F18"/>
    <w:rsid w:val="00E44719"/>
    <w:rsid w:val="00E44905"/>
    <w:rsid w:val="00E45BDC"/>
    <w:rsid w:val="00E46CC6"/>
    <w:rsid w:val="00E502D8"/>
    <w:rsid w:val="00E51337"/>
    <w:rsid w:val="00E51A2E"/>
    <w:rsid w:val="00E51E85"/>
    <w:rsid w:val="00E52DD6"/>
    <w:rsid w:val="00E53048"/>
    <w:rsid w:val="00E53A6F"/>
    <w:rsid w:val="00E53AA7"/>
    <w:rsid w:val="00E53F88"/>
    <w:rsid w:val="00E5464D"/>
    <w:rsid w:val="00E54684"/>
    <w:rsid w:val="00E54A33"/>
    <w:rsid w:val="00E54DC4"/>
    <w:rsid w:val="00E555BE"/>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09BF"/>
    <w:rsid w:val="00E7135D"/>
    <w:rsid w:val="00E7255A"/>
    <w:rsid w:val="00E72860"/>
    <w:rsid w:val="00E7312C"/>
    <w:rsid w:val="00E7338B"/>
    <w:rsid w:val="00E7355E"/>
    <w:rsid w:val="00E741D0"/>
    <w:rsid w:val="00E75994"/>
    <w:rsid w:val="00E75AE0"/>
    <w:rsid w:val="00E76097"/>
    <w:rsid w:val="00E76B7F"/>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6FEC"/>
    <w:rsid w:val="00E87D7E"/>
    <w:rsid w:val="00E9016A"/>
    <w:rsid w:val="00E90C8D"/>
    <w:rsid w:val="00E91B3F"/>
    <w:rsid w:val="00E91DA6"/>
    <w:rsid w:val="00E91EE2"/>
    <w:rsid w:val="00E92E50"/>
    <w:rsid w:val="00E9330F"/>
    <w:rsid w:val="00E93ADA"/>
    <w:rsid w:val="00E94A80"/>
    <w:rsid w:val="00E94EC1"/>
    <w:rsid w:val="00E95080"/>
    <w:rsid w:val="00E95153"/>
    <w:rsid w:val="00E95E9A"/>
    <w:rsid w:val="00E95F02"/>
    <w:rsid w:val="00E961BB"/>
    <w:rsid w:val="00E97015"/>
    <w:rsid w:val="00E97445"/>
    <w:rsid w:val="00E97648"/>
    <w:rsid w:val="00E97C18"/>
    <w:rsid w:val="00EA0350"/>
    <w:rsid w:val="00EA0379"/>
    <w:rsid w:val="00EA17EA"/>
    <w:rsid w:val="00EA1ACE"/>
    <w:rsid w:val="00EA218E"/>
    <w:rsid w:val="00EA24CE"/>
    <w:rsid w:val="00EA3149"/>
    <w:rsid w:val="00EA33DD"/>
    <w:rsid w:val="00EA383A"/>
    <w:rsid w:val="00EA3AB4"/>
    <w:rsid w:val="00EA3AEB"/>
    <w:rsid w:val="00EA3F1E"/>
    <w:rsid w:val="00EA5656"/>
    <w:rsid w:val="00EA5C2A"/>
    <w:rsid w:val="00EA6026"/>
    <w:rsid w:val="00EA6128"/>
    <w:rsid w:val="00EA613F"/>
    <w:rsid w:val="00EA6666"/>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14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5AF8"/>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48AD"/>
    <w:rsid w:val="00EF567B"/>
    <w:rsid w:val="00EF591D"/>
    <w:rsid w:val="00EF5EE5"/>
    <w:rsid w:val="00EF6839"/>
    <w:rsid w:val="00EF7684"/>
    <w:rsid w:val="00F0025E"/>
    <w:rsid w:val="00F00719"/>
    <w:rsid w:val="00F00C84"/>
    <w:rsid w:val="00F00E96"/>
    <w:rsid w:val="00F02700"/>
    <w:rsid w:val="00F034B1"/>
    <w:rsid w:val="00F03504"/>
    <w:rsid w:val="00F0455C"/>
    <w:rsid w:val="00F05481"/>
    <w:rsid w:val="00F05FA3"/>
    <w:rsid w:val="00F06390"/>
    <w:rsid w:val="00F06845"/>
    <w:rsid w:val="00F06904"/>
    <w:rsid w:val="00F0790D"/>
    <w:rsid w:val="00F1003F"/>
    <w:rsid w:val="00F10AF2"/>
    <w:rsid w:val="00F10B74"/>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675D"/>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47400"/>
    <w:rsid w:val="00F50397"/>
    <w:rsid w:val="00F50B34"/>
    <w:rsid w:val="00F50FB7"/>
    <w:rsid w:val="00F512DA"/>
    <w:rsid w:val="00F517E6"/>
    <w:rsid w:val="00F51994"/>
    <w:rsid w:val="00F51C00"/>
    <w:rsid w:val="00F52FFF"/>
    <w:rsid w:val="00F5348E"/>
    <w:rsid w:val="00F53521"/>
    <w:rsid w:val="00F54147"/>
    <w:rsid w:val="00F541CA"/>
    <w:rsid w:val="00F546D0"/>
    <w:rsid w:val="00F54FDF"/>
    <w:rsid w:val="00F5515C"/>
    <w:rsid w:val="00F555F6"/>
    <w:rsid w:val="00F56166"/>
    <w:rsid w:val="00F56E8F"/>
    <w:rsid w:val="00F573C8"/>
    <w:rsid w:val="00F57A5E"/>
    <w:rsid w:val="00F57C10"/>
    <w:rsid w:val="00F57FE1"/>
    <w:rsid w:val="00F60790"/>
    <w:rsid w:val="00F60F7F"/>
    <w:rsid w:val="00F61125"/>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769"/>
    <w:rsid w:val="00F8083C"/>
    <w:rsid w:val="00F8092B"/>
    <w:rsid w:val="00F809ED"/>
    <w:rsid w:val="00F80DB3"/>
    <w:rsid w:val="00F812B0"/>
    <w:rsid w:val="00F815D0"/>
    <w:rsid w:val="00F81A43"/>
    <w:rsid w:val="00F81A96"/>
    <w:rsid w:val="00F823A2"/>
    <w:rsid w:val="00F83315"/>
    <w:rsid w:val="00F833BE"/>
    <w:rsid w:val="00F834BD"/>
    <w:rsid w:val="00F842F0"/>
    <w:rsid w:val="00F84353"/>
    <w:rsid w:val="00F8487F"/>
    <w:rsid w:val="00F84D85"/>
    <w:rsid w:val="00F85AEC"/>
    <w:rsid w:val="00F868B2"/>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581"/>
    <w:rsid w:val="00FA696F"/>
    <w:rsid w:val="00FA79EC"/>
    <w:rsid w:val="00FA7A36"/>
    <w:rsid w:val="00FA7B88"/>
    <w:rsid w:val="00FB10D4"/>
    <w:rsid w:val="00FB138A"/>
    <w:rsid w:val="00FB1D8D"/>
    <w:rsid w:val="00FB2907"/>
    <w:rsid w:val="00FB3CCB"/>
    <w:rsid w:val="00FB5EC1"/>
    <w:rsid w:val="00FB5F13"/>
    <w:rsid w:val="00FB71C7"/>
    <w:rsid w:val="00FB733D"/>
    <w:rsid w:val="00FB7BD2"/>
    <w:rsid w:val="00FC05E6"/>
    <w:rsid w:val="00FC06C8"/>
    <w:rsid w:val="00FC0886"/>
    <w:rsid w:val="00FC1815"/>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AC8"/>
    <w:rsid w:val="00FC7ECA"/>
    <w:rsid w:val="00FD01A4"/>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1B"/>
    <w:rsid w:val="00FD6498"/>
    <w:rsid w:val="00FD708D"/>
    <w:rsid w:val="00FD7D75"/>
    <w:rsid w:val="00FD7DFA"/>
    <w:rsid w:val="00FE01AF"/>
    <w:rsid w:val="00FE07AD"/>
    <w:rsid w:val="00FE0D8C"/>
    <w:rsid w:val="00FE1B8C"/>
    <w:rsid w:val="00FE308B"/>
    <w:rsid w:val="00FE3B24"/>
    <w:rsid w:val="00FE40FD"/>
    <w:rsid w:val="00FE4E7F"/>
    <w:rsid w:val="00FE53AD"/>
    <w:rsid w:val="00FE59E4"/>
    <w:rsid w:val="00FE5BF0"/>
    <w:rsid w:val="00FE764C"/>
    <w:rsid w:val="00FF024D"/>
    <w:rsid w:val="00FF1BD6"/>
    <w:rsid w:val="00FF1E71"/>
    <w:rsid w:val="00FF20D7"/>
    <w:rsid w:val="00FF24A1"/>
    <w:rsid w:val="00FF2CAB"/>
    <w:rsid w:val="00FF353D"/>
    <w:rsid w:val="00FF35F6"/>
    <w:rsid w:val="00FF4237"/>
    <w:rsid w:val="00FF4CD6"/>
    <w:rsid w:val="00FF5F03"/>
    <w:rsid w:val="00FF6B9A"/>
    <w:rsid w:val="00FF6E5F"/>
    <w:rsid w:val="00FF7F68"/>
    <w:rsid w:val="010528E1"/>
    <w:rsid w:val="01365799"/>
    <w:rsid w:val="016245C6"/>
    <w:rsid w:val="01992300"/>
    <w:rsid w:val="01B75C6A"/>
    <w:rsid w:val="01D86637"/>
    <w:rsid w:val="02225B04"/>
    <w:rsid w:val="022A3FD7"/>
    <w:rsid w:val="023C4E17"/>
    <w:rsid w:val="0462039F"/>
    <w:rsid w:val="04853043"/>
    <w:rsid w:val="04DF57D0"/>
    <w:rsid w:val="04E05B36"/>
    <w:rsid w:val="04EF5DCF"/>
    <w:rsid w:val="053D01B1"/>
    <w:rsid w:val="05616943"/>
    <w:rsid w:val="05B11678"/>
    <w:rsid w:val="05E57574"/>
    <w:rsid w:val="06870977"/>
    <w:rsid w:val="06915006"/>
    <w:rsid w:val="06B86675"/>
    <w:rsid w:val="071426B7"/>
    <w:rsid w:val="07A5586E"/>
    <w:rsid w:val="085A7155"/>
    <w:rsid w:val="08732C15"/>
    <w:rsid w:val="08BA7B9A"/>
    <w:rsid w:val="091755A7"/>
    <w:rsid w:val="097A4477"/>
    <w:rsid w:val="098333B9"/>
    <w:rsid w:val="09B05932"/>
    <w:rsid w:val="09E55D95"/>
    <w:rsid w:val="0A0106F5"/>
    <w:rsid w:val="0A0D05D7"/>
    <w:rsid w:val="0A397E8E"/>
    <w:rsid w:val="0A7B2323"/>
    <w:rsid w:val="0A894972"/>
    <w:rsid w:val="0AA07435"/>
    <w:rsid w:val="0AC66C76"/>
    <w:rsid w:val="0ACB31DC"/>
    <w:rsid w:val="0ACB6A22"/>
    <w:rsid w:val="0B220922"/>
    <w:rsid w:val="0BA67416"/>
    <w:rsid w:val="0BB2614A"/>
    <w:rsid w:val="0BB91406"/>
    <w:rsid w:val="0C1B5A9E"/>
    <w:rsid w:val="0C304C60"/>
    <w:rsid w:val="0C48085D"/>
    <w:rsid w:val="0C7C46CB"/>
    <w:rsid w:val="0CD8398F"/>
    <w:rsid w:val="0CD8573D"/>
    <w:rsid w:val="0D151DAB"/>
    <w:rsid w:val="0D186481"/>
    <w:rsid w:val="0D197B03"/>
    <w:rsid w:val="0D5A0767"/>
    <w:rsid w:val="0D6151BA"/>
    <w:rsid w:val="0D7A0BE3"/>
    <w:rsid w:val="0DDA54E4"/>
    <w:rsid w:val="0E5B4877"/>
    <w:rsid w:val="0E7C35A5"/>
    <w:rsid w:val="0ED43145"/>
    <w:rsid w:val="0F460B7F"/>
    <w:rsid w:val="0F655282"/>
    <w:rsid w:val="10502F5D"/>
    <w:rsid w:val="105C1AD8"/>
    <w:rsid w:val="10857727"/>
    <w:rsid w:val="10A342B4"/>
    <w:rsid w:val="10A51DDA"/>
    <w:rsid w:val="10B45CF5"/>
    <w:rsid w:val="10B7325B"/>
    <w:rsid w:val="11050ACA"/>
    <w:rsid w:val="11483D9C"/>
    <w:rsid w:val="11A01EA5"/>
    <w:rsid w:val="11AD6919"/>
    <w:rsid w:val="11E06E41"/>
    <w:rsid w:val="11E84674"/>
    <w:rsid w:val="12D641E2"/>
    <w:rsid w:val="12ED5CBA"/>
    <w:rsid w:val="12F95CCF"/>
    <w:rsid w:val="13054DB2"/>
    <w:rsid w:val="13972E2E"/>
    <w:rsid w:val="13A46671"/>
    <w:rsid w:val="1445127B"/>
    <w:rsid w:val="14526852"/>
    <w:rsid w:val="14BF5434"/>
    <w:rsid w:val="153320AA"/>
    <w:rsid w:val="157707EC"/>
    <w:rsid w:val="158F3452"/>
    <w:rsid w:val="15A25EEB"/>
    <w:rsid w:val="15FD6352"/>
    <w:rsid w:val="162D31F8"/>
    <w:rsid w:val="164F22EB"/>
    <w:rsid w:val="168D108C"/>
    <w:rsid w:val="16CD0B5E"/>
    <w:rsid w:val="16EE2585"/>
    <w:rsid w:val="17371DE5"/>
    <w:rsid w:val="17472483"/>
    <w:rsid w:val="17CE7E68"/>
    <w:rsid w:val="186740EE"/>
    <w:rsid w:val="19087C47"/>
    <w:rsid w:val="19541E13"/>
    <w:rsid w:val="19B5242D"/>
    <w:rsid w:val="1A1B487C"/>
    <w:rsid w:val="1A937147"/>
    <w:rsid w:val="1ABA2925"/>
    <w:rsid w:val="1AC13CB4"/>
    <w:rsid w:val="1ADE41AE"/>
    <w:rsid w:val="1AF06347"/>
    <w:rsid w:val="1B063DBD"/>
    <w:rsid w:val="1B0B38BC"/>
    <w:rsid w:val="1B316012"/>
    <w:rsid w:val="1C0876C1"/>
    <w:rsid w:val="1C4F6411"/>
    <w:rsid w:val="1C646FED"/>
    <w:rsid w:val="1CB33AD0"/>
    <w:rsid w:val="1D13631D"/>
    <w:rsid w:val="1D6B43AB"/>
    <w:rsid w:val="1DF07FC7"/>
    <w:rsid w:val="1E320A25"/>
    <w:rsid w:val="1E9B4F2D"/>
    <w:rsid w:val="1EAF2075"/>
    <w:rsid w:val="1EB8776E"/>
    <w:rsid w:val="1F5F1CED"/>
    <w:rsid w:val="1FB03BA5"/>
    <w:rsid w:val="201B5C14"/>
    <w:rsid w:val="20580C17"/>
    <w:rsid w:val="20705F3D"/>
    <w:rsid w:val="208E212B"/>
    <w:rsid w:val="216D6944"/>
    <w:rsid w:val="21A258E7"/>
    <w:rsid w:val="21B05985"/>
    <w:rsid w:val="21E64000"/>
    <w:rsid w:val="22427640"/>
    <w:rsid w:val="224A2F3D"/>
    <w:rsid w:val="22BD5C27"/>
    <w:rsid w:val="22F64717"/>
    <w:rsid w:val="232A616E"/>
    <w:rsid w:val="237A0EF0"/>
    <w:rsid w:val="23B24D6E"/>
    <w:rsid w:val="240C3C26"/>
    <w:rsid w:val="241A61E3"/>
    <w:rsid w:val="252E0198"/>
    <w:rsid w:val="2540611D"/>
    <w:rsid w:val="25661A5B"/>
    <w:rsid w:val="257162D7"/>
    <w:rsid w:val="259105CC"/>
    <w:rsid w:val="25B12B77"/>
    <w:rsid w:val="25C8124E"/>
    <w:rsid w:val="2629587E"/>
    <w:rsid w:val="266B0F78"/>
    <w:rsid w:val="268D5392"/>
    <w:rsid w:val="26ED5E31"/>
    <w:rsid w:val="27244F45"/>
    <w:rsid w:val="27457A1B"/>
    <w:rsid w:val="275818C5"/>
    <w:rsid w:val="278A18D2"/>
    <w:rsid w:val="279938C3"/>
    <w:rsid w:val="27B859FB"/>
    <w:rsid w:val="27E014F2"/>
    <w:rsid w:val="27E02036"/>
    <w:rsid w:val="28335AC5"/>
    <w:rsid w:val="283C03BE"/>
    <w:rsid w:val="28497097"/>
    <w:rsid w:val="284F6DA3"/>
    <w:rsid w:val="285A2A84"/>
    <w:rsid w:val="285F4B0C"/>
    <w:rsid w:val="28723AF4"/>
    <w:rsid w:val="28E05C4D"/>
    <w:rsid w:val="29382A41"/>
    <w:rsid w:val="29530A33"/>
    <w:rsid w:val="296F6FD1"/>
    <w:rsid w:val="2996630C"/>
    <w:rsid w:val="2A151926"/>
    <w:rsid w:val="2A351FC9"/>
    <w:rsid w:val="2A677CA8"/>
    <w:rsid w:val="2A717444"/>
    <w:rsid w:val="2A88034A"/>
    <w:rsid w:val="2ABB0720"/>
    <w:rsid w:val="2AF673CA"/>
    <w:rsid w:val="2B267ACE"/>
    <w:rsid w:val="2B275402"/>
    <w:rsid w:val="2B4F0E68"/>
    <w:rsid w:val="2B595B68"/>
    <w:rsid w:val="2B6E4F5A"/>
    <w:rsid w:val="2B794137"/>
    <w:rsid w:val="2BBC7850"/>
    <w:rsid w:val="2BF80D92"/>
    <w:rsid w:val="2C370A57"/>
    <w:rsid w:val="2C412EA7"/>
    <w:rsid w:val="2C82701B"/>
    <w:rsid w:val="2C972AC7"/>
    <w:rsid w:val="2CDF621C"/>
    <w:rsid w:val="2CF972DD"/>
    <w:rsid w:val="2CFC5020"/>
    <w:rsid w:val="2D7D004E"/>
    <w:rsid w:val="2D86358D"/>
    <w:rsid w:val="2DBE2772"/>
    <w:rsid w:val="2DEC6E42"/>
    <w:rsid w:val="2DF53F49"/>
    <w:rsid w:val="2DF81343"/>
    <w:rsid w:val="2E701821"/>
    <w:rsid w:val="2E9C2EE0"/>
    <w:rsid w:val="2ECD0A22"/>
    <w:rsid w:val="2F212B1B"/>
    <w:rsid w:val="2F7E2440"/>
    <w:rsid w:val="2FA37038"/>
    <w:rsid w:val="2FD14FAE"/>
    <w:rsid w:val="2FF41FDE"/>
    <w:rsid w:val="2FFB2E91"/>
    <w:rsid w:val="30562C99"/>
    <w:rsid w:val="30F85AFE"/>
    <w:rsid w:val="31062F07"/>
    <w:rsid w:val="314277C9"/>
    <w:rsid w:val="31BD2D20"/>
    <w:rsid w:val="31CA56EC"/>
    <w:rsid w:val="31DB5204"/>
    <w:rsid w:val="31F506F7"/>
    <w:rsid w:val="31F938DC"/>
    <w:rsid w:val="322A0475"/>
    <w:rsid w:val="322F554F"/>
    <w:rsid w:val="327F3792"/>
    <w:rsid w:val="3299637A"/>
    <w:rsid w:val="32BE739C"/>
    <w:rsid w:val="32CB213D"/>
    <w:rsid w:val="331E064D"/>
    <w:rsid w:val="3333106F"/>
    <w:rsid w:val="33680D19"/>
    <w:rsid w:val="33773E94"/>
    <w:rsid w:val="33890C8F"/>
    <w:rsid w:val="33C817B8"/>
    <w:rsid w:val="33E67E90"/>
    <w:rsid w:val="343002FF"/>
    <w:rsid w:val="346C36CF"/>
    <w:rsid w:val="34BC77D8"/>
    <w:rsid w:val="34BD6E42"/>
    <w:rsid w:val="352275ED"/>
    <w:rsid w:val="352D221A"/>
    <w:rsid w:val="355C6F55"/>
    <w:rsid w:val="357A6B39"/>
    <w:rsid w:val="358F4C83"/>
    <w:rsid w:val="36627E86"/>
    <w:rsid w:val="36C24BE4"/>
    <w:rsid w:val="37151B83"/>
    <w:rsid w:val="375F2433"/>
    <w:rsid w:val="37D14555"/>
    <w:rsid w:val="37D37E88"/>
    <w:rsid w:val="37E56DDC"/>
    <w:rsid w:val="386341A5"/>
    <w:rsid w:val="389044E9"/>
    <w:rsid w:val="396D6ECE"/>
    <w:rsid w:val="39A6259B"/>
    <w:rsid w:val="39D345B0"/>
    <w:rsid w:val="3A1F63D6"/>
    <w:rsid w:val="3A824DB6"/>
    <w:rsid w:val="3AB42A96"/>
    <w:rsid w:val="3BB865B6"/>
    <w:rsid w:val="3BBE6635"/>
    <w:rsid w:val="3C2D2B00"/>
    <w:rsid w:val="3C9441AA"/>
    <w:rsid w:val="3C97266F"/>
    <w:rsid w:val="3D000214"/>
    <w:rsid w:val="3D5B369C"/>
    <w:rsid w:val="3D604F23"/>
    <w:rsid w:val="3D6C7658"/>
    <w:rsid w:val="3D771EAB"/>
    <w:rsid w:val="3D932E36"/>
    <w:rsid w:val="3DBF1E7D"/>
    <w:rsid w:val="3DF37D79"/>
    <w:rsid w:val="3E6D513F"/>
    <w:rsid w:val="3EEA4CD8"/>
    <w:rsid w:val="3F2534DA"/>
    <w:rsid w:val="3F316DAB"/>
    <w:rsid w:val="3F571B4C"/>
    <w:rsid w:val="3F836EDA"/>
    <w:rsid w:val="3F9C2171"/>
    <w:rsid w:val="3FA56233"/>
    <w:rsid w:val="3FB456CB"/>
    <w:rsid w:val="3FD6525C"/>
    <w:rsid w:val="40104C12"/>
    <w:rsid w:val="404025EC"/>
    <w:rsid w:val="40556AC9"/>
    <w:rsid w:val="40827192"/>
    <w:rsid w:val="40A50F5B"/>
    <w:rsid w:val="40B165E5"/>
    <w:rsid w:val="410858E9"/>
    <w:rsid w:val="41110C42"/>
    <w:rsid w:val="413606A8"/>
    <w:rsid w:val="415648A7"/>
    <w:rsid w:val="427A6373"/>
    <w:rsid w:val="427F607F"/>
    <w:rsid w:val="431E0B9B"/>
    <w:rsid w:val="435B772B"/>
    <w:rsid w:val="43635059"/>
    <w:rsid w:val="43AF029E"/>
    <w:rsid w:val="442D0F7F"/>
    <w:rsid w:val="4441183E"/>
    <w:rsid w:val="44C6612E"/>
    <w:rsid w:val="44CA7756"/>
    <w:rsid w:val="44E818A0"/>
    <w:rsid w:val="44F93EC7"/>
    <w:rsid w:val="4557299B"/>
    <w:rsid w:val="45A32084"/>
    <w:rsid w:val="465313B5"/>
    <w:rsid w:val="466000AE"/>
    <w:rsid w:val="46696E2A"/>
    <w:rsid w:val="466F3D86"/>
    <w:rsid w:val="466F4B08"/>
    <w:rsid w:val="46922B41"/>
    <w:rsid w:val="46A63BDA"/>
    <w:rsid w:val="46C71DA3"/>
    <w:rsid w:val="46D544C0"/>
    <w:rsid w:val="46E36A08"/>
    <w:rsid w:val="470629D5"/>
    <w:rsid w:val="47086643"/>
    <w:rsid w:val="473C453F"/>
    <w:rsid w:val="473C5246"/>
    <w:rsid w:val="473C62ED"/>
    <w:rsid w:val="47613FA5"/>
    <w:rsid w:val="47881532"/>
    <w:rsid w:val="47F22E4F"/>
    <w:rsid w:val="487B2E3B"/>
    <w:rsid w:val="489E7916"/>
    <w:rsid w:val="48AD79E8"/>
    <w:rsid w:val="48CC4F9A"/>
    <w:rsid w:val="48F0738F"/>
    <w:rsid w:val="495D0879"/>
    <w:rsid w:val="49745A14"/>
    <w:rsid w:val="499C3073"/>
    <w:rsid w:val="49A81A17"/>
    <w:rsid w:val="4A007AA5"/>
    <w:rsid w:val="4A0530C1"/>
    <w:rsid w:val="4A2819C9"/>
    <w:rsid w:val="4A5E4053"/>
    <w:rsid w:val="4A61284F"/>
    <w:rsid w:val="4A6718D3"/>
    <w:rsid w:val="4A8E6E5F"/>
    <w:rsid w:val="4AD30D16"/>
    <w:rsid w:val="4ADD44D3"/>
    <w:rsid w:val="4B91459D"/>
    <w:rsid w:val="4BFE1DC3"/>
    <w:rsid w:val="4C547C35"/>
    <w:rsid w:val="4D07067C"/>
    <w:rsid w:val="4D1F0243"/>
    <w:rsid w:val="4D2138EC"/>
    <w:rsid w:val="4D292E6F"/>
    <w:rsid w:val="4D302450"/>
    <w:rsid w:val="4D9E1AAF"/>
    <w:rsid w:val="4EB175C0"/>
    <w:rsid w:val="4ED26012"/>
    <w:rsid w:val="4EDB463D"/>
    <w:rsid w:val="4F2850F6"/>
    <w:rsid w:val="4F4246BC"/>
    <w:rsid w:val="4FDA48F5"/>
    <w:rsid w:val="4FE319FB"/>
    <w:rsid w:val="50104084"/>
    <w:rsid w:val="504A4535"/>
    <w:rsid w:val="50561D57"/>
    <w:rsid w:val="50C64E79"/>
    <w:rsid w:val="50C874A7"/>
    <w:rsid w:val="51FF0643"/>
    <w:rsid w:val="520F388B"/>
    <w:rsid w:val="52976ACD"/>
    <w:rsid w:val="52C75604"/>
    <w:rsid w:val="52E77A54"/>
    <w:rsid w:val="53545FFA"/>
    <w:rsid w:val="535E56F6"/>
    <w:rsid w:val="5458228C"/>
    <w:rsid w:val="5463310B"/>
    <w:rsid w:val="549E2395"/>
    <w:rsid w:val="54AB2D04"/>
    <w:rsid w:val="54D601BE"/>
    <w:rsid w:val="54E731EB"/>
    <w:rsid w:val="55912F91"/>
    <w:rsid w:val="55B40DB3"/>
    <w:rsid w:val="55B41744"/>
    <w:rsid w:val="55C27722"/>
    <w:rsid w:val="56ED6783"/>
    <w:rsid w:val="570777DD"/>
    <w:rsid w:val="570E3BC9"/>
    <w:rsid w:val="57691823"/>
    <w:rsid w:val="577473DD"/>
    <w:rsid w:val="578B2426"/>
    <w:rsid w:val="579D4B86"/>
    <w:rsid w:val="57DB0E01"/>
    <w:rsid w:val="57E44562"/>
    <w:rsid w:val="58101008"/>
    <w:rsid w:val="581B27D6"/>
    <w:rsid w:val="584A21AC"/>
    <w:rsid w:val="584F051F"/>
    <w:rsid w:val="592616B5"/>
    <w:rsid w:val="59554689"/>
    <w:rsid w:val="59746021"/>
    <w:rsid w:val="5AB50438"/>
    <w:rsid w:val="5ACD5A9A"/>
    <w:rsid w:val="5AF251E8"/>
    <w:rsid w:val="5B7044EE"/>
    <w:rsid w:val="5B95059B"/>
    <w:rsid w:val="5C2A6C04"/>
    <w:rsid w:val="5C343553"/>
    <w:rsid w:val="5CE6384E"/>
    <w:rsid w:val="5D443CF5"/>
    <w:rsid w:val="5D637AE5"/>
    <w:rsid w:val="5D9B1B67"/>
    <w:rsid w:val="5DDF2F2F"/>
    <w:rsid w:val="5E056FE1"/>
    <w:rsid w:val="5E167440"/>
    <w:rsid w:val="5E4B5D4E"/>
    <w:rsid w:val="5E7F2B1A"/>
    <w:rsid w:val="5E987F67"/>
    <w:rsid w:val="5ECA3D86"/>
    <w:rsid w:val="5ED6272A"/>
    <w:rsid w:val="5EFD5E9C"/>
    <w:rsid w:val="5F2E2567"/>
    <w:rsid w:val="5FF4703E"/>
    <w:rsid w:val="601B5879"/>
    <w:rsid w:val="602776E2"/>
    <w:rsid w:val="60651FB9"/>
    <w:rsid w:val="60A24FBB"/>
    <w:rsid w:val="60D74AAF"/>
    <w:rsid w:val="60D84571"/>
    <w:rsid w:val="60DD5FF3"/>
    <w:rsid w:val="612C0D28"/>
    <w:rsid w:val="61447E20"/>
    <w:rsid w:val="617215D0"/>
    <w:rsid w:val="61A33D7C"/>
    <w:rsid w:val="6242413E"/>
    <w:rsid w:val="62757533"/>
    <w:rsid w:val="63190B09"/>
    <w:rsid w:val="63604CB9"/>
    <w:rsid w:val="63626C83"/>
    <w:rsid w:val="636447A9"/>
    <w:rsid w:val="637A1985"/>
    <w:rsid w:val="63833993"/>
    <w:rsid w:val="639E7C98"/>
    <w:rsid w:val="63DB54BA"/>
    <w:rsid w:val="63F21E60"/>
    <w:rsid w:val="643979E4"/>
    <w:rsid w:val="644D16E1"/>
    <w:rsid w:val="64C179D9"/>
    <w:rsid w:val="64C64FF0"/>
    <w:rsid w:val="64DB1D80"/>
    <w:rsid w:val="64FA236A"/>
    <w:rsid w:val="653D0B03"/>
    <w:rsid w:val="6545799B"/>
    <w:rsid w:val="65CD0D2C"/>
    <w:rsid w:val="65E64FDE"/>
    <w:rsid w:val="6616660F"/>
    <w:rsid w:val="663761A5"/>
    <w:rsid w:val="663A3EE7"/>
    <w:rsid w:val="66450900"/>
    <w:rsid w:val="665F7066"/>
    <w:rsid w:val="666130C7"/>
    <w:rsid w:val="668E07DC"/>
    <w:rsid w:val="66C814F3"/>
    <w:rsid w:val="66F95B50"/>
    <w:rsid w:val="677376B1"/>
    <w:rsid w:val="67936ABF"/>
    <w:rsid w:val="67FC1454"/>
    <w:rsid w:val="695E7EED"/>
    <w:rsid w:val="697F233D"/>
    <w:rsid w:val="69886D18"/>
    <w:rsid w:val="69FD14B4"/>
    <w:rsid w:val="6AF1334A"/>
    <w:rsid w:val="6AF6662F"/>
    <w:rsid w:val="6B160F51"/>
    <w:rsid w:val="6B571736"/>
    <w:rsid w:val="6B8D6867"/>
    <w:rsid w:val="6B9419A4"/>
    <w:rsid w:val="6B987B75"/>
    <w:rsid w:val="6BAC4881"/>
    <w:rsid w:val="6BD12BF8"/>
    <w:rsid w:val="6C352E5E"/>
    <w:rsid w:val="6C501D6F"/>
    <w:rsid w:val="6C541DAD"/>
    <w:rsid w:val="6C767DC1"/>
    <w:rsid w:val="6C9F4AA4"/>
    <w:rsid w:val="6CAB169B"/>
    <w:rsid w:val="6CDD04AE"/>
    <w:rsid w:val="6D465A44"/>
    <w:rsid w:val="6DFA03B9"/>
    <w:rsid w:val="6E0A419F"/>
    <w:rsid w:val="6E205347"/>
    <w:rsid w:val="6E4C0C5C"/>
    <w:rsid w:val="6E4C7F05"/>
    <w:rsid w:val="6E650847"/>
    <w:rsid w:val="6E791F84"/>
    <w:rsid w:val="6E97037E"/>
    <w:rsid w:val="6E9A19C7"/>
    <w:rsid w:val="6F204E84"/>
    <w:rsid w:val="6F87179F"/>
    <w:rsid w:val="6F934101"/>
    <w:rsid w:val="6FA56875"/>
    <w:rsid w:val="6FB0410D"/>
    <w:rsid w:val="6FEC4AAF"/>
    <w:rsid w:val="6FFA6C73"/>
    <w:rsid w:val="703469C2"/>
    <w:rsid w:val="70432E01"/>
    <w:rsid w:val="705A140E"/>
    <w:rsid w:val="70BB1A19"/>
    <w:rsid w:val="70E67F15"/>
    <w:rsid w:val="71080E6A"/>
    <w:rsid w:val="71153587"/>
    <w:rsid w:val="717209D9"/>
    <w:rsid w:val="71722895"/>
    <w:rsid w:val="718A3BCA"/>
    <w:rsid w:val="719E3129"/>
    <w:rsid w:val="71A60FF6"/>
    <w:rsid w:val="71AD1A11"/>
    <w:rsid w:val="71D51291"/>
    <w:rsid w:val="71F413EE"/>
    <w:rsid w:val="71F9046B"/>
    <w:rsid w:val="720A0C12"/>
    <w:rsid w:val="722021E3"/>
    <w:rsid w:val="727147ED"/>
    <w:rsid w:val="72BA43E6"/>
    <w:rsid w:val="72BF37AA"/>
    <w:rsid w:val="72D27AD4"/>
    <w:rsid w:val="72D60AF4"/>
    <w:rsid w:val="73916BA0"/>
    <w:rsid w:val="73A475C2"/>
    <w:rsid w:val="73AA0ABB"/>
    <w:rsid w:val="73C03C7E"/>
    <w:rsid w:val="742842BA"/>
    <w:rsid w:val="746565D3"/>
    <w:rsid w:val="74BB7725"/>
    <w:rsid w:val="74F040EF"/>
    <w:rsid w:val="752D26DF"/>
    <w:rsid w:val="75325E44"/>
    <w:rsid w:val="753E571C"/>
    <w:rsid w:val="757E5B9F"/>
    <w:rsid w:val="75952EE8"/>
    <w:rsid w:val="75A63493"/>
    <w:rsid w:val="75A634FC"/>
    <w:rsid w:val="760F67F7"/>
    <w:rsid w:val="76A258BD"/>
    <w:rsid w:val="76CB1B69"/>
    <w:rsid w:val="773D3837"/>
    <w:rsid w:val="775844CE"/>
    <w:rsid w:val="7785114A"/>
    <w:rsid w:val="7814400F"/>
    <w:rsid w:val="78492CDB"/>
    <w:rsid w:val="78942AD0"/>
    <w:rsid w:val="78EE342C"/>
    <w:rsid w:val="791D122B"/>
    <w:rsid w:val="795F2DA7"/>
    <w:rsid w:val="798E3ED6"/>
    <w:rsid w:val="79DC10E6"/>
    <w:rsid w:val="79F175E4"/>
    <w:rsid w:val="79FC3536"/>
    <w:rsid w:val="7A2D36EF"/>
    <w:rsid w:val="7A6D4434"/>
    <w:rsid w:val="7AEF309B"/>
    <w:rsid w:val="7B2335C6"/>
    <w:rsid w:val="7BCE4A5E"/>
    <w:rsid w:val="7CBE0F77"/>
    <w:rsid w:val="7CEF2EDE"/>
    <w:rsid w:val="7D0C3D15"/>
    <w:rsid w:val="7D54596F"/>
    <w:rsid w:val="7D8526D6"/>
    <w:rsid w:val="7DAA5057"/>
    <w:rsid w:val="7DB67EA0"/>
    <w:rsid w:val="7E03031D"/>
    <w:rsid w:val="7E3314F0"/>
    <w:rsid w:val="7E4A3A13"/>
    <w:rsid w:val="7E611BB9"/>
    <w:rsid w:val="7EB75C7D"/>
    <w:rsid w:val="7F032C71"/>
    <w:rsid w:val="7F0D3AEF"/>
    <w:rsid w:val="7F0F7867"/>
    <w:rsid w:val="7F6E35B7"/>
    <w:rsid w:val="7F8E181D"/>
    <w:rsid w:val="7FBE4232"/>
    <w:rsid w:val="7FFD13D7"/>
    <w:rsid w:val="FEFC8B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9"/>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47"/>
    <w:qFormat/>
    <w:uiPriority w:val="0"/>
    <w:pPr>
      <w:spacing w:after="120"/>
    </w:pPr>
    <w:rPr>
      <w:rFonts w:ascii="Times New Roman" w:hAnsi="Times New Roman" w:eastAsia="宋体" w:cs="Times New Roman"/>
      <w:szCs w:val="24"/>
    </w:rPr>
  </w:style>
  <w:style w:type="paragraph" w:styleId="7">
    <w:name w:val="Normal Indent"/>
    <w:basedOn w:val="1"/>
    <w:qFormat/>
    <w:uiPriority w:val="99"/>
    <w:pPr>
      <w:ind w:firstLine="420"/>
    </w:pPr>
    <w:rPr>
      <w:szCs w:val="20"/>
    </w:rPr>
  </w:style>
  <w:style w:type="paragraph" w:styleId="8">
    <w:name w:val="Document Map"/>
    <w:basedOn w:val="1"/>
    <w:link w:val="59"/>
    <w:semiHidden/>
    <w:unhideWhenUsed/>
    <w:qFormat/>
    <w:uiPriority w:val="99"/>
    <w:rPr>
      <w:rFonts w:ascii="宋体" w:eastAsia="宋体"/>
      <w:sz w:val="18"/>
      <w:szCs w:val="18"/>
    </w:rPr>
  </w:style>
  <w:style w:type="paragraph" w:styleId="9">
    <w:name w:val="annotation text"/>
    <w:basedOn w:val="1"/>
    <w:link w:val="51"/>
    <w:unhideWhenUsed/>
    <w:qFormat/>
    <w:uiPriority w:val="0"/>
    <w:pPr>
      <w:jc w:val="left"/>
    </w:pPr>
  </w:style>
  <w:style w:type="paragraph" w:styleId="10">
    <w:name w:val="Body Text Indent"/>
    <w:basedOn w:val="1"/>
    <w:semiHidden/>
    <w:unhideWhenUsed/>
    <w:qFormat/>
    <w:uiPriority w:val="99"/>
    <w:pPr>
      <w:spacing w:after="120"/>
      <w:ind w:left="420" w:leftChars="200"/>
    </w:pPr>
    <w:rPr>
      <w:rFonts w:ascii="Calibri" w:hAnsi="Calibri" w:eastAsia="宋体" w:cs="Times New Roman"/>
    </w:r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link w:val="42"/>
    <w:qFormat/>
    <w:uiPriority w:val="0"/>
    <w:rPr>
      <w:rFonts w:ascii="宋体" w:hAnsi="Courier New" w:eastAsia="宋体"/>
      <w:szCs w:val="24"/>
    </w:rPr>
  </w:style>
  <w:style w:type="paragraph" w:styleId="13">
    <w:name w:val="Date"/>
    <w:basedOn w:val="1"/>
    <w:next w:val="1"/>
    <w:link w:val="32"/>
    <w:unhideWhenUsed/>
    <w:qFormat/>
    <w:uiPriority w:val="0"/>
    <w:pPr>
      <w:ind w:left="100" w:leftChars="2500"/>
    </w:pPr>
  </w:style>
  <w:style w:type="paragraph" w:styleId="14">
    <w:name w:val="Balloon Text"/>
    <w:basedOn w:val="1"/>
    <w:link w:val="31"/>
    <w:semiHidden/>
    <w:unhideWhenUsed/>
    <w:qFormat/>
    <w:uiPriority w:val="99"/>
    <w:rPr>
      <w:sz w:val="18"/>
      <w:szCs w:val="18"/>
    </w:rPr>
  </w:style>
  <w:style w:type="paragraph" w:styleId="15">
    <w:name w:val="footer"/>
    <w:basedOn w:val="1"/>
    <w:link w:val="37"/>
    <w:unhideWhenUsed/>
    <w:qFormat/>
    <w:uiPriority w:val="99"/>
    <w:pPr>
      <w:tabs>
        <w:tab w:val="center" w:pos="4153"/>
        <w:tab w:val="right" w:pos="8306"/>
      </w:tabs>
      <w:snapToGrid w:val="0"/>
      <w:jc w:val="left"/>
    </w:pPr>
    <w:rPr>
      <w:sz w:val="18"/>
      <w:szCs w:val="18"/>
    </w:rPr>
  </w:style>
  <w:style w:type="paragraph" w:styleId="16">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right" w:leader="dot" w:pos="8273"/>
      </w:tabs>
      <w:spacing w:line="360" w:lineRule="auto"/>
      <w:jc w:val="left"/>
    </w:pPr>
    <w:rPr>
      <w:rFonts w:eastAsia="黑体"/>
      <w:kern w:val="0"/>
      <w:sz w:val="22"/>
    </w:rPr>
  </w:style>
  <w:style w:type="paragraph" w:styleId="18">
    <w:name w:val="toc 2"/>
    <w:basedOn w:val="1"/>
    <w:next w:val="1"/>
    <w:unhideWhenUsed/>
    <w:qFormat/>
    <w:uiPriority w:val="39"/>
    <w:pPr>
      <w:widowControl/>
      <w:tabs>
        <w:tab w:val="left" w:pos="709"/>
        <w:tab w:val="right" w:leader="dot" w:pos="8302"/>
      </w:tabs>
      <w:spacing w:after="100" w:line="276" w:lineRule="auto"/>
      <w:ind w:left="220"/>
      <w:jc w:val="left"/>
    </w:pPr>
    <w:rPr>
      <w:kern w:val="0"/>
      <w:sz w:val="22"/>
    </w:rPr>
  </w:style>
  <w:style w:type="paragraph" w:styleId="19">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annotation subject"/>
    <w:basedOn w:val="9"/>
    <w:next w:val="9"/>
    <w:link w:val="52"/>
    <w:semiHidden/>
    <w:unhideWhenUsed/>
    <w:qFormat/>
    <w:uiPriority w:val="99"/>
    <w:rPr>
      <w:b/>
      <w:bCs/>
    </w:rPr>
  </w:style>
  <w:style w:type="paragraph" w:styleId="21">
    <w:name w:val="Body Text First Indent 2"/>
    <w:basedOn w:val="10"/>
    <w:unhideWhenUsed/>
    <w:qFormat/>
    <w:uiPriority w:val="99"/>
    <w:pPr>
      <w:ind w:firstLine="420" w:firstLineChars="200"/>
    </w:p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FollowedHyperlink"/>
    <w:basedOn w:val="24"/>
    <w:semiHidden/>
    <w:unhideWhenUsed/>
    <w:qFormat/>
    <w:uiPriority w:val="99"/>
    <w:rPr>
      <w:color w:val="800080" w:themeColor="followedHyperlink"/>
      <w:u w:val="single"/>
      <w14:textFill>
        <w14:solidFill>
          <w14:schemeClr w14:val="folHlink"/>
        </w14:solidFill>
      </w14:textFill>
    </w:rPr>
  </w:style>
  <w:style w:type="character" w:styleId="28">
    <w:name w:val="Emphasis"/>
    <w:basedOn w:val="24"/>
    <w:qFormat/>
    <w:uiPriority w:val="20"/>
    <w:rPr>
      <w:i/>
      <w:iCs/>
    </w:rPr>
  </w:style>
  <w:style w:type="character" w:styleId="29">
    <w:name w:val="Hyperlink"/>
    <w:qFormat/>
    <w:uiPriority w:val="99"/>
    <w:rPr>
      <w:color w:val="0000FF"/>
      <w:u w:val="single"/>
    </w:rPr>
  </w:style>
  <w:style w:type="character" w:styleId="30">
    <w:name w:val="annotation reference"/>
    <w:basedOn w:val="24"/>
    <w:unhideWhenUsed/>
    <w:qFormat/>
    <w:uiPriority w:val="0"/>
    <w:rPr>
      <w:sz w:val="21"/>
      <w:szCs w:val="21"/>
    </w:rPr>
  </w:style>
  <w:style w:type="character" w:customStyle="1" w:styleId="31">
    <w:name w:val="批注框文本 字符"/>
    <w:basedOn w:val="24"/>
    <w:link w:val="14"/>
    <w:semiHidden/>
    <w:qFormat/>
    <w:uiPriority w:val="99"/>
    <w:rPr>
      <w:sz w:val="18"/>
      <w:szCs w:val="18"/>
    </w:rPr>
  </w:style>
  <w:style w:type="character" w:customStyle="1" w:styleId="32">
    <w:name w:val="日期 字符"/>
    <w:basedOn w:val="24"/>
    <w:link w:val="13"/>
    <w:semiHidden/>
    <w:qFormat/>
    <w:uiPriority w:val="99"/>
  </w:style>
  <w:style w:type="paragraph" w:styleId="33">
    <w:name w:val="List Paragraph"/>
    <w:basedOn w:val="1"/>
    <w:link w:val="48"/>
    <w:qFormat/>
    <w:uiPriority w:val="34"/>
    <w:pPr>
      <w:ind w:firstLine="420" w:firstLineChars="200"/>
    </w:pPr>
  </w:style>
  <w:style w:type="character" w:customStyle="1" w:styleId="34">
    <w:name w:val="p141"/>
    <w:qFormat/>
    <w:uiPriority w:val="0"/>
    <w:rPr>
      <w:sz w:val="21"/>
      <w:szCs w:val="21"/>
    </w:rPr>
  </w:style>
  <w:style w:type="character" w:customStyle="1" w:styleId="35">
    <w:name w:val="标题 1 字符"/>
    <w:basedOn w:val="24"/>
    <w:link w:val="3"/>
    <w:qFormat/>
    <w:uiPriority w:val="9"/>
    <w:rPr>
      <w:b/>
      <w:bCs/>
      <w:kern w:val="44"/>
      <w:sz w:val="44"/>
      <w:szCs w:val="44"/>
    </w:rPr>
  </w:style>
  <w:style w:type="character" w:customStyle="1" w:styleId="36">
    <w:name w:val="页眉 字符"/>
    <w:basedOn w:val="24"/>
    <w:link w:val="16"/>
    <w:qFormat/>
    <w:uiPriority w:val="99"/>
    <w:rPr>
      <w:sz w:val="18"/>
      <w:szCs w:val="18"/>
    </w:rPr>
  </w:style>
  <w:style w:type="character" w:customStyle="1" w:styleId="37">
    <w:name w:val="页脚 字符"/>
    <w:basedOn w:val="24"/>
    <w:link w:val="15"/>
    <w:qFormat/>
    <w:uiPriority w:val="99"/>
    <w:rPr>
      <w:sz w:val="18"/>
      <w:szCs w:val="18"/>
    </w:rPr>
  </w:style>
  <w:style w:type="paragraph" w:customStyle="1" w:styleId="3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正文缩进2格"/>
    <w:basedOn w:val="1"/>
    <w:link w:val="40"/>
    <w:qFormat/>
    <w:uiPriority w:val="0"/>
    <w:pPr>
      <w:spacing w:line="600" w:lineRule="exact"/>
      <w:ind w:firstLine="639" w:firstLineChars="206"/>
    </w:pPr>
    <w:rPr>
      <w:rFonts w:ascii="仿宋_GB2312" w:hAnsi="宋体" w:eastAsia="仿宋_GB2312" w:cs="Times New Roman"/>
      <w:sz w:val="31"/>
      <w:szCs w:val="28"/>
    </w:rPr>
  </w:style>
  <w:style w:type="character" w:customStyle="1" w:styleId="40">
    <w:name w:val="正文缩进2格 Char"/>
    <w:link w:val="39"/>
    <w:qFormat/>
    <w:uiPriority w:val="0"/>
    <w:rPr>
      <w:rFonts w:ascii="仿宋_GB2312" w:hAnsi="宋体" w:eastAsia="仿宋_GB2312" w:cs="Times New Roman"/>
      <w:sz w:val="31"/>
      <w:szCs w:val="28"/>
    </w:rPr>
  </w:style>
  <w:style w:type="character" w:customStyle="1" w:styleId="41">
    <w:name w:val="标题 2 字符"/>
    <w:basedOn w:val="24"/>
    <w:link w:val="4"/>
    <w:qFormat/>
    <w:uiPriority w:val="9"/>
    <w:rPr>
      <w:rFonts w:asciiTheme="majorHAnsi" w:hAnsiTheme="majorHAnsi" w:eastAsiaTheme="majorEastAsia" w:cstheme="majorBidi"/>
      <w:b/>
      <w:bCs/>
      <w:sz w:val="32"/>
      <w:szCs w:val="32"/>
    </w:rPr>
  </w:style>
  <w:style w:type="character" w:customStyle="1" w:styleId="42">
    <w:name w:val="纯文本 字符"/>
    <w:basedOn w:val="24"/>
    <w:link w:val="12"/>
    <w:qFormat/>
    <w:uiPriority w:val="0"/>
    <w:rPr>
      <w:rFonts w:ascii="宋体" w:hAnsi="Courier New" w:eastAsia="宋体"/>
      <w:szCs w:val="24"/>
    </w:rPr>
  </w:style>
  <w:style w:type="character" w:customStyle="1" w:styleId="43">
    <w:name w:val="纯文本 Char"/>
    <w:basedOn w:val="24"/>
    <w:semiHidden/>
    <w:qFormat/>
    <w:uiPriority w:val="99"/>
    <w:rPr>
      <w:rFonts w:ascii="宋体" w:hAnsi="Courier New" w:eastAsia="宋体" w:cs="Courier New"/>
      <w:szCs w:val="21"/>
    </w:rPr>
  </w:style>
  <w:style w:type="character" w:customStyle="1" w:styleId="4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45">
    <w:name w:val="正文缩进4格"/>
    <w:basedOn w:val="39"/>
    <w:qFormat/>
    <w:uiPriority w:val="0"/>
    <w:pPr>
      <w:spacing w:line="340" w:lineRule="exact"/>
      <w:ind w:firstLine="315" w:firstLineChars="0"/>
    </w:pPr>
    <w:rPr>
      <w:rFonts w:ascii="宋体" w:eastAsia="宋体"/>
      <w:sz w:val="24"/>
      <w:szCs w:val="24"/>
    </w:rPr>
  </w:style>
  <w:style w:type="character" w:customStyle="1" w:styleId="46">
    <w:name w:val="正文文本 Char"/>
    <w:basedOn w:val="24"/>
    <w:semiHidden/>
    <w:qFormat/>
    <w:uiPriority w:val="99"/>
  </w:style>
  <w:style w:type="character" w:customStyle="1" w:styleId="47">
    <w:name w:val="正文文本 字符"/>
    <w:link w:val="2"/>
    <w:qFormat/>
    <w:uiPriority w:val="0"/>
    <w:rPr>
      <w:rFonts w:ascii="Times New Roman" w:hAnsi="Times New Roman" w:eastAsia="宋体" w:cs="Times New Roman"/>
      <w:szCs w:val="24"/>
    </w:rPr>
  </w:style>
  <w:style w:type="character" w:customStyle="1" w:styleId="48">
    <w:name w:val="列表段落 字符"/>
    <w:link w:val="33"/>
    <w:qFormat/>
    <w:uiPriority w:val="34"/>
  </w:style>
  <w:style w:type="character" w:customStyle="1" w:styleId="49">
    <w:name w:val="标题 3 字符"/>
    <w:basedOn w:val="24"/>
    <w:link w:val="5"/>
    <w:semiHidden/>
    <w:qFormat/>
    <w:uiPriority w:val="9"/>
    <w:rPr>
      <w:b/>
      <w:bCs/>
      <w:sz w:val="32"/>
      <w:szCs w:val="32"/>
    </w:rPr>
  </w:style>
  <w:style w:type="character" w:customStyle="1" w:styleId="50">
    <w:name w:val="标题 4 字符"/>
    <w:basedOn w:val="24"/>
    <w:link w:val="6"/>
    <w:semiHidden/>
    <w:qFormat/>
    <w:uiPriority w:val="9"/>
    <w:rPr>
      <w:rFonts w:asciiTheme="majorHAnsi" w:hAnsiTheme="majorHAnsi" w:eastAsiaTheme="majorEastAsia" w:cstheme="majorBidi"/>
      <w:b/>
      <w:bCs/>
      <w:sz w:val="28"/>
      <w:szCs w:val="28"/>
    </w:rPr>
  </w:style>
  <w:style w:type="character" w:customStyle="1" w:styleId="51">
    <w:name w:val="批注文字 字符"/>
    <w:basedOn w:val="24"/>
    <w:link w:val="9"/>
    <w:qFormat/>
    <w:uiPriority w:val="0"/>
  </w:style>
  <w:style w:type="character" w:customStyle="1" w:styleId="52">
    <w:name w:val="批注主题 字符"/>
    <w:basedOn w:val="51"/>
    <w:link w:val="20"/>
    <w:semiHidden/>
    <w:qFormat/>
    <w:uiPriority w:val="99"/>
    <w:rPr>
      <w:b/>
      <w:bCs/>
    </w:rPr>
  </w:style>
  <w:style w:type="paragraph" w:customStyle="1" w:styleId="53">
    <w:name w:val="保留正文"/>
    <w:basedOn w:val="2"/>
    <w:qFormat/>
    <w:uiPriority w:val="0"/>
    <w:pPr>
      <w:keepNext/>
      <w:spacing w:after="160"/>
    </w:pPr>
  </w:style>
  <w:style w:type="paragraph" w:customStyle="1" w:styleId="54">
    <w:name w:val="列出段落1"/>
    <w:basedOn w:val="1"/>
    <w:qFormat/>
    <w:uiPriority w:val="0"/>
    <w:pPr>
      <w:ind w:firstLine="420" w:firstLineChars="200"/>
    </w:pPr>
    <w:rPr>
      <w:rFonts w:ascii="Calibri" w:hAnsi="Calibri" w:eastAsia="宋体" w:cs="黑体"/>
    </w:rPr>
  </w:style>
  <w:style w:type="paragraph" w:customStyle="1" w:styleId="55">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6">
    <w:name w:val="_Style 202"/>
    <w:basedOn w:val="1"/>
    <w:qFormat/>
    <w:uiPriority w:val="0"/>
    <w:pPr>
      <w:tabs>
        <w:tab w:val="left" w:pos="360"/>
      </w:tabs>
    </w:pPr>
    <w:rPr>
      <w:rFonts w:ascii="Times New Roman" w:hAnsi="Times New Roman" w:eastAsia="宋体" w:cs="Times New Roman"/>
      <w:szCs w:val="24"/>
    </w:rPr>
  </w:style>
  <w:style w:type="paragraph" w:customStyle="1" w:styleId="57">
    <w:name w:val="Char1 Char Char Char"/>
    <w:basedOn w:val="1"/>
    <w:qFormat/>
    <w:uiPriority w:val="0"/>
    <w:rPr>
      <w:rFonts w:ascii="黑体" w:hAnsi="Verdana" w:eastAsia="黑体" w:cs="Times New Roman"/>
      <w:kern w:val="0"/>
      <w:sz w:val="32"/>
      <w:szCs w:val="32"/>
      <w:lang w:eastAsia="en-US"/>
    </w:rPr>
  </w:style>
  <w:style w:type="paragraph" w:customStyle="1" w:styleId="58">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9">
    <w:name w:val="文档结构图 字符"/>
    <w:basedOn w:val="24"/>
    <w:link w:val="8"/>
    <w:semiHidden/>
    <w:qFormat/>
    <w:uiPriority w:val="99"/>
    <w:rPr>
      <w:rFonts w:ascii="宋体" w:eastAsia="宋体"/>
      <w:sz w:val="18"/>
      <w:szCs w:val="18"/>
    </w:rPr>
  </w:style>
  <w:style w:type="paragraph" w:customStyle="1" w:styleId="60">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61">
    <w:name w:val="Char Char Char Char Char Char Char Char Char Char Char Char1 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62">
    <w:name w:val="未处理的提及1"/>
    <w:basedOn w:val="24"/>
    <w:semiHidden/>
    <w:unhideWhenUsed/>
    <w:qFormat/>
    <w:uiPriority w:val="99"/>
    <w:rPr>
      <w:color w:val="605E5C"/>
      <w:shd w:val="clear" w:color="auto" w:fill="E1DFDD"/>
    </w:rPr>
  </w:style>
  <w:style w:type="character" w:customStyle="1" w:styleId="63">
    <w:name w:val="未处理的提及2"/>
    <w:basedOn w:val="24"/>
    <w:semiHidden/>
    <w:unhideWhenUsed/>
    <w:qFormat/>
    <w:uiPriority w:val="99"/>
    <w:rPr>
      <w:color w:val="605E5C"/>
      <w:shd w:val="clear" w:color="auto" w:fill="E1DFDD"/>
    </w:rPr>
  </w:style>
  <w:style w:type="character" w:customStyle="1" w:styleId="64">
    <w:name w:val="NormalCharacter"/>
    <w:qFormat/>
    <w:uiPriority w:val="0"/>
    <w:rPr>
      <w:rFonts w:ascii="Times New Roman" w:hAnsi="Times New Roman" w:eastAsia="宋体" w:cs="Times New Roman"/>
      <w:kern w:val="2"/>
      <w:sz w:val="21"/>
      <w:szCs w:val="24"/>
      <w:lang w:val="en-US" w:eastAsia="zh-CN" w:bidi="ar-SA"/>
    </w:rPr>
  </w:style>
  <w:style w:type="paragraph" w:customStyle="1" w:styleId="65">
    <w:name w:val="正文_0"/>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6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7">
    <w:name w:val="列出段落2"/>
    <w:basedOn w:val="1"/>
    <w:qFormat/>
    <w:uiPriority w:val="99"/>
    <w:pPr>
      <w:ind w:firstLine="420" w:firstLineChars="200"/>
    </w:pPr>
  </w:style>
  <w:style w:type="table" w:customStyle="1" w:styleId="68">
    <w:name w:val="网格型1"/>
    <w:basedOn w:val="22"/>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
    <w:name w:val="列表段落1"/>
    <w:basedOn w:val="1"/>
    <w:qFormat/>
    <w:uiPriority w:val="34"/>
    <w:pPr>
      <w:widowControl/>
      <w:spacing w:after="160" w:line="312" w:lineRule="auto"/>
      <w:ind w:firstLine="420" w:firstLineChars="200"/>
      <w:jc w:val="left"/>
    </w:pPr>
    <w:rPr>
      <w:kern w:val="0"/>
    </w:rPr>
  </w:style>
  <w:style w:type="paragraph" w:customStyle="1" w:styleId="70">
    <w:name w:val="null3"/>
    <w:hidden/>
    <w:qFormat/>
    <w:uiPriority w:val="0"/>
    <w:rPr>
      <w:rFonts w:hint="eastAsia" w:asciiTheme="minorHAnsi" w:hAnsiTheme="minorHAnsi" w:eastAsiaTheme="minorEastAsia" w:cstheme="minorBidi"/>
      <w:kern w:val="0"/>
      <w:sz w:val="20"/>
      <w:szCs w:val="20"/>
      <w:lang w:val="en-US" w:eastAsia="zh-Hans" w:bidi="ar-SA"/>
    </w:rPr>
  </w:style>
  <w:style w:type="table" w:customStyle="1" w:styleId="71">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3CC92-B3CF-4E78-9576-7A3C9FED1F6D}">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49</Pages>
  <Words>7248</Words>
  <Characters>7659</Characters>
  <Lines>226</Lines>
  <Paragraphs>63</Paragraphs>
  <TotalTime>24</TotalTime>
  <ScaleCrop>false</ScaleCrop>
  <LinksUpToDate>false</LinksUpToDate>
  <CharactersWithSpaces>7793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2023-06-21T02:56:00Z</dcterms:created>
  <dc:creator>YD-LING</dc:creator>
  <cp:lastModifiedBy>代理机构</cp:lastModifiedBy>
  <cp:lastPrinted>2025-04-28T14:29:00Z</cp:lastPrinted>
  <dcterms:modified xsi:type="dcterms:W3CDTF">2025-05-30T06:50:58Z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8A65119FFACF4CA0BFC83E00046FC15F_13</vt:lpwstr>
  </property>
  <property fmtid="{D5CDD505-2E9C-101B-9397-08002B2CF9AE}" pid="4" name="KSOTemplateDocerSaveRecord">
    <vt:lpwstr>eyJoZGlkIjoiYTg5NGRlNzFiZDk1NWNlMDA3NzU3M2IyYWIyMGZiY2QiLCJ1c2VySWQiOiI1MTY5MTQyOTMifQ==</vt:lpwstr>
  </property>
</Properties>
</file>