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pPr>
        <w:pStyle w:val="74"/>
        <w:tabs>
          <w:tab w:val="left" w:pos="9072"/>
        </w:tabs>
        <w:spacing w:before="936" w:beforeLines="300"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项目编号：ZHDGZC2025045</w:t>
      </w:r>
    </w:p>
    <w:p>
      <w:pPr>
        <w:pStyle w:val="74"/>
        <w:spacing w:line="640" w:lineRule="exact"/>
        <w:ind w:left="2744" w:leftChars="400" w:hanging="1904" w:hangingChars="542"/>
        <w:outlineLvl w:val="3"/>
        <w:rPr>
          <w:rFonts w:hint="default" w:ascii="宋体" w:hAnsi="宋体" w:eastAsia="宋体"/>
          <w:sz w:val="35"/>
          <w:szCs w:val="35"/>
        </w:rPr>
      </w:pPr>
      <w:r>
        <w:rPr>
          <w:rFonts w:ascii="宋体" w:hAnsi="宋体" w:eastAsia="宋体"/>
          <w:b/>
          <w:sz w:val="35"/>
          <w:szCs w:val="35"/>
        </w:rPr>
        <w:t>项目名称：</w:t>
      </w:r>
      <w:bookmarkStart w:id="0" w:name="OLE_LINK3"/>
      <w:r>
        <w:rPr>
          <w:rFonts w:hint="eastAsia" w:ascii="宋体" w:hAnsi="宋体" w:eastAsia="宋体"/>
          <w:b/>
          <w:sz w:val="35"/>
          <w:szCs w:val="35"/>
        </w:rPr>
        <w:t>东莞市企石镇霞朗村智慧消防监控系统运维服务采购项目</w:t>
      </w:r>
      <w:bookmarkEnd w:id="0"/>
    </w:p>
    <w:p>
      <w:pPr>
        <w:pStyle w:val="74"/>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bookmarkStart w:id="1" w:name="_Hlk170739781"/>
      <w:bookmarkStart w:id="2" w:name="OLE_LINK1"/>
      <w:r>
        <w:rPr>
          <w:rFonts w:hint="eastAsia" w:ascii="宋体" w:hAnsi="宋体" w:eastAsia="宋体"/>
          <w:b/>
          <w:sz w:val="35"/>
          <w:szCs w:val="35"/>
        </w:rPr>
        <w:t>东莞市企石镇霞朗股份经济联合社</w:t>
      </w:r>
      <w:bookmarkEnd w:id="1"/>
      <w:bookmarkEnd w:id="2"/>
    </w:p>
    <w:p>
      <w:pPr>
        <w:pStyle w:val="74"/>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pPr>
            <w:pStyle w:val="15"/>
            <w:tabs>
              <w:tab w:val="right" w:leader="dot" w:pos="9070"/>
              <w:tab w:val="clear" w:pos="8273"/>
            </w:tabs>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pPr>
            <w:pStyle w:val="15"/>
            <w:tabs>
              <w:tab w:val="right" w:leader="dot" w:pos="9070"/>
              <w:tab w:val="clear" w:pos="8273"/>
            </w:tabs>
            <w:rPr>
              <w:rFonts w:asciiTheme="minorEastAsia" w:hAnsiTheme="minorEastAsia" w:eastAsiaTheme="minorEastAsia"/>
              <w:lang w:val="zh-CN"/>
            </w:rPr>
          </w:pPr>
          <w:r>
            <w:rPr>
              <w:rStyle w:val="28"/>
              <w:rFonts w:ascii="宋体" w:hAnsi="宋体" w:eastAsia="宋体"/>
              <w:spacing w:val="20"/>
              <w:sz w:val="24"/>
              <w:szCs w:val="24"/>
            </w:rPr>
            <w:fldChar w:fldCharType="end"/>
          </w:r>
        </w:p>
      </w:sdtContent>
    </w:sdt>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rPr>
          <w:rFonts w:asciiTheme="minorEastAsia" w:hAnsiTheme="minorEastAsia" w:eastAsiaTheme="minorEastAsia"/>
          <w:lang w:val="zh-CN"/>
        </w:rPr>
      </w:pPr>
    </w:p>
    <w:p>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 w:name="_Toc516661492"/>
      <w:bookmarkStart w:id="4" w:name="_Toc170228128"/>
      <w:bookmarkStart w:id="5" w:name="_Toc405313952"/>
      <w:bookmarkStart w:id="6" w:name="_Toc503257147"/>
      <w:r>
        <w:rPr>
          <w:rFonts w:hint="eastAsia" w:asciiTheme="minorEastAsia" w:hAnsiTheme="minorEastAsia" w:eastAsiaTheme="minorEastAsia"/>
          <w:spacing w:val="20"/>
          <w:sz w:val="32"/>
          <w:szCs w:val="32"/>
        </w:rPr>
        <w:t>第一章 磋商邀请</w:t>
      </w:r>
      <w:bookmarkEnd w:id="3"/>
      <w:bookmarkEnd w:id="4"/>
    </w:p>
    <w:p>
      <w:pPr>
        <w:widowControl/>
        <w:spacing w:before="156" w:beforeLines="50" w:after="156" w:afterLines="50" w:line="360" w:lineRule="atLeast"/>
        <w:jc w:val="left"/>
        <w:rPr>
          <w:rFonts w:cs="宋体" w:asciiTheme="minorEastAsia" w:hAnsiTheme="minorEastAsia" w:eastAsiaTheme="minorEastAsia"/>
          <w:b/>
          <w:color w:val="auto"/>
          <w:kern w:val="0"/>
          <w:sz w:val="24"/>
          <w:szCs w:val="24"/>
        </w:rPr>
      </w:pPr>
      <w:bookmarkStart w:id="7" w:name="OLE_LINK2"/>
      <w:bookmarkStart w:id="77" w:name="_GoBack"/>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（东莞市企石镇霞朗村智慧消防监控系统运维服务采购项目）</w:t>
      </w:r>
      <w:r>
        <w:rPr>
          <w:rFonts w:hint="eastAsia" w:asciiTheme="minorEastAsia" w:hAnsiTheme="minorEastAsia" w:eastAsiaTheme="minorEastAsia"/>
          <w:color w:val="auto"/>
          <w:szCs w:val="21"/>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color w:val="auto"/>
          <w:szCs w:val="21"/>
        </w:rPr>
        <w:t>分（北京时间）前递交响应文件。</w:t>
      </w:r>
    </w:p>
    <w:p>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pPr>
        <w:tabs>
          <w:tab w:val="left" w:pos="426"/>
        </w:tabs>
        <w:spacing w:line="360" w:lineRule="auto"/>
        <w:ind w:left="420" w:hanging="420" w:hanging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项目编号：ZHDGZC2025045</w:t>
      </w:r>
    </w:p>
    <w:p>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项目名称：东莞市企石镇霞朗村智慧消防监控系统运维服务采购项目</w:t>
      </w:r>
    </w:p>
    <w:p>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采购方式：竞争性磋商</w:t>
      </w:r>
    </w:p>
    <w:p>
      <w:pPr>
        <w:tabs>
          <w:tab w:val="left" w:pos="426"/>
        </w:tabs>
        <w:spacing w:line="360" w:lineRule="auto"/>
        <w:ind w:left="420" w:hanging="420" w:hangingChars="200"/>
        <w:rPr>
          <w:rFonts w:hint="default" w:asciiTheme="minorEastAsia" w:hAnsiTheme="minorEastAsia" w:eastAsiaTheme="minorEastAsia"/>
          <w:color w:val="auto"/>
          <w:szCs w:val="21"/>
          <w:lang w:val="en-US"/>
        </w:rPr>
      </w:pPr>
      <w:r>
        <w:rPr>
          <w:rFonts w:hint="eastAsia" w:asciiTheme="minorEastAsia" w:hAnsiTheme="minorEastAsia" w:eastAsiaTheme="minorEastAsia"/>
          <w:color w:val="auto"/>
          <w:szCs w:val="21"/>
        </w:rPr>
        <w:t>预算金额：</w:t>
      </w:r>
      <w:r>
        <w:rPr>
          <w:rFonts w:hint="eastAsia" w:asciiTheme="minorEastAsia" w:hAnsiTheme="minorEastAsia" w:eastAsiaTheme="minorEastAsia"/>
          <w:color w:val="auto"/>
          <w:szCs w:val="21"/>
          <w:lang w:val="en-US" w:eastAsia="zh-CN"/>
        </w:rPr>
        <w:t>¥</w:t>
      </w:r>
      <w:r>
        <w:rPr>
          <w:rFonts w:hint="eastAsia" w:asciiTheme="minorEastAsia" w:hAnsiTheme="minorEastAsia" w:eastAsiaTheme="minorEastAsia"/>
          <w:bCs/>
          <w:color w:val="auto"/>
          <w:sz w:val="21"/>
          <w:szCs w:val="21"/>
          <w:lang w:val="en-US" w:eastAsia="zh-CN"/>
        </w:rPr>
        <w:t>173,680.00元</w:t>
      </w:r>
    </w:p>
    <w:p>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标的内容： </w:t>
      </w:r>
    </w:p>
    <w:tbl>
      <w:tblPr>
        <w:tblStyle w:val="22"/>
        <w:tblW w:w="9234" w:type="dxa"/>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247"/>
        <w:gridCol w:w="2284"/>
        <w:gridCol w:w="924"/>
        <w:gridCol w:w="307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序号</w:t>
            </w:r>
          </w:p>
        </w:tc>
        <w:tc>
          <w:tcPr>
            <w:tcW w:w="2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标的名称</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采购包预算金额（元）</w:t>
            </w: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数量</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2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color w:val="000000" w:themeColor="text1"/>
                <w:sz w:val="21"/>
                <w:szCs w:val="21"/>
                <w14:textFill>
                  <w14:solidFill>
                    <w14:schemeClr w14:val="tx1"/>
                  </w14:solidFill>
                </w14:textFill>
              </w:rPr>
              <w:t>智慧消防监控系统运维服务采购</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173,680.00</w:t>
            </w: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1项目</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详见采购需求</w:t>
            </w:r>
          </w:p>
        </w:tc>
      </w:tr>
    </w:tbl>
    <w:p>
      <w:pPr>
        <w:tabs>
          <w:tab w:val="left" w:pos="284"/>
        </w:tabs>
        <w:spacing w:line="360" w:lineRule="auto"/>
        <w:rPr>
          <w:rFonts w:hint="default" w:eastAsia="宋体" w:asciiTheme="minorEastAsia" w:hAnsi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lang w:eastAsia="zh-Hans"/>
        </w:rPr>
        <w:t>年</w:t>
      </w:r>
      <w:r>
        <w:rPr>
          <w:rFonts w:hint="eastAsia" w:ascii="宋体" w:hAnsi="宋体" w:cs="Times New Roman"/>
          <w:color w:val="auto"/>
          <w:kern w:val="0"/>
          <w:szCs w:val="21"/>
          <w:lang w:eastAsia="zh-CN"/>
        </w:rPr>
        <w:t>，</w:t>
      </w:r>
      <w:r>
        <w:rPr>
          <w:rFonts w:hint="eastAsia" w:ascii="宋体" w:hAnsi="宋体" w:cs="Times New Roman"/>
          <w:color w:val="auto"/>
          <w:kern w:val="0"/>
          <w:szCs w:val="21"/>
          <w:lang w:val="en-US" w:eastAsia="zh-CN"/>
        </w:rPr>
        <w:t>预计服务期为2025年7月18日至2026年7月17日，具体以合同签订时间为准。</w:t>
      </w:r>
    </w:p>
    <w:p>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接受联合体投标。</w:t>
      </w:r>
    </w:p>
    <w:p>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pPr>
        <w:pStyle w:val="70"/>
        <w:numPr>
          <w:ilvl w:val="0"/>
          <w:numId w:val="2"/>
        </w:numPr>
        <w:spacing w:line="360" w:lineRule="auto"/>
        <w:ind w:left="422" w:hanging="422" w:hangingChars="200"/>
        <w:outlineLvl w:val="3"/>
        <w:rPr>
          <w:rFonts w:ascii="宋体" w:hAnsi="宋体"/>
          <w:b/>
          <w:kern w:val="0"/>
          <w:szCs w:val="21"/>
        </w:rPr>
      </w:pPr>
      <w:bookmarkStart w:id="8"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rPr>
        <w:t>其他特定资格要求：</w:t>
      </w:r>
    </w:p>
    <w:bookmarkEnd w:id="8"/>
    <w:p>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9"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9"/>
    <w:p>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27</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04</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 12：</w:t>
      </w:r>
      <w:r>
        <w:rPr>
          <w:rFonts w:hint="eastAsia" w:cs="宋体" w:asciiTheme="minorEastAsia" w:hAnsiTheme="minorEastAsia" w:eastAsiaTheme="minorEastAsia"/>
          <w:color w:val="auto"/>
          <w:szCs w:val="21"/>
        </w:rPr>
        <w:t>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地点：到</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进行获取或微信搜索公众号“广东智汇城市招标采购有限公司”进行获取。</w:t>
      </w:r>
    </w:p>
    <w:p>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响应文件提交</w:t>
      </w:r>
    </w:p>
    <w:p>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07</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08</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pPr>
        <w:pStyle w:val="70"/>
        <w:tabs>
          <w:tab w:val="left" w:pos="426"/>
        </w:tabs>
        <w:spacing w:line="360" w:lineRule="auto"/>
        <w:ind w:left="420" w:firstLine="0" w:firstLineChars="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w:t>
      </w:r>
      <w:r>
        <w:rPr>
          <w:rFonts w:hint="eastAsia" w:asciiTheme="minorEastAsia" w:hAnsiTheme="minorEastAsia" w:eastAsiaTheme="minorEastAsia"/>
          <w:color w:val="000000" w:themeColor="text1"/>
          <w:szCs w:val="21"/>
          <w:lang w:eastAsia="zh-CN"/>
          <w14:textFill>
            <w14:solidFill>
              <w14:schemeClr w14:val="tx1"/>
            </w14:solidFill>
          </w14:textFill>
        </w:rPr>
        <w:t>东莞市南城街道雅园产业园区路5号1栋1楼</w:t>
      </w:r>
    </w:p>
    <w:p>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开启</w:t>
      </w:r>
    </w:p>
    <w:p>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color w:val="auto"/>
          <w:szCs w:val="21"/>
        </w:rPr>
        <w:t>分（北京时间）</w:t>
      </w:r>
    </w:p>
    <w:p>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000000" w:themeColor="text1"/>
          <w:szCs w:val="21"/>
          <w:lang w:eastAsia="zh-CN"/>
          <w14:textFill>
            <w14:solidFill>
              <w14:schemeClr w14:val="tx1"/>
            </w14:solidFill>
          </w14:textFill>
        </w:rPr>
        <w:t>东莞市南城街道雅园产业园区路5号1栋1楼</w:t>
      </w:r>
    </w:p>
    <w:p>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pPr>
        <w:pStyle w:val="70"/>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自本公告发布之日起3个工作日。</w:t>
      </w:r>
    </w:p>
    <w:p>
      <w:pPr>
        <w:pStyle w:val="70"/>
        <w:numPr>
          <w:ilvl w:val="0"/>
          <w:numId w:val="1"/>
        </w:numPr>
        <w:tabs>
          <w:tab w:val="left" w:pos="426"/>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其他补充事宜</w:t>
      </w:r>
    </w:p>
    <w:p>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其他未列明行业</w:t>
      </w:r>
      <w:r>
        <w:rPr>
          <w:rFonts w:hint="eastAsia" w:asciiTheme="minorEastAsia" w:hAnsiTheme="minorEastAsia" w:eastAsiaTheme="minorEastAsia"/>
          <w:bCs/>
          <w:color w:val="auto"/>
          <w:szCs w:val="21"/>
        </w:rPr>
        <w:t>。</w:t>
      </w:r>
    </w:p>
    <w:p>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pPr>
        <w:pStyle w:val="70"/>
        <w:spacing w:line="360" w:lineRule="auto"/>
        <w:ind w:left="420" w:firstLine="0" w:firstLineChars="0"/>
        <w:rPr>
          <w:rFonts w:asciiTheme="minorEastAsia" w:hAnsiTheme="minorEastAsia" w:eastAsiaTheme="minorEastAsia"/>
          <w:bCs/>
          <w:color w:val="auto"/>
          <w:spacing w:val="-4"/>
          <w:szCs w:val="21"/>
        </w:rPr>
      </w:pPr>
      <w:r>
        <w:rPr>
          <w:rFonts w:hint="eastAsia" w:ascii="宋体" w:hAnsi="宋体"/>
          <w:color w:val="auto"/>
          <w:spacing w:val="-10"/>
          <w:szCs w:val="21"/>
        </w:rPr>
        <w:t>中国采购与招标网</w:t>
      </w:r>
      <w:r>
        <w:rPr>
          <w:rFonts w:ascii="宋体" w:hAnsi="宋体"/>
          <w:color w:val="auto"/>
          <w:spacing w:val="-10"/>
          <w:szCs w:val="21"/>
        </w:rPr>
        <w:t>（https://zbdt.chinabidding.cn/）、广东智汇城市招标采购有限公司网站(http://www.gdzhcity.com/)</w:t>
      </w:r>
    </w:p>
    <w:p>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拟参加本项目的潜在供应商须在规定时间内按要求获取磋商文件后方可参与本项目的磋商。获取磋商文件后而不参加磋商的潜在供应商，请在开标日期三日前以书面形式通知采购代理机构。</w:t>
      </w:r>
    </w:p>
    <w:p>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称：东莞市企石镇霞朗股份经济联合社</w:t>
      </w:r>
    </w:p>
    <w:p>
      <w:pPr>
        <w:tabs>
          <w:tab w:val="left" w:pos="567"/>
        </w:tabs>
        <w:spacing w:line="360" w:lineRule="auto"/>
        <w:ind w:left="424" w:leftChars="202"/>
        <w:rPr>
          <w:rFonts w:hint="eastAsia" w:ascii="宋体" w:hAnsi="宋体" w:eastAsia="宋体" w:cs="Times New Roman"/>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地址：广东省东莞市企</w:t>
      </w:r>
      <w:r>
        <w:rPr>
          <w:rFonts w:hint="eastAsia" w:ascii="宋体" w:hAnsi="宋体" w:eastAsia="宋体" w:cs="Times New Roman"/>
          <w:bCs/>
          <w:color w:val="000000" w:themeColor="text1"/>
          <w:szCs w:val="21"/>
          <w14:textFill>
            <w14:solidFill>
              <w14:schemeClr w14:val="tx1"/>
            </w14:solidFill>
          </w14:textFill>
        </w:rPr>
        <w:t>石镇霞朗村新围三路1号</w:t>
      </w:r>
    </w:p>
    <w:p>
      <w:pPr>
        <w:tabs>
          <w:tab w:val="left" w:pos="567"/>
        </w:tabs>
        <w:spacing w:line="360" w:lineRule="auto"/>
        <w:ind w:left="424" w:leftChars="202"/>
        <w:rPr>
          <w:rFonts w:hint="eastAsia" w:ascii="宋体" w:hAnsi="宋体" w:eastAsia="宋体" w:cs="Times New Roman"/>
          <w:bCs/>
          <w:color w:val="000000" w:themeColor="text1"/>
          <w:szCs w:val="21"/>
          <w14:textFill>
            <w14:solidFill>
              <w14:schemeClr w14:val="tx1"/>
            </w14:solidFill>
          </w14:textFill>
        </w:rPr>
      </w:pPr>
      <w:r>
        <w:rPr>
          <w:rFonts w:hint="eastAsia" w:ascii="宋体" w:hAnsi="宋体" w:eastAsia="宋体" w:cs="Times New Roman"/>
          <w:bCs/>
          <w:color w:val="000000" w:themeColor="text1"/>
          <w:szCs w:val="21"/>
          <w14:textFill>
            <w14:solidFill>
              <w14:schemeClr w14:val="tx1"/>
            </w14:solidFill>
          </w14:textFill>
        </w:rPr>
        <w:t xml:space="preserve">联系方式：张先生　（0769）86661781 </w:t>
      </w:r>
    </w:p>
    <w:p>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 xml:space="preserve">名 </w:t>
      </w:r>
      <w:r>
        <w:rPr>
          <w:rFonts w:ascii="宋体" w:hAnsi="宋体"/>
          <w:bCs/>
          <w:color w:val="auto"/>
          <w:szCs w:val="21"/>
        </w:rPr>
        <w:t xml:space="preserve"> </w:t>
      </w:r>
      <w:r>
        <w:rPr>
          <w:rFonts w:hint="eastAsia" w:ascii="宋体" w:hAnsi="宋体"/>
          <w:bCs/>
          <w:color w:val="auto"/>
          <w:szCs w:val="21"/>
        </w:rPr>
        <w:t>称：广东智汇城市招标采购有限公司</w:t>
      </w:r>
    </w:p>
    <w:p>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　址：</w:t>
      </w:r>
      <w:r>
        <w:rPr>
          <w:rFonts w:hint="eastAsia" w:ascii="宋体" w:hAnsi="宋体"/>
          <w:bCs/>
          <w:color w:val="auto"/>
          <w:szCs w:val="21"/>
          <w:lang w:eastAsia="zh-CN"/>
        </w:rPr>
        <w:t>东莞市南城街道雅园产业园区路5号1栋1楼</w:t>
      </w:r>
    </w:p>
    <w:p>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联系方式：（0769）22367009</w:t>
      </w:r>
    </w:p>
    <w:p>
      <w:pPr>
        <w:tabs>
          <w:tab w:val="left" w:pos="567"/>
        </w:tabs>
        <w:spacing w:line="360" w:lineRule="auto"/>
        <w:ind w:left="424" w:leftChars="202"/>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　</w:t>
      </w:r>
      <w:r>
        <w:rPr>
          <w:rFonts w:hint="eastAsia" w:asciiTheme="minorEastAsia" w:hAnsiTheme="minorEastAsia" w:eastAsiaTheme="minorEastAsia"/>
          <w:b/>
          <w:color w:val="auto"/>
          <w:szCs w:val="21"/>
        </w:rPr>
        <w:t>　　　　　　　　　　　</w:t>
      </w:r>
    </w:p>
    <w:p>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　话：（0769）22367009　</w:t>
      </w:r>
      <w:r>
        <w:rPr>
          <w:rFonts w:hint="eastAsia" w:asciiTheme="minorEastAsia" w:hAnsiTheme="minorEastAsia" w:eastAsiaTheme="minorEastAsia"/>
          <w:b/>
          <w:color w:val="auto"/>
          <w:szCs w:val="21"/>
        </w:rPr>
        <w:t>　　　　　　　　　　　</w:t>
      </w:r>
    </w:p>
    <w:p>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pPr>
        <w:tabs>
          <w:tab w:val="left" w:pos="567"/>
        </w:tabs>
        <w:spacing w:before="156" w:line="360" w:lineRule="auto"/>
        <w:ind w:right="844"/>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 xml:space="preserve">                                              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27</w:t>
      </w:r>
      <w:r>
        <w:rPr>
          <w:rFonts w:hint="eastAsia" w:asciiTheme="minorEastAsia" w:hAnsiTheme="minorEastAsia" w:eastAsiaTheme="minorEastAsia"/>
          <w:b/>
          <w:color w:val="000000" w:themeColor="text1"/>
          <w:szCs w:val="21"/>
          <w14:textFill>
            <w14:solidFill>
              <w14:schemeClr w14:val="tx1"/>
            </w14:solidFill>
          </w14:textFill>
        </w:rPr>
        <w:t>日</w:t>
      </w:r>
    </w:p>
    <w:bookmarkEnd w:id="7"/>
    <w:p>
      <w:pPr>
        <w:rPr>
          <w:rFonts w:asciiTheme="minorEastAsia" w:hAnsiTheme="minorEastAsia" w:eastAsiaTheme="minorEastAsia"/>
        </w:rPr>
      </w:pPr>
      <w:bookmarkEnd w:id="5"/>
      <w:bookmarkEnd w:id="6"/>
    </w:p>
    <w:bookmarkEnd w:id="77"/>
    <w:p>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10" w:name="_Toc170228129"/>
      <w:bookmarkStart w:id="11"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10"/>
      <w:bookmarkEnd w:id="11"/>
    </w:p>
    <w:p>
      <w:pPr>
        <w:snapToGrid w:val="0"/>
        <w:spacing w:line="360" w:lineRule="auto"/>
        <w:contextualSpacing/>
        <w:rPr>
          <w:rFonts w:ascii="宋体" w:hAnsi="宋体"/>
          <w:b/>
          <w:szCs w:val="21"/>
        </w:rPr>
      </w:pPr>
      <w:bookmarkStart w:id="12" w:name="_Hlk90919605"/>
      <w:r>
        <w:rPr>
          <w:rFonts w:hint="eastAsia" w:ascii="宋体" w:hAnsi="宋体"/>
          <w:b/>
          <w:szCs w:val="21"/>
        </w:rPr>
        <w:t>说明：</w:t>
      </w:r>
    </w:p>
    <w:p>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pPr>
        <w:snapToGrid w:val="0"/>
        <w:spacing w:line="360" w:lineRule="auto"/>
        <w:contextualSpacing/>
        <w:rPr>
          <w:rFonts w:ascii="等线" w:hAnsi="等线" w:eastAsia="等线"/>
        </w:rPr>
      </w:pPr>
    </w:p>
    <w:p>
      <w:pPr>
        <w:numPr>
          <w:ilvl w:val="0"/>
          <w:numId w:val="8"/>
        </w:numPr>
        <w:snapToGrid w:val="0"/>
        <w:spacing w:line="360" w:lineRule="auto"/>
        <w:ind w:left="442" w:hanging="442"/>
        <w:contextualSpacing/>
        <w:rPr>
          <w:rFonts w:ascii="等线" w:hAnsi="等线" w:eastAsia="等线"/>
        </w:rPr>
      </w:pPr>
      <w:r>
        <w:rPr>
          <w:rFonts w:ascii="宋体" w:hAnsi="宋体"/>
          <w:b/>
          <w:bCs/>
        </w:rPr>
        <w:t>项目概况</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b w:val="0"/>
          <w:bCs/>
          <w:szCs w:val="21"/>
        </w:rPr>
      </w:pPr>
      <w:r>
        <w:rPr>
          <w:rFonts w:hint="eastAsia" w:ascii="宋体" w:hAnsi="宋体"/>
          <w:bCs/>
          <w:color w:val="000000" w:themeColor="text1"/>
          <w:szCs w:val="21"/>
          <w14:textFill>
            <w14:solidFill>
              <w14:schemeClr w14:val="tx1"/>
            </w14:solidFill>
          </w14:textFill>
        </w:rPr>
        <w:t>东莞市企石镇霞朗股份经济联合社</w:t>
      </w:r>
      <w:r>
        <w:rPr>
          <w:rFonts w:hint="eastAsia" w:ascii="宋体" w:hAnsi="宋体"/>
          <w:bCs/>
          <w:color w:val="000000" w:themeColor="text1"/>
          <w:szCs w:val="21"/>
          <w:lang w:val="en-US" w:eastAsia="zh-CN"/>
          <w14:textFill>
            <w14:solidFill>
              <w14:schemeClr w14:val="tx1"/>
            </w14:solidFill>
          </w14:textFill>
        </w:rPr>
        <w:t>区内</w:t>
      </w:r>
      <w:r>
        <w:rPr>
          <w:rFonts w:hint="eastAsia" w:ascii="宋体" w:hAnsi="宋体"/>
          <w:b w:val="0"/>
          <w:bCs/>
          <w:szCs w:val="21"/>
          <w:lang w:val="en-US" w:eastAsia="zh-CN"/>
        </w:rPr>
        <w:t>现共有</w:t>
      </w:r>
      <w:r>
        <w:rPr>
          <w:rFonts w:hint="eastAsia" w:ascii="宋体" w:hAnsi="宋体"/>
          <w:b w:val="0"/>
          <w:bCs/>
          <w:szCs w:val="21"/>
        </w:rPr>
        <w:t>1336个联网型感烟探测报警器，为进一步发挥感烟探测报警器作用，阻止灾情蔓延，将危险扼杀在初期，最大限度减少财产损失及保障人民的生命安全。</w:t>
      </w:r>
      <w:r>
        <w:rPr>
          <w:rFonts w:hint="eastAsia" w:ascii="宋体" w:hAnsi="宋体"/>
          <w:bCs/>
          <w:color w:val="000000" w:themeColor="text1"/>
          <w:szCs w:val="21"/>
          <w14:textFill>
            <w14:solidFill>
              <w14:schemeClr w14:val="tx1"/>
            </w14:solidFill>
          </w14:textFill>
        </w:rPr>
        <w:t>东莞市企石镇霞朗股份经济联合社</w:t>
      </w:r>
      <w:r>
        <w:rPr>
          <w:rFonts w:hint="eastAsia" w:ascii="宋体" w:hAnsi="宋体"/>
          <w:b w:val="0"/>
          <w:bCs/>
          <w:szCs w:val="21"/>
        </w:rPr>
        <w:t>拟购买智慧消防监控系统运维服务，以保障该项目正常运行。</w:t>
      </w:r>
    </w:p>
    <w:p>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3909"/>
        <w:gridCol w:w="1109"/>
        <w:gridCol w:w="1050"/>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tcPr>
          <w:p>
            <w:pPr>
              <w:spacing w:line="360" w:lineRule="auto"/>
              <w:jc w:val="center"/>
              <w:rPr>
                <w:rFonts w:ascii="宋体" w:hAnsi="宋体" w:eastAsia="宋体"/>
                <w:bCs/>
                <w:szCs w:val="21"/>
              </w:rPr>
            </w:pPr>
            <w:r>
              <w:rPr>
                <w:rFonts w:hint="eastAsia" w:ascii="宋体" w:hAnsi="宋体" w:eastAsia="宋体"/>
                <w:bCs/>
                <w:szCs w:val="21"/>
              </w:rPr>
              <w:t>序号</w:t>
            </w:r>
          </w:p>
        </w:tc>
        <w:tc>
          <w:tcPr>
            <w:tcW w:w="3909" w:type="dxa"/>
          </w:tcPr>
          <w:p>
            <w:pPr>
              <w:spacing w:line="360" w:lineRule="auto"/>
              <w:jc w:val="center"/>
              <w:rPr>
                <w:rFonts w:ascii="宋体" w:hAnsi="宋体" w:eastAsia="宋体"/>
                <w:bCs/>
                <w:szCs w:val="21"/>
              </w:rPr>
            </w:pPr>
            <w:r>
              <w:rPr>
                <w:rFonts w:hint="eastAsia" w:ascii="宋体" w:hAnsi="宋体" w:eastAsia="宋体"/>
                <w:bCs/>
                <w:szCs w:val="21"/>
              </w:rPr>
              <w:t>标的名称</w:t>
            </w:r>
          </w:p>
        </w:tc>
        <w:tc>
          <w:tcPr>
            <w:tcW w:w="1109" w:type="dxa"/>
          </w:tcPr>
          <w:p>
            <w:pPr>
              <w:spacing w:line="360" w:lineRule="auto"/>
              <w:jc w:val="center"/>
              <w:rPr>
                <w:rFonts w:ascii="宋体" w:hAnsi="宋体" w:eastAsia="宋体"/>
                <w:bCs/>
                <w:szCs w:val="21"/>
              </w:rPr>
            </w:pPr>
            <w:r>
              <w:rPr>
                <w:rFonts w:hint="eastAsia" w:ascii="宋体" w:hAnsi="宋体" w:eastAsia="宋体"/>
                <w:bCs/>
                <w:szCs w:val="21"/>
              </w:rPr>
              <w:t>单位</w:t>
            </w:r>
          </w:p>
        </w:tc>
        <w:tc>
          <w:tcPr>
            <w:tcW w:w="1050" w:type="dxa"/>
          </w:tcPr>
          <w:p>
            <w:pPr>
              <w:spacing w:line="360" w:lineRule="auto"/>
              <w:jc w:val="center"/>
              <w:rPr>
                <w:rFonts w:ascii="宋体" w:hAnsi="宋体" w:eastAsia="宋体"/>
                <w:bCs/>
                <w:szCs w:val="21"/>
              </w:rPr>
            </w:pPr>
            <w:r>
              <w:rPr>
                <w:rFonts w:hint="eastAsia" w:ascii="宋体" w:hAnsi="宋体" w:eastAsia="宋体"/>
                <w:bCs/>
                <w:szCs w:val="21"/>
              </w:rPr>
              <w:t>数量</w:t>
            </w:r>
          </w:p>
        </w:tc>
        <w:tc>
          <w:tcPr>
            <w:tcW w:w="2389" w:type="dxa"/>
          </w:tcPr>
          <w:p>
            <w:pPr>
              <w:spacing w:line="360" w:lineRule="auto"/>
              <w:jc w:val="center"/>
              <w:rPr>
                <w:rFonts w:ascii="宋体" w:hAnsi="宋体" w:eastAsia="宋体"/>
                <w:bCs/>
                <w:szCs w:val="21"/>
              </w:rPr>
            </w:pPr>
            <w:r>
              <w:rPr>
                <w:rFonts w:hint="eastAsia" w:ascii="宋体" w:hAnsi="宋体" w:eastAsia="宋体"/>
                <w:bCs/>
                <w:szCs w:val="21"/>
              </w:rPr>
              <w:t>采购标的所属行业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center"/>
          </w:tcPr>
          <w:p>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3909" w:type="dxa"/>
            <w:vAlign w:val="center"/>
          </w:tcPr>
          <w:p>
            <w:pPr>
              <w:spacing w:line="360" w:lineRule="auto"/>
              <w:jc w:val="center"/>
              <w:rPr>
                <w:rFonts w:ascii="宋体" w:hAnsi="宋体" w:eastAsia="宋体"/>
                <w:bCs/>
                <w:szCs w:val="21"/>
              </w:rPr>
            </w:pPr>
            <w:r>
              <w:rPr>
                <w:rFonts w:hint="eastAsia" w:asciiTheme="minorEastAsia" w:hAnsiTheme="minorEastAsia" w:eastAsiaTheme="minorEastAsia"/>
                <w:color w:val="000000" w:themeColor="text1"/>
                <w:sz w:val="21"/>
                <w:szCs w:val="21"/>
                <w14:textFill>
                  <w14:solidFill>
                    <w14:schemeClr w14:val="tx1"/>
                  </w14:solidFill>
                </w14:textFill>
              </w:rPr>
              <w:t>智慧消防监控系统运维服务采购</w:t>
            </w:r>
          </w:p>
        </w:tc>
        <w:tc>
          <w:tcPr>
            <w:tcW w:w="1109" w:type="dxa"/>
            <w:vAlign w:val="center"/>
          </w:tcPr>
          <w:p>
            <w:pPr>
              <w:spacing w:line="360" w:lineRule="auto"/>
              <w:jc w:val="center"/>
              <w:rPr>
                <w:rFonts w:hint="default" w:ascii="宋体" w:hAnsi="宋体" w:eastAsia="宋体"/>
                <w:bCs/>
                <w:szCs w:val="21"/>
                <w:lang w:val="en-US" w:eastAsia="zh-CN"/>
              </w:rPr>
            </w:pPr>
            <w:r>
              <w:rPr>
                <w:rFonts w:hint="eastAsia" w:ascii="宋体" w:hAnsi="宋体"/>
                <w:bCs/>
                <w:szCs w:val="21"/>
                <w:lang w:val="en-US" w:eastAsia="zh-CN"/>
              </w:rPr>
              <w:t>项</w:t>
            </w:r>
          </w:p>
        </w:tc>
        <w:tc>
          <w:tcPr>
            <w:tcW w:w="1050" w:type="dxa"/>
            <w:vAlign w:val="center"/>
          </w:tcPr>
          <w:p>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2389" w:type="dxa"/>
            <w:vAlign w:val="center"/>
          </w:tcPr>
          <w:p>
            <w:pPr>
              <w:spacing w:line="360" w:lineRule="auto"/>
              <w:jc w:val="center"/>
              <w:rPr>
                <w:rFonts w:ascii="宋体" w:hAnsi="宋体" w:eastAsia="宋体"/>
                <w:bCs/>
                <w:szCs w:val="21"/>
              </w:rPr>
            </w:pPr>
            <w:r>
              <w:rPr>
                <w:rFonts w:hint="eastAsia" w:ascii="宋体" w:hAnsi="宋体" w:eastAsia="宋体"/>
                <w:bCs/>
                <w:szCs w:val="21"/>
              </w:rPr>
              <w:t>其他未列明行业</w:t>
            </w:r>
          </w:p>
        </w:tc>
      </w:tr>
    </w:tbl>
    <w:p>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pPr>
        <w:numPr>
          <w:ilvl w:val="0"/>
          <w:numId w:val="10"/>
        </w:numPr>
        <w:snapToGrid w:val="0"/>
        <w:spacing w:line="360" w:lineRule="auto"/>
        <w:contextualSpacing/>
        <w:rPr>
          <w:rFonts w:ascii="宋体" w:hAnsi="宋体"/>
          <w:iCs/>
          <w:szCs w:val="21"/>
        </w:rPr>
      </w:pPr>
      <w:r>
        <w:rPr>
          <w:rFonts w:hint="eastAsia" w:ascii="宋体" w:hAnsi="宋体"/>
          <w:iCs/>
          <w:szCs w:val="21"/>
        </w:rPr>
        <w:t>服务时间</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lang w:eastAsia="zh-Hans"/>
        </w:rPr>
        <w:t>年</w:t>
      </w:r>
      <w:r>
        <w:rPr>
          <w:rFonts w:hint="eastAsia" w:ascii="宋体" w:hAnsi="宋体" w:cs="Times New Roman"/>
          <w:color w:val="auto"/>
          <w:kern w:val="0"/>
          <w:szCs w:val="21"/>
          <w:lang w:eastAsia="zh-CN"/>
        </w:rPr>
        <w:t>，</w:t>
      </w:r>
      <w:r>
        <w:rPr>
          <w:rFonts w:hint="eastAsia" w:ascii="宋体" w:hAnsi="宋体" w:cs="Times New Roman"/>
          <w:color w:val="auto"/>
          <w:kern w:val="0"/>
          <w:szCs w:val="21"/>
          <w:lang w:val="en-US" w:eastAsia="zh-CN"/>
        </w:rPr>
        <w:t>预计服务期为2025年7月18日至2026年7月17日，具体以合同签订时间为准。</w:t>
      </w:r>
    </w:p>
    <w:p>
      <w:pPr>
        <w:numPr>
          <w:ilvl w:val="0"/>
          <w:numId w:val="10"/>
        </w:numPr>
        <w:snapToGrid w:val="0"/>
        <w:spacing w:line="360" w:lineRule="auto"/>
        <w:contextualSpacing/>
        <w:rPr>
          <w:rFonts w:ascii="宋体" w:hAnsi="宋体"/>
          <w:iCs/>
          <w:szCs w:val="21"/>
        </w:rPr>
      </w:pPr>
      <w:r>
        <w:rPr>
          <w:rFonts w:hint="eastAsia" w:ascii="宋体" w:hAnsi="宋体"/>
          <w:iCs/>
          <w:szCs w:val="21"/>
        </w:rPr>
        <w:t>服务地点</w:t>
      </w:r>
      <w:r>
        <w:rPr>
          <w:rFonts w:hint="eastAsia" w:ascii="宋体" w:hAnsi="宋体"/>
          <w:iCs/>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宋体" w:hAnsi="宋体"/>
          <w:iCs/>
          <w:szCs w:val="21"/>
        </w:rPr>
        <w:t>采购人指定地点（东莞市企石镇霞朗村内）。</w:t>
      </w:r>
    </w:p>
    <w:p>
      <w:pPr>
        <w:numPr>
          <w:ilvl w:val="0"/>
          <w:numId w:val="10"/>
        </w:numPr>
        <w:snapToGrid w:val="0"/>
        <w:spacing w:line="360" w:lineRule="auto"/>
        <w:contextualSpacing/>
        <w:rPr>
          <w:rFonts w:ascii="宋体" w:hAnsi="宋体"/>
          <w:iCs/>
          <w:szCs w:val="21"/>
        </w:rPr>
      </w:pPr>
      <w:r>
        <w:rPr>
          <w:rFonts w:hint="eastAsia" w:ascii="宋体" w:hAnsi="宋体"/>
          <w:iCs/>
          <w:szCs w:val="21"/>
        </w:rPr>
        <w:t>报价要求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宋体" w:hAnsi="宋体"/>
          <w:iCs/>
          <w:szCs w:val="21"/>
        </w:rPr>
        <w:t>本项目的报价包含</w:t>
      </w:r>
      <w:r>
        <w:rPr>
          <w:rFonts w:hint="eastAsia" w:ascii="宋体" w:hAnsi="宋体" w:eastAsia="宋体" w:cs="宋体"/>
          <w:szCs w:val="21"/>
        </w:rPr>
        <w:t>但不限于</w:t>
      </w:r>
      <w:r>
        <w:rPr>
          <w:rFonts w:hint="eastAsia" w:ascii="宋体" w:hAnsi="宋体"/>
          <w:iCs/>
          <w:szCs w:val="21"/>
        </w:rPr>
        <w:t>保险、税费、人员培训费、服务人员薪金和福利等一切可预见及不可预见等完成本采购项目所需的一切费用。</w:t>
      </w:r>
    </w:p>
    <w:p>
      <w:pPr>
        <w:numPr>
          <w:ilvl w:val="0"/>
          <w:numId w:val="10"/>
        </w:numPr>
        <w:snapToGrid w:val="0"/>
        <w:spacing w:line="360" w:lineRule="auto"/>
        <w:contextualSpacing/>
        <w:rPr>
          <w:rFonts w:ascii="宋体" w:hAnsi="宋体"/>
          <w:iCs/>
          <w:szCs w:val="21"/>
        </w:rPr>
      </w:pPr>
      <w:r>
        <w:rPr>
          <w:rFonts w:hint="eastAsia" w:ascii="宋体" w:hAnsi="宋体"/>
          <w:iCs/>
          <w:szCs w:val="21"/>
        </w:rPr>
        <w:t>付款方式</w:t>
      </w:r>
    </w:p>
    <w:p>
      <w:pPr>
        <w:numPr>
          <w:ilvl w:val="0"/>
          <w:numId w:val="11"/>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合同签订之日起10个日历日内采购人向成交供应商支付合同总价的50%；</w:t>
      </w:r>
    </w:p>
    <w:p>
      <w:pPr>
        <w:numPr>
          <w:ilvl w:val="0"/>
          <w:numId w:val="11"/>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整体项目完成后10个日历日内采购人向成交供应商支付合同总价的50%。</w:t>
      </w:r>
    </w:p>
    <w:p>
      <w:pPr>
        <w:numPr>
          <w:ilvl w:val="0"/>
          <w:numId w:val="11"/>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付款前成交供应商须向采购人出具以下证明材料：</w:t>
      </w:r>
    </w:p>
    <w:p>
      <w:pPr>
        <w:numPr>
          <w:ilvl w:val="0"/>
          <w:numId w:val="12"/>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合同；</w:t>
      </w:r>
    </w:p>
    <w:p>
      <w:pPr>
        <w:numPr>
          <w:ilvl w:val="0"/>
          <w:numId w:val="12"/>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成交供应商开具的正式全额发票；</w:t>
      </w:r>
    </w:p>
    <w:p>
      <w:pPr>
        <w:numPr>
          <w:ilvl w:val="0"/>
          <w:numId w:val="12"/>
        </w:numPr>
        <w:snapToGrid w:val="0"/>
        <w:spacing w:line="360" w:lineRule="auto"/>
        <w:ind w:left="425" w:leftChars="0" w:hanging="425" w:firstLineChars="0"/>
        <w:contextualSpacing/>
        <w:rPr>
          <w:rFonts w:ascii="宋体" w:hAnsi="宋体"/>
          <w:iCs/>
          <w:szCs w:val="21"/>
        </w:rPr>
      </w:pPr>
      <w:r>
        <w:rPr>
          <w:rFonts w:hint="eastAsia" w:ascii="宋体" w:hAnsi="宋体"/>
          <w:iCs/>
          <w:szCs w:val="21"/>
        </w:rPr>
        <w:t>成交通知书。</w:t>
      </w:r>
    </w:p>
    <w:p>
      <w:pPr>
        <w:numPr>
          <w:ilvl w:val="0"/>
          <w:numId w:val="10"/>
        </w:numPr>
        <w:snapToGrid w:val="0"/>
        <w:spacing w:line="360" w:lineRule="auto"/>
        <w:contextualSpacing/>
        <w:rPr>
          <w:rFonts w:ascii="宋体" w:hAnsi="宋体"/>
          <w:iCs/>
          <w:szCs w:val="21"/>
        </w:rPr>
      </w:pPr>
      <w:r>
        <w:rPr>
          <w:rFonts w:hint="eastAsia" w:ascii="宋体" w:hAnsi="宋体"/>
          <w:iCs/>
          <w:szCs w:val="21"/>
          <w:lang w:val="en-US" w:eastAsia="zh-CN"/>
        </w:rPr>
        <w:t>验收要求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宋体" w:hAnsi="宋体"/>
          <w:iCs/>
          <w:szCs w:val="21"/>
        </w:rPr>
        <w:t>按照磋商文件要求</w:t>
      </w:r>
      <w:r>
        <w:rPr>
          <w:rFonts w:hint="eastAsia" w:ascii="宋体" w:hAnsi="宋体"/>
          <w:iCs/>
          <w:szCs w:val="21"/>
          <w:lang w:val="en-US" w:eastAsia="zh-CN"/>
        </w:rPr>
        <w:t>和相关标准进行</w:t>
      </w:r>
      <w:r>
        <w:rPr>
          <w:rFonts w:hint="eastAsia" w:ascii="宋体" w:hAnsi="宋体"/>
          <w:iCs/>
          <w:szCs w:val="21"/>
        </w:rPr>
        <w:t>验收。</w:t>
      </w:r>
    </w:p>
    <w:p>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pPr>
        <w:numPr>
          <w:ilvl w:val="0"/>
          <w:numId w:val="13"/>
        </w:numPr>
        <w:tabs>
          <w:tab w:val="left" w:pos="420"/>
        </w:tabs>
        <w:snapToGrid w:val="0"/>
        <w:spacing w:line="360" w:lineRule="auto"/>
        <w:ind w:left="420" w:hanging="420"/>
        <w:contextualSpacing/>
        <w:rPr>
          <w:rFonts w:ascii="宋体" w:hAnsi="宋体"/>
          <w:szCs w:val="21"/>
        </w:rPr>
      </w:pPr>
      <w:r>
        <w:rPr>
          <w:rFonts w:hint="eastAsia" w:ascii="宋体" w:hAnsi="宋体"/>
          <w:szCs w:val="21"/>
        </w:rPr>
        <w:t>产品维护及电池更换服务</w:t>
      </w:r>
    </w:p>
    <w:p>
      <w:pPr>
        <w:numPr>
          <w:ilvl w:val="0"/>
          <w:numId w:val="14"/>
        </w:numPr>
        <w:tabs>
          <w:tab w:val="left" w:pos="284"/>
        </w:tabs>
        <w:snapToGrid w:val="0"/>
        <w:spacing w:line="360" w:lineRule="auto"/>
        <w:ind w:left="440" w:hanging="440"/>
        <w:contextualSpacing/>
        <w:rPr>
          <w:rFonts w:ascii="宋体" w:hAnsi="宋体"/>
          <w:b/>
          <w:bCs/>
          <w:color w:val="auto"/>
          <w:szCs w:val="21"/>
        </w:rPr>
      </w:pPr>
      <w:r>
        <w:rPr>
          <w:rFonts w:hint="eastAsia" w:ascii="宋体" w:hAnsi="宋体"/>
          <w:b/>
          <w:bCs/>
          <w:color w:val="auto"/>
          <w:szCs w:val="21"/>
        </w:rPr>
        <w:t>★成交供应商须提供产品维护及电池更换服务。（须提供承诺函加盖响应供应商公章，承诺函格式自拟）</w:t>
      </w:r>
    </w:p>
    <w:p>
      <w:pPr>
        <w:numPr>
          <w:ilvl w:val="0"/>
          <w:numId w:val="14"/>
        </w:numPr>
        <w:tabs>
          <w:tab w:val="left" w:pos="284"/>
        </w:tabs>
        <w:snapToGrid w:val="0"/>
        <w:spacing w:line="360" w:lineRule="auto"/>
        <w:ind w:left="284" w:hanging="284"/>
        <w:contextualSpacing/>
        <w:rPr>
          <w:rFonts w:ascii="宋体" w:hAnsi="宋体"/>
          <w:b/>
          <w:bCs/>
          <w:color w:val="auto"/>
          <w:szCs w:val="21"/>
        </w:rPr>
      </w:pPr>
      <w:r>
        <w:rPr>
          <w:rFonts w:hint="eastAsia" w:ascii="宋体" w:hAnsi="宋体"/>
          <w:b/>
          <w:bCs/>
          <w:color w:val="auto"/>
          <w:szCs w:val="21"/>
        </w:rPr>
        <w:t>★成交供应商所运维的火灾探测报警器设备及辅材配件均能够符合采购要求，并能接入现有的村级平台及大队平台，保证设备正常运行使用，警情监控信息传递真实有效。（须提供承诺函加盖响应供应商公章，承诺函格式自拟）</w:t>
      </w:r>
    </w:p>
    <w:p>
      <w:pPr>
        <w:numPr>
          <w:ilvl w:val="0"/>
          <w:numId w:val="13"/>
        </w:numPr>
        <w:tabs>
          <w:tab w:val="left" w:pos="420"/>
        </w:tabs>
        <w:snapToGrid w:val="0"/>
        <w:spacing w:line="360" w:lineRule="auto"/>
        <w:ind w:left="420" w:hanging="420"/>
        <w:contextualSpacing/>
        <w:rPr>
          <w:rFonts w:ascii="宋体" w:hAnsi="宋体"/>
          <w:szCs w:val="21"/>
        </w:rPr>
      </w:pPr>
      <w:r>
        <w:rPr>
          <w:rFonts w:hint="eastAsia" w:ascii="宋体" w:hAnsi="宋体"/>
          <w:szCs w:val="21"/>
          <w:lang w:val="en-US" w:eastAsia="zh-CN"/>
        </w:rPr>
        <w:t>总体要求</w:t>
      </w:r>
    </w:p>
    <w:p>
      <w:pPr>
        <w:numPr>
          <w:ilvl w:val="0"/>
          <w:numId w:val="15"/>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响应供应商须根据</w:t>
      </w:r>
      <w:r>
        <w:rPr>
          <w:rFonts w:hint="eastAsia" w:asciiTheme="minorEastAsia" w:hAnsiTheme="minorEastAsia" w:eastAsiaTheme="minorEastAsia" w:cstheme="minorEastAsia"/>
          <w:bCs/>
          <w:color w:val="000000"/>
          <w:szCs w:val="21"/>
          <w:lang w:bidi="ar"/>
        </w:rPr>
        <w:t>符合项目实际情况</w:t>
      </w:r>
      <w:r>
        <w:rPr>
          <w:rFonts w:hint="eastAsia" w:ascii="宋体" w:hAnsi="宋体"/>
          <w:szCs w:val="21"/>
          <w:lang w:val="en-US" w:eastAsia="zh-CN"/>
        </w:rPr>
        <w:t>进行</w:t>
      </w:r>
      <w:r>
        <w:rPr>
          <w:rFonts w:hint="eastAsia" w:asciiTheme="minorEastAsia" w:hAnsiTheme="minorEastAsia" w:eastAsiaTheme="minorEastAsia" w:cstheme="minorEastAsia"/>
          <w:bCs/>
          <w:color w:val="000000"/>
          <w:szCs w:val="21"/>
          <w:lang w:bidi="ar"/>
        </w:rPr>
        <w:t>重点难点的分析</w:t>
      </w:r>
      <w:r>
        <w:rPr>
          <w:rFonts w:hint="eastAsia" w:asciiTheme="minorEastAsia" w:hAnsiTheme="minorEastAsia" w:eastAsiaTheme="minorEastAsia" w:cstheme="minorEastAsia"/>
          <w:bCs/>
          <w:color w:val="000000"/>
          <w:szCs w:val="21"/>
          <w:lang w:val="en-US" w:eastAsia="zh-CN" w:bidi="ar"/>
        </w:rPr>
        <w:t>并提出合理的建议方案。</w:t>
      </w:r>
    </w:p>
    <w:p>
      <w:pPr>
        <w:numPr>
          <w:ilvl w:val="0"/>
          <w:numId w:val="15"/>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响应供应商须制定</w:t>
      </w:r>
      <w:r>
        <w:rPr>
          <w:rFonts w:hint="eastAsia" w:asciiTheme="minorEastAsia" w:hAnsiTheme="minorEastAsia" w:eastAsiaTheme="minorEastAsia" w:cstheme="minorEastAsia"/>
          <w:szCs w:val="21"/>
        </w:rPr>
        <w:t>项目实施方案</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确定工作流程，贴合项目实际。</w:t>
      </w:r>
    </w:p>
    <w:p>
      <w:pPr>
        <w:numPr>
          <w:ilvl w:val="0"/>
          <w:numId w:val="15"/>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响应供应商须制定</w:t>
      </w:r>
      <w:r>
        <w:rPr>
          <w:rFonts w:hint="eastAsia" w:asciiTheme="minorEastAsia" w:hAnsiTheme="minorEastAsia" w:eastAsiaTheme="minorEastAsia" w:cstheme="minorEastAsia"/>
          <w:bCs/>
          <w:color w:val="000000"/>
          <w:szCs w:val="21"/>
          <w:lang w:bidi="ar"/>
        </w:rPr>
        <w:t>服务质量保障措施</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bCs/>
          <w:color w:val="000000"/>
          <w:szCs w:val="21"/>
          <w:lang w:val="en-US" w:eastAsia="zh-CN" w:bidi="ar"/>
        </w:rPr>
        <w:t>保证项目的顺利实施。</w:t>
      </w:r>
    </w:p>
    <w:p>
      <w:pPr>
        <w:numPr>
          <w:ilvl w:val="0"/>
          <w:numId w:val="15"/>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响应供应商须制定</w:t>
      </w:r>
      <w:r>
        <w:rPr>
          <w:rFonts w:hint="eastAsia" w:asciiTheme="minorEastAsia" w:hAnsiTheme="minorEastAsia" w:eastAsiaTheme="minorEastAsia" w:cstheme="minorEastAsia"/>
          <w:bCs/>
          <w:color w:val="000000"/>
          <w:szCs w:val="21"/>
          <w:lang w:bidi="ar"/>
        </w:rPr>
        <w:t>应急方案</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color w:val="000000"/>
          <w:szCs w:val="21"/>
          <w:lang w:bidi="ar"/>
        </w:rPr>
        <w:t>包括但不限于服务期内缺少</w:t>
      </w:r>
      <w:r>
        <w:rPr>
          <w:rFonts w:hint="eastAsia" w:asciiTheme="minorEastAsia" w:hAnsiTheme="minorEastAsia" w:eastAsiaTheme="minorEastAsia" w:cstheme="minorEastAsia"/>
          <w:color w:val="000000"/>
          <w:szCs w:val="21"/>
          <w:lang w:val="en-US" w:eastAsia="zh-CN" w:bidi="ar"/>
        </w:rPr>
        <w:t>服务</w:t>
      </w:r>
      <w:r>
        <w:rPr>
          <w:rFonts w:hint="eastAsia" w:asciiTheme="minorEastAsia" w:hAnsiTheme="minorEastAsia" w:eastAsiaTheme="minorEastAsia" w:cstheme="minorEastAsia"/>
          <w:color w:val="000000"/>
          <w:szCs w:val="21"/>
          <w:lang w:bidi="ar"/>
        </w:rPr>
        <w:t>人员、突发性事件保障措施及方案等</w:t>
      </w:r>
      <w:r>
        <w:rPr>
          <w:rFonts w:hint="eastAsia" w:asciiTheme="minorEastAsia" w:hAnsiTheme="minorEastAsia" w:eastAsiaTheme="minorEastAsia" w:cstheme="minorEastAsia"/>
          <w:color w:val="000000"/>
          <w:szCs w:val="21"/>
          <w:lang w:eastAsia="zh-CN" w:bidi="ar"/>
        </w:rPr>
        <w:t>。</w:t>
      </w:r>
      <w:r>
        <w:rPr>
          <w:rFonts w:hint="eastAsia" w:asciiTheme="minorEastAsia" w:hAnsiTheme="minorEastAsia" w:eastAsiaTheme="minorEastAsia" w:cstheme="minorEastAsia"/>
          <w:color w:val="000000"/>
          <w:szCs w:val="21"/>
          <w:lang w:val="en-US" w:eastAsia="zh-CN" w:bidi="ar"/>
        </w:rPr>
        <w:t>保障</w:t>
      </w:r>
      <w:r>
        <w:rPr>
          <w:rFonts w:hint="eastAsia" w:asciiTheme="minorEastAsia" w:hAnsiTheme="minorEastAsia" w:eastAsiaTheme="minorEastAsia" w:cstheme="minorEastAsia"/>
          <w:color w:val="000000"/>
          <w:szCs w:val="21"/>
          <w:lang w:eastAsia="zh-CN" w:bidi="ar"/>
        </w:rPr>
        <w:t>项目正常运行。</w:t>
      </w:r>
    </w:p>
    <w:p>
      <w:pPr>
        <w:numPr>
          <w:ilvl w:val="0"/>
          <w:numId w:val="15"/>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响应供应商须制定</w:t>
      </w:r>
      <w:r>
        <w:rPr>
          <w:rFonts w:hint="eastAsia" w:asciiTheme="minorEastAsia" w:hAnsiTheme="minorEastAsia" w:eastAsiaTheme="minorEastAsia" w:cstheme="minorEastAsia"/>
          <w:bCs/>
          <w:color w:val="000000"/>
          <w:szCs w:val="21"/>
          <w:lang w:bidi="ar"/>
        </w:rPr>
        <w:t>项目组织架构方案</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bCs/>
          <w:color w:val="000000"/>
          <w:szCs w:val="21"/>
          <w:lang w:val="en-US" w:eastAsia="zh-CN" w:bidi="ar"/>
        </w:rPr>
        <w:t>确认</w:t>
      </w:r>
      <w:r>
        <w:rPr>
          <w:rFonts w:hint="eastAsia" w:asciiTheme="minorEastAsia" w:hAnsiTheme="minorEastAsia" w:eastAsiaTheme="minorEastAsia" w:cstheme="minorEastAsia"/>
          <w:color w:val="000000"/>
          <w:szCs w:val="21"/>
          <w:lang w:bidi="ar"/>
        </w:rPr>
        <w:t>岗位责任制</w:t>
      </w:r>
      <w:r>
        <w:rPr>
          <w:rFonts w:hint="eastAsia" w:asciiTheme="minorEastAsia" w:hAnsiTheme="minorEastAsia" w:eastAsiaTheme="minorEastAsia" w:cstheme="minorEastAsia"/>
          <w:color w:val="000000"/>
          <w:szCs w:val="21"/>
          <w:lang w:eastAsia="zh-CN" w:bidi="ar"/>
        </w:rPr>
        <w:t>，</w:t>
      </w:r>
      <w:r>
        <w:rPr>
          <w:rFonts w:hint="eastAsia" w:asciiTheme="minorEastAsia" w:hAnsiTheme="minorEastAsia" w:eastAsiaTheme="minorEastAsia" w:cstheme="minorEastAsia"/>
          <w:color w:val="000000"/>
          <w:szCs w:val="21"/>
          <w:lang w:bidi="ar"/>
        </w:rPr>
        <w:t>能全面高效地完成本项目</w:t>
      </w:r>
      <w:r>
        <w:rPr>
          <w:rFonts w:hint="eastAsia" w:asciiTheme="minorEastAsia" w:hAnsiTheme="minorEastAsia" w:eastAsiaTheme="minorEastAsia" w:cstheme="minorEastAsia"/>
          <w:color w:val="000000"/>
          <w:szCs w:val="21"/>
          <w:lang w:eastAsia="zh-CN" w:bidi="ar"/>
        </w:rPr>
        <w:t>。</w:t>
      </w:r>
    </w:p>
    <w:p>
      <w:pPr>
        <w:numPr>
          <w:ilvl w:val="0"/>
          <w:numId w:val="13"/>
        </w:numPr>
        <w:tabs>
          <w:tab w:val="left" w:pos="420"/>
        </w:tabs>
        <w:snapToGrid w:val="0"/>
        <w:spacing w:line="360" w:lineRule="auto"/>
        <w:ind w:left="420" w:hanging="420"/>
        <w:contextualSpacing/>
        <w:rPr>
          <w:rFonts w:ascii="宋体" w:hAnsi="宋体"/>
          <w:szCs w:val="21"/>
        </w:rPr>
      </w:pPr>
      <w:r>
        <w:rPr>
          <w:rFonts w:ascii="宋体" w:hAnsi="宋体"/>
          <w:szCs w:val="21"/>
        </w:rPr>
        <w:t>服务要求</w:t>
      </w:r>
    </w:p>
    <w:tbl>
      <w:tblPr>
        <w:tblStyle w:val="22"/>
        <w:tblW w:w="9100" w:type="dxa"/>
        <w:tblInd w:w="0" w:type="dxa"/>
        <w:tblLayout w:type="fixed"/>
        <w:tblCellMar>
          <w:top w:w="0" w:type="dxa"/>
          <w:left w:w="0" w:type="dxa"/>
          <w:bottom w:w="0" w:type="dxa"/>
          <w:right w:w="0" w:type="dxa"/>
        </w:tblCellMar>
      </w:tblPr>
      <w:tblGrid>
        <w:gridCol w:w="559"/>
        <w:gridCol w:w="2415"/>
        <w:gridCol w:w="6126"/>
      </w:tblGrid>
      <w:tr>
        <w:tblPrEx>
          <w:tblLayout w:type="fixed"/>
          <w:tblCellMar>
            <w:top w:w="0" w:type="dxa"/>
            <w:left w:w="0" w:type="dxa"/>
            <w:bottom w:w="0" w:type="dxa"/>
            <w:right w:w="0" w:type="dxa"/>
          </w:tblCellMar>
        </w:tblPrEx>
        <w:trPr>
          <w:trHeight w:val="489"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序号</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服务名称</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服务内容</w:t>
            </w:r>
          </w:p>
        </w:tc>
      </w:tr>
      <w:tr>
        <w:tblPrEx>
          <w:tblLayout w:type="fixed"/>
          <w:tblCellMar>
            <w:top w:w="0" w:type="dxa"/>
            <w:left w:w="0" w:type="dxa"/>
            <w:bottom w:w="0" w:type="dxa"/>
            <w:right w:w="0" w:type="dxa"/>
          </w:tblCellMar>
        </w:tblPrEx>
        <w:trPr>
          <w:trHeight w:val="489"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1</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24小时在线值守</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监控平台24小时不间断进行警情监控。</w:t>
            </w:r>
          </w:p>
        </w:tc>
      </w:tr>
      <w:tr>
        <w:tblPrEx>
          <w:tblLayout w:type="fixed"/>
          <w:tblCellMar>
            <w:top w:w="0" w:type="dxa"/>
            <w:left w:w="0" w:type="dxa"/>
            <w:bottom w:w="0" w:type="dxa"/>
            <w:right w:w="0" w:type="dxa"/>
          </w:tblCellMar>
        </w:tblPrEx>
        <w:trPr>
          <w:trHeight w:val="473"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2</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设备照管</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服务期限内如遇设备缺电、故障维修等问题，</w:t>
            </w:r>
            <w:r>
              <w:rPr>
                <w:rFonts w:hint="eastAsia" w:ascii="宋体" w:hAnsi="宋体" w:eastAsia="宋体" w:cs="宋体"/>
                <w:iCs/>
                <w:sz w:val="21"/>
                <w:szCs w:val="21"/>
              </w:rPr>
              <w:t>成交供应商</w:t>
            </w:r>
            <w:r>
              <w:rPr>
                <w:rFonts w:hint="eastAsia" w:ascii="宋体" w:hAnsi="宋体" w:eastAsia="宋体" w:cs="宋体"/>
                <w:sz w:val="21"/>
                <w:szCs w:val="21"/>
              </w:rPr>
              <w:t>需保障设备稳定运行并对相关人员进行定期培训。</w:t>
            </w:r>
          </w:p>
        </w:tc>
      </w:tr>
      <w:tr>
        <w:tblPrEx>
          <w:tblLayout w:type="fixed"/>
          <w:tblCellMar>
            <w:top w:w="0" w:type="dxa"/>
            <w:left w:w="0" w:type="dxa"/>
            <w:bottom w:w="0" w:type="dxa"/>
            <w:right w:w="0" w:type="dxa"/>
          </w:tblCellMar>
        </w:tblPrEx>
        <w:trPr>
          <w:trHeight w:val="794"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3</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多方联动及通知服务</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火灾探测报警器一旦报警，</w:t>
            </w:r>
            <w:r>
              <w:rPr>
                <w:rFonts w:hint="eastAsia" w:ascii="宋体" w:hAnsi="宋体" w:eastAsia="宋体" w:cs="宋体"/>
                <w:iCs/>
                <w:sz w:val="21"/>
                <w:szCs w:val="21"/>
              </w:rPr>
              <w:t>成交供应商</w:t>
            </w:r>
            <w:r>
              <w:rPr>
                <w:rFonts w:hint="eastAsia" w:ascii="宋体" w:hAnsi="宋体" w:eastAsia="宋体" w:cs="宋体"/>
                <w:sz w:val="21"/>
                <w:szCs w:val="21"/>
              </w:rPr>
              <w:t>须通过APP、短信、电话逐级通知巡查层（场所业主、巡查员、安全管理员）管理层（指挥中心、应急办），五方接到信息，对火情早期现场进行快速有效处置。</w:t>
            </w:r>
          </w:p>
        </w:tc>
      </w:tr>
      <w:tr>
        <w:tblPrEx>
          <w:tblLayout w:type="fixed"/>
          <w:tblCellMar>
            <w:top w:w="0" w:type="dxa"/>
            <w:left w:w="0" w:type="dxa"/>
            <w:bottom w:w="0" w:type="dxa"/>
            <w:right w:w="0" w:type="dxa"/>
          </w:tblCellMar>
        </w:tblPrEx>
        <w:trPr>
          <w:trHeight w:val="354"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4</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应急响应方案及上门服务</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火灾探测报警器发生警报后，若未能联系到场所负责人的情况下，智慧消防服务中心能在最短时间内通知村委安全员上门查看真实火警情况下，智慧消防服务中心通知村委并报119，服务人员紧急赶往现场。</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5</w:t>
            </w:r>
          </w:p>
        </w:tc>
        <w:tc>
          <w:tcPr>
            <w:tcW w:w="24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辅助值机</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对传统消防系统智能化升级，辅助值守。</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6</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值守制度</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iCs/>
                <w:sz w:val="21"/>
                <w:szCs w:val="21"/>
              </w:rPr>
              <w:t>值班人员：2人/每班。成交供应商</w:t>
            </w:r>
            <w:r>
              <w:rPr>
                <w:rFonts w:hint="eastAsia" w:ascii="宋体" w:hAnsi="宋体" w:eastAsia="宋体" w:cs="宋体"/>
                <w:sz w:val="21"/>
                <w:szCs w:val="21"/>
              </w:rPr>
              <w:t>应具有相关管理制度、报警处置流程，人员按时上岗，不得脱岗、替岗、睡岗，做到7×24小时值守率100%</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7</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设备实时在线率</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设备实时在线率（商铺停业设备停电、剔除场所关门、第三方通信运营商检修等特殊情况）不低于95%</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8</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警情处置要求</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接到平台报警信息，1分钟内通过联动的现场视频确认现场情况，同时通过电话联系紧急联系人，双重确认现场情况。报警人工复核率100%；报警事件处置率100%</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9</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故障响应时间</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因远程无法处理需现场服务的故障问题，成交供应商在接到采购人通知后能于2小时内到达</w:t>
            </w:r>
          </w:p>
        </w:tc>
      </w:tr>
      <w:tr>
        <w:tblPrEx>
          <w:tblLayout w:type="fixed"/>
          <w:tblCellMar>
            <w:top w:w="0" w:type="dxa"/>
            <w:left w:w="0" w:type="dxa"/>
            <w:bottom w:w="0" w:type="dxa"/>
            <w:right w:w="0" w:type="dxa"/>
          </w:tblCellMar>
        </w:tblPrEx>
        <w:trPr>
          <w:trHeight w:val="351"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sz w:val="21"/>
                <w:szCs w:val="21"/>
              </w:rPr>
              <w:t>10</w:t>
            </w:r>
          </w:p>
        </w:tc>
        <w:tc>
          <w:tcPr>
            <w:tcW w:w="24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 w:val="21"/>
                <w:szCs w:val="21"/>
              </w:rPr>
            </w:pPr>
            <w:r>
              <w:rPr>
                <w:rFonts w:hint="eastAsia" w:ascii="宋体" w:hAnsi="宋体" w:eastAsia="宋体" w:cs="宋体"/>
                <w:bCs/>
                <w:color w:val="000000"/>
                <w:sz w:val="21"/>
                <w:szCs w:val="21"/>
              </w:rPr>
              <w:t>质量管控</w:t>
            </w:r>
          </w:p>
        </w:tc>
        <w:tc>
          <w:tcPr>
            <w:tcW w:w="6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 w:val="21"/>
                <w:szCs w:val="21"/>
              </w:rPr>
            </w:pPr>
            <w:r>
              <w:rPr>
                <w:rFonts w:hint="eastAsia" w:ascii="宋体" w:hAnsi="宋体" w:eastAsia="宋体" w:cs="宋体"/>
                <w:sz w:val="21"/>
                <w:szCs w:val="21"/>
              </w:rPr>
              <w:t>成交供应商要提供合理、标准、规范的</w:t>
            </w:r>
            <w:r>
              <w:rPr>
                <w:rFonts w:hint="eastAsia" w:ascii="宋体" w:hAnsi="宋体" w:eastAsia="宋体" w:cs="宋体"/>
                <w:bCs/>
                <w:color w:val="000000"/>
                <w:sz w:val="21"/>
                <w:szCs w:val="21"/>
              </w:rPr>
              <w:t>质量管控方案</w:t>
            </w:r>
          </w:p>
        </w:tc>
      </w:tr>
    </w:tbl>
    <w:p>
      <w:pPr>
        <w:numPr>
          <w:ilvl w:val="0"/>
          <w:numId w:val="0"/>
        </w:numPr>
        <w:tabs>
          <w:tab w:val="left" w:pos="420"/>
        </w:tabs>
        <w:snapToGrid w:val="0"/>
        <w:spacing w:line="360" w:lineRule="auto"/>
        <w:ind w:leftChars="0"/>
        <w:contextualSpacing/>
        <w:rPr>
          <w:rFonts w:ascii="宋体" w:hAnsi="宋体"/>
          <w:szCs w:val="21"/>
        </w:rPr>
      </w:pPr>
    </w:p>
    <w:bookmarkEnd w:id="12"/>
    <w:p>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3" w:name="_Toc170228130"/>
      <w:r>
        <w:rPr>
          <w:rFonts w:hint="eastAsia" w:asciiTheme="minorEastAsia" w:hAnsiTheme="minorEastAsia" w:eastAsiaTheme="minorEastAsia"/>
          <w:spacing w:val="20"/>
          <w:sz w:val="32"/>
          <w:szCs w:val="32"/>
        </w:rPr>
        <w:t>第三章 磋商须知</w:t>
      </w:r>
      <w:bookmarkEnd w:id="13"/>
    </w:p>
    <w:p>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pPr>
        <w:pStyle w:val="70"/>
        <w:widowControl/>
        <w:numPr>
          <w:ilvl w:val="0"/>
          <w:numId w:val="17"/>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852"/>
        <w:gridCol w:w="6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9286" w:type="dxa"/>
            <w:gridSpan w:val="3"/>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1852" w:type="dxa"/>
            <w:vAlign w:val="center"/>
          </w:tcPr>
          <w:p>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6721" w:type="dxa"/>
            <w:vAlign w:val="center"/>
          </w:tcPr>
          <w:p>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项目属性</w:t>
            </w:r>
            <w:r>
              <w:rPr>
                <w:rFonts w:hint="eastAsia" w:ascii="宋体" w:hAnsi="宋体"/>
                <w:color w:val="auto"/>
                <w:kern w:val="0"/>
                <w:szCs w:val="21"/>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1852" w:type="dxa"/>
            <w:vAlign w:val="center"/>
          </w:tcPr>
          <w:p>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6721" w:type="dxa"/>
            <w:vAlign w:val="center"/>
          </w:tcPr>
          <w:p>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自筹</w:t>
            </w:r>
            <w:r>
              <w:rPr>
                <w:rFonts w:hint="eastAsia" w:ascii="宋体" w:hAnsi="宋体"/>
                <w:color w:val="auto"/>
                <w:kern w:val="0"/>
                <w:szCs w:val="21"/>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6721" w:type="dxa"/>
            <w:vAlign w:val="center"/>
          </w:tcPr>
          <w:p>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6721" w:type="dxa"/>
            <w:vAlign w:val="center"/>
          </w:tcPr>
          <w:p>
            <w:pPr>
              <w:widowControl/>
              <w:snapToGrid w:val="0"/>
              <w:spacing w:line="400" w:lineRule="exact"/>
              <w:contextualSpacing/>
              <w:rPr>
                <w:rFonts w:ascii="宋体" w:hAnsi="宋体"/>
                <w:kern w:val="0"/>
                <w:szCs w:val="21"/>
              </w:rPr>
            </w:pPr>
            <w:r>
              <w:rPr>
                <w:rFonts w:hint="eastAsia"/>
                <w:color w:val="auto"/>
              </w:rPr>
              <w:t>不收取</w:t>
            </w:r>
            <w:r>
              <w:rPr>
                <w:rFonts w:ascii="宋体" w:hAnsi="宋体"/>
                <w:color w:val="auto"/>
                <w:kern w:val="0"/>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6721" w:type="dxa"/>
            <w:vAlign w:val="center"/>
          </w:tcPr>
          <w:p>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2" w:hRule="atLeast"/>
        </w:trPr>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6721"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6721"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6721" w:type="dxa"/>
            <w:vAlign w:val="center"/>
          </w:tcPr>
          <w:p>
            <w:pPr>
              <w:widowControl/>
              <w:snapToGrid w:val="0"/>
              <w:spacing w:line="400" w:lineRule="exact"/>
              <w:contextualSpacing/>
              <w:rPr>
                <w:rFonts w:hint="default" w:ascii="宋体" w:hAnsi="宋体"/>
                <w:kern w:val="0"/>
                <w:szCs w:val="21"/>
                <w:lang w:val="en-US" w:eastAsia="zh-Hans"/>
              </w:rPr>
            </w:pPr>
            <w:r>
              <w:rPr>
                <w:rFonts w:ascii="宋体" w:hAnsi="宋体"/>
                <w:kern w:val="0"/>
                <w:szCs w:val="21"/>
                <w:lang w:eastAsia="zh-Hans"/>
              </w:rPr>
              <w:t>收取。采购机构代理</w:t>
            </w:r>
            <w:r>
              <w:rPr>
                <w:rFonts w:hint="eastAsia" w:ascii="宋体" w:hAnsi="宋体"/>
                <w:kern w:val="0"/>
                <w:szCs w:val="21"/>
                <w:lang w:val="en-US" w:eastAsia="zh-CN"/>
              </w:rPr>
              <w:t>向成交供应商定额收取服务费¥5,000.00元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1852"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6721" w:type="dxa"/>
            <w:vAlign w:val="center"/>
          </w:tcPr>
          <w:p>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713" w:type="dxa"/>
            <w:vAlign w:val="center"/>
          </w:tcPr>
          <w:p>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1852"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6721" w:type="dxa"/>
            <w:vAlign w:val="center"/>
          </w:tcPr>
          <w:p>
            <w:pPr>
              <w:widowControl/>
              <w:snapToGrid w:val="0"/>
              <w:spacing w:line="400" w:lineRule="exact"/>
              <w:contextualSpacing/>
              <w:rPr>
                <w:rFonts w:ascii="宋体" w:hAnsi="宋体"/>
                <w:kern w:val="0"/>
                <w:szCs w:val="21"/>
                <w:lang w:eastAsia="zh-Hans"/>
              </w:rPr>
            </w:pPr>
            <w:r>
              <w:rPr>
                <w:rFonts w:hint="eastAsia" w:ascii="宋体" w:hAnsi="宋体"/>
                <w:color w:val="auto"/>
                <w:szCs w:val="21"/>
                <w:lang w:val="en-US" w:eastAsia="zh-CN"/>
              </w:rPr>
              <w:t>不收取</w:t>
            </w:r>
          </w:p>
        </w:tc>
      </w:tr>
    </w:tbl>
    <w:p>
      <w:pPr>
        <w:widowControl/>
        <w:snapToGrid w:val="0"/>
        <w:spacing w:before="312" w:beforeLines="100" w:line="360" w:lineRule="auto"/>
        <w:contextualSpacing/>
        <w:jc w:val="left"/>
        <w:outlineLvl w:val="2"/>
        <w:rPr>
          <w:rFonts w:ascii="宋体" w:hAnsi="宋体"/>
          <w:b/>
          <w:kern w:val="0"/>
          <w:szCs w:val="21"/>
        </w:rPr>
      </w:pP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kern w:val="0"/>
          <w:szCs w:val="21"/>
          <w:lang w:eastAsia="zh-Hans"/>
        </w:rPr>
        <w:t>总则</w:t>
      </w:r>
    </w:p>
    <w:p>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本磋商文件</w:t>
      </w:r>
      <w:r>
        <w:rPr>
          <w:rFonts w:hint="eastAsia" w:ascii="宋体" w:hAnsi="宋体"/>
          <w:color w:val="auto"/>
          <w:kern w:val="0"/>
          <w:szCs w:val="21"/>
          <w:lang w:eastAsia="zh-Hans"/>
        </w:rPr>
        <w:t>参考</w:t>
      </w:r>
      <w:r>
        <w:rPr>
          <w:rFonts w:ascii="宋体" w:hAnsi="宋体"/>
          <w:color w:val="auto"/>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lang w:eastAsia="zh-Hans"/>
        </w:rPr>
        <w:t>等</w:t>
      </w:r>
      <w:r>
        <w:rPr>
          <w:rFonts w:ascii="宋体" w:hAnsi="宋体"/>
          <w:color w:val="auto"/>
          <w:kern w:val="0"/>
          <w:szCs w:val="21"/>
          <w:lang w:eastAsia="zh-Hans"/>
        </w:rPr>
        <w:t>有关法律、法规、规章制度编制。</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color w:val="auto"/>
          <w:kern w:val="0"/>
          <w:szCs w:val="21"/>
          <w:lang w:eastAsia="zh-Hans"/>
        </w:rPr>
        <w:t>供应商应仔细阅读本项目信息公告及</w:t>
      </w:r>
      <w:r>
        <w:rPr>
          <w:rFonts w:ascii="宋体" w:hAnsi="宋体"/>
          <w:kern w:val="0"/>
          <w:szCs w:val="21"/>
          <w:lang w:eastAsia="zh-Hans"/>
        </w:rPr>
        <w:t>磋商文件的所有内容（包括变更、补充、澄清以及修改等，且均为磋商文件的组成部分），按照磋商文件要求以及格式编制响应文件，并保证其真实性，否则一切后果自负。</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pPr>
        <w:pStyle w:val="70"/>
        <w:widowControl/>
        <w:numPr>
          <w:ilvl w:val="0"/>
          <w:numId w:val="2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70"/>
        <w:widowControl/>
        <w:numPr>
          <w:ilvl w:val="0"/>
          <w:numId w:val="27"/>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w:t>
      </w:r>
      <w:r>
        <w:rPr>
          <w:rFonts w:ascii="宋体" w:hAnsi="宋体"/>
          <w:color w:val="auto"/>
          <w:kern w:val="0"/>
          <w:szCs w:val="21"/>
          <w:lang w:eastAsia="zh-Hans"/>
        </w:rPr>
        <w:t>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4" w:name="_Toc416771341"/>
      <w:bookmarkStart w:id="15" w:name="_Toc416770231"/>
      <w:bookmarkStart w:id="16" w:name="_Toc410738954"/>
      <w:bookmarkStart w:id="17" w:name="_Toc410736154"/>
      <w:r>
        <w:rPr>
          <w:rFonts w:hint="eastAsia" w:asciiTheme="minorEastAsia" w:hAnsiTheme="minorEastAsia" w:eastAsiaTheme="minorEastAsia"/>
          <w:b/>
          <w:bCs/>
          <w:color w:val="auto"/>
        </w:rPr>
        <w:t>响应文件的式样和签署</w:t>
      </w:r>
      <w:bookmarkEnd w:id="14"/>
      <w:bookmarkEnd w:id="15"/>
      <w:bookmarkEnd w:id="16"/>
      <w:bookmarkEnd w:id="17"/>
    </w:p>
    <w:p>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color w:val="auto"/>
          <w:szCs w:val="21"/>
        </w:rPr>
        <w:t>响应文件的式样：供应商应准备一份响应文件正本、电子响</w:t>
      </w:r>
      <w:r>
        <w:rPr>
          <w:rFonts w:hint="eastAsia" w:ascii="宋体" w:hAnsi="宋体"/>
          <w:bCs/>
          <w:szCs w:val="21"/>
        </w:rPr>
        <w:t>应文件和</w:t>
      </w:r>
      <w:r>
        <w:rPr>
          <w:rFonts w:hint="eastAsia" w:ascii="宋体" w:hAnsi="宋体"/>
          <w:b/>
          <w:bCs/>
          <w:szCs w:val="21"/>
          <w:u w:val="single"/>
        </w:rPr>
        <w:t>磋商须知前附表</w:t>
      </w:r>
      <w:r>
        <w:rPr>
          <w:rFonts w:hint="eastAsia" w:ascii="宋体" w:hAnsi="宋体"/>
          <w:bCs/>
          <w:szCs w:val="21"/>
        </w:rPr>
        <w:t>中规定数目的副本，响应文件的副本可采用正本的复印件。每套响应文件须清楚地标明“正本”或“副本”。若副本与正本不符，以正本为准。</w:t>
      </w:r>
    </w:p>
    <w:p>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pPr>
        <w:pStyle w:val="70"/>
        <w:numPr>
          <w:ilvl w:val="0"/>
          <w:numId w:val="28"/>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8" w:name="_Toc410736155"/>
      <w:bookmarkStart w:id="19" w:name="_Toc416770232"/>
      <w:bookmarkStart w:id="20" w:name="_Toc416771342"/>
      <w:bookmarkStart w:id="21" w:name="_Toc410738955"/>
      <w:bookmarkStart w:id="22" w:name="_Toc502738627"/>
      <w:r>
        <w:rPr>
          <w:rFonts w:hint="eastAsia" w:asciiTheme="minorEastAsia" w:hAnsiTheme="minorEastAsia" w:eastAsiaTheme="minorEastAsia"/>
          <w:b/>
          <w:bCs/>
        </w:rPr>
        <w:t>响应文件的递交</w:t>
      </w:r>
      <w:bookmarkEnd w:id="18"/>
      <w:bookmarkEnd w:id="19"/>
      <w:bookmarkEnd w:id="20"/>
      <w:bookmarkEnd w:id="21"/>
      <w:bookmarkEnd w:id="22"/>
    </w:p>
    <w:p>
      <w:pPr>
        <w:pStyle w:val="70"/>
        <w:numPr>
          <w:ilvl w:val="0"/>
          <w:numId w:val="30"/>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3" w:name="_Toc410738956"/>
      <w:bookmarkStart w:id="24" w:name="_Toc416770233"/>
      <w:bookmarkStart w:id="25" w:name="_Toc416771343"/>
      <w:bookmarkStart w:id="26" w:name="_Toc410736156"/>
      <w:r>
        <w:rPr>
          <w:rFonts w:hint="eastAsia" w:asciiTheme="minorEastAsia" w:hAnsiTheme="minorEastAsia" w:eastAsiaTheme="minorEastAsia"/>
          <w:b/>
          <w:bCs/>
        </w:rPr>
        <w:t>响应文件的密封和标记</w:t>
      </w:r>
      <w:bookmarkEnd w:id="23"/>
      <w:bookmarkEnd w:id="24"/>
      <w:bookmarkEnd w:id="25"/>
      <w:bookmarkEnd w:id="26"/>
    </w:p>
    <w:p>
      <w:pPr>
        <w:pStyle w:val="70"/>
        <w:numPr>
          <w:ilvl w:val="0"/>
          <w:numId w:val="31"/>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622"/>
        <w:gridCol w:w="1722"/>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737" w:type="dxa"/>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2622" w:type="dxa"/>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1722" w:type="dxa"/>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4205" w:type="dxa"/>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7" w:type="dxa"/>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2622" w:type="dxa"/>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1722" w:type="dxa"/>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4205" w:type="dxa"/>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pPr>
        <w:pStyle w:val="70"/>
        <w:numPr>
          <w:ilvl w:val="0"/>
          <w:numId w:val="31"/>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7" w:name="_Hlk86740118"/>
      <w:r>
        <w:rPr>
          <w:rFonts w:hint="eastAsia" w:ascii="宋体" w:hAnsi="宋体"/>
          <w:bCs/>
          <w:szCs w:val="21"/>
        </w:rPr>
        <w:t>须同时提交以下文件</w:t>
      </w:r>
      <w:bookmarkEnd w:id="27"/>
      <w:r>
        <w:rPr>
          <w:rFonts w:hint="eastAsia" w:ascii="宋体" w:hAnsi="宋体"/>
          <w:bCs/>
          <w:szCs w:val="21"/>
        </w:rPr>
        <w:t>：</w:t>
      </w:r>
      <w:bookmarkStart w:id="28"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8"/>
      <w:r>
        <w:rPr>
          <w:rFonts w:hint="eastAsia" w:ascii="宋体" w:hAnsi="宋体"/>
          <w:bCs/>
          <w:szCs w:val="21"/>
        </w:rPr>
        <w:t>。</w:t>
      </w:r>
    </w:p>
    <w:p>
      <w:pPr>
        <w:pStyle w:val="70"/>
        <w:numPr>
          <w:ilvl w:val="0"/>
          <w:numId w:val="31"/>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9"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9"/>
    <w:p>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0" w:name="_Toc416770234"/>
      <w:bookmarkStart w:id="31" w:name="_Toc410738957"/>
      <w:bookmarkStart w:id="32" w:name="_Toc410736157"/>
      <w:bookmarkStart w:id="33" w:name="_Toc416771344"/>
      <w:r>
        <w:rPr>
          <w:rFonts w:hint="eastAsia" w:asciiTheme="minorEastAsia" w:hAnsiTheme="minorEastAsia" w:eastAsiaTheme="minorEastAsia"/>
          <w:b/>
          <w:bCs/>
        </w:rPr>
        <w:t>响应文件包装密封</w:t>
      </w:r>
    </w:p>
    <w:p>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pPr>
        <w:pStyle w:val="70"/>
        <w:numPr>
          <w:ilvl w:val="0"/>
          <w:numId w:val="32"/>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pPr>
        <w:pStyle w:val="70"/>
        <w:widowControl/>
        <w:numPr>
          <w:ilvl w:val="0"/>
          <w:numId w:val="26"/>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0"/>
      <w:bookmarkEnd w:id="31"/>
      <w:bookmarkEnd w:id="32"/>
      <w:bookmarkEnd w:id="33"/>
    </w:p>
    <w:p>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pPr>
        <w:pStyle w:val="70"/>
        <w:widowControl/>
        <w:numPr>
          <w:ilvl w:val="0"/>
          <w:numId w:val="34"/>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70"/>
        <w:widowControl/>
        <w:numPr>
          <w:ilvl w:val="0"/>
          <w:numId w:val="34"/>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p>
    <w:p>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pPr>
        <w:pStyle w:val="70"/>
        <w:widowControl/>
        <w:numPr>
          <w:ilvl w:val="0"/>
          <w:numId w:val="36"/>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pPr>
        <w:pStyle w:val="70"/>
        <w:widowControl/>
        <w:numPr>
          <w:ilvl w:val="0"/>
          <w:numId w:val="3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pPr>
        <w:pStyle w:val="70"/>
        <w:widowControl/>
        <w:numPr>
          <w:ilvl w:val="0"/>
          <w:numId w:val="3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pPr>
        <w:pStyle w:val="70"/>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pPr>
        <w:pStyle w:val="70"/>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pPr>
        <w:pStyle w:val="70"/>
        <w:widowControl/>
        <w:numPr>
          <w:ilvl w:val="0"/>
          <w:numId w:val="44"/>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pPr>
        <w:pStyle w:val="70"/>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pPr>
        <w:pStyle w:val="70"/>
        <w:widowControl/>
        <w:numPr>
          <w:ilvl w:val="3"/>
          <w:numId w:val="4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pPr>
        <w:pStyle w:val="70"/>
        <w:numPr>
          <w:ilvl w:val="0"/>
          <w:numId w:val="47"/>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pPr>
        <w:pStyle w:val="70"/>
        <w:widowControl/>
        <w:numPr>
          <w:ilvl w:val="3"/>
          <w:numId w:val="4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pPr>
        <w:pStyle w:val="70"/>
        <w:widowControl/>
        <w:numPr>
          <w:ilvl w:val="0"/>
          <w:numId w:val="50"/>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w:t>
      </w:r>
      <w:r>
        <w:rPr>
          <w:rFonts w:ascii="宋体" w:hAnsi="宋体"/>
          <w:color w:val="auto"/>
          <w:kern w:val="0"/>
          <w:szCs w:val="21"/>
          <w:lang w:eastAsia="zh-Hans"/>
        </w:rPr>
        <w:t>质疑函转发质疑事项各关联方，请其作出解释说明。对捏造事实、滥用维权扰乱采购秩序的恶意质疑者，将上报政府采购监督管理部门依法处理。</w:t>
      </w:r>
    </w:p>
    <w:p>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bCs/>
          <w:color w:val="auto"/>
          <w:szCs w:val="21"/>
        </w:rPr>
        <w:t>（0769）22367009</w:t>
      </w:r>
    </w:p>
    <w:p>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Theme="minorEastAsia" w:hAnsiTheme="minorEastAsia" w:eastAsiaTheme="minorEastAsia"/>
          <w:color w:val="auto"/>
        </w:rPr>
        <w:t>zhcity_gd@163.com</w:t>
      </w:r>
    </w:p>
    <w:p>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lang w:eastAsia="zh-Hans"/>
        </w:rPr>
        <w:t>东莞市南城街道雅园产业园区路5号1栋1楼</w:t>
      </w:r>
    </w:p>
    <w:p>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pPr>
        <w:pStyle w:val="70"/>
        <w:widowControl/>
        <w:numPr>
          <w:ilvl w:val="3"/>
          <w:numId w:val="46"/>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监督管理部门提起投诉。</w:t>
      </w:r>
    </w:p>
    <w:p>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本项目不收取</w:t>
      </w:r>
      <w:r>
        <w:rPr>
          <w:rFonts w:hint="eastAsia" w:ascii="宋体" w:hAnsi="宋体"/>
          <w:b/>
          <w:color w:val="auto"/>
          <w:kern w:val="0"/>
          <w:szCs w:val="21"/>
          <w:lang w:eastAsia="zh-CN"/>
        </w:rPr>
        <w:t>）</w:t>
      </w:r>
    </w:p>
    <w:p>
      <w:pPr>
        <w:widowControl/>
        <w:numPr>
          <w:ilvl w:val="0"/>
          <w:numId w:val="51"/>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供应商应按须知前附表要求向采购人缴纳履约担保（如采用保函形式，格式详见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pPr>
        <w:widowControl/>
        <w:numPr>
          <w:ilvl w:val="0"/>
          <w:numId w:val="51"/>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pPr>
        <w:pStyle w:val="70"/>
        <w:widowControl/>
        <w:numPr>
          <w:ilvl w:val="3"/>
          <w:numId w:val="52"/>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pPr>
        <w:pStyle w:val="70"/>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pPr>
        <w:pStyle w:val="70"/>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pPr>
        <w:pStyle w:val="70"/>
        <w:widowControl/>
        <w:numPr>
          <w:ilvl w:val="0"/>
          <w:numId w:val="54"/>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pPr>
        <w:pStyle w:val="70"/>
        <w:numPr>
          <w:ilvl w:val="0"/>
          <w:numId w:val="54"/>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pPr>
        <w:widowControl/>
        <w:snapToGrid w:val="0"/>
        <w:spacing w:line="360" w:lineRule="auto"/>
        <w:contextualSpacing/>
        <w:jc w:val="left"/>
        <w:rPr>
          <w:rFonts w:ascii="宋体" w:hAnsi="宋体"/>
          <w:kern w:val="0"/>
          <w:szCs w:val="21"/>
        </w:rPr>
      </w:pPr>
    </w:p>
    <w:p/>
    <w:p>
      <w:pPr>
        <w:pStyle w:val="74"/>
        <w:outlineLvl w:val="3"/>
        <w:rPr>
          <w:rFonts w:hint="default"/>
          <w:b/>
          <w:sz w:val="24"/>
        </w:rPr>
      </w:pPr>
    </w:p>
    <w:p>
      <w:pPr>
        <w:pStyle w:val="74"/>
        <w:outlineLvl w:val="3"/>
        <w:rPr>
          <w:b/>
          <w:sz w:val="24"/>
          <w:lang w:eastAsia="zh-CN"/>
        </w:rPr>
      </w:pPr>
    </w:p>
    <w:p>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4" w:name="_Toc405313955"/>
      <w:bookmarkStart w:id="35" w:name="_Toc521951135"/>
      <w:bookmarkStart w:id="36" w:name="_Toc391627751"/>
      <w:bookmarkStart w:id="37" w:name="_Toc170228131"/>
      <w:r>
        <w:rPr>
          <w:rFonts w:hint="eastAsia" w:asciiTheme="minorEastAsia" w:hAnsiTheme="minorEastAsia" w:eastAsiaTheme="minorEastAsia"/>
          <w:spacing w:val="20"/>
          <w:sz w:val="32"/>
          <w:szCs w:val="32"/>
        </w:rPr>
        <w:t>第</w:t>
      </w:r>
      <w:bookmarkEnd w:id="34"/>
      <w:bookmarkEnd w:id="35"/>
      <w:bookmarkEnd w:id="36"/>
      <w:bookmarkStart w:id="38" w:name="_Hlk46687785"/>
      <w:r>
        <w:rPr>
          <w:rFonts w:hint="eastAsia" w:asciiTheme="minorEastAsia" w:hAnsiTheme="minorEastAsia" w:eastAsiaTheme="minorEastAsia"/>
          <w:spacing w:val="20"/>
          <w:sz w:val="32"/>
          <w:szCs w:val="32"/>
        </w:rPr>
        <w:t>四章 评审</w:t>
      </w:r>
      <w:bookmarkEnd w:id="37"/>
    </w:p>
    <w:bookmarkEnd w:id="38"/>
    <w:p>
      <w:pPr>
        <w:pStyle w:val="70"/>
        <w:numPr>
          <w:ilvl w:val="0"/>
          <w:numId w:val="55"/>
        </w:numPr>
        <w:snapToGrid w:val="0"/>
        <w:spacing w:line="360" w:lineRule="auto"/>
        <w:ind w:left="442" w:hanging="442" w:firstLineChars="0"/>
        <w:contextualSpacing/>
        <w:rPr>
          <w:b/>
          <w:bCs/>
        </w:rPr>
      </w:pPr>
      <w:r>
        <w:rPr>
          <w:b/>
          <w:bCs/>
        </w:rPr>
        <w:t>评审要求</w:t>
      </w:r>
    </w:p>
    <w:p>
      <w:pPr>
        <w:pStyle w:val="74"/>
        <w:numPr>
          <w:ilvl w:val="3"/>
          <w:numId w:val="56"/>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pPr>
        <w:pStyle w:val="74"/>
        <w:numPr>
          <w:ilvl w:val="3"/>
          <w:numId w:val="56"/>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pPr>
        <w:pStyle w:val="74"/>
        <w:numPr>
          <w:ilvl w:val="0"/>
          <w:numId w:val="57"/>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pPr>
        <w:pStyle w:val="74"/>
        <w:numPr>
          <w:ilvl w:val="0"/>
          <w:numId w:val="57"/>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74"/>
        <w:numPr>
          <w:ilvl w:val="3"/>
          <w:numId w:val="56"/>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pPr>
        <w:pStyle w:val="74"/>
        <w:numPr>
          <w:ilvl w:val="0"/>
          <w:numId w:val="58"/>
        </w:numPr>
        <w:snapToGrid w:val="0"/>
        <w:spacing w:line="360" w:lineRule="auto"/>
        <w:ind w:left="442" w:hanging="442"/>
        <w:contextualSpacing/>
        <w:rPr>
          <w:rFonts w:hint="default"/>
        </w:rPr>
      </w:pPr>
      <w:r>
        <w:rPr>
          <w:rFonts w:ascii="宋体" w:hAnsi="宋体" w:eastAsia="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pPr>
        <w:pStyle w:val="70"/>
        <w:numPr>
          <w:ilvl w:val="0"/>
          <w:numId w:val="61"/>
        </w:numPr>
        <w:snapToGrid w:val="0"/>
        <w:spacing w:line="360" w:lineRule="auto"/>
        <w:ind w:firstLineChars="0"/>
        <w:contextualSpacing/>
      </w:pPr>
      <w:r>
        <w:t>不同供应商的响应文件由同一单位或者个人编制；</w:t>
      </w:r>
    </w:p>
    <w:p>
      <w:pPr>
        <w:pStyle w:val="70"/>
        <w:numPr>
          <w:ilvl w:val="0"/>
          <w:numId w:val="61"/>
        </w:numPr>
        <w:snapToGrid w:val="0"/>
        <w:spacing w:line="360" w:lineRule="auto"/>
        <w:ind w:firstLineChars="0"/>
        <w:contextualSpacing/>
      </w:pPr>
      <w:r>
        <w:t>不同供应商委托同一单位或者个人办理响应事宜；</w:t>
      </w:r>
    </w:p>
    <w:p>
      <w:pPr>
        <w:pStyle w:val="70"/>
        <w:numPr>
          <w:ilvl w:val="0"/>
          <w:numId w:val="61"/>
        </w:numPr>
        <w:snapToGrid w:val="0"/>
        <w:spacing w:line="360" w:lineRule="auto"/>
        <w:ind w:firstLineChars="0"/>
        <w:contextualSpacing/>
      </w:pPr>
      <w:r>
        <w:t>不同供应商的响应文件载明的项目管理成员或者联系人员为同一人；</w:t>
      </w:r>
    </w:p>
    <w:p>
      <w:pPr>
        <w:pStyle w:val="70"/>
        <w:numPr>
          <w:ilvl w:val="0"/>
          <w:numId w:val="61"/>
        </w:numPr>
        <w:snapToGrid w:val="0"/>
        <w:spacing w:line="360" w:lineRule="auto"/>
        <w:ind w:firstLineChars="0"/>
        <w:contextualSpacing/>
      </w:pPr>
      <w:r>
        <w:t>不同供应商的响应文件异常一致或者响应报价呈规律性差异；</w:t>
      </w:r>
    </w:p>
    <w:p>
      <w:pPr>
        <w:pStyle w:val="70"/>
        <w:numPr>
          <w:ilvl w:val="0"/>
          <w:numId w:val="61"/>
        </w:numPr>
        <w:snapToGrid w:val="0"/>
        <w:spacing w:line="360" w:lineRule="auto"/>
        <w:ind w:firstLineChars="0"/>
        <w:contextualSpacing/>
      </w:pPr>
      <w:r>
        <w:t>不同供应商的响应文件相互混装；</w:t>
      </w:r>
    </w:p>
    <w:p>
      <w:pPr>
        <w:pStyle w:val="70"/>
        <w:numPr>
          <w:ilvl w:val="0"/>
          <w:numId w:val="61"/>
        </w:numPr>
        <w:snapToGrid w:val="0"/>
        <w:spacing w:line="360" w:lineRule="auto"/>
        <w:ind w:firstLineChars="0"/>
        <w:contextualSpacing/>
      </w:pPr>
      <w:r>
        <w:t>不同供应商的响应保证金支付款为从同一单位或个人的账户转出。</w:t>
      </w:r>
    </w:p>
    <w:p>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pPr>
        <w:pStyle w:val="70"/>
        <w:numPr>
          <w:ilvl w:val="0"/>
          <w:numId w:val="62"/>
        </w:numPr>
        <w:snapToGrid w:val="0"/>
        <w:spacing w:line="360" w:lineRule="auto"/>
        <w:ind w:left="442" w:hanging="442" w:firstLineChars="0"/>
        <w:contextualSpacing/>
      </w:pPr>
      <w:r>
        <w:t>供应商直接或者间接从采购人或者采购代理机构处获得其他供应商的相关情况并修改其响应文件；</w:t>
      </w:r>
    </w:p>
    <w:p>
      <w:pPr>
        <w:pStyle w:val="70"/>
        <w:numPr>
          <w:ilvl w:val="0"/>
          <w:numId w:val="62"/>
        </w:numPr>
        <w:snapToGrid w:val="0"/>
        <w:spacing w:line="360" w:lineRule="auto"/>
        <w:ind w:left="442" w:hanging="442" w:firstLineChars="0"/>
        <w:contextualSpacing/>
      </w:pPr>
      <w:r>
        <w:t>供应商按照采购人或者采购代理机构的授意撤换、修改响应文件；</w:t>
      </w:r>
    </w:p>
    <w:p>
      <w:pPr>
        <w:pStyle w:val="70"/>
        <w:numPr>
          <w:ilvl w:val="0"/>
          <w:numId w:val="62"/>
        </w:numPr>
        <w:snapToGrid w:val="0"/>
        <w:spacing w:line="360" w:lineRule="auto"/>
        <w:ind w:left="442" w:hanging="442" w:firstLineChars="0"/>
        <w:contextualSpacing/>
      </w:pPr>
      <w:r>
        <w:t>供应商之间协商报价、技术方案等响应文件的实质性内容；</w:t>
      </w:r>
    </w:p>
    <w:p>
      <w:pPr>
        <w:pStyle w:val="70"/>
        <w:numPr>
          <w:ilvl w:val="0"/>
          <w:numId w:val="62"/>
        </w:numPr>
        <w:snapToGrid w:val="0"/>
        <w:spacing w:line="360" w:lineRule="auto"/>
        <w:ind w:left="442" w:hanging="442" w:firstLineChars="0"/>
        <w:contextualSpacing/>
      </w:pPr>
      <w:r>
        <w:t>属于同一集团、协会、商会等组织成员的供应商按照该组织要求协同参加政府采购活动；</w:t>
      </w:r>
    </w:p>
    <w:p>
      <w:pPr>
        <w:pStyle w:val="70"/>
        <w:numPr>
          <w:ilvl w:val="0"/>
          <w:numId w:val="62"/>
        </w:numPr>
        <w:snapToGrid w:val="0"/>
        <w:spacing w:line="360" w:lineRule="auto"/>
        <w:ind w:left="442" w:hanging="442" w:firstLineChars="0"/>
        <w:contextualSpacing/>
      </w:pPr>
      <w:r>
        <w:t>供应商之间事先约定由某一特定供应商成交；</w:t>
      </w:r>
    </w:p>
    <w:p>
      <w:pPr>
        <w:pStyle w:val="70"/>
        <w:numPr>
          <w:ilvl w:val="0"/>
          <w:numId w:val="62"/>
        </w:numPr>
        <w:snapToGrid w:val="0"/>
        <w:spacing w:line="360" w:lineRule="auto"/>
        <w:ind w:left="442" w:hanging="442" w:firstLineChars="0"/>
        <w:contextualSpacing/>
      </w:pPr>
      <w:r>
        <w:t>供应商之间商定部分供应商放弃参加政府采购活动或者放弃成交；</w:t>
      </w:r>
    </w:p>
    <w:p>
      <w:pPr>
        <w:pStyle w:val="70"/>
        <w:numPr>
          <w:ilvl w:val="0"/>
          <w:numId w:val="62"/>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pPr>
        <w:snapToGrid w:val="0"/>
        <w:spacing w:line="360" w:lineRule="auto"/>
        <w:ind w:firstLine="420" w:firstLineChars="200"/>
        <w:contextualSpacing/>
      </w:pPr>
      <w:r>
        <w:rPr>
          <w:rFonts w:hint="eastAsia"/>
        </w:rPr>
        <w:t>详见资格性审查、符合性审查和磋商文件其他响应无效条款。</w:t>
      </w:r>
    </w:p>
    <w:p>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pPr>
        <w:pStyle w:val="70"/>
        <w:numPr>
          <w:ilvl w:val="0"/>
          <w:numId w:val="63"/>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pPr>
        <w:pStyle w:val="70"/>
        <w:numPr>
          <w:ilvl w:val="0"/>
          <w:numId w:val="64"/>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pPr>
        <w:pStyle w:val="70"/>
        <w:numPr>
          <w:ilvl w:val="0"/>
          <w:numId w:val="64"/>
        </w:numPr>
        <w:snapToGrid w:val="0"/>
        <w:spacing w:line="360" w:lineRule="auto"/>
        <w:ind w:left="567" w:hanging="567" w:firstLineChars="0"/>
        <w:contextualSpacing/>
        <w:rPr>
          <w:rFonts w:ascii="宋体" w:hAnsi="宋体"/>
        </w:rPr>
      </w:pPr>
      <w:r>
        <w:rPr>
          <w:rFonts w:ascii="宋体" w:hAnsi="宋体"/>
        </w:rPr>
        <w:t>出现影响采购公正的违法、违规行为的；</w:t>
      </w:r>
    </w:p>
    <w:p>
      <w:pPr>
        <w:pStyle w:val="70"/>
        <w:numPr>
          <w:ilvl w:val="0"/>
          <w:numId w:val="64"/>
        </w:numPr>
        <w:snapToGrid w:val="0"/>
        <w:spacing w:line="360" w:lineRule="auto"/>
        <w:ind w:left="567" w:hanging="567" w:firstLineChars="0"/>
        <w:contextualSpacing/>
        <w:rPr>
          <w:color w:val="auto"/>
        </w:rPr>
      </w:pPr>
      <w:r>
        <w:rPr>
          <w:rFonts w:ascii="宋体" w:hAnsi="宋体"/>
        </w:rPr>
        <w:t>除《政府采购竞争性磋商采购方式暂行办法</w:t>
      </w:r>
      <w:r>
        <w:rPr>
          <w:rFonts w:ascii="宋体" w:hAnsi="宋体"/>
          <w:color w:val="auto"/>
        </w:rPr>
        <w:t>》第二十一条第三款，《财政部关于政府采购竞争性磋商采购方式管理暂行办法有关问题的补充通知》（财库〔2015〕124号）规定的情形外，在采购过程中符合要求的供应商或者报价未超过采购预算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pPr>
        <w:pStyle w:val="70"/>
        <w:numPr>
          <w:ilvl w:val="0"/>
          <w:numId w:val="64"/>
        </w:numPr>
        <w:snapToGrid w:val="0"/>
        <w:spacing w:line="360" w:lineRule="auto"/>
        <w:ind w:left="567" w:hanging="567" w:firstLineChars="0"/>
        <w:contextualSpacing/>
        <w:rPr>
          <w:color w:val="auto"/>
        </w:rPr>
      </w:pPr>
      <w:r>
        <w:rPr>
          <w:color w:val="auto"/>
        </w:rPr>
        <w:t>法律、法规以及磋商文件规定其他情形。</w:t>
      </w:r>
    </w:p>
    <w:p>
      <w:pPr>
        <w:pStyle w:val="74"/>
        <w:numPr>
          <w:ilvl w:val="3"/>
          <w:numId w:val="56"/>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确定成交供应商</w:t>
      </w:r>
    </w:p>
    <w:p>
      <w:pPr>
        <w:snapToGrid w:val="0"/>
        <w:spacing w:line="360" w:lineRule="auto"/>
        <w:ind w:firstLine="420" w:firstLineChars="200"/>
        <w:contextualSpacing/>
        <w:rPr>
          <w:color w:val="auto"/>
        </w:rPr>
      </w:pPr>
      <w:r>
        <w:rPr>
          <w:rFonts w:hint="eastAsia"/>
          <w:color w:val="auto"/>
        </w:rPr>
        <w:t>磋商小组按照磋商文件确定的评审方法、步骤、标准，对响应文件进行评审。评审结束后，对供应商的评审名次进行排序，确定成交供应商或者推荐成交候选供应商。</w:t>
      </w:r>
    </w:p>
    <w:p>
      <w:pPr>
        <w:pStyle w:val="74"/>
        <w:numPr>
          <w:ilvl w:val="3"/>
          <w:numId w:val="56"/>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价格修正</w:t>
      </w:r>
    </w:p>
    <w:p>
      <w:pPr>
        <w:pStyle w:val="70"/>
        <w:numPr>
          <w:ilvl w:val="0"/>
          <w:numId w:val="65"/>
        </w:numPr>
        <w:snapToGrid w:val="0"/>
        <w:spacing w:line="360" w:lineRule="auto"/>
        <w:ind w:firstLineChars="0"/>
        <w:contextualSpacing/>
        <w:rPr>
          <w:color w:val="auto"/>
        </w:rPr>
      </w:pPr>
      <w:r>
        <w:rPr>
          <w:rFonts w:hint="eastAsia"/>
          <w:color w:val="auto"/>
        </w:rPr>
        <w:t>对报价的计算错误按以下原则修正：</w:t>
      </w:r>
    </w:p>
    <w:p>
      <w:pPr>
        <w:pStyle w:val="70"/>
        <w:numPr>
          <w:ilvl w:val="0"/>
          <w:numId w:val="66"/>
        </w:numPr>
        <w:snapToGrid w:val="0"/>
        <w:spacing w:line="360" w:lineRule="auto"/>
        <w:ind w:left="709" w:hanging="709" w:firstLineChars="0"/>
        <w:contextualSpacing/>
        <w:rPr>
          <w:color w:val="auto"/>
        </w:rPr>
      </w:pPr>
      <w:r>
        <w:rPr>
          <w:color w:val="auto"/>
        </w:rPr>
        <w:t>响应文件中首次报价表（报价表）内容与响应文件中相应内容不一致的，以首次报价表（报价表）为准；</w:t>
      </w:r>
    </w:p>
    <w:p>
      <w:pPr>
        <w:pStyle w:val="70"/>
        <w:numPr>
          <w:ilvl w:val="0"/>
          <w:numId w:val="66"/>
        </w:numPr>
        <w:snapToGrid w:val="0"/>
        <w:spacing w:line="360" w:lineRule="auto"/>
        <w:ind w:left="709" w:hanging="709" w:firstLineChars="0"/>
        <w:contextualSpacing/>
        <w:rPr>
          <w:color w:val="auto"/>
        </w:rPr>
      </w:pPr>
      <w:r>
        <w:rPr>
          <w:color w:val="auto"/>
        </w:rPr>
        <w:t>大写金额和小写金额不一致的，以大写金额为准；</w:t>
      </w:r>
    </w:p>
    <w:p>
      <w:pPr>
        <w:pStyle w:val="70"/>
        <w:numPr>
          <w:ilvl w:val="0"/>
          <w:numId w:val="66"/>
        </w:numPr>
        <w:snapToGrid w:val="0"/>
        <w:spacing w:line="360" w:lineRule="auto"/>
        <w:ind w:left="709" w:hanging="709" w:firstLineChars="0"/>
        <w:contextualSpacing/>
        <w:rPr>
          <w:color w:val="auto"/>
        </w:rPr>
      </w:pPr>
      <w:r>
        <w:rPr>
          <w:color w:val="auto"/>
        </w:rPr>
        <w:t>单价金额小数点或者百分比有明显错位的，以首次报价表的总价为准，并修改单价；</w:t>
      </w:r>
    </w:p>
    <w:p>
      <w:pPr>
        <w:pStyle w:val="70"/>
        <w:numPr>
          <w:ilvl w:val="0"/>
          <w:numId w:val="66"/>
        </w:numPr>
        <w:snapToGrid w:val="0"/>
        <w:spacing w:line="360" w:lineRule="auto"/>
        <w:ind w:left="709" w:hanging="709" w:firstLineChars="0"/>
        <w:contextualSpacing/>
        <w:rPr>
          <w:color w:val="auto"/>
        </w:rPr>
      </w:pPr>
      <w:r>
        <w:rPr>
          <w:color w:val="auto"/>
        </w:rPr>
        <w:t>总价金额与按单价汇总金额不一致的，以单价金额计算结果为准。但是单价金额计算结果超过预算价的，对其按无效响应处理；</w:t>
      </w:r>
    </w:p>
    <w:p>
      <w:pPr>
        <w:snapToGrid w:val="0"/>
        <w:spacing w:line="360" w:lineRule="auto"/>
        <w:contextualSpacing/>
        <w:rPr>
          <w:color w:val="auto"/>
        </w:rPr>
      </w:pPr>
      <w:r>
        <w:rPr>
          <w:rFonts w:hint="eastAsia"/>
          <w:color w:val="auto"/>
        </w:rPr>
        <w:t>注：同时出现2种以上不一致的，按照前款规定的顺序修正。修正后的报价应当采用书面形式，并加盖公章，或者由法定代表人或其授权的代表签字，经供应商确认后产生约束力，供应商不确认的，其响应无效。</w:t>
      </w:r>
    </w:p>
    <w:p>
      <w:pPr>
        <w:pStyle w:val="70"/>
        <w:numPr>
          <w:ilvl w:val="0"/>
          <w:numId w:val="55"/>
        </w:numPr>
        <w:snapToGrid w:val="0"/>
        <w:spacing w:line="360" w:lineRule="auto"/>
        <w:ind w:left="442" w:hanging="442" w:firstLineChars="0"/>
        <w:contextualSpacing/>
        <w:rPr>
          <w:rFonts w:asciiTheme="minorEastAsia" w:hAnsiTheme="minorEastAsia"/>
          <w:b/>
          <w:bCs/>
          <w:color w:val="auto"/>
          <w:szCs w:val="21"/>
        </w:rPr>
      </w:pPr>
      <w:r>
        <w:rPr>
          <w:b/>
          <w:bCs/>
          <w:color w:val="auto"/>
        </w:rPr>
        <w:t>政府采购政策</w:t>
      </w:r>
    </w:p>
    <w:p>
      <w:pPr>
        <w:pStyle w:val="70"/>
        <w:numPr>
          <w:ilvl w:val="1"/>
          <w:numId w:val="67"/>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pPr>
        <w:pStyle w:val="70"/>
        <w:numPr>
          <w:ilvl w:val="0"/>
          <w:numId w:val="68"/>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rPr>
        <w:t xml:space="preserve">根据财政部、工业和信息化部制定《政府采购促进中小企业发展管理办法》的规定，对小微企业报价给予 </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pPr>
        <w:numPr>
          <w:ilvl w:val="1"/>
          <w:numId w:val="67"/>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对监狱企业响应的扶持</w:t>
      </w:r>
    </w:p>
    <w:p>
      <w:pPr>
        <w:pStyle w:val="70"/>
        <w:numPr>
          <w:ilvl w:val="0"/>
          <w:numId w:val="69"/>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color w:val="auto"/>
          <w:szCs w:val="21"/>
        </w:rPr>
        <w:t>为发挥政府采购支持监狱企业发展的作用，根据《关于政府采</w:t>
      </w:r>
      <w:r>
        <w:rPr>
          <w:rFonts w:hint="eastAsia" w:asciiTheme="minorEastAsia" w:hAnsiTheme="minorEastAsia" w:eastAsiaTheme="minorEastAsia" w:cstheme="minorBidi"/>
          <w:bCs/>
          <w:szCs w:val="21"/>
        </w:rPr>
        <w:t>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pPr>
        <w:numPr>
          <w:ilvl w:val="1"/>
          <w:numId w:val="67"/>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pPr>
        <w:pStyle w:val="70"/>
        <w:numPr>
          <w:ilvl w:val="0"/>
          <w:numId w:val="70"/>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41号）的规定，残疾人福利性单位视同小型、微型企业，享受一定比例的价格折扣优惠，用扣除后的价格作为其参与评审的价格。参加政府采购活动的残疾人福利性单位应</w:t>
      </w:r>
      <w:r>
        <w:rPr>
          <w:rFonts w:asciiTheme="minorEastAsia" w:hAnsiTheme="minorEastAsia" w:eastAsiaTheme="minorEastAsia" w:cstheme="minorBidi"/>
          <w:bCs/>
          <w:color w:val="auto"/>
          <w:szCs w:val="21"/>
        </w:rPr>
        <w:t>当提供《残疾人福利性单位声明函》</w:t>
      </w:r>
      <w:r>
        <w:rPr>
          <w:rFonts w:hint="eastAsia" w:asciiTheme="minorEastAsia" w:hAnsiTheme="minorEastAsia" w:eastAsiaTheme="minorEastAsia" w:cstheme="minorBidi"/>
          <w:bCs/>
          <w:color w:val="auto"/>
          <w:szCs w:val="21"/>
        </w:rPr>
        <w:t>。（详见磋商文件第六章响应文件格式）</w:t>
      </w:r>
    </w:p>
    <w:p>
      <w:pPr>
        <w:numPr>
          <w:ilvl w:val="1"/>
          <w:numId w:val="67"/>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pPr>
        <w:numPr>
          <w:ilvl w:val="1"/>
          <w:numId w:val="67"/>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pPr>
        <w:numPr>
          <w:ilvl w:val="1"/>
          <w:numId w:val="67"/>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pPr>
        <w:numPr>
          <w:ilvl w:val="1"/>
          <w:numId w:val="67"/>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pPr>
        <w:pStyle w:val="70"/>
        <w:numPr>
          <w:ilvl w:val="0"/>
          <w:numId w:val="71"/>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pPr>
        <w:numPr>
          <w:ilvl w:val="0"/>
          <w:numId w:val="71"/>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color w:val="auto"/>
          <w:szCs w:val="21"/>
        </w:rPr>
        <w:t>产品纳入财政部环境保护部颁布最新环境标志产品政</w:t>
      </w:r>
      <w:r>
        <w:rPr>
          <w:rFonts w:hint="eastAsia" w:asciiTheme="minorEastAsia" w:hAnsiTheme="minorEastAsia" w:eastAsiaTheme="minorEastAsia" w:cstheme="minorBidi"/>
          <w:szCs w:val="21"/>
        </w:rPr>
        <w:t>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pPr>
        <w:numPr>
          <w:ilvl w:val="1"/>
          <w:numId w:val="67"/>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pPr>
        <w:pStyle w:val="32"/>
        <w:numPr>
          <w:ilvl w:val="0"/>
          <w:numId w:val="72"/>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929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12"/>
        <w:gridCol w:w="2011"/>
        <w:gridCol w:w="2010"/>
        <w:gridCol w:w="2010"/>
        <w:gridCol w:w="14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trPr>
        <w:tc>
          <w:tcPr>
            <w:tcW w:w="1812" w:type="dxa"/>
            <w:vAlign w:val="center"/>
          </w:tcPr>
          <w:p>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2011"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2010"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2010"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1450"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trPr>
        <w:tc>
          <w:tcPr>
            <w:tcW w:w="1812" w:type="dxa"/>
            <w:vAlign w:val="center"/>
          </w:tcPr>
          <w:p>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2011"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30</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20</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50</w:t>
            </w:r>
            <w:r>
              <w:rPr>
                <w:rFonts w:hint="eastAsia" w:asciiTheme="minorEastAsia" w:hAnsiTheme="minorEastAsia" w:eastAsiaTheme="minorEastAsia"/>
                <w:color w:val="000000" w:themeColor="text1"/>
                <w14:textFill>
                  <w14:solidFill>
                    <w14:schemeClr w14:val="tx1"/>
                  </w14:solidFill>
                </w14:textFill>
              </w:rPr>
              <w:t>%</w:t>
            </w:r>
          </w:p>
        </w:tc>
        <w:tc>
          <w:tcPr>
            <w:tcW w:w="1450" w:type="dxa"/>
          </w:tcPr>
          <w:p>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100</w:t>
            </w:r>
            <w:r>
              <w:rPr>
                <w:rFonts w:hint="eastAsia" w:asciiTheme="minorEastAsia" w:hAnsiTheme="minorEastAsia" w:eastAsiaTheme="minorEastAsia"/>
                <w:color w:val="000000" w:themeColor="text1"/>
                <w14:textFill>
                  <w14:solidFill>
                    <w14:schemeClr w14:val="tx1"/>
                  </w14:solidFill>
                </w14:textFill>
              </w:rPr>
              <w:t>%</w:t>
            </w:r>
          </w:p>
        </w:tc>
      </w:tr>
    </w:tbl>
    <w:p>
      <w:pPr>
        <w:pStyle w:val="32"/>
        <w:numPr>
          <w:ilvl w:val="0"/>
          <w:numId w:val="73"/>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pPr>
        <w:pStyle w:val="74"/>
        <w:spacing w:line="360" w:lineRule="auto"/>
        <w:outlineLvl w:val="3"/>
        <w:rPr>
          <w:rFonts w:hint="default"/>
          <w:b/>
          <w:sz w:val="24"/>
        </w:rPr>
      </w:pPr>
    </w:p>
    <w:p>
      <w:pPr>
        <w:pStyle w:val="70"/>
        <w:numPr>
          <w:ilvl w:val="0"/>
          <w:numId w:val="55"/>
        </w:numPr>
        <w:snapToGrid w:val="0"/>
        <w:spacing w:line="360" w:lineRule="auto"/>
        <w:ind w:left="442" w:hanging="442" w:firstLineChars="0"/>
        <w:contextualSpacing/>
      </w:pPr>
      <w:r>
        <w:rPr>
          <w:b/>
          <w:bCs/>
        </w:rPr>
        <w:t>评审程序</w:t>
      </w:r>
    </w:p>
    <w:p>
      <w:pPr>
        <w:pStyle w:val="74"/>
        <w:numPr>
          <w:ilvl w:val="0"/>
          <w:numId w:val="74"/>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565"/>
        <w:gridCol w:w="5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853" w:type="dxa"/>
            <w:vAlign w:val="center"/>
          </w:tcPr>
          <w:p>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8433" w:type="dxa"/>
            <w:gridSpan w:val="2"/>
            <w:vAlign w:val="center"/>
          </w:tcPr>
          <w:p>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8433" w:type="dxa"/>
            <w:gridSpan w:val="2"/>
            <w:vAlign w:val="center"/>
          </w:tcPr>
          <w:p>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2565" w:type="dxa"/>
            <w:vAlign w:val="center"/>
          </w:tcPr>
          <w:p>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5868" w:type="dxa"/>
            <w:vAlign w:val="center"/>
          </w:tcPr>
          <w:p>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2565"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5868" w:type="dxa"/>
            <w:vAlign w:val="center"/>
          </w:tcPr>
          <w:p>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2565"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5868" w:type="dxa"/>
            <w:vAlign w:val="center"/>
          </w:tcPr>
          <w:p>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响应文件中提供《资格条件承诺函》，格式详见磋商文件《资格条件承诺函》。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2565"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5868"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2565" w:type="dxa"/>
            <w:vAlign w:val="center"/>
          </w:tcPr>
          <w:p>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5868" w:type="dxa"/>
            <w:vAlign w:val="center"/>
          </w:tcPr>
          <w:p>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2565"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5868"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8433" w:type="dxa"/>
            <w:gridSpan w:val="2"/>
            <w:vAlign w:val="center"/>
          </w:tcPr>
          <w:p>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2565" w:type="dxa"/>
            <w:vAlign w:val="center"/>
          </w:tcPr>
          <w:p>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5868" w:type="dxa"/>
            <w:vAlign w:val="center"/>
          </w:tcPr>
          <w:p>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2565"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5868" w:type="dxa"/>
            <w:vAlign w:val="center"/>
          </w:tcPr>
          <w:p>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bl>
    <w:p>
      <w:pPr>
        <w:pStyle w:val="74"/>
        <w:outlineLvl w:val="3"/>
        <w:rPr>
          <w:rFonts w:hint="default"/>
          <w:b/>
          <w:sz w:val="24"/>
        </w:rPr>
      </w:pPr>
    </w:p>
    <w:p>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8582" w:type="dxa"/>
            <w:vAlign w:val="center"/>
          </w:tcPr>
          <w:p>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8582" w:type="dxa"/>
          </w:tcPr>
          <w:p>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8582" w:type="dxa"/>
          </w:tcPr>
          <w:p>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8582" w:type="dxa"/>
          </w:tcPr>
          <w:p>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8582" w:type="dxa"/>
          </w:tcPr>
          <w:p>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8582" w:type="dxa"/>
          </w:tcPr>
          <w:p>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8582" w:type="dxa"/>
          </w:tcPr>
          <w:p>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8582" w:type="dxa"/>
          </w:tcPr>
          <w:p>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pPr>
        <w:pStyle w:val="74"/>
        <w:keepLines/>
        <w:widowControl w:val="0"/>
        <w:outlineLvl w:val="3"/>
        <w:rPr>
          <w:rFonts w:hint="default"/>
          <w:b/>
          <w:sz w:val="24"/>
          <w:lang w:eastAsia="zh-CN"/>
        </w:rPr>
      </w:pPr>
    </w:p>
    <w:p>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磋商</w:t>
      </w:r>
    </w:p>
    <w:p>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pPr>
        <w:pStyle w:val="74"/>
        <w:numPr>
          <w:ilvl w:val="0"/>
          <w:numId w:val="77"/>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最后报价</w:t>
      </w:r>
    </w:p>
    <w:p>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pPr>
        <w:pStyle w:val="74"/>
        <w:numPr>
          <w:ilvl w:val="0"/>
          <w:numId w:val="78"/>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pPr>
        <w:pStyle w:val="74"/>
        <w:numPr>
          <w:ilvl w:val="0"/>
          <w:numId w:val="78"/>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pPr>
        <w:pStyle w:val="74"/>
        <w:numPr>
          <w:ilvl w:val="0"/>
          <w:numId w:val="74"/>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890" w:type="dxa"/>
            <w:vAlign w:val="center"/>
          </w:tcPr>
          <w:p>
            <w:pPr>
              <w:spacing w:line="400" w:lineRule="exact"/>
              <w:jc w:val="center"/>
              <w:rPr>
                <w:rFonts w:ascii="宋体" w:hAnsi="宋体"/>
                <w:b/>
                <w:color w:val="000000"/>
                <w:szCs w:val="21"/>
              </w:rPr>
            </w:pPr>
            <w:bookmarkStart w:id="39" w:name="_Hlk169889554"/>
            <w:r>
              <w:rPr>
                <w:rFonts w:hint="eastAsia" w:ascii="宋体" w:hAnsi="宋体"/>
                <w:b/>
                <w:color w:val="000000"/>
                <w:szCs w:val="21"/>
              </w:rPr>
              <w:t>序号</w:t>
            </w:r>
          </w:p>
        </w:tc>
        <w:tc>
          <w:tcPr>
            <w:tcW w:w="1542" w:type="dxa"/>
            <w:gridSpan w:val="2"/>
            <w:vAlign w:val="center"/>
          </w:tcPr>
          <w:p>
            <w:pPr>
              <w:spacing w:line="400" w:lineRule="exact"/>
              <w:jc w:val="center"/>
              <w:rPr>
                <w:rFonts w:ascii="宋体" w:hAnsi="宋体"/>
                <w:b/>
                <w:color w:val="000000"/>
                <w:szCs w:val="21"/>
              </w:rPr>
            </w:pPr>
            <w:r>
              <w:rPr>
                <w:rFonts w:hint="eastAsia" w:ascii="宋体" w:hAnsi="宋体"/>
                <w:b/>
                <w:color w:val="000000"/>
                <w:szCs w:val="21"/>
              </w:rPr>
              <w:t>评分内容</w:t>
            </w:r>
          </w:p>
        </w:tc>
        <w:tc>
          <w:tcPr>
            <w:tcW w:w="983" w:type="dxa"/>
            <w:vAlign w:val="center"/>
          </w:tcPr>
          <w:p>
            <w:pPr>
              <w:spacing w:line="400" w:lineRule="exact"/>
              <w:jc w:val="center"/>
              <w:rPr>
                <w:rFonts w:ascii="宋体" w:hAnsi="宋体"/>
                <w:b/>
                <w:color w:val="000000"/>
                <w:szCs w:val="21"/>
              </w:rPr>
            </w:pPr>
            <w:r>
              <w:rPr>
                <w:rFonts w:hint="eastAsia" w:ascii="宋体" w:hAnsi="宋体"/>
                <w:b/>
                <w:color w:val="000000"/>
                <w:szCs w:val="21"/>
              </w:rPr>
              <w:t>分值</w:t>
            </w:r>
          </w:p>
        </w:tc>
        <w:tc>
          <w:tcPr>
            <w:tcW w:w="5871" w:type="dxa"/>
            <w:vAlign w:val="center"/>
          </w:tcPr>
          <w:p>
            <w:pPr>
              <w:spacing w:line="400" w:lineRule="exact"/>
              <w:jc w:val="center"/>
              <w:rPr>
                <w:rFonts w:ascii="宋体" w:hAnsi="宋体"/>
                <w:b/>
                <w:color w:val="000000"/>
                <w:szCs w:val="21"/>
              </w:rPr>
            </w:pPr>
            <w:r>
              <w:rPr>
                <w:rFonts w:hint="eastAsia" w:ascii="宋体" w:hAnsi="宋体"/>
                <w:b/>
                <w:color w:val="00000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9286" w:type="dxa"/>
            <w:gridSpan w:val="5"/>
            <w:vAlign w:val="center"/>
          </w:tcPr>
          <w:p>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20</w:t>
            </w:r>
            <w:r>
              <w:rPr>
                <w:rFonts w:hint="eastAsia" w:ascii="宋体" w:hAnsi="宋体"/>
                <w:b/>
                <w:color w:val="00000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6" w:hRule="atLeast"/>
          <w:jc w:val="center"/>
        </w:trPr>
        <w:tc>
          <w:tcPr>
            <w:tcW w:w="890" w:type="dxa"/>
            <w:vAlign w:val="center"/>
          </w:tcPr>
          <w:p>
            <w:pPr>
              <w:spacing w:line="400" w:lineRule="exact"/>
              <w:jc w:val="center"/>
              <w:rPr>
                <w:rFonts w:hint="eastAsia" w:ascii="宋体" w:hAnsi="宋体"/>
                <w:color w:val="000000"/>
                <w:szCs w:val="21"/>
              </w:rPr>
            </w:pPr>
            <w:r>
              <w:rPr>
                <w:rFonts w:hint="eastAsia" w:ascii="宋体" w:hAnsi="宋体"/>
                <w:color w:val="000000"/>
                <w:szCs w:val="21"/>
              </w:rPr>
              <w:t>1</w:t>
            </w:r>
          </w:p>
        </w:tc>
        <w:tc>
          <w:tcPr>
            <w:tcW w:w="1526" w:type="dxa"/>
            <w:vAlign w:val="center"/>
          </w:tcPr>
          <w:p>
            <w:pPr>
              <w:spacing w:line="400" w:lineRule="exact"/>
              <w:jc w:val="center"/>
              <w:rPr>
                <w:rFonts w:hint="eastAsia" w:ascii="宋体" w:hAnsi="宋体"/>
                <w:color w:val="000000"/>
                <w:szCs w:val="21"/>
              </w:rPr>
            </w:pPr>
            <w:r>
              <w:rPr>
                <w:rFonts w:hint="eastAsia" w:ascii="宋体" w:hAnsi="宋体"/>
                <w:color w:val="000000"/>
                <w:szCs w:val="21"/>
              </w:rPr>
              <w:t>业绩情况</w:t>
            </w:r>
          </w:p>
        </w:tc>
        <w:tc>
          <w:tcPr>
            <w:tcW w:w="999" w:type="dxa"/>
            <w:gridSpan w:val="2"/>
            <w:vAlign w:val="center"/>
          </w:tcPr>
          <w:p>
            <w:pPr>
              <w:spacing w:line="400" w:lineRule="exact"/>
              <w:jc w:val="center"/>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6</w:t>
            </w:r>
            <w:r>
              <w:rPr>
                <w:rFonts w:hint="eastAsia" w:ascii="宋体" w:hAnsi="宋体"/>
                <w:color w:val="000000"/>
                <w:szCs w:val="21"/>
              </w:rPr>
              <w:t>分</w:t>
            </w:r>
          </w:p>
        </w:tc>
        <w:tc>
          <w:tcPr>
            <w:tcW w:w="5871" w:type="dxa"/>
            <w:vAlign w:val="center"/>
          </w:tcPr>
          <w:p>
            <w:pPr>
              <w:spacing w:line="400" w:lineRule="exact"/>
              <w:rPr>
                <w:rFonts w:hint="eastAsia" w:ascii="宋体" w:hAnsi="宋体"/>
                <w:color w:val="000000"/>
                <w:szCs w:val="21"/>
              </w:rPr>
            </w:pPr>
            <w:r>
              <w:rPr>
                <w:rFonts w:hint="eastAsia" w:ascii="宋体" w:hAnsi="宋体"/>
                <w:color w:val="000000"/>
                <w:szCs w:val="21"/>
              </w:rPr>
              <w:t>根据供应商具有的消防监控系统运维服务项目业绩进行评审，每提供一项得</w:t>
            </w:r>
            <w:r>
              <w:rPr>
                <w:rFonts w:hint="eastAsia" w:ascii="宋体" w:hAnsi="宋体"/>
                <w:color w:val="000000"/>
                <w:szCs w:val="21"/>
                <w:lang w:val="en-US" w:eastAsia="zh-CN"/>
              </w:rPr>
              <w:t>2</w:t>
            </w:r>
            <w:r>
              <w:rPr>
                <w:rFonts w:hint="eastAsia" w:ascii="宋体" w:hAnsi="宋体"/>
                <w:color w:val="000000"/>
                <w:szCs w:val="21"/>
              </w:rPr>
              <w:t>分，本项最高得</w:t>
            </w:r>
            <w:r>
              <w:rPr>
                <w:rFonts w:hint="eastAsia" w:ascii="宋体" w:hAnsi="宋体"/>
                <w:color w:val="000000"/>
                <w:szCs w:val="21"/>
                <w:lang w:val="en-US" w:eastAsia="zh-CN"/>
              </w:rPr>
              <w:t>16</w:t>
            </w:r>
            <w:r>
              <w:rPr>
                <w:rFonts w:hint="eastAsia" w:ascii="宋体" w:hAnsi="宋体"/>
                <w:color w:val="000000"/>
                <w:szCs w:val="21"/>
              </w:rPr>
              <w:t>分。</w:t>
            </w:r>
          </w:p>
          <w:p>
            <w:pPr>
              <w:spacing w:line="400" w:lineRule="exact"/>
              <w:rPr>
                <w:rFonts w:hint="eastAsia" w:ascii="宋体" w:hAnsi="宋体"/>
                <w:color w:val="000000"/>
                <w:szCs w:val="21"/>
              </w:rPr>
            </w:pPr>
            <w:r>
              <w:rPr>
                <w:rFonts w:hint="eastAsia" w:ascii="宋体" w:hAnsi="宋体"/>
                <w:b/>
                <w:bCs/>
                <w:color w:val="000000"/>
                <w:szCs w:val="21"/>
                <w:u w:val="single"/>
              </w:rPr>
              <w:t>注：须提供合同复印件加盖供应商公章。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890" w:type="dxa"/>
            <w:vAlign w:val="center"/>
          </w:tcPr>
          <w:p>
            <w:pPr>
              <w:spacing w:line="400" w:lineRule="exact"/>
              <w:jc w:val="center"/>
              <w:rPr>
                <w:rFonts w:hint="eastAsia" w:ascii="宋体" w:hAnsi="宋体"/>
                <w:color w:val="000000"/>
                <w:szCs w:val="21"/>
              </w:rPr>
            </w:pPr>
            <w:r>
              <w:rPr>
                <w:rFonts w:hint="eastAsia" w:ascii="宋体" w:hAnsi="宋体"/>
                <w:color w:val="000000"/>
                <w:szCs w:val="21"/>
              </w:rPr>
              <w:t>2</w:t>
            </w:r>
          </w:p>
        </w:tc>
        <w:tc>
          <w:tcPr>
            <w:tcW w:w="1526" w:type="dxa"/>
            <w:vAlign w:val="center"/>
          </w:tcPr>
          <w:p>
            <w:pPr>
              <w:spacing w:line="400" w:lineRule="exact"/>
              <w:jc w:val="center"/>
              <w:rPr>
                <w:rFonts w:hint="eastAsia" w:ascii="宋体" w:hAnsi="宋体"/>
                <w:color w:val="000000"/>
                <w:szCs w:val="21"/>
              </w:rPr>
            </w:pPr>
            <w:r>
              <w:rPr>
                <w:rFonts w:hint="eastAsia" w:ascii="宋体" w:hAnsi="宋体"/>
                <w:color w:val="000000"/>
                <w:szCs w:val="21"/>
              </w:rPr>
              <w:t>故障响应时间</w:t>
            </w:r>
          </w:p>
        </w:tc>
        <w:tc>
          <w:tcPr>
            <w:tcW w:w="999" w:type="dxa"/>
            <w:gridSpan w:val="2"/>
            <w:vAlign w:val="center"/>
          </w:tcPr>
          <w:p>
            <w:pPr>
              <w:spacing w:line="400" w:lineRule="exact"/>
              <w:jc w:val="center"/>
              <w:rPr>
                <w:rFonts w:hint="eastAsia" w:ascii="宋体" w:hAnsi="宋体"/>
                <w:color w:val="000000"/>
                <w:szCs w:val="21"/>
              </w:rPr>
            </w:pPr>
            <w:r>
              <w:rPr>
                <w:rFonts w:hint="eastAsia" w:ascii="宋体" w:hAnsi="宋体"/>
                <w:color w:val="000000"/>
                <w:szCs w:val="21"/>
                <w:lang w:val="en-US" w:eastAsia="zh-CN"/>
              </w:rPr>
              <w:t>4</w:t>
            </w:r>
            <w:r>
              <w:rPr>
                <w:rFonts w:hint="eastAsia" w:ascii="宋体" w:hAnsi="宋体"/>
                <w:color w:val="000000"/>
                <w:szCs w:val="21"/>
              </w:rPr>
              <w:t>分</w:t>
            </w:r>
          </w:p>
        </w:tc>
        <w:tc>
          <w:tcPr>
            <w:tcW w:w="5871" w:type="dxa"/>
            <w:vAlign w:val="center"/>
          </w:tcPr>
          <w:p>
            <w:pPr>
              <w:spacing w:line="400" w:lineRule="exact"/>
              <w:rPr>
                <w:rFonts w:hint="eastAsia" w:ascii="宋体" w:hAnsi="宋体"/>
                <w:color w:val="000000"/>
                <w:szCs w:val="21"/>
              </w:rPr>
            </w:pPr>
            <w:r>
              <w:rPr>
                <w:rFonts w:hint="eastAsia" w:ascii="宋体" w:hAnsi="宋体"/>
                <w:color w:val="000000"/>
                <w:szCs w:val="21"/>
              </w:rPr>
              <w:t>根据供应商提供的故障响应时间承诺进行评分：</w:t>
            </w:r>
          </w:p>
          <w:p>
            <w:pPr>
              <w:spacing w:line="400" w:lineRule="exact"/>
              <w:rPr>
                <w:rFonts w:hint="eastAsia" w:ascii="宋体" w:hAnsi="宋体"/>
                <w:color w:val="000000"/>
                <w:szCs w:val="21"/>
              </w:rPr>
            </w:pPr>
            <w:r>
              <w:rPr>
                <w:rFonts w:hint="eastAsia" w:ascii="宋体" w:hAnsi="宋体"/>
                <w:color w:val="000000"/>
                <w:szCs w:val="21"/>
              </w:rPr>
              <w:t>①供应商承诺在接到采购人通知后</w:t>
            </w:r>
            <w:r>
              <w:rPr>
                <w:rFonts w:hint="eastAsia" w:ascii="宋体" w:hAnsi="宋体"/>
                <w:color w:val="000000"/>
                <w:szCs w:val="21"/>
                <w:lang w:val="en-US" w:eastAsia="zh-CN"/>
              </w:rPr>
              <w:t>0.5</w:t>
            </w:r>
            <w:r>
              <w:rPr>
                <w:rFonts w:hint="eastAsia" w:ascii="宋体" w:hAnsi="宋体"/>
                <w:color w:val="000000"/>
                <w:szCs w:val="21"/>
              </w:rPr>
              <w:t>小时（含）内到现场，得</w:t>
            </w:r>
            <w:r>
              <w:rPr>
                <w:rFonts w:hint="eastAsia" w:ascii="宋体" w:hAnsi="宋体"/>
                <w:color w:val="000000"/>
                <w:szCs w:val="21"/>
                <w:lang w:val="en-US" w:eastAsia="zh-CN"/>
              </w:rPr>
              <w:t>4</w:t>
            </w:r>
            <w:r>
              <w:rPr>
                <w:rFonts w:hint="eastAsia" w:ascii="宋体" w:hAnsi="宋体"/>
                <w:color w:val="000000"/>
                <w:szCs w:val="21"/>
              </w:rPr>
              <w:t>分；</w:t>
            </w:r>
          </w:p>
          <w:p>
            <w:pPr>
              <w:spacing w:line="400" w:lineRule="exact"/>
              <w:rPr>
                <w:rFonts w:hint="eastAsia" w:ascii="宋体" w:hAnsi="宋体"/>
                <w:color w:val="000000"/>
                <w:szCs w:val="21"/>
              </w:rPr>
            </w:pPr>
            <w:r>
              <w:rPr>
                <w:rFonts w:hint="eastAsia" w:ascii="宋体" w:hAnsi="宋体"/>
                <w:color w:val="000000"/>
                <w:szCs w:val="21"/>
              </w:rPr>
              <w:t>②供应商承诺在接到采购人通知后</w:t>
            </w:r>
            <w:r>
              <w:rPr>
                <w:rFonts w:hint="eastAsia" w:ascii="宋体" w:hAnsi="宋体"/>
                <w:color w:val="000000"/>
                <w:szCs w:val="21"/>
                <w:lang w:val="en-US" w:eastAsia="zh-CN"/>
              </w:rPr>
              <w:t>0.5</w:t>
            </w:r>
            <w:r>
              <w:rPr>
                <w:rFonts w:hint="eastAsia" w:ascii="宋体" w:hAnsi="宋体"/>
                <w:color w:val="000000"/>
                <w:szCs w:val="21"/>
              </w:rPr>
              <w:t>小时（不含）至</w:t>
            </w:r>
            <w:r>
              <w:rPr>
                <w:rFonts w:hint="eastAsia" w:ascii="宋体" w:hAnsi="宋体"/>
                <w:color w:val="000000"/>
                <w:szCs w:val="21"/>
                <w:lang w:val="en-US" w:eastAsia="zh-CN"/>
              </w:rPr>
              <w:t>1</w:t>
            </w:r>
            <w:r>
              <w:rPr>
                <w:rFonts w:hint="eastAsia" w:ascii="宋体" w:hAnsi="宋体"/>
                <w:color w:val="000000"/>
                <w:szCs w:val="21"/>
              </w:rPr>
              <w:t>小时（含）内到现场，得</w:t>
            </w:r>
            <w:r>
              <w:rPr>
                <w:rFonts w:hint="eastAsia" w:ascii="宋体" w:hAnsi="宋体"/>
                <w:color w:val="000000"/>
                <w:szCs w:val="21"/>
                <w:lang w:val="en-US" w:eastAsia="zh-CN"/>
              </w:rPr>
              <w:t>2</w:t>
            </w:r>
            <w:r>
              <w:rPr>
                <w:rFonts w:hint="eastAsia" w:ascii="宋体" w:hAnsi="宋体"/>
                <w:color w:val="000000"/>
                <w:szCs w:val="21"/>
              </w:rPr>
              <w:t>分；</w:t>
            </w:r>
          </w:p>
          <w:p>
            <w:pPr>
              <w:spacing w:line="400" w:lineRule="exact"/>
              <w:rPr>
                <w:rFonts w:hint="eastAsia" w:ascii="宋体" w:hAnsi="宋体"/>
                <w:color w:val="000000"/>
                <w:szCs w:val="21"/>
              </w:rPr>
            </w:pPr>
            <w:r>
              <w:rPr>
                <w:rFonts w:hint="eastAsia" w:ascii="宋体" w:hAnsi="宋体"/>
                <w:color w:val="000000"/>
                <w:szCs w:val="21"/>
              </w:rPr>
              <w:t>③供应商承诺在接到采购人通知后</w:t>
            </w:r>
            <w:r>
              <w:rPr>
                <w:rFonts w:hint="eastAsia" w:ascii="宋体" w:hAnsi="宋体"/>
                <w:color w:val="000000"/>
                <w:szCs w:val="21"/>
                <w:lang w:val="en-US" w:eastAsia="zh-CN"/>
              </w:rPr>
              <w:t>1</w:t>
            </w:r>
            <w:r>
              <w:rPr>
                <w:rFonts w:hint="eastAsia" w:ascii="宋体" w:hAnsi="宋体"/>
                <w:color w:val="000000"/>
                <w:szCs w:val="21"/>
              </w:rPr>
              <w:t>小时（不含）至2小时（含）内到现场，得1分；</w:t>
            </w:r>
          </w:p>
          <w:p>
            <w:pPr>
              <w:spacing w:line="400" w:lineRule="exact"/>
              <w:rPr>
                <w:rFonts w:hint="eastAsia" w:ascii="宋体" w:hAnsi="宋体"/>
                <w:color w:val="000000"/>
                <w:szCs w:val="21"/>
              </w:rPr>
            </w:pPr>
            <w:r>
              <w:rPr>
                <w:rFonts w:hint="eastAsia" w:ascii="宋体" w:hAnsi="宋体"/>
                <w:color w:val="000000"/>
                <w:szCs w:val="21"/>
              </w:rPr>
              <w:t>④供应商承诺在接到采购人通知后超过2小时到现场，不得分。</w:t>
            </w:r>
          </w:p>
          <w:p>
            <w:pPr>
              <w:spacing w:line="400" w:lineRule="exact"/>
              <w:rPr>
                <w:rFonts w:hint="eastAsia" w:ascii="宋体" w:hAnsi="宋体"/>
                <w:color w:val="000000"/>
                <w:szCs w:val="21"/>
              </w:rPr>
            </w:pPr>
            <w:r>
              <w:rPr>
                <w:rFonts w:hint="eastAsia" w:ascii="宋体" w:hAnsi="宋体"/>
                <w:b/>
                <w:bCs/>
                <w:color w:val="000000"/>
                <w:szCs w:val="21"/>
                <w:u w:val="single"/>
              </w:rPr>
              <w:t>注：供应商须提供服务响应承诺书（承诺书格式自拟）加盖供应商公章。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9286" w:type="dxa"/>
            <w:gridSpan w:val="5"/>
            <w:vAlign w:val="center"/>
          </w:tcPr>
          <w:p>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50</w:t>
            </w:r>
            <w:r>
              <w:rPr>
                <w:rFonts w:hint="eastAsia" w:ascii="宋体" w:hAnsi="宋体"/>
                <w:b/>
                <w:color w:val="00000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jc w:val="center"/>
        </w:trPr>
        <w:tc>
          <w:tcPr>
            <w:tcW w:w="890" w:type="dxa"/>
            <w:vAlign w:val="center"/>
          </w:tcPr>
          <w:p>
            <w:pPr>
              <w:spacing w:before="31" w:beforeLines="10" w:after="93" w:afterLines="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1</w:t>
            </w:r>
          </w:p>
        </w:tc>
        <w:tc>
          <w:tcPr>
            <w:tcW w:w="1526" w:type="dxa"/>
            <w:vAlign w:val="center"/>
          </w:tcPr>
          <w:p>
            <w:pPr>
              <w:spacing w:before="31" w:beforeLines="10" w:after="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对本项目采购需求理解程度</w:t>
            </w:r>
          </w:p>
        </w:tc>
        <w:tc>
          <w:tcPr>
            <w:tcW w:w="999" w:type="dxa"/>
            <w:gridSpan w:val="2"/>
            <w:vAlign w:val="center"/>
          </w:tcPr>
          <w:p>
            <w:pPr>
              <w:widowControl/>
              <w:spacing w:before="31" w:beforeLines="10" w:after="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10分</w:t>
            </w:r>
          </w:p>
        </w:tc>
        <w:tc>
          <w:tcPr>
            <w:tcW w:w="5871" w:type="dxa"/>
            <w:vAlign w:val="center"/>
          </w:tcPr>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根据供应商对本项目采购需求的理解程度，重点难点的分析进行评审：</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①对采购需求非常透彻；对项目重点难点的理解十分到位，提出的重点难点非常有利于项目实施，完全满足采购需求的，得10分；</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②对采购需求理解透彻，符合项目实际情况，对项目重点难点的理解分析到位，提出的重点难点利于项目实施，满足采购需求的，得7分；</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③对采购需求理解比较透彻，符合项目实际情况，对项目重点难点的理解分析比较到位，提出的重点难点利于项目实施，基本满足采购需求的，得4分；</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④对采购需求不够理解，不能完全符合项目实际情况，对项目重点难点的理解分析部分到位，部分符合或不能完全满足采购需求的，得1分；</w:t>
            </w:r>
          </w:p>
          <w:p>
            <w:pPr>
              <w:spacing w:before="31" w:beforeLines="10" w:after="30" w:line="440" w:lineRule="exact"/>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lang w:bidi="ar"/>
              </w:rPr>
              <w:t>⑤未提供</w:t>
            </w:r>
            <w:r>
              <w:rPr>
                <w:rFonts w:hint="eastAsia" w:asciiTheme="minorEastAsia" w:hAnsiTheme="minorEastAsia" w:eastAsiaTheme="minorEastAsia" w:cstheme="minorEastAsia"/>
                <w:bCs/>
                <w:color w:val="000000"/>
                <w:szCs w:val="21"/>
                <w:lang w:val="en-US" w:eastAsia="zh-CN" w:bidi="ar"/>
              </w:rPr>
              <w:t>相关</w:t>
            </w:r>
            <w:r>
              <w:rPr>
                <w:rFonts w:hint="eastAsia" w:asciiTheme="minorEastAsia" w:hAnsiTheme="minorEastAsia" w:eastAsiaTheme="minorEastAsia" w:cstheme="minorEastAsia"/>
                <w:bCs/>
                <w:color w:val="000000"/>
                <w:szCs w:val="21"/>
                <w:lang w:bidi="ar"/>
              </w:rPr>
              <w:t>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2" w:hRule="atLeast"/>
          <w:jc w:val="center"/>
        </w:trPr>
        <w:tc>
          <w:tcPr>
            <w:tcW w:w="890" w:type="dxa"/>
            <w:vAlign w:val="center"/>
          </w:tcPr>
          <w:p>
            <w:pPr>
              <w:spacing w:before="31" w:beforeLines="10" w:after="93" w:afterLines="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2</w:t>
            </w:r>
          </w:p>
        </w:tc>
        <w:tc>
          <w:tcPr>
            <w:tcW w:w="1526" w:type="dxa"/>
            <w:vAlign w:val="center"/>
          </w:tcPr>
          <w:p>
            <w:pPr>
              <w:spacing w:before="31" w:beforeLines="10" w:after="30" w:line="440" w:lineRule="exact"/>
              <w:jc w:val="center"/>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szCs w:val="21"/>
              </w:rPr>
              <w:t>项目实施方案</w:t>
            </w:r>
          </w:p>
        </w:tc>
        <w:tc>
          <w:tcPr>
            <w:tcW w:w="999" w:type="dxa"/>
            <w:gridSpan w:val="2"/>
            <w:vAlign w:val="center"/>
          </w:tcPr>
          <w:p>
            <w:pPr>
              <w:widowControl/>
              <w:spacing w:before="31" w:beforeLines="10" w:after="30" w:line="440" w:lineRule="exact"/>
              <w:jc w:val="center"/>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szCs w:val="21"/>
              </w:rPr>
              <w:t>10分</w:t>
            </w:r>
          </w:p>
        </w:tc>
        <w:tc>
          <w:tcPr>
            <w:tcW w:w="5871" w:type="dxa"/>
            <w:vAlign w:val="center"/>
          </w:tcPr>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根据供应商所提供的项目实施方案进行评审：</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①实施方案组织计划科学合理，实施方案创新合理，切实可行，工作流程和技术措施详尽完善，步骤清晰明确，可行性强的，得10分；</w:t>
            </w:r>
          </w:p>
          <w:p>
            <w:pPr>
              <w:spacing w:before="31" w:beforeLines="10" w:after="30" w:line="440" w:lineRule="exact"/>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②实施方案组织计划基本合理，实施方案创新较为合理，有一定的工作流程和技术措施，具备可行性的，得7分；</w:t>
            </w:r>
          </w:p>
          <w:p>
            <w:pPr>
              <w:spacing w:before="31" w:beforeLines="10" w:after="30"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color w:val="000000"/>
                <w:szCs w:val="21"/>
                <w:lang w:bidi="ar"/>
              </w:rPr>
              <w:t>③</w:t>
            </w:r>
            <w:r>
              <w:rPr>
                <w:rFonts w:hint="eastAsia" w:asciiTheme="minorEastAsia" w:hAnsiTheme="minorEastAsia" w:eastAsiaTheme="minorEastAsia" w:cstheme="minorEastAsia"/>
                <w:szCs w:val="21"/>
                <w:lang w:bidi="ar"/>
              </w:rPr>
              <w:t>实施方案组织计划一般，实施方案基本合理，有一定的工作流程和技术措施，可行性一般，得4分；</w:t>
            </w:r>
          </w:p>
          <w:p>
            <w:pPr>
              <w:spacing w:before="31" w:beforeLines="10" w:after="30"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bidi="ar"/>
              </w:rPr>
              <w:t>④实施方案组织计划、工作流程和技术措施缺乏合理性的，可行性较差，得1分；</w:t>
            </w:r>
          </w:p>
          <w:p>
            <w:pPr>
              <w:spacing w:before="31" w:beforeLines="10" w:after="30" w:line="440" w:lineRule="exac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bCs/>
                <w:color w:val="000000"/>
                <w:szCs w:val="21"/>
                <w:lang w:bidi="ar"/>
              </w:rPr>
              <w:t>⑤未提供</w:t>
            </w:r>
            <w:r>
              <w:rPr>
                <w:rFonts w:hint="eastAsia" w:asciiTheme="minorEastAsia" w:hAnsiTheme="minorEastAsia" w:eastAsiaTheme="minorEastAsia" w:cstheme="minorEastAsia"/>
                <w:bCs/>
                <w:color w:val="000000"/>
                <w:szCs w:val="21"/>
                <w:lang w:val="en-US" w:eastAsia="zh-CN" w:bidi="ar"/>
              </w:rPr>
              <w:t>相关</w:t>
            </w:r>
            <w:r>
              <w:rPr>
                <w:rFonts w:hint="eastAsia" w:asciiTheme="minorEastAsia" w:hAnsiTheme="minorEastAsia" w:eastAsiaTheme="minorEastAsia" w:cstheme="minorEastAsia"/>
                <w:bCs/>
                <w:color w:val="000000"/>
                <w:szCs w:val="21"/>
                <w:lang w:bidi="ar"/>
              </w:rPr>
              <w:t>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890" w:type="dxa"/>
            <w:vAlign w:val="center"/>
          </w:tcPr>
          <w:p>
            <w:pPr>
              <w:spacing w:before="31" w:beforeLines="10" w:after="93" w:afterLines="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3</w:t>
            </w:r>
          </w:p>
        </w:tc>
        <w:tc>
          <w:tcPr>
            <w:tcW w:w="1526" w:type="dxa"/>
            <w:vAlign w:val="center"/>
          </w:tcPr>
          <w:p>
            <w:pPr>
              <w:spacing w:before="31" w:beforeLines="10" w:after="30" w:line="440" w:lineRule="exact"/>
              <w:jc w:val="center"/>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服务质量保障措施</w:t>
            </w:r>
          </w:p>
        </w:tc>
        <w:tc>
          <w:tcPr>
            <w:tcW w:w="999" w:type="dxa"/>
            <w:gridSpan w:val="2"/>
            <w:vAlign w:val="center"/>
          </w:tcPr>
          <w:p>
            <w:pPr>
              <w:widowControl/>
              <w:spacing w:before="31" w:beforeLines="10" w:after="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10分</w:t>
            </w:r>
          </w:p>
        </w:tc>
        <w:tc>
          <w:tcPr>
            <w:tcW w:w="5871" w:type="dxa"/>
            <w:vAlign w:val="center"/>
          </w:tcPr>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根据供应商所提供的服务质量保障</w:t>
            </w:r>
            <w:r>
              <w:rPr>
                <w:rFonts w:hint="eastAsia" w:asciiTheme="minorEastAsia" w:hAnsiTheme="minorEastAsia" w:eastAsiaTheme="minorEastAsia" w:cstheme="minorEastAsia"/>
                <w:color w:val="000000"/>
                <w:szCs w:val="21"/>
                <w:lang w:val="en-US" w:eastAsia="zh-CN" w:bidi="ar"/>
              </w:rPr>
              <w:t>措施</w:t>
            </w:r>
            <w:r>
              <w:rPr>
                <w:rFonts w:hint="eastAsia" w:asciiTheme="minorEastAsia" w:hAnsiTheme="minorEastAsia" w:eastAsiaTheme="minorEastAsia" w:cstheme="minorEastAsia"/>
                <w:color w:val="000000"/>
                <w:szCs w:val="21"/>
                <w:lang w:bidi="ar"/>
              </w:rPr>
              <w:t>进行评审：</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①质量目标清晰明确，质量控制措施非常合理可行，质量保证体系系统科学、保证措施严谨规范，质量保障管理及制度科学合理具体，质量保证方案各项内容完善，并能根据项目性质或采购需求提出非常合理可行的建议的，得10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②质量目标详细明确，质量控制措施、质量保证体系系统科学、保证措施规范的，质量保障管理及制度科学合理具体，质量保证方案各项内容较完善，能根据项目性质采购需求提出合理建议的，得7分；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③质量目标明确，质量控制措施合理可行，质量保证体系及保证措施规范，质量保障管理及制度科学合理，质量保证方案各项内容均具备的，得4分；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④质量目标较明确，但质量控制措施不够详细、质量保证体系及保证指施和质量保障管理及制度方案部分合理可行的，质量保证方案部分内容可行性较差的，得1分；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lang w:bidi="ar"/>
              </w:rPr>
              <w:t>⑤未提供</w:t>
            </w:r>
            <w:r>
              <w:rPr>
                <w:rFonts w:hint="eastAsia" w:asciiTheme="minorEastAsia" w:hAnsiTheme="minorEastAsia" w:eastAsiaTheme="minorEastAsia" w:cstheme="minorEastAsia"/>
                <w:bCs/>
                <w:color w:val="000000"/>
                <w:szCs w:val="21"/>
                <w:lang w:val="en-US" w:eastAsia="zh-CN" w:bidi="ar"/>
              </w:rPr>
              <w:t>相关</w:t>
            </w:r>
            <w:r>
              <w:rPr>
                <w:rFonts w:hint="eastAsia" w:asciiTheme="minorEastAsia" w:hAnsiTheme="minorEastAsia" w:eastAsiaTheme="minorEastAsia" w:cstheme="minorEastAsia"/>
                <w:bCs/>
                <w:color w:val="000000"/>
                <w:szCs w:val="21"/>
                <w:lang w:bidi="ar"/>
              </w:rPr>
              <w:t>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890" w:type="dxa"/>
            <w:vAlign w:val="center"/>
          </w:tcPr>
          <w:p>
            <w:pPr>
              <w:spacing w:before="31" w:beforeLines="10" w:after="93" w:afterLines="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4</w:t>
            </w:r>
          </w:p>
        </w:tc>
        <w:tc>
          <w:tcPr>
            <w:tcW w:w="1526" w:type="dxa"/>
            <w:vAlign w:val="center"/>
          </w:tcPr>
          <w:p>
            <w:pPr>
              <w:spacing w:before="31" w:beforeLines="10" w:after="30" w:line="440" w:lineRule="exact"/>
              <w:jc w:val="center"/>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应急方案</w:t>
            </w:r>
          </w:p>
        </w:tc>
        <w:tc>
          <w:tcPr>
            <w:tcW w:w="999" w:type="dxa"/>
            <w:gridSpan w:val="2"/>
            <w:vAlign w:val="center"/>
          </w:tcPr>
          <w:p>
            <w:pPr>
              <w:widowControl/>
              <w:spacing w:before="31" w:beforeLines="10" w:after="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10分</w:t>
            </w:r>
          </w:p>
        </w:tc>
        <w:tc>
          <w:tcPr>
            <w:tcW w:w="5871" w:type="dxa"/>
            <w:vAlign w:val="center"/>
          </w:tcPr>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根据供应商所提供的应急预案（包括但不限于服务期内缺少</w:t>
            </w:r>
            <w:r>
              <w:rPr>
                <w:rFonts w:hint="eastAsia" w:asciiTheme="minorEastAsia" w:hAnsiTheme="minorEastAsia" w:eastAsiaTheme="minorEastAsia" w:cstheme="minorEastAsia"/>
                <w:color w:val="000000"/>
                <w:szCs w:val="21"/>
                <w:lang w:val="en-US" w:eastAsia="zh-CN" w:bidi="ar"/>
              </w:rPr>
              <w:t>服务</w:t>
            </w:r>
            <w:r>
              <w:rPr>
                <w:rFonts w:hint="eastAsia" w:asciiTheme="minorEastAsia" w:hAnsiTheme="minorEastAsia" w:eastAsiaTheme="minorEastAsia" w:cstheme="minorEastAsia"/>
                <w:color w:val="000000"/>
                <w:szCs w:val="21"/>
                <w:lang w:bidi="ar"/>
              </w:rPr>
              <w:t>人员、突发性事件保障措施及方案等）进行评审：</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①应急预案内容非常详细具体，科学合理性高，突发性事件保障措施及方案详细明确的，满足采购需求的，得10分；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②应急预案内容较具体，科学合理性较高，突发性事件保障措施及方案详细的，有利于项目实施的，得7分；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③应急预案内容详细，科学合理性一般，基本满足项目实施，各项应急方案可行性较强的，得4分；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④应急预案内容简略，科学合理性低，部分满足采购需求的，得1分；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lang w:bidi="ar"/>
              </w:rPr>
              <w:t>⑤未提供</w:t>
            </w:r>
            <w:r>
              <w:rPr>
                <w:rFonts w:hint="eastAsia" w:asciiTheme="minorEastAsia" w:hAnsiTheme="minorEastAsia" w:eastAsiaTheme="minorEastAsia" w:cstheme="minorEastAsia"/>
                <w:bCs/>
                <w:color w:val="000000"/>
                <w:szCs w:val="21"/>
                <w:lang w:val="en-US" w:eastAsia="zh-CN" w:bidi="ar"/>
              </w:rPr>
              <w:t>相关</w:t>
            </w:r>
            <w:r>
              <w:rPr>
                <w:rFonts w:hint="eastAsia" w:asciiTheme="minorEastAsia" w:hAnsiTheme="minorEastAsia" w:eastAsiaTheme="minorEastAsia" w:cstheme="minorEastAsia"/>
                <w:bCs/>
                <w:color w:val="000000"/>
                <w:szCs w:val="21"/>
                <w:lang w:bidi="ar"/>
              </w:rPr>
              <w:t>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890" w:type="dxa"/>
            <w:vAlign w:val="center"/>
          </w:tcPr>
          <w:p>
            <w:pPr>
              <w:spacing w:before="31" w:beforeLines="10" w:after="93" w:afterLines="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5</w:t>
            </w:r>
          </w:p>
        </w:tc>
        <w:tc>
          <w:tcPr>
            <w:tcW w:w="1526" w:type="dxa"/>
            <w:vAlign w:val="center"/>
          </w:tcPr>
          <w:p>
            <w:pPr>
              <w:spacing w:before="31" w:beforeLines="10" w:after="30" w:line="440" w:lineRule="exact"/>
              <w:jc w:val="center"/>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lang w:bidi="ar"/>
              </w:rPr>
              <w:t>项目组织架构方案</w:t>
            </w:r>
          </w:p>
        </w:tc>
        <w:tc>
          <w:tcPr>
            <w:tcW w:w="999" w:type="dxa"/>
            <w:gridSpan w:val="2"/>
            <w:vAlign w:val="center"/>
          </w:tcPr>
          <w:p>
            <w:pPr>
              <w:widowControl/>
              <w:spacing w:before="31" w:beforeLines="10" w:after="30" w:line="440" w:lineRule="exact"/>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10分</w:t>
            </w:r>
          </w:p>
        </w:tc>
        <w:tc>
          <w:tcPr>
            <w:tcW w:w="5871" w:type="dxa"/>
            <w:vAlign w:val="center"/>
          </w:tcPr>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根据供应商所提供的项目管理组织架构方案进行评审：</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①项目管理架构完善，分工明确，岗位责任制强，项目负责人管理经验丰富能力高，配备充足的专业水平高且有相关特长的服务人员，能全面高效地完成本项目，得10分；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②项目管理架构较为完善，分工较明确，项目负责人管理经验丰富、能力较高，服务人员专业水平较高，能较好地完成本项目，得7分；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③有项目管理架构和分工，项目负责人有相关管理经验能力较高，服务人员熟悉本专业，能完成本项目，得4分；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bidi="ar"/>
              </w:rPr>
              <w:t>④有项目管理架构和分工，项目负责人有一定管理经验，服务人员能从事本项目服务，得1分；</w:t>
            </w:r>
          </w:p>
          <w:p>
            <w:pPr>
              <w:spacing w:before="31" w:beforeLines="10" w:after="30" w:line="44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lang w:bidi="ar"/>
              </w:rPr>
              <w:t>⑤未提供</w:t>
            </w:r>
            <w:r>
              <w:rPr>
                <w:rFonts w:hint="eastAsia" w:asciiTheme="minorEastAsia" w:hAnsiTheme="minorEastAsia" w:eastAsiaTheme="minorEastAsia" w:cstheme="minorEastAsia"/>
                <w:bCs/>
                <w:color w:val="000000"/>
                <w:szCs w:val="21"/>
                <w:lang w:val="en-US" w:eastAsia="zh-CN" w:bidi="ar"/>
              </w:rPr>
              <w:t>相关</w:t>
            </w:r>
            <w:r>
              <w:rPr>
                <w:rFonts w:hint="eastAsia" w:asciiTheme="minorEastAsia" w:hAnsiTheme="minorEastAsia" w:eastAsiaTheme="minorEastAsia" w:cstheme="minorEastAsia"/>
                <w:bCs/>
                <w:color w:val="000000"/>
                <w:szCs w:val="21"/>
                <w:lang w:bidi="ar"/>
              </w:rPr>
              <w:t>方案不得分。</w:t>
            </w:r>
          </w:p>
        </w:tc>
      </w:tr>
      <w:bookmarkEnd w:id="39"/>
    </w:tbl>
    <w:p>
      <w:pPr>
        <w:pStyle w:val="74"/>
        <w:outlineLvl w:val="3"/>
        <w:rPr>
          <w:rFonts w:hint="default"/>
          <w:b/>
          <w:sz w:val="24"/>
        </w:rPr>
      </w:pPr>
    </w:p>
    <w:p>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汇总、排序</w:t>
      </w:r>
    </w:p>
    <w:p>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pPr>
        <w:pStyle w:val="74"/>
        <w:numPr>
          <w:ilvl w:val="0"/>
          <w:numId w:val="79"/>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pPr>
        <w:spacing w:line="360" w:lineRule="auto"/>
        <w:ind w:firstLine="420" w:firstLineChars="200"/>
        <w:rPr>
          <w:rFonts w:asciiTheme="minorEastAsia" w:hAnsiTheme="minorEastAsia" w:eastAsiaTheme="minorEastAsia"/>
          <w:bCs/>
          <w:szCs w:val="21"/>
        </w:rPr>
      </w:pPr>
    </w:p>
    <w:p>
      <w:pPr>
        <w:spacing w:line="360" w:lineRule="auto"/>
        <w:rPr>
          <w:rFonts w:asciiTheme="minorEastAsia" w:hAnsiTheme="minorEastAsia" w:eastAsiaTheme="minorEastAsia"/>
          <w:bCs/>
          <w:szCs w:val="21"/>
        </w:rPr>
      </w:pPr>
    </w:p>
    <w:p>
      <w:pPr>
        <w:pStyle w:val="2"/>
        <w:keepNext w:val="0"/>
        <w:keepLines w:val="0"/>
        <w:pageBreakBefore/>
        <w:spacing w:after="240" w:line="360" w:lineRule="auto"/>
        <w:jc w:val="center"/>
        <w:rPr>
          <w:rFonts w:ascii="宋体" w:hAnsi="宋体"/>
          <w:sz w:val="36"/>
          <w:szCs w:val="36"/>
        </w:rPr>
      </w:pPr>
      <w:bookmarkStart w:id="40" w:name="_Toc169799783"/>
      <w:bookmarkStart w:id="41" w:name="_Toc169807544"/>
      <w:bookmarkStart w:id="42" w:name="_Toc170228132"/>
      <w:bookmarkStart w:id="43" w:name="_Toc405313956"/>
      <w:bookmarkStart w:id="44" w:name="_Toc391627752"/>
      <w:bookmarkStart w:id="45" w:name="_Toc521951136"/>
      <w:r>
        <w:rPr>
          <w:rFonts w:asciiTheme="minorEastAsia" w:hAnsiTheme="minorEastAsia" w:eastAsiaTheme="minorEastAsia"/>
          <w:spacing w:val="20"/>
          <w:sz w:val="32"/>
          <w:szCs w:val="32"/>
        </w:rPr>
        <w:t>第五章 合同文本</w:t>
      </w:r>
      <w:bookmarkEnd w:id="40"/>
      <w:bookmarkEnd w:id="41"/>
      <w:bookmarkEnd w:id="42"/>
    </w:p>
    <w:bookmarkEnd w:id="43"/>
    <w:bookmarkEnd w:id="44"/>
    <w:bookmarkEnd w:id="45"/>
    <w:p>
      <w:pPr>
        <w:spacing w:line="360" w:lineRule="auto"/>
        <w:jc w:val="center"/>
        <w:rPr>
          <w:rFonts w:hint="eastAsia" w:ascii="宋体" w:hAnsi="宋体" w:eastAsia="宋体" w:cs="宋体"/>
          <w:bCs/>
          <w:sz w:val="52"/>
          <w:szCs w:val="52"/>
        </w:rPr>
      </w:pPr>
      <w:bookmarkStart w:id="46" w:name="_Toc170228133"/>
      <w:bookmarkStart w:id="47" w:name="_Toc169807545"/>
      <w:bookmarkStart w:id="48" w:name="_Toc169799784"/>
      <w:r>
        <w:rPr>
          <w:rFonts w:hint="eastAsia" w:ascii="宋体" w:hAnsi="宋体" w:eastAsia="宋体" w:cs="宋体"/>
          <w:bCs/>
          <w:sz w:val="52"/>
          <w:szCs w:val="52"/>
        </w:rPr>
        <w:t>东莞市企石镇霞朗村智慧消防监控系统运维服务采购项目</w:t>
      </w:r>
    </w:p>
    <w:p>
      <w:pPr>
        <w:spacing w:before="1092" w:beforeLines="350" w:after="468" w:afterLines="150" w:line="360" w:lineRule="auto"/>
        <w:jc w:val="center"/>
        <w:rPr>
          <w:rFonts w:hint="eastAsia" w:ascii="宋体" w:hAnsi="宋体" w:eastAsia="宋体" w:cs="宋体"/>
          <w:b/>
          <w:bCs/>
          <w:spacing w:val="60"/>
          <w:sz w:val="52"/>
          <w:szCs w:val="52"/>
        </w:rPr>
      </w:pPr>
      <w:r>
        <w:rPr>
          <w:rFonts w:hint="eastAsia" w:ascii="宋体" w:hAnsi="宋体" w:eastAsia="宋体" w:cs="宋体"/>
          <w:b/>
          <w:bCs/>
          <w:spacing w:val="60"/>
          <w:sz w:val="52"/>
          <w:szCs w:val="52"/>
        </w:rPr>
        <w:t>合同文件</w:t>
      </w:r>
    </w:p>
    <w:p>
      <w:pPr>
        <w:spacing w:line="360" w:lineRule="auto"/>
        <w:jc w:val="center"/>
        <w:rPr>
          <w:rFonts w:hint="eastAsia" w:ascii="宋体" w:hAnsi="宋体" w:eastAsia="宋体" w:cs="宋体"/>
          <w:b/>
          <w:bCs/>
          <w:szCs w:val="21"/>
        </w:rPr>
      </w:pPr>
      <w:r>
        <w:rPr>
          <w:rFonts w:hint="eastAsia" w:ascii="宋体" w:hAnsi="宋体" w:eastAsia="宋体" w:cs="宋体"/>
          <w:b/>
          <w:bCs/>
          <w:szCs w:val="21"/>
        </w:rPr>
        <w:t>（合同编号：</w:t>
      </w:r>
      <w:r>
        <w:rPr>
          <w:rFonts w:hint="eastAsia" w:ascii="宋体" w:hAnsi="宋体" w:eastAsia="宋体" w:cs="宋体"/>
          <w:b/>
          <w:bCs/>
          <w:szCs w:val="21"/>
          <w:u w:val="single"/>
        </w:rPr>
        <w:t xml:space="preserve"> ZHDGZC2025045</w:t>
      </w:r>
      <w:r>
        <w:rPr>
          <w:rFonts w:hint="eastAsia" w:ascii="宋体" w:hAnsi="宋体" w:eastAsia="宋体" w:cs="宋体"/>
          <w:b/>
          <w:bCs/>
          <w:szCs w:val="21"/>
          <w:u w:val="single"/>
          <w:lang w:val="en-US" w:eastAsia="zh-CN"/>
        </w:rPr>
        <w:t xml:space="preserve"> </w:t>
      </w:r>
      <w:r>
        <w:rPr>
          <w:rFonts w:hint="eastAsia" w:ascii="宋体" w:hAnsi="宋体" w:eastAsia="宋体" w:cs="宋体"/>
          <w:b/>
          <w:bCs/>
          <w:szCs w:val="21"/>
        </w:rPr>
        <w:t>）</w:t>
      </w:r>
    </w:p>
    <w:p>
      <w:pPr>
        <w:spacing w:line="360" w:lineRule="auto"/>
        <w:rPr>
          <w:rFonts w:hint="eastAsia" w:ascii="宋体" w:hAnsi="宋体" w:eastAsia="宋体" w:cs="宋体"/>
          <w:b/>
          <w:bCs/>
          <w:szCs w:val="21"/>
        </w:rPr>
      </w:pPr>
    </w:p>
    <w:p>
      <w:pPr>
        <w:spacing w:line="360" w:lineRule="auto"/>
        <w:rPr>
          <w:rFonts w:hint="eastAsia" w:ascii="宋体" w:hAnsi="宋体" w:eastAsia="宋体" w:cs="宋体"/>
          <w:b/>
          <w:bCs/>
          <w:szCs w:val="21"/>
        </w:rPr>
      </w:pPr>
    </w:p>
    <w:p>
      <w:pPr>
        <w:spacing w:line="360" w:lineRule="auto"/>
        <w:rPr>
          <w:rFonts w:hint="eastAsia" w:ascii="宋体" w:hAnsi="宋体" w:eastAsia="宋体" w:cs="宋体"/>
          <w:b/>
          <w:bCs/>
          <w:szCs w:val="21"/>
        </w:rPr>
      </w:pPr>
    </w:p>
    <w:p>
      <w:pPr>
        <w:spacing w:line="360" w:lineRule="auto"/>
        <w:rPr>
          <w:rFonts w:hint="eastAsia" w:ascii="宋体" w:hAnsi="宋体" w:eastAsia="宋体" w:cs="宋体"/>
          <w:b/>
          <w:bCs/>
          <w:szCs w:val="21"/>
        </w:rPr>
      </w:pPr>
    </w:p>
    <w:tbl>
      <w:tblPr>
        <w:tblStyle w:val="23"/>
        <w:tblW w:w="731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49"/>
        <w:gridCol w:w="4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0" w:hRule="atLeast"/>
          <w:jc w:val="center"/>
        </w:trPr>
        <w:tc>
          <w:tcPr>
            <w:tcW w:w="2349" w:type="dxa"/>
          </w:tcPr>
          <w:p>
            <w:pPr>
              <w:spacing w:line="360" w:lineRule="auto"/>
              <w:rPr>
                <w:rFonts w:hint="eastAsia" w:ascii="宋体" w:hAnsi="宋体" w:eastAsia="宋体" w:cs="宋体"/>
                <w:b/>
                <w:bCs/>
                <w:sz w:val="28"/>
                <w:szCs w:val="28"/>
              </w:rPr>
            </w:pPr>
          </w:p>
          <w:p>
            <w:pPr>
              <w:spacing w:line="360" w:lineRule="auto"/>
              <w:rPr>
                <w:rFonts w:hint="eastAsia" w:ascii="宋体" w:hAnsi="宋体" w:eastAsia="宋体" w:cs="宋体"/>
                <w:b/>
                <w:bCs/>
                <w:sz w:val="28"/>
                <w:szCs w:val="28"/>
              </w:rPr>
            </w:pPr>
            <w:r>
              <w:rPr>
                <w:rFonts w:hint="eastAsia" w:ascii="宋体" w:hAnsi="宋体" w:eastAsia="宋体" w:cs="宋体"/>
                <w:b/>
                <w:bCs/>
                <w:sz w:val="28"/>
                <w:szCs w:val="28"/>
              </w:rPr>
              <w:t>甲方（采购人）：</w:t>
            </w:r>
          </w:p>
        </w:tc>
        <w:tc>
          <w:tcPr>
            <w:tcW w:w="4961" w:type="dxa"/>
          </w:tcPr>
          <w:p>
            <w:pPr>
              <w:spacing w:line="360" w:lineRule="auto"/>
              <w:rPr>
                <w:rFonts w:hint="eastAsia" w:ascii="宋体" w:hAnsi="宋体" w:eastAsia="宋体" w:cs="宋体"/>
                <w:b/>
                <w:bCs/>
                <w:sz w:val="28"/>
                <w:szCs w:val="28"/>
                <w:u w:val="single"/>
              </w:rPr>
            </w:pPr>
          </w:p>
          <w:p>
            <w:pPr>
              <w:spacing w:line="360" w:lineRule="auto"/>
              <w:rPr>
                <w:rFonts w:hint="eastAsia" w:ascii="宋体" w:hAnsi="宋体" w:eastAsia="宋体" w:cs="宋体"/>
                <w:b/>
                <w:bCs/>
                <w:sz w:val="28"/>
                <w:szCs w:val="28"/>
                <w:u w:val="single"/>
              </w:rPr>
            </w:pPr>
            <w:r>
              <w:rPr>
                <w:rFonts w:hint="eastAsia" w:ascii="宋体" w:hAnsi="宋体" w:eastAsia="宋体" w:cs="宋体"/>
                <w:b/>
                <w:bCs/>
                <w:sz w:val="28"/>
                <w:szCs w:val="28"/>
                <w:u w:val="single"/>
              </w:rPr>
              <w:t xml:space="preserve"> 东莞市企石镇霞朗股份经济联合社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8" w:hRule="atLeast"/>
          <w:jc w:val="center"/>
        </w:trPr>
        <w:tc>
          <w:tcPr>
            <w:tcW w:w="2349" w:type="dxa"/>
          </w:tcPr>
          <w:p>
            <w:pPr>
              <w:spacing w:line="360" w:lineRule="auto"/>
              <w:rPr>
                <w:rFonts w:hint="eastAsia" w:ascii="宋体" w:hAnsi="宋体" w:eastAsia="宋体" w:cs="宋体"/>
                <w:b/>
                <w:bCs/>
                <w:sz w:val="28"/>
                <w:szCs w:val="28"/>
              </w:rPr>
            </w:pPr>
          </w:p>
          <w:p>
            <w:pPr>
              <w:spacing w:line="360" w:lineRule="auto"/>
              <w:rPr>
                <w:rFonts w:hint="eastAsia" w:ascii="宋体" w:hAnsi="宋体" w:eastAsia="宋体" w:cs="宋体"/>
                <w:b/>
                <w:bCs/>
                <w:sz w:val="28"/>
                <w:szCs w:val="28"/>
              </w:rPr>
            </w:pPr>
            <w:r>
              <w:rPr>
                <w:rFonts w:hint="eastAsia" w:ascii="宋体" w:hAnsi="宋体" w:eastAsia="宋体" w:cs="宋体"/>
                <w:b/>
                <w:bCs/>
                <w:sz w:val="28"/>
                <w:szCs w:val="28"/>
              </w:rPr>
              <w:t>乙方（成交人）：</w:t>
            </w:r>
          </w:p>
        </w:tc>
        <w:tc>
          <w:tcPr>
            <w:tcW w:w="4961" w:type="dxa"/>
          </w:tcPr>
          <w:p>
            <w:pPr>
              <w:spacing w:line="360" w:lineRule="auto"/>
              <w:rPr>
                <w:rFonts w:hint="eastAsia" w:ascii="宋体" w:hAnsi="宋体" w:eastAsia="宋体" w:cs="宋体"/>
                <w:b/>
                <w:bCs/>
                <w:sz w:val="28"/>
                <w:szCs w:val="28"/>
                <w:u w:val="single"/>
              </w:rPr>
            </w:pPr>
          </w:p>
          <w:p>
            <w:pPr>
              <w:spacing w:line="360" w:lineRule="auto"/>
              <w:rPr>
                <w:rFonts w:hint="eastAsia" w:ascii="宋体" w:hAnsi="宋体" w:eastAsia="宋体" w:cs="宋体"/>
                <w:b/>
                <w:bCs/>
                <w:sz w:val="28"/>
                <w:szCs w:val="28"/>
                <w:u w:val="single"/>
              </w:rPr>
            </w:pPr>
            <w:r>
              <w:rPr>
                <w:rFonts w:hint="eastAsia" w:ascii="宋体" w:hAnsi="宋体" w:eastAsia="宋体" w:cs="宋体"/>
                <w:b/>
                <w:bCs/>
                <w:sz w:val="28"/>
                <w:szCs w:val="28"/>
                <w:u w:val="single"/>
              </w:rPr>
              <w:t xml:space="preserve"> </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bCs/>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6" w:hRule="atLeast"/>
          <w:jc w:val="center"/>
        </w:trPr>
        <w:tc>
          <w:tcPr>
            <w:tcW w:w="2349" w:type="dxa"/>
          </w:tcPr>
          <w:p>
            <w:pPr>
              <w:spacing w:line="360" w:lineRule="auto"/>
              <w:rPr>
                <w:rFonts w:hint="eastAsia" w:ascii="宋体" w:hAnsi="宋体" w:eastAsia="宋体" w:cs="宋体"/>
                <w:b/>
                <w:bCs/>
                <w:spacing w:val="9"/>
                <w:sz w:val="28"/>
                <w:szCs w:val="28"/>
              </w:rPr>
            </w:pPr>
          </w:p>
          <w:p>
            <w:pPr>
              <w:spacing w:line="360" w:lineRule="auto"/>
              <w:rPr>
                <w:rFonts w:hint="eastAsia" w:ascii="宋体" w:hAnsi="宋体" w:eastAsia="宋体" w:cs="宋体"/>
                <w:b/>
                <w:bCs/>
                <w:spacing w:val="9"/>
                <w:sz w:val="28"/>
                <w:szCs w:val="28"/>
              </w:rPr>
            </w:pPr>
            <w:r>
              <w:rPr>
                <w:rFonts w:hint="eastAsia" w:ascii="宋体" w:hAnsi="宋体" w:eastAsia="宋体" w:cs="宋体"/>
                <w:b/>
                <w:bCs/>
                <w:spacing w:val="9"/>
                <w:sz w:val="28"/>
                <w:szCs w:val="28"/>
              </w:rPr>
              <w:t>协议签订时间：</w:t>
            </w:r>
          </w:p>
        </w:tc>
        <w:tc>
          <w:tcPr>
            <w:tcW w:w="4961" w:type="dxa"/>
          </w:tcPr>
          <w:p>
            <w:pPr>
              <w:spacing w:line="360" w:lineRule="auto"/>
              <w:rPr>
                <w:rFonts w:hint="eastAsia" w:ascii="宋体" w:hAnsi="宋体" w:eastAsia="宋体" w:cs="宋体"/>
                <w:b/>
                <w:bCs/>
                <w:sz w:val="28"/>
                <w:szCs w:val="28"/>
                <w:u w:val="single"/>
              </w:rPr>
            </w:pPr>
          </w:p>
          <w:p>
            <w:pPr>
              <w:spacing w:line="360" w:lineRule="auto"/>
              <w:rPr>
                <w:rFonts w:hint="eastAsia" w:ascii="宋体" w:hAnsi="宋体" w:eastAsia="宋体" w:cs="宋体"/>
                <w:b/>
                <w:bCs/>
                <w:sz w:val="28"/>
                <w:szCs w:val="28"/>
                <w:u w:val="single"/>
              </w:rPr>
            </w:pPr>
            <w:r>
              <w:rPr>
                <w:rFonts w:hint="eastAsia" w:ascii="宋体" w:hAnsi="宋体" w:eastAsia="宋体" w:cs="宋体"/>
                <w:b/>
                <w:bCs/>
                <w:sz w:val="28"/>
                <w:szCs w:val="28"/>
                <w:u w:val="single"/>
              </w:rPr>
              <w:t xml:space="preserve">        </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bCs/>
                <w:sz w:val="28"/>
                <w:szCs w:val="28"/>
                <w:u w:val="single"/>
                <w:lang w:eastAsia="zh-CN"/>
              </w:rPr>
              <w:t>年</w:t>
            </w:r>
            <w:r>
              <w:rPr>
                <w:rFonts w:hint="eastAsia" w:ascii="宋体" w:hAnsi="宋体" w:eastAsia="宋体" w:cs="宋体"/>
                <w:b/>
                <w:bCs/>
                <w:sz w:val="28"/>
                <w:szCs w:val="28"/>
                <w:u w:val="single"/>
                <w:lang w:val="en-US" w:eastAsia="zh-CN"/>
              </w:rPr>
              <w:t xml:space="preserve">     月     日</w:t>
            </w:r>
            <w:r>
              <w:rPr>
                <w:rFonts w:hint="eastAsia" w:ascii="宋体" w:hAnsi="宋体" w:eastAsia="宋体" w:cs="宋体"/>
                <w:b/>
                <w:bCs/>
                <w:sz w:val="28"/>
                <w:szCs w:val="28"/>
                <w:u w:val="single"/>
              </w:rPr>
              <w:t xml:space="preserve">                                  </w:t>
            </w:r>
          </w:p>
        </w:tc>
      </w:tr>
    </w:tbl>
    <w:p>
      <w:pPr>
        <w:spacing w:line="360" w:lineRule="auto"/>
        <w:rPr>
          <w:rFonts w:hint="eastAsia" w:ascii="宋体" w:hAnsi="宋体" w:eastAsia="宋体" w:cs="宋体"/>
          <w:b/>
          <w:bCs/>
          <w:szCs w:val="21"/>
        </w:rPr>
      </w:pPr>
    </w:p>
    <w:p>
      <w:pPr>
        <w:spacing w:line="360" w:lineRule="auto"/>
        <w:rPr>
          <w:rFonts w:hint="eastAsia" w:ascii="宋体" w:hAnsi="宋体" w:eastAsia="宋体" w:cs="宋体"/>
          <w:b/>
          <w:bCs/>
          <w:szCs w:val="21"/>
        </w:rPr>
      </w:pPr>
    </w:p>
    <w:p>
      <w:pPr>
        <w:spacing w:line="360" w:lineRule="auto"/>
        <w:rPr>
          <w:rFonts w:hint="eastAsia" w:ascii="宋体" w:hAnsi="宋体" w:eastAsia="宋体" w:cs="宋体"/>
          <w:b/>
          <w:bCs/>
          <w:szCs w:val="21"/>
        </w:rPr>
      </w:pPr>
    </w:p>
    <w:p>
      <w:pPr>
        <w:tabs>
          <w:tab w:val="left" w:pos="720"/>
        </w:tabs>
        <w:spacing w:line="360" w:lineRule="auto"/>
        <w:jc w:val="center"/>
        <w:rPr>
          <w:rFonts w:hint="eastAsia" w:ascii="宋体" w:hAnsi="宋体" w:eastAsia="宋体" w:cs="宋体"/>
          <w:spacing w:val="20"/>
          <w:sz w:val="28"/>
          <w:szCs w:val="28"/>
        </w:rPr>
      </w:pPr>
      <w:r>
        <w:rPr>
          <w:rFonts w:hint="eastAsia" w:ascii="宋体" w:hAnsi="宋体" w:eastAsia="宋体" w:cs="宋体"/>
          <w:spacing w:val="20"/>
          <w:sz w:val="28"/>
          <w:szCs w:val="28"/>
        </w:rPr>
        <w:t>二〇二</w:t>
      </w:r>
      <w:r>
        <w:rPr>
          <w:rFonts w:hint="eastAsia" w:ascii="宋体" w:hAnsi="宋体" w:eastAsia="宋体" w:cs="宋体"/>
          <w:spacing w:val="20"/>
          <w:sz w:val="28"/>
          <w:szCs w:val="28"/>
          <w:lang w:val="en-US" w:eastAsia="zh-CN"/>
        </w:rPr>
        <w:t>五</w:t>
      </w:r>
      <w:r>
        <w:rPr>
          <w:rFonts w:hint="eastAsia" w:ascii="宋体" w:hAnsi="宋体" w:eastAsia="宋体" w:cs="宋体"/>
          <w:spacing w:val="20"/>
          <w:sz w:val="28"/>
          <w:szCs w:val="28"/>
        </w:rPr>
        <w:t>年</w:t>
      </w:r>
      <w:r>
        <w:rPr>
          <w:rFonts w:hint="eastAsia" w:ascii="宋体" w:hAnsi="宋体" w:eastAsia="宋体" w:cs="宋体"/>
          <w:spacing w:val="20"/>
          <w:sz w:val="28"/>
          <w:szCs w:val="28"/>
          <w:u w:val="single"/>
          <w:lang w:val="en-US" w:eastAsia="zh-CN"/>
        </w:rPr>
        <w:t xml:space="preserve">    </w:t>
      </w:r>
      <w:r>
        <w:rPr>
          <w:rFonts w:hint="eastAsia" w:ascii="宋体" w:hAnsi="宋体" w:eastAsia="宋体" w:cs="宋体"/>
          <w:spacing w:val="20"/>
          <w:sz w:val="28"/>
          <w:szCs w:val="28"/>
        </w:rPr>
        <w:t>月于东莞</w:t>
      </w:r>
    </w:p>
    <w:p>
      <w:pPr>
        <w:pageBreakBefore/>
        <w:spacing w:line="360" w:lineRule="auto"/>
        <w:rPr>
          <w:rFonts w:hint="eastAsia" w:ascii="宋体" w:hAnsi="宋体" w:eastAsia="宋体" w:cs="宋体"/>
          <w:szCs w:val="21"/>
        </w:rPr>
      </w:pPr>
      <w:bookmarkStart w:id="49" w:name="_Toc405313957"/>
      <w:bookmarkStart w:id="50" w:name="_Toc391627753"/>
      <w:bookmarkStart w:id="51" w:name="_Toc521951137"/>
      <w:r>
        <w:rPr>
          <w:rFonts w:hint="eastAsia" w:ascii="宋体" w:hAnsi="宋体" w:eastAsia="宋体" w:cs="宋体"/>
          <w:szCs w:val="21"/>
        </w:rPr>
        <w:t>甲方（采购人）：</w:t>
      </w:r>
      <w:r>
        <w:rPr>
          <w:rFonts w:hint="eastAsia" w:ascii="宋体" w:hAnsi="宋体" w:eastAsia="宋体" w:cs="宋体"/>
          <w:szCs w:val="21"/>
          <w:u w:val="single"/>
        </w:rPr>
        <w:t xml:space="preserve"> 东莞市企石镇霞朗股份经济联合社 </w:t>
      </w:r>
    </w:p>
    <w:p>
      <w:pPr>
        <w:spacing w:line="360" w:lineRule="auto"/>
        <w:rPr>
          <w:rFonts w:hint="eastAsia" w:ascii="宋体" w:hAnsi="宋体" w:eastAsia="宋体" w:cs="宋体"/>
          <w:szCs w:val="21"/>
          <w:lang w:val="en-US" w:eastAsia="zh-CN"/>
        </w:rPr>
      </w:pPr>
      <w:r>
        <w:rPr>
          <w:rFonts w:hint="eastAsia" w:ascii="宋体" w:hAnsi="宋体" w:eastAsia="宋体" w:cs="宋体"/>
          <w:szCs w:val="21"/>
        </w:rPr>
        <w:t>乙方（成交人）：</w:t>
      </w:r>
      <w:r>
        <w:rPr>
          <w:rFonts w:hint="eastAsia" w:ascii="宋体" w:hAnsi="宋体" w:eastAsia="宋体" w:cs="宋体"/>
          <w:szCs w:val="21"/>
          <w:u w:val="single"/>
        </w:rPr>
        <w:t xml:space="preserve"> </w:t>
      </w:r>
      <w:r>
        <w:rPr>
          <w:rFonts w:hint="eastAsia" w:ascii="宋体" w:hAnsi="宋体" w:eastAsia="宋体" w:cs="宋体"/>
          <w:b w:val="0"/>
          <w:bCs w:val="0"/>
          <w:sz w:val="21"/>
          <w:szCs w:val="21"/>
          <w:u w:val="single"/>
          <w:lang w:val="en-US" w:eastAsia="zh-CN"/>
        </w:rPr>
        <w:t xml:space="preserve">                             </w:t>
      </w:r>
      <w:r>
        <w:rPr>
          <w:rFonts w:hint="eastAsia" w:ascii="宋体" w:hAnsi="宋体" w:eastAsia="宋体" w:cs="宋体"/>
          <w:szCs w:val="21"/>
          <w:u w:val="single"/>
          <w:lang w:val="en-US" w:eastAsia="zh-CN"/>
        </w:rPr>
        <w:t xml:space="preserve">  </w:t>
      </w:r>
    </w:p>
    <w:p>
      <w:pPr>
        <w:spacing w:before="312" w:beforeLines="100" w:line="360" w:lineRule="auto"/>
        <w:ind w:firstLine="420" w:firstLineChars="200"/>
        <w:rPr>
          <w:rFonts w:hint="eastAsia" w:ascii="宋体" w:hAnsi="宋体" w:eastAsia="宋体" w:cs="宋体"/>
          <w:szCs w:val="21"/>
        </w:rPr>
      </w:pPr>
      <w:r>
        <w:rPr>
          <w:rFonts w:hint="eastAsia" w:ascii="宋体" w:hAnsi="宋体" w:eastAsia="宋体" w:cs="宋体"/>
          <w:szCs w:val="21"/>
        </w:rPr>
        <w:t>参考《中华人民共和国民法典》及磋商文件、成交通知书等相关资料的要求，经双方协商一致，签订本合同，共同遵守如下条款。</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项目基本情况</w:t>
      </w:r>
    </w:p>
    <w:p>
      <w:pPr>
        <w:numPr>
          <w:ilvl w:val="0"/>
          <w:numId w:val="81"/>
        </w:numPr>
        <w:spacing w:line="360" w:lineRule="auto"/>
        <w:ind w:left="420" w:hanging="420"/>
        <w:rPr>
          <w:rFonts w:hint="eastAsia" w:ascii="宋体" w:hAnsi="宋体" w:eastAsia="宋体" w:cs="宋体"/>
          <w:szCs w:val="21"/>
        </w:rPr>
      </w:pPr>
      <w:r>
        <w:rPr>
          <w:rFonts w:hint="eastAsia" w:ascii="宋体" w:hAnsi="宋体" w:eastAsia="宋体" w:cs="宋体"/>
          <w:szCs w:val="21"/>
        </w:rPr>
        <w:t>项目名称：</w:t>
      </w:r>
      <w:r>
        <w:rPr>
          <w:rFonts w:hint="eastAsia" w:ascii="宋体" w:hAnsi="宋体" w:eastAsia="宋体" w:cs="宋体"/>
          <w:szCs w:val="21"/>
          <w:u w:val="single"/>
        </w:rPr>
        <w:t xml:space="preserve"> 东莞市企石镇霞朗村智慧消防监控系统运维服务采购项目 </w:t>
      </w:r>
    </w:p>
    <w:p>
      <w:pPr>
        <w:numPr>
          <w:ilvl w:val="0"/>
          <w:numId w:val="81"/>
        </w:numPr>
        <w:spacing w:line="420" w:lineRule="exact"/>
        <w:ind w:left="420" w:hanging="420"/>
        <w:rPr>
          <w:rFonts w:hint="eastAsia" w:ascii="宋体" w:hAnsi="宋体" w:eastAsia="宋体" w:cs="宋体"/>
          <w:szCs w:val="21"/>
        </w:rPr>
      </w:pPr>
      <w:r>
        <w:rPr>
          <w:rFonts w:hint="eastAsia" w:ascii="宋体" w:hAnsi="宋体" w:eastAsia="宋体" w:cs="宋体"/>
          <w:szCs w:val="21"/>
        </w:rPr>
        <w:t>合同总价：</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元</w:t>
      </w:r>
      <w:r>
        <w:rPr>
          <w:rFonts w:hint="eastAsia" w:ascii="宋体" w:hAnsi="宋体" w:eastAsia="宋体" w:cs="宋体"/>
          <w:szCs w:val="21"/>
          <w:u w:val="single"/>
          <w:lang w:val="en-US" w:eastAsia="zh-CN"/>
        </w:rPr>
        <w:t xml:space="preserve"> （大写：人民币    ） </w:t>
      </w:r>
    </w:p>
    <w:p>
      <w:pPr>
        <w:spacing w:line="420" w:lineRule="exact"/>
        <w:ind w:left="420"/>
        <w:rPr>
          <w:rFonts w:hint="eastAsia" w:ascii="宋体" w:hAnsi="宋体" w:eastAsia="宋体" w:cs="宋体"/>
          <w:szCs w:val="21"/>
        </w:rPr>
      </w:pPr>
      <w:r>
        <w:rPr>
          <w:rFonts w:hint="eastAsia" w:ascii="宋体" w:hAnsi="宋体" w:eastAsia="宋体" w:cs="宋体"/>
          <w:szCs w:val="21"/>
        </w:rPr>
        <w:t>合同总价包括但包含但不限于保险、税费、人员培训费、服务人员薪金和福利等一切可预见及不可预见等完成本采购项目所需的一切费用。</w:t>
      </w:r>
    </w:p>
    <w:p>
      <w:pPr>
        <w:numPr>
          <w:ilvl w:val="0"/>
          <w:numId w:val="81"/>
        </w:numPr>
        <w:tabs>
          <w:tab w:val="left" w:pos="840"/>
        </w:tabs>
        <w:spacing w:line="420" w:lineRule="exact"/>
        <w:ind w:left="420" w:hanging="420"/>
        <w:rPr>
          <w:rFonts w:hint="eastAsia" w:ascii="宋体" w:hAnsi="宋体" w:eastAsia="宋体" w:cs="宋体"/>
          <w:bCs/>
          <w:szCs w:val="21"/>
        </w:rPr>
      </w:pPr>
      <w:r>
        <w:rPr>
          <w:rFonts w:hint="eastAsia" w:ascii="宋体" w:hAnsi="宋体" w:eastAsia="宋体" w:cs="宋体"/>
          <w:szCs w:val="21"/>
        </w:rPr>
        <w:t>项目地点：</w:t>
      </w:r>
      <w:r>
        <w:rPr>
          <w:rFonts w:hint="eastAsia" w:ascii="宋体" w:hAnsi="宋体" w:eastAsia="宋体" w:cs="宋体"/>
          <w:iCs/>
          <w:szCs w:val="21"/>
        </w:rPr>
        <w:t>甲方指定地点（</w:t>
      </w:r>
      <w:r>
        <w:rPr>
          <w:rFonts w:hint="eastAsia" w:ascii="宋体" w:hAnsi="宋体"/>
          <w:iCs/>
          <w:szCs w:val="21"/>
        </w:rPr>
        <w:t>东莞市企石镇霞朗村内</w:t>
      </w:r>
      <w:r>
        <w:rPr>
          <w:rFonts w:hint="eastAsia" w:ascii="宋体" w:hAnsi="宋体" w:eastAsia="宋体" w:cs="宋体"/>
          <w:iCs/>
          <w:szCs w:val="21"/>
        </w:rPr>
        <w:t>）</w:t>
      </w:r>
    </w:p>
    <w:p>
      <w:pPr>
        <w:numPr>
          <w:ilvl w:val="0"/>
          <w:numId w:val="81"/>
        </w:numPr>
        <w:tabs>
          <w:tab w:val="left" w:pos="840"/>
        </w:tabs>
        <w:spacing w:line="420" w:lineRule="exact"/>
        <w:ind w:left="420" w:hanging="420"/>
        <w:rPr>
          <w:rFonts w:hint="eastAsia" w:ascii="宋体" w:hAnsi="宋体" w:eastAsia="宋体" w:cs="宋体"/>
          <w:bCs/>
          <w:szCs w:val="21"/>
        </w:rPr>
      </w:pPr>
      <w:r>
        <w:rPr>
          <w:rFonts w:hint="eastAsia" w:ascii="宋体" w:hAnsi="宋体" w:eastAsia="宋体" w:cs="宋体"/>
          <w:bCs/>
          <w:szCs w:val="21"/>
        </w:rPr>
        <w:t>服务要求：</w:t>
      </w:r>
    </w:p>
    <w:tbl>
      <w:tblPr>
        <w:tblStyle w:val="22"/>
        <w:tblW w:w="9095" w:type="dxa"/>
        <w:tblInd w:w="0" w:type="dxa"/>
        <w:tblLayout w:type="fixed"/>
        <w:tblCellMar>
          <w:top w:w="0" w:type="dxa"/>
          <w:left w:w="0" w:type="dxa"/>
          <w:bottom w:w="0" w:type="dxa"/>
          <w:right w:w="0" w:type="dxa"/>
        </w:tblCellMar>
      </w:tblPr>
      <w:tblGrid>
        <w:gridCol w:w="564"/>
        <w:gridCol w:w="2402"/>
        <w:gridCol w:w="6129"/>
      </w:tblGrid>
      <w:tr>
        <w:tblPrEx>
          <w:tblLayout w:type="fixed"/>
          <w:tblCellMar>
            <w:top w:w="0" w:type="dxa"/>
            <w:left w:w="0" w:type="dxa"/>
            <w:bottom w:w="0" w:type="dxa"/>
            <w:right w:w="0" w:type="dxa"/>
          </w:tblCellMar>
        </w:tblPrEx>
        <w:trPr>
          <w:trHeight w:val="489"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序号</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服务名称</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服务内容</w:t>
            </w:r>
          </w:p>
        </w:tc>
      </w:tr>
      <w:tr>
        <w:tblPrEx>
          <w:tblLayout w:type="fixed"/>
          <w:tblCellMar>
            <w:top w:w="0" w:type="dxa"/>
            <w:left w:w="0" w:type="dxa"/>
            <w:bottom w:w="0" w:type="dxa"/>
            <w:right w:w="0" w:type="dxa"/>
          </w:tblCellMar>
        </w:tblPrEx>
        <w:trPr>
          <w:trHeight w:val="489"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1</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24小时在线值守</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监控平台24小时不间断进行警情监控。</w:t>
            </w:r>
          </w:p>
        </w:tc>
      </w:tr>
      <w:tr>
        <w:tblPrEx>
          <w:tblLayout w:type="fixed"/>
          <w:tblCellMar>
            <w:top w:w="0" w:type="dxa"/>
            <w:left w:w="0" w:type="dxa"/>
            <w:bottom w:w="0" w:type="dxa"/>
            <w:right w:w="0" w:type="dxa"/>
          </w:tblCellMar>
        </w:tblPrEx>
        <w:trPr>
          <w:trHeight w:val="473"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2</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设备照管</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服务期限内如遇设备缺电、故障维修等问题，</w:t>
            </w:r>
            <w:r>
              <w:rPr>
                <w:rFonts w:hint="eastAsia" w:ascii="宋体" w:hAnsi="宋体" w:eastAsia="宋体" w:cs="宋体"/>
                <w:iCs/>
                <w:szCs w:val="21"/>
              </w:rPr>
              <w:t>乙方</w:t>
            </w:r>
            <w:r>
              <w:rPr>
                <w:rFonts w:hint="eastAsia" w:ascii="宋体" w:hAnsi="宋体" w:eastAsia="宋体" w:cs="宋体"/>
                <w:szCs w:val="21"/>
              </w:rPr>
              <w:t>需保障设备稳定运行并对相关人员进行定期培训。</w:t>
            </w:r>
          </w:p>
        </w:tc>
      </w:tr>
      <w:tr>
        <w:tblPrEx>
          <w:tblLayout w:type="fixed"/>
          <w:tblCellMar>
            <w:top w:w="0" w:type="dxa"/>
            <w:left w:w="0" w:type="dxa"/>
            <w:bottom w:w="0" w:type="dxa"/>
            <w:right w:w="0" w:type="dxa"/>
          </w:tblCellMar>
        </w:tblPrEx>
        <w:trPr>
          <w:trHeight w:val="794"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3</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多方联动及通知服务</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火灾探测报警器一旦报警，</w:t>
            </w:r>
            <w:r>
              <w:rPr>
                <w:rFonts w:hint="eastAsia" w:ascii="宋体" w:hAnsi="宋体" w:eastAsia="宋体" w:cs="宋体"/>
                <w:iCs/>
                <w:szCs w:val="21"/>
              </w:rPr>
              <w:t>乙方</w:t>
            </w:r>
            <w:r>
              <w:rPr>
                <w:rFonts w:hint="eastAsia" w:ascii="宋体" w:hAnsi="宋体" w:eastAsia="宋体" w:cs="宋体"/>
                <w:szCs w:val="21"/>
              </w:rPr>
              <w:t>须通过APP、短信、电话逐级通知巡查层（场所业主、巡查员、安全管理员）管理层（指挥中心、应急办），五方接到信息，对火情早期现场进行快速有效处置。</w:t>
            </w:r>
          </w:p>
        </w:tc>
      </w:tr>
      <w:tr>
        <w:tblPrEx>
          <w:tblLayout w:type="fixed"/>
          <w:tblCellMar>
            <w:top w:w="0" w:type="dxa"/>
            <w:left w:w="0" w:type="dxa"/>
            <w:bottom w:w="0" w:type="dxa"/>
            <w:right w:w="0" w:type="dxa"/>
          </w:tblCellMar>
        </w:tblPrEx>
        <w:trPr>
          <w:trHeight w:val="354"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4</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rPr>
              <w:t>应急响应方案</w:t>
            </w:r>
            <w:r>
              <w:rPr>
                <w:rFonts w:hint="eastAsia" w:ascii="宋体" w:hAnsi="宋体" w:eastAsia="宋体" w:cs="宋体"/>
                <w:szCs w:val="21"/>
              </w:rPr>
              <w:t>及上门服务</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火灾探测报警器发生警报后，若未能联系到场所负责人的情况下，智慧消防服务中心能在最短时间内通知村委安全员上门查看真实火警情况下，智慧消防服务中心通知村委并报119，服务人员紧急赶往现场。</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5</w:t>
            </w:r>
          </w:p>
        </w:tc>
        <w:tc>
          <w:tcPr>
            <w:tcW w:w="2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辅助值机</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对传统消防系统智能化升级，辅助值守。</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6</w:t>
            </w:r>
          </w:p>
        </w:tc>
        <w:tc>
          <w:tcPr>
            <w:tcW w:w="2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值守制度</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iCs/>
                <w:szCs w:val="21"/>
              </w:rPr>
              <w:t>值班人员：2人/每班。乙方</w:t>
            </w:r>
            <w:r>
              <w:rPr>
                <w:rFonts w:hint="eastAsia" w:ascii="宋体" w:hAnsi="宋体" w:eastAsia="宋体" w:cs="宋体"/>
                <w:szCs w:val="21"/>
              </w:rPr>
              <w:t>应具有相关管理制度、报警处置流程，人员按时上岗，不得脱岗、替岗、睡岗，做到7×24小时值守率100%</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7</w:t>
            </w:r>
          </w:p>
        </w:tc>
        <w:tc>
          <w:tcPr>
            <w:tcW w:w="2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设备实时在线率</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设备实时在线率（商铺停业设备停电、剔除场所关门、第三方通信运营商检修等特殊情况）不低于95%</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8</w:t>
            </w:r>
          </w:p>
        </w:tc>
        <w:tc>
          <w:tcPr>
            <w:tcW w:w="2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警情处置要求</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1"/>
              </w:rPr>
              <w:t>接到平台报警信息，1分钟内通过联动的现场视频确认现场情况，同时通过电话联系紧急联系人，双重确认现场情况。报警人工复核率100%；报警事件处置率100%</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9</w:t>
            </w:r>
          </w:p>
        </w:tc>
        <w:tc>
          <w:tcPr>
            <w:tcW w:w="2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4"/>
              </w:rPr>
              <w:t>故障响应时间</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1"/>
              </w:rPr>
            </w:pPr>
            <w:r>
              <w:rPr>
                <w:rFonts w:hint="eastAsia" w:ascii="宋体" w:hAnsi="宋体" w:eastAsia="宋体" w:cs="宋体"/>
                <w:szCs w:val="24"/>
              </w:rPr>
              <w:t>因远程无法处理需现场服务的故障问题，乙方在接到甲方通知后能于</w:t>
            </w:r>
            <w:r>
              <w:rPr>
                <w:rFonts w:hint="eastAsia" w:ascii="宋体" w:hAnsi="宋体" w:eastAsia="宋体" w:cs="宋体"/>
                <w:szCs w:val="24"/>
                <w:u w:val="single"/>
              </w:rPr>
              <w:t xml:space="preserve"> </w:t>
            </w:r>
            <w:r>
              <w:rPr>
                <w:rFonts w:hint="eastAsia" w:ascii="宋体" w:hAnsi="宋体" w:eastAsia="宋体" w:cs="宋体"/>
                <w:szCs w:val="24"/>
                <w:u w:val="single"/>
                <w:lang w:val="en-US" w:eastAsia="zh-CN"/>
              </w:rPr>
              <w:t>2</w:t>
            </w:r>
            <w:r>
              <w:rPr>
                <w:rFonts w:hint="eastAsia" w:ascii="宋体" w:hAnsi="宋体" w:eastAsia="宋体" w:cs="宋体"/>
                <w:szCs w:val="24"/>
                <w:u w:val="single"/>
              </w:rPr>
              <w:t xml:space="preserve"> </w:t>
            </w:r>
            <w:r>
              <w:rPr>
                <w:rFonts w:hint="eastAsia" w:ascii="宋体" w:hAnsi="宋体" w:eastAsia="宋体" w:cs="宋体"/>
                <w:szCs w:val="24"/>
              </w:rPr>
              <w:t>小时内到达</w:t>
            </w:r>
          </w:p>
        </w:tc>
      </w:tr>
      <w:tr>
        <w:tblPrEx>
          <w:tblLayout w:type="fixed"/>
          <w:tblCellMar>
            <w:top w:w="0" w:type="dxa"/>
            <w:left w:w="0" w:type="dxa"/>
            <w:bottom w:w="0" w:type="dxa"/>
            <w:right w:w="0" w:type="dxa"/>
          </w:tblCellMar>
        </w:tblPrEx>
        <w:trPr>
          <w:trHeight w:val="351" w:hRule="atLeast"/>
        </w:trPr>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1"/>
              </w:rPr>
            </w:pPr>
            <w:r>
              <w:rPr>
                <w:rFonts w:hint="eastAsia" w:ascii="宋体" w:hAnsi="宋体" w:eastAsia="宋体" w:cs="宋体"/>
                <w:szCs w:val="21"/>
              </w:rPr>
              <w:t>10</w:t>
            </w:r>
          </w:p>
        </w:tc>
        <w:tc>
          <w:tcPr>
            <w:tcW w:w="2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center"/>
              <w:rPr>
                <w:rFonts w:hint="eastAsia" w:ascii="宋体" w:hAnsi="宋体" w:eastAsia="宋体" w:cs="宋体"/>
                <w:szCs w:val="24"/>
              </w:rPr>
            </w:pPr>
            <w:r>
              <w:rPr>
                <w:rFonts w:hint="eastAsia" w:ascii="宋体" w:hAnsi="宋体" w:eastAsia="宋体" w:cs="宋体"/>
                <w:bCs/>
                <w:color w:val="000000"/>
                <w:szCs w:val="21"/>
              </w:rPr>
              <w:t>质量管控</w:t>
            </w:r>
          </w:p>
        </w:tc>
        <w:tc>
          <w:tcPr>
            <w:tcW w:w="61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contextualSpacing/>
              <w:jc w:val="left"/>
              <w:rPr>
                <w:rFonts w:hint="eastAsia" w:ascii="宋体" w:hAnsi="宋体" w:eastAsia="宋体" w:cs="宋体"/>
                <w:szCs w:val="24"/>
              </w:rPr>
            </w:pPr>
            <w:r>
              <w:rPr>
                <w:rFonts w:hint="eastAsia" w:ascii="宋体" w:hAnsi="宋体" w:eastAsia="宋体" w:cs="宋体"/>
                <w:szCs w:val="24"/>
              </w:rPr>
              <w:t>乙方要提供合理、标准、规范的</w:t>
            </w:r>
            <w:r>
              <w:rPr>
                <w:rFonts w:hint="eastAsia" w:ascii="宋体" w:hAnsi="宋体" w:eastAsia="宋体" w:cs="宋体"/>
                <w:bCs/>
                <w:color w:val="000000"/>
                <w:szCs w:val="21"/>
              </w:rPr>
              <w:t>质量管控方案</w:t>
            </w:r>
          </w:p>
        </w:tc>
      </w:tr>
    </w:tbl>
    <w:p>
      <w:pPr>
        <w:numPr>
          <w:ilvl w:val="0"/>
          <w:numId w:val="81"/>
        </w:numPr>
        <w:tabs>
          <w:tab w:val="left" w:pos="840"/>
        </w:tabs>
        <w:spacing w:line="420" w:lineRule="exact"/>
        <w:ind w:left="420" w:hanging="420"/>
        <w:rPr>
          <w:rFonts w:hint="eastAsia" w:ascii="宋体" w:hAnsi="宋体" w:eastAsia="宋体" w:cs="宋体"/>
          <w:bCs/>
          <w:szCs w:val="21"/>
        </w:rPr>
      </w:pPr>
      <w:r>
        <w:rPr>
          <w:rFonts w:hint="eastAsia" w:ascii="宋体" w:hAnsi="宋体" w:eastAsia="宋体" w:cs="宋体"/>
          <w:bCs/>
          <w:szCs w:val="21"/>
        </w:rPr>
        <w:t>乙方须提供产品维护及电池更换服务。</w:t>
      </w:r>
    </w:p>
    <w:p>
      <w:pPr>
        <w:numPr>
          <w:ilvl w:val="0"/>
          <w:numId w:val="81"/>
        </w:numPr>
        <w:tabs>
          <w:tab w:val="left" w:pos="840"/>
        </w:tabs>
        <w:spacing w:line="420" w:lineRule="exact"/>
        <w:ind w:left="420" w:hanging="420"/>
        <w:rPr>
          <w:rFonts w:hint="eastAsia" w:ascii="宋体" w:hAnsi="宋体" w:eastAsia="宋体" w:cs="宋体"/>
          <w:bCs/>
          <w:szCs w:val="21"/>
        </w:rPr>
      </w:pPr>
      <w:r>
        <w:rPr>
          <w:rFonts w:hint="eastAsia" w:ascii="宋体" w:hAnsi="宋体" w:eastAsia="宋体" w:cs="宋体"/>
          <w:bCs/>
          <w:szCs w:val="21"/>
          <w:lang w:val="en-US" w:eastAsia="zh-CN"/>
        </w:rPr>
        <w:t>乙方</w:t>
      </w:r>
      <w:r>
        <w:rPr>
          <w:rFonts w:hint="eastAsia" w:ascii="宋体" w:hAnsi="宋体" w:eastAsia="宋体" w:cs="宋体"/>
          <w:bCs/>
          <w:szCs w:val="21"/>
        </w:rPr>
        <w:t>所运维的火灾探测报警器设备及辅材配件均能够符合采购要求，并能接入现有的村级平台及大队平台，保证设备正常运行使用，警情监控信息传递真实有效。</w:t>
      </w:r>
    </w:p>
    <w:p>
      <w:pPr>
        <w:numPr>
          <w:ilvl w:val="0"/>
          <w:numId w:val="81"/>
        </w:numPr>
        <w:tabs>
          <w:tab w:val="left" w:pos="840"/>
        </w:tabs>
        <w:spacing w:line="420" w:lineRule="exact"/>
        <w:ind w:left="420" w:hanging="420"/>
        <w:rPr>
          <w:rFonts w:hint="eastAsia" w:ascii="宋体" w:hAnsi="宋体" w:eastAsia="宋体" w:cs="宋体"/>
          <w:bCs/>
          <w:szCs w:val="21"/>
        </w:rPr>
      </w:pPr>
      <w:r>
        <w:rPr>
          <w:rFonts w:hint="eastAsia" w:ascii="宋体" w:hAnsi="宋体" w:eastAsia="宋体" w:cs="宋体"/>
          <w:bCs/>
          <w:szCs w:val="21"/>
        </w:rPr>
        <w:t>服务期：</w:t>
      </w:r>
      <w:r>
        <w:rPr>
          <w:rFonts w:hint="eastAsia" w:ascii="宋体" w:hAnsi="宋体" w:eastAsia="宋体" w:cs="宋体"/>
          <w:color w:val="000000"/>
          <w:szCs w:val="21"/>
        </w:rPr>
        <w:t>自合同签订之日1年。</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lang w:val="en-US" w:eastAsia="zh-CN"/>
        </w:rPr>
        <w:t>总体要求</w:t>
      </w:r>
    </w:p>
    <w:p>
      <w:pPr>
        <w:numPr>
          <w:ilvl w:val="0"/>
          <w:numId w:val="82"/>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乙方须根据</w:t>
      </w:r>
      <w:r>
        <w:rPr>
          <w:rFonts w:hint="eastAsia" w:asciiTheme="minorEastAsia" w:hAnsiTheme="minorEastAsia" w:eastAsiaTheme="minorEastAsia" w:cstheme="minorEastAsia"/>
          <w:bCs/>
          <w:color w:val="000000"/>
          <w:szCs w:val="21"/>
          <w:lang w:bidi="ar"/>
        </w:rPr>
        <w:t>符合项目实际情况</w:t>
      </w:r>
      <w:r>
        <w:rPr>
          <w:rFonts w:hint="eastAsia" w:ascii="宋体" w:hAnsi="宋体"/>
          <w:szCs w:val="21"/>
          <w:lang w:val="en-US" w:eastAsia="zh-CN"/>
        </w:rPr>
        <w:t>进行</w:t>
      </w:r>
      <w:r>
        <w:rPr>
          <w:rFonts w:hint="eastAsia" w:asciiTheme="minorEastAsia" w:hAnsiTheme="minorEastAsia" w:eastAsiaTheme="minorEastAsia" w:cstheme="minorEastAsia"/>
          <w:bCs/>
          <w:color w:val="000000"/>
          <w:szCs w:val="21"/>
          <w:lang w:bidi="ar"/>
        </w:rPr>
        <w:t>重点难点的分析</w:t>
      </w:r>
      <w:r>
        <w:rPr>
          <w:rFonts w:hint="eastAsia" w:asciiTheme="minorEastAsia" w:hAnsiTheme="minorEastAsia" w:eastAsiaTheme="minorEastAsia" w:cstheme="minorEastAsia"/>
          <w:bCs/>
          <w:color w:val="000000"/>
          <w:szCs w:val="21"/>
          <w:lang w:val="en-US" w:eastAsia="zh-CN" w:bidi="ar"/>
        </w:rPr>
        <w:t>并提出合理的建议方案。</w:t>
      </w:r>
    </w:p>
    <w:p>
      <w:pPr>
        <w:numPr>
          <w:ilvl w:val="0"/>
          <w:numId w:val="82"/>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乙方须制定</w:t>
      </w:r>
      <w:r>
        <w:rPr>
          <w:rFonts w:hint="eastAsia" w:asciiTheme="minorEastAsia" w:hAnsiTheme="minorEastAsia" w:eastAsiaTheme="minorEastAsia" w:cstheme="minorEastAsia"/>
          <w:szCs w:val="21"/>
        </w:rPr>
        <w:t>项目实施方案</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确定工作流程，贴合项目实际。</w:t>
      </w:r>
    </w:p>
    <w:p>
      <w:pPr>
        <w:numPr>
          <w:ilvl w:val="0"/>
          <w:numId w:val="82"/>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乙方须制定</w:t>
      </w:r>
      <w:r>
        <w:rPr>
          <w:rFonts w:hint="eastAsia" w:asciiTheme="minorEastAsia" w:hAnsiTheme="minorEastAsia" w:eastAsiaTheme="minorEastAsia" w:cstheme="minorEastAsia"/>
          <w:bCs/>
          <w:color w:val="000000"/>
          <w:szCs w:val="21"/>
          <w:lang w:bidi="ar"/>
        </w:rPr>
        <w:t>服务质量保障措施</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bCs/>
          <w:color w:val="000000"/>
          <w:szCs w:val="21"/>
          <w:lang w:val="en-US" w:eastAsia="zh-CN" w:bidi="ar"/>
        </w:rPr>
        <w:t>保证项目的顺利实施。</w:t>
      </w:r>
    </w:p>
    <w:p>
      <w:pPr>
        <w:numPr>
          <w:ilvl w:val="0"/>
          <w:numId w:val="82"/>
        </w:numPr>
        <w:tabs>
          <w:tab w:val="left" w:pos="420"/>
        </w:tabs>
        <w:snapToGrid w:val="0"/>
        <w:spacing w:line="360" w:lineRule="auto"/>
        <w:ind w:left="425" w:leftChars="0" w:hanging="425" w:firstLineChars="0"/>
        <w:contextualSpacing/>
        <w:rPr>
          <w:rFonts w:ascii="宋体" w:hAnsi="宋体"/>
          <w:szCs w:val="21"/>
        </w:rPr>
      </w:pPr>
      <w:r>
        <w:rPr>
          <w:rFonts w:hint="eastAsia" w:ascii="宋体" w:hAnsi="宋体"/>
          <w:szCs w:val="21"/>
          <w:lang w:val="en-US" w:eastAsia="zh-CN"/>
        </w:rPr>
        <w:t>乙方须制定</w:t>
      </w:r>
      <w:r>
        <w:rPr>
          <w:rFonts w:hint="eastAsia" w:asciiTheme="minorEastAsia" w:hAnsiTheme="minorEastAsia" w:eastAsiaTheme="minorEastAsia" w:cstheme="minorEastAsia"/>
          <w:bCs/>
          <w:color w:val="000000"/>
          <w:szCs w:val="21"/>
          <w:lang w:bidi="ar"/>
        </w:rPr>
        <w:t>应急方案</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color w:val="000000"/>
          <w:szCs w:val="21"/>
          <w:lang w:bidi="ar"/>
        </w:rPr>
        <w:t>包括但不限于服务期内缺少</w:t>
      </w:r>
      <w:r>
        <w:rPr>
          <w:rFonts w:hint="eastAsia" w:asciiTheme="minorEastAsia" w:hAnsiTheme="minorEastAsia" w:eastAsiaTheme="minorEastAsia" w:cstheme="minorEastAsia"/>
          <w:color w:val="000000"/>
          <w:szCs w:val="21"/>
          <w:lang w:val="en-US" w:eastAsia="zh-CN" w:bidi="ar"/>
        </w:rPr>
        <w:t>服务</w:t>
      </w:r>
      <w:r>
        <w:rPr>
          <w:rFonts w:hint="eastAsia" w:asciiTheme="minorEastAsia" w:hAnsiTheme="minorEastAsia" w:eastAsiaTheme="minorEastAsia" w:cstheme="minorEastAsia"/>
          <w:color w:val="000000"/>
          <w:szCs w:val="21"/>
          <w:lang w:bidi="ar"/>
        </w:rPr>
        <w:t>人员、突发性事件保障措施及方案等</w:t>
      </w:r>
      <w:r>
        <w:rPr>
          <w:rFonts w:hint="eastAsia" w:asciiTheme="minorEastAsia" w:hAnsiTheme="minorEastAsia" w:eastAsiaTheme="minorEastAsia" w:cstheme="minorEastAsia"/>
          <w:color w:val="000000"/>
          <w:szCs w:val="21"/>
          <w:lang w:eastAsia="zh-CN" w:bidi="ar"/>
        </w:rPr>
        <w:t>。</w:t>
      </w:r>
      <w:r>
        <w:rPr>
          <w:rFonts w:hint="eastAsia" w:asciiTheme="minorEastAsia" w:hAnsiTheme="minorEastAsia" w:eastAsiaTheme="minorEastAsia" w:cstheme="minorEastAsia"/>
          <w:color w:val="000000"/>
          <w:szCs w:val="21"/>
          <w:lang w:val="en-US" w:eastAsia="zh-CN" w:bidi="ar"/>
        </w:rPr>
        <w:t>保障</w:t>
      </w:r>
      <w:r>
        <w:rPr>
          <w:rFonts w:hint="eastAsia" w:asciiTheme="minorEastAsia" w:hAnsiTheme="minorEastAsia" w:eastAsiaTheme="minorEastAsia" w:cstheme="minorEastAsia"/>
          <w:color w:val="000000"/>
          <w:szCs w:val="21"/>
          <w:lang w:eastAsia="zh-CN" w:bidi="ar"/>
        </w:rPr>
        <w:t>项目正常运行。</w:t>
      </w:r>
    </w:p>
    <w:p>
      <w:pPr>
        <w:numPr>
          <w:ilvl w:val="0"/>
          <w:numId w:val="82"/>
        </w:numPr>
        <w:tabs>
          <w:tab w:val="left" w:pos="420"/>
        </w:tabs>
        <w:snapToGrid w:val="0"/>
        <w:spacing w:line="360" w:lineRule="auto"/>
        <w:ind w:left="425" w:leftChars="0" w:hanging="425" w:firstLineChars="0"/>
        <w:contextualSpacing/>
        <w:rPr>
          <w:rFonts w:hint="eastAsia" w:ascii="宋体" w:hAnsi="宋体" w:eastAsia="宋体" w:cs="宋体"/>
          <w:b/>
          <w:szCs w:val="21"/>
        </w:rPr>
      </w:pPr>
      <w:r>
        <w:rPr>
          <w:rFonts w:hint="eastAsia" w:ascii="宋体" w:hAnsi="宋体"/>
          <w:szCs w:val="21"/>
          <w:lang w:val="en-US" w:eastAsia="zh-CN"/>
        </w:rPr>
        <w:t>乙方须制定</w:t>
      </w:r>
      <w:r>
        <w:rPr>
          <w:rFonts w:hint="eastAsia" w:asciiTheme="minorEastAsia" w:hAnsiTheme="minorEastAsia" w:eastAsiaTheme="minorEastAsia" w:cstheme="minorEastAsia"/>
          <w:bCs/>
          <w:color w:val="000000"/>
          <w:szCs w:val="21"/>
          <w:lang w:bidi="ar"/>
        </w:rPr>
        <w:t>项目组织架构方案</w:t>
      </w:r>
      <w:r>
        <w:rPr>
          <w:rFonts w:hint="eastAsia" w:asciiTheme="minorEastAsia" w:hAnsiTheme="minorEastAsia" w:eastAsiaTheme="minorEastAsia" w:cstheme="minorEastAsia"/>
          <w:bCs/>
          <w:color w:val="000000"/>
          <w:szCs w:val="21"/>
          <w:lang w:eastAsia="zh-CN" w:bidi="ar"/>
        </w:rPr>
        <w:t>，</w:t>
      </w:r>
      <w:r>
        <w:rPr>
          <w:rFonts w:hint="eastAsia" w:asciiTheme="minorEastAsia" w:hAnsiTheme="minorEastAsia" w:eastAsiaTheme="minorEastAsia" w:cstheme="minorEastAsia"/>
          <w:bCs/>
          <w:color w:val="000000"/>
          <w:szCs w:val="21"/>
          <w:lang w:val="en-US" w:eastAsia="zh-CN" w:bidi="ar"/>
        </w:rPr>
        <w:t>确认</w:t>
      </w:r>
      <w:r>
        <w:rPr>
          <w:rFonts w:hint="eastAsia" w:asciiTheme="minorEastAsia" w:hAnsiTheme="minorEastAsia" w:eastAsiaTheme="minorEastAsia" w:cstheme="minorEastAsia"/>
          <w:color w:val="000000"/>
          <w:szCs w:val="21"/>
          <w:lang w:bidi="ar"/>
        </w:rPr>
        <w:t>岗位责任制</w:t>
      </w:r>
      <w:r>
        <w:rPr>
          <w:rFonts w:hint="eastAsia" w:asciiTheme="minorEastAsia" w:hAnsiTheme="minorEastAsia" w:eastAsiaTheme="minorEastAsia" w:cstheme="minorEastAsia"/>
          <w:color w:val="000000"/>
          <w:szCs w:val="21"/>
          <w:lang w:eastAsia="zh-CN" w:bidi="ar"/>
        </w:rPr>
        <w:t>，</w:t>
      </w:r>
      <w:r>
        <w:rPr>
          <w:rFonts w:hint="eastAsia" w:asciiTheme="minorEastAsia" w:hAnsiTheme="minorEastAsia" w:eastAsiaTheme="minorEastAsia" w:cstheme="minorEastAsia"/>
          <w:color w:val="000000"/>
          <w:szCs w:val="21"/>
          <w:lang w:bidi="ar"/>
        </w:rPr>
        <w:t>能全面高效地完成本项目</w:t>
      </w:r>
      <w:r>
        <w:rPr>
          <w:rFonts w:hint="eastAsia" w:asciiTheme="minorEastAsia" w:hAnsiTheme="minorEastAsia" w:eastAsiaTheme="minorEastAsia" w:cstheme="minorEastAsia"/>
          <w:color w:val="000000"/>
          <w:szCs w:val="21"/>
          <w:lang w:eastAsia="zh-CN" w:bidi="ar"/>
        </w:rPr>
        <w:t>。</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双方权利义务</w:t>
      </w:r>
    </w:p>
    <w:p>
      <w:pPr>
        <w:numPr>
          <w:ilvl w:val="0"/>
          <w:numId w:val="83"/>
        </w:numPr>
        <w:spacing w:line="360" w:lineRule="auto"/>
        <w:ind w:left="420" w:hanging="420"/>
        <w:rPr>
          <w:rFonts w:hint="eastAsia" w:ascii="宋体" w:hAnsi="宋体" w:eastAsia="宋体" w:cs="宋体"/>
          <w:b/>
          <w:szCs w:val="21"/>
        </w:rPr>
      </w:pPr>
      <w:r>
        <w:rPr>
          <w:rFonts w:hint="eastAsia" w:ascii="宋体" w:hAnsi="宋体" w:eastAsia="宋体" w:cs="宋体"/>
          <w:b/>
          <w:szCs w:val="21"/>
        </w:rPr>
        <w:t>甲方权力和义务</w:t>
      </w:r>
    </w:p>
    <w:p>
      <w:pPr>
        <w:numPr>
          <w:ilvl w:val="1"/>
          <w:numId w:val="84"/>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验收乙方提供的合同货物。</w:t>
      </w:r>
    </w:p>
    <w:p>
      <w:pPr>
        <w:numPr>
          <w:ilvl w:val="1"/>
          <w:numId w:val="84"/>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审批</w:t>
      </w:r>
      <w:r>
        <w:rPr>
          <w:rFonts w:hint="eastAsia" w:ascii="宋体" w:hAnsi="宋体" w:eastAsia="宋体" w:cs="宋体"/>
          <w:bCs/>
          <w:szCs w:val="21"/>
        </w:rPr>
        <w:t>乙方提交的关于项目的</w:t>
      </w:r>
      <w:r>
        <w:rPr>
          <w:rFonts w:hint="eastAsia" w:ascii="宋体" w:hAnsi="宋体" w:eastAsia="宋体" w:cs="宋体"/>
          <w:szCs w:val="21"/>
        </w:rPr>
        <w:t>实施组织方案。</w:t>
      </w:r>
    </w:p>
    <w:p>
      <w:pPr>
        <w:numPr>
          <w:ilvl w:val="1"/>
          <w:numId w:val="84"/>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监督、指导乙方进行</w:t>
      </w:r>
      <w:r>
        <w:rPr>
          <w:rFonts w:hint="eastAsia" w:ascii="宋体" w:hAnsi="宋体" w:eastAsia="宋体" w:cs="宋体"/>
          <w:bCs/>
          <w:szCs w:val="21"/>
        </w:rPr>
        <w:t>服务</w:t>
      </w:r>
      <w:r>
        <w:rPr>
          <w:rFonts w:hint="eastAsia" w:ascii="宋体" w:hAnsi="宋体" w:eastAsia="宋体" w:cs="宋体"/>
          <w:szCs w:val="21"/>
        </w:rPr>
        <w:t>实施工作，具有及时纠正出现问题的权利。</w:t>
      </w:r>
    </w:p>
    <w:p>
      <w:pPr>
        <w:numPr>
          <w:ilvl w:val="1"/>
          <w:numId w:val="84"/>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协调</w:t>
      </w:r>
      <w:r>
        <w:rPr>
          <w:rFonts w:hint="eastAsia" w:ascii="宋体" w:hAnsi="宋体" w:eastAsia="宋体" w:cs="宋体"/>
          <w:bCs/>
          <w:szCs w:val="21"/>
        </w:rPr>
        <w:t>乙方工作</w:t>
      </w:r>
      <w:r>
        <w:rPr>
          <w:rFonts w:hint="eastAsia" w:ascii="宋体" w:hAnsi="宋体" w:eastAsia="宋体" w:cs="宋体"/>
          <w:szCs w:val="21"/>
        </w:rPr>
        <w:t>，对乙方需要协调解决的问题，甲方应采取积极态度予以处理。</w:t>
      </w:r>
    </w:p>
    <w:p>
      <w:pPr>
        <w:numPr>
          <w:ilvl w:val="1"/>
          <w:numId w:val="84"/>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在乙方提供服务时，如对甲方的设备造成了损坏，甲方有权要求乙方赔偿。</w:t>
      </w:r>
    </w:p>
    <w:p>
      <w:pPr>
        <w:numPr>
          <w:ilvl w:val="1"/>
          <w:numId w:val="84"/>
        </w:numPr>
        <w:tabs>
          <w:tab w:val="left" w:pos="1456"/>
        </w:tabs>
        <w:spacing w:line="360" w:lineRule="auto"/>
        <w:ind w:left="426"/>
        <w:rPr>
          <w:rFonts w:hint="eastAsia" w:ascii="宋体" w:hAnsi="宋体" w:eastAsia="宋体" w:cs="宋体"/>
          <w:szCs w:val="21"/>
        </w:rPr>
      </w:pPr>
      <w:r>
        <w:rPr>
          <w:rFonts w:hint="eastAsia" w:ascii="宋体" w:hAnsi="宋体" w:eastAsia="宋体" w:cs="宋体"/>
          <w:szCs w:val="21"/>
        </w:rPr>
        <w:t>磋商文件和响应文件约定的甲方其余权利义务。</w:t>
      </w:r>
    </w:p>
    <w:p>
      <w:pPr>
        <w:numPr>
          <w:ilvl w:val="0"/>
          <w:numId w:val="83"/>
        </w:numPr>
        <w:spacing w:line="360" w:lineRule="auto"/>
        <w:ind w:left="420" w:hanging="420"/>
        <w:rPr>
          <w:rFonts w:hint="eastAsia" w:ascii="宋体" w:hAnsi="宋体" w:eastAsia="宋体" w:cs="宋体"/>
          <w:b/>
          <w:szCs w:val="21"/>
        </w:rPr>
      </w:pPr>
      <w:r>
        <w:rPr>
          <w:rFonts w:hint="eastAsia" w:ascii="宋体" w:hAnsi="宋体" w:eastAsia="宋体" w:cs="宋体"/>
          <w:b/>
          <w:szCs w:val="21"/>
        </w:rPr>
        <w:t>乙方权力和义务</w:t>
      </w:r>
    </w:p>
    <w:p>
      <w:pPr>
        <w:numPr>
          <w:ilvl w:val="1"/>
          <w:numId w:val="85"/>
        </w:numPr>
        <w:tabs>
          <w:tab w:val="left" w:pos="1456"/>
        </w:tabs>
        <w:spacing w:line="420" w:lineRule="exact"/>
        <w:ind w:left="426"/>
        <w:rPr>
          <w:rFonts w:hint="eastAsia" w:ascii="宋体" w:hAnsi="宋体" w:eastAsia="宋体" w:cs="宋体"/>
          <w:bCs/>
          <w:szCs w:val="21"/>
        </w:rPr>
      </w:pPr>
      <w:r>
        <w:rPr>
          <w:rFonts w:hint="eastAsia" w:ascii="宋体" w:hAnsi="宋体" w:eastAsia="宋体" w:cs="宋体"/>
          <w:szCs w:val="21"/>
        </w:rPr>
        <w:t>乙方应按磋商文件的要求和响应文件的承诺进行服务，发生任何服务的变更均须向甲方提出交书面报审报告。</w:t>
      </w:r>
    </w:p>
    <w:p>
      <w:pPr>
        <w:numPr>
          <w:ilvl w:val="1"/>
          <w:numId w:val="85"/>
        </w:numPr>
        <w:tabs>
          <w:tab w:val="left" w:pos="1456"/>
        </w:tabs>
        <w:spacing w:line="420" w:lineRule="exact"/>
        <w:ind w:left="426"/>
        <w:rPr>
          <w:rFonts w:hint="eastAsia" w:ascii="宋体" w:hAnsi="宋体" w:eastAsia="宋体" w:cs="宋体"/>
          <w:bCs/>
          <w:szCs w:val="21"/>
        </w:rPr>
      </w:pPr>
      <w:r>
        <w:rPr>
          <w:rFonts w:hint="eastAsia" w:ascii="宋体" w:hAnsi="宋体" w:eastAsia="宋体" w:cs="宋体"/>
          <w:bCs/>
          <w:szCs w:val="21"/>
        </w:rPr>
        <w:t>在满足磋商文件的前提下，严格按照其响应文件的</w:t>
      </w:r>
      <w:r>
        <w:rPr>
          <w:rFonts w:hint="eastAsia" w:ascii="宋体" w:hAnsi="宋体" w:eastAsia="宋体" w:cs="宋体"/>
          <w:szCs w:val="21"/>
        </w:rPr>
        <w:t>实施组织方案</w:t>
      </w:r>
      <w:r>
        <w:rPr>
          <w:rFonts w:hint="eastAsia" w:ascii="宋体" w:hAnsi="宋体" w:eastAsia="宋体" w:cs="宋体"/>
          <w:bCs/>
          <w:szCs w:val="21"/>
        </w:rPr>
        <w:t>进行服务。</w:t>
      </w:r>
    </w:p>
    <w:p>
      <w:pPr>
        <w:numPr>
          <w:ilvl w:val="1"/>
          <w:numId w:val="85"/>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在组织实施服务过程中，遵守有关安全生产管理规定，严格按相关安全标准组织实施，采取必要的安全防护措施，消除事故隐患。由于乙方安全措施不力造成事故的责任和因此发生的费用，由乙方承担。</w:t>
      </w:r>
    </w:p>
    <w:p>
      <w:pPr>
        <w:numPr>
          <w:ilvl w:val="1"/>
          <w:numId w:val="85"/>
        </w:numPr>
        <w:tabs>
          <w:tab w:val="left" w:pos="1456"/>
        </w:tabs>
        <w:spacing w:line="420" w:lineRule="exact"/>
        <w:ind w:left="426"/>
        <w:rPr>
          <w:rFonts w:hint="eastAsia" w:ascii="宋体" w:hAnsi="宋体" w:eastAsia="宋体" w:cs="宋体"/>
          <w:szCs w:val="21"/>
        </w:rPr>
      </w:pPr>
      <w:r>
        <w:rPr>
          <w:rFonts w:hint="eastAsia" w:ascii="宋体" w:hAnsi="宋体" w:eastAsia="宋体" w:cs="宋体"/>
          <w:bCs/>
          <w:szCs w:val="21"/>
        </w:rPr>
        <w:t>做好服务现场设施的保护，若乙方防护不力而造成一切责任及经济损失由乙方承担；</w:t>
      </w:r>
    </w:p>
    <w:p>
      <w:pPr>
        <w:numPr>
          <w:ilvl w:val="1"/>
          <w:numId w:val="85"/>
        </w:numPr>
        <w:tabs>
          <w:tab w:val="left" w:pos="1456"/>
        </w:tabs>
        <w:spacing w:line="420" w:lineRule="exact"/>
        <w:ind w:left="426"/>
        <w:rPr>
          <w:rFonts w:hint="eastAsia" w:ascii="宋体" w:hAnsi="宋体" w:eastAsia="宋体" w:cs="宋体"/>
          <w:szCs w:val="21"/>
        </w:rPr>
      </w:pPr>
      <w:r>
        <w:rPr>
          <w:rFonts w:hint="eastAsia" w:ascii="宋体" w:hAnsi="宋体" w:eastAsia="宋体" w:cs="宋体"/>
          <w:szCs w:val="21"/>
        </w:rPr>
        <w:t>磋商文件和响应文件约定的乙方其余权利义务。</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付款方式</w:t>
      </w:r>
    </w:p>
    <w:p>
      <w:pPr>
        <w:numPr>
          <w:ilvl w:val="0"/>
          <w:numId w:val="86"/>
        </w:numPr>
        <w:spacing w:line="360" w:lineRule="auto"/>
        <w:ind w:left="420" w:hanging="420"/>
        <w:rPr>
          <w:rFonts w:hint="eastAsia" w:ascii="宋体" w:hAnsi="宋体" w:eastAsia="宋体" w:cs="宋体"/>
          <w:bCs/>
          <w:szCs w:val="21"/>
        </w:rPr>
      </w:pPr>
      <w:r>
        <w:rPr>
          <w:rFonts w:hint="eastAsia" w:ascii="宋体" w:hAnsi="宋体" w:eastAsia="宋体" w:cs="宋体"/>
          <w:iCs/>
          <w:szCs w:val="21"/>
        </w:rPr>
        <w:t>合同签订之日起10个日历日内甲方向乙方支付合同总价的50%；</w:t>
      </w:r>
    </w:p>
    <w:p>
      <w:pPr>
        <w:numPr>
          <w:ilvl w:val="0"/>
          <w:numId w:val="86"/>
        </w:numPr>
        <w:spacing w:line="360" w:lineRule="auto"/>
        <w:ind w:left="420" w:hanging="420"/>
        <w:rPr>
          <w:rFonts w:hint="eastAsia" w:ascii="宋体" w:hAnsi="宋体" w:eastAsia="宋体" w:cs="宋体"/>
          <w:bCs/>
          <w:szCs w:val="21"/>
        </w:rPr>
      </w:pPr>
      <w:r>
        <w:rPr>
          <w:rFonts w:hint="eastAsia" w:ascii="宋体" w:hAnsi="宋体" w:eastAsia="宋体" w:cs="宋体"/>
          <w:iCs/>
          <w:szCs w:val="21"/>
        </w:rPr>
        <w:t>整体项目完成后10个日历日内甲方向乙方支付合同总价的50%。</w:t>
      </w:r>
    </w:p>
    <w:p>
      <w:pPr>
        <w:numPr>
          <w:ilvl w:val="0"/>
          <w:numId w:val="86"/>
        </w:numPr>
        <w:spacing w:line="360" w:lineRule="auto"/>
        <w:ind w:left="420" w:hanging="420"/>
        <w:rPr>
          <w:rFonts w:hint="eastAsia" w:ascii="宋体" w:hAnsi="宋体" w:eastAsia="宋体" w:cs="宋体"/>
          <w:iCs/>
          <w:szCs w:val="21"/>
        </w:rPr>
      </w:pPr>
      <w:r>
        <w:rPr>
          <w:rFonts w:hint="eastAsia" w:ascii="宋体" w:hAnsi="宋体" w:eastAsia="宋体" w:cs="宋体"/>
          <w:color w:val="000000"/>
          <w:szCs w:val="21"/>
        </w:rPr>
        <w:t>付款前乙方须向甲方出具以下证明材料：</w:t>
      </w:r>
    </w:p>
    <w:p>
      <w:pPr>
        <w:numPr>
          <w:ilvl w:val="0"/>
          <w:numId w:val="87"/>
        </w:numPr>
        <w:tabs>
          <w:tab w:val="left" w:pos="420"/>
        </w:tabs>
        <w:spacing w:line="360" w:lineRule="auto"/>
        <w:ind w:hanging="5"/>
        <w:contextualSpacing/>
        <w:rPr>
          <w:rFonts w:hint="eastAsia" w:ascii="宋体" w:hAnsi="宋体" w:eastAsia="宋体" w:cs="宋体"/>
          <w:iCs/>
          <w:szCs w:val="21"/>
        </w:rPr>
      </w:pPr>
      <w:r>
        <w:rPr>
          <w:rFonts w:hint="eastAsia" w:ascii="宋体" w:hAnsi="宋体" w:eastAsia="宋体" w:cs="宋体"/>
          <w:iCs/>
          <w:szCs w:val="21"/>
        </w:rPr>
        <w:t>合同；</w:t>
      </w:r>
    </w:p>
    <w:p>
      <w:pPr>
        <w:numPr>
          <w:ilvl w:val="0"/>
          <w:numId w:val="87"/>
        </w:numPr>
        <w:tabs>
          <w:tab w:val="left" w:pos="420"/>
        </w:tabs>
        <w:spacing w:line="360" w:lineRule="auto"/>
        <w:ind w:hanging="5"/>
        <w:contextualSpacing/>
        <w:rPr>
          <w:rFonts w:hint="eastAsia" w:ascii="宋体" w:hAnsi="宋体" w:eastAsia="宋体" w:cs="宋体"/>
          <w:iCs/>
          <w:szCs w:val="21"/>
        </w:rPr>
      </w:pPr>
      <w:r>
        <w:rPr>
          <w:rFonts w:hint="eastAsia" w:ascii="宋体" w:hAnsi="宋体" w:eastAsia="宋体" w:cs="宋体"/>
          <w:color w:val="000000"/>
          <w:szCs w:val="21"/>
        </w:rPr>
        <w:t>乙方</w:t>
      </w:r>
      <w:r>
        <w:rPr>
          <w:rFonts w:hint="eastAsia" w:ascii="宋体" w:hAnsi="宋体" w:eastAsia="宋体" w:cs="宋体"/>
          <w:iCs/>
          <w:szCs w:val="21"/>
        </w:rPr>
        <w:t>开具的正式全额发票；</w:t>
      </w:r>
    </w:p>
    <w:p>
      <w:pPr>
        <w:numPr>
          <w:ilvl w:val="0"/>
          <w:numId w:val="87"/>
        </w:numPr>
        <w:tabs>
          <w:tab w:val="left" w:pos="420"/>
        </w:tabs>
        <w:spacing w:line="360" w:lineRule="auto"/>
        <w:ind w:hanging="5"/>
        <w:contextualSpacing/>
        <w:rPr>
          <w:rFonts w:hint="eastAsia" w:ascii="宋体" w:hAnsi="宋体" w:eastAsia="宋体" w:cs="宋体"/>
          <w:bCs/>
          <w:szCs w:val="21"/>
        </w:rPr>
      </w:pPr>
      <w:r>
        <w:rPr>
          <w:rFonts w:hint="eastAsia" w:ascii="宋体" w:hAnsi="宋体" w:eastAsia="宋体" w:cs="宋体"/>
          <w:color w:val="000000"/>
          <w:szCs w:val="21"/>
        </w:rPr>
        <w:t>成交</w:t>
      </w:r>
      <w:r>
        <w:rPr>
          <w:rFonts w:hint="eastAsia" w:ascii="宋体" w:hAnsi="宋体" w:eastAsia="宋体" w:cs="宋体"/>
          <w:iCs/>
          <w:szCs w:val="21"/>
        </w:rPr>
        <w:t>通知书。</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违约责任</w:t>
      </w:r>
    </w:p>
    <w:p>
      <w:pPr>
        <w:numPr>
          <w:ilvl w:val="0"/>
          <w:numId w:val="88"/>
        </w:numPr>
        <w:tabs>
          <w:tab w:val="left" w:pos="840"/>
        </w:tabs>
        <w:spacing w:line="420" w:lineRule="exact"/>
        <w:ind w:left="420" w:hanging="420"/>
        <w:rPr>
          <w:rFonts w:hint="eastAsia" w:ascii="宋体" w:hAnsi="宋体" w:eastAsia="宋体" w:cs="宋体"/>
          <w:szCs w:val="21"/>
        </w:rPr>
      </w:pPr>
      <w:r>
        <w:rPr>
          <w:rFonts w:hint="eastAsia" w:ascii="宋体" w:hAnsi="宋体" w:eastAsia="宋体" w:cs="宋体"/>
          <w:szCs w:val="21"/>
        </w:rPr>
        <w:t>乙方违反合同及磋商文件约定的有关义务，对甲方造成经济损失的，应给予甲方经济赔偿；如造成重大损失的，甲方有权终止合同。</w:t>
      </w:r>
    </w:p>
    <w:p>
      <w:pPr>
        <w:numPr>
          <w:ilvl w:val="0"/>
          <w:numId w:val="88"/>
        </w:numPr>
        <w:tabs>
          <w:tab w:val="left" w:pos="840"/>
        </w:tabs>
        <w:spacing w:line="420" w:lineRule="exact"/>
        <w:ind w:left="420" w:hanging="420"/>
        <w:rPr>
          <w:rFonts w:hint="eastAsia" w:ascii="宋体" w:hAnsi="宋体" w:eastAsia="宋体" w:cs="宋体"/>
          <w:szCs w:val="21"/>
        </w:rPr>
      </w:pPr>
      <w:r>
        <w:rPr>
          <w:rFonts w:hint="eastAsia" w:ascii="宋体" w:hAnsi="宋体" w:eastAsia="宋体" w:cs="宋体"/>
          <w:szCs w:val="21"/>
        </w:rPr>
        <w:t>除合同规定外，如果乙方没有按照合同规定的时间交付或完成，甲方可要求乙方支付违约金。从逾期之日起每日按本合同总价</w:t>
      </w:r>
      <w:r>
        <w:rPr>
          <w:rFonts w:hint="eastAsia" w:ascii="宋体" w:hAnsi="宋体" w:eastAsia="宋体" w:cs="宋体"/>
          <w:szCs w:val="21"/>
          <w:u w:val="single"/>
        </w:rPr>
        <w:t xml:space="preserve"> 3 </w:t>
      </w:r>
      <w:r>
        <w:rPr>
          <w:rFonts w:hint="eastAsia" w:ascii="宋体" w:hAnsi="宋体" w:eastAsia="宋体" w:cs="宋体"/>
          <w:szCs w:val="21"/>
        </w:rPr>
        <w:t>‰的数额向甲方支付违约金；逾期15天或以上的，甲方有权终止合同，要求乙方一次性支付合同总金额</w:t>
      </w:r>
      <w:r>
        <w:rPr>
          <w:rFonts w:hint="eastAsia" w:ascii="宋体" w:hAnsi="宋体" w:eastAsia="宋体" w:cs="宋体"/>
          <w:szCs w:val="21"/>
          <w:u w:val="single"/>
        </w:rPr>
        <w:t xml:space="preserve"> 20 %</w:t>
      </w:r>
      <w:r>
        <w:rPr>
          <w:rFonts w:hint="eastAsia" w:ascii="宋体" w:hAnsi="宋体" w:eastAsia="宋体" w:cs="宋体"/>
          <w:szCs w:val="21"/>
        </w:rPr>
        <w:t>违约金，并且给甲方造成的经济损失由乙方承担赔偿责任。</w:t>
      </w:r>
    </w:p>
    <w:p>
      <w:pPr>
        <w:numPr>
          <w:ilvl w:val="0"/>
          <w:numId w:val="88"/>
        </w:numPr>
        <w:tabs>
          <w:tab w:val="left" w:pos="840"/>
        </w:tabs>
        <w:spacing w:line="420" w:lineRule="exact"/>
        <w:ind w:left="420" w:hanging="420"/>
        <w:rPr>
          <w:rFonts w:hint="eastAsia" w:ascii="宋体" w:hAnsi="宋体" w:eastAsia="宋体" w:cs="宋体"/>
          <w:szCs w:val="21"/>
        </w:rPr>
      </w:pPr>
      <w:r>
        <w:rPr>
          <w:rFonts w:hint="eastAsia" w:ascii="宋体" w:hAnsi="宋体" w:eastAsia="宋体" w:cs="宋体"/>
          <w:szCs w:val="21"/>
        </w:rPr>
        <w:t>因乙方原因导致本合同解除或是无法履行的，乙方应向甲方支付合同总价</w:t>
      </w:r>
      <w:r>
        <w:rPr>
          <w:rFonts w:hint="eastAsia" w:ascii="宋体" w:hAnsi="宋体" w:eastAsia="宋体" w:cs="宋体"/>
          <w:szCs w:val="21"/>
          <w:u w:val="single"/>
        </w:rPr>
        <w:t xml:space="preserve"> 20 %</w:t>
      </w:r>
      <w:r>
        <w:rPr>
          <w:rFonts w:hint="eastAsia" w:ascii="宋体" w:hAnsi="宋体" w:eastAsia="宋体" w:cs="宋体"/>
          <w:szCs w:val="21"/>
        </w:rPr>
        <w:t>的违约金，并且给甲方造成的经济损失由乙方承担赔偿责任。</w:t>
      </w:r>
    </w:p>
    <w:p>
      <w:pPr>
        <w:numPr>
          <w:ilvl w:val="0"/>
          <w:numId w:val="88"/>
        </w:numPr>
        <w:tabs>
          <w:tab w:val="left" w:pos="840"/>
        </w:tabs>
        <w:spacing w:line="420" w:lineRule="exact"/>
        <w:ind w:left="420" w:hanging="420"/>
        <w:rPr>
          <w:rFonts w:hint="eastAsia" w:ascii="宋体" w:hAnsi="宋体" w:eastAsia="宋体" w:cs="宋体"/>
          <w:szCs w:val="21"/>
        </w:rPr>
      </w:pPr>
      <w:r>
        <w:rPr>
          <w:rFonts w:hint="eastAsia" w:ascii="宋体" w:hAnsi="宋体" w:eastAsia="宋体" w:cs="宋体"/>
          <w:szCs w:val="21"/>
        </w:rPr>
        <w:t>甲方有权从未支付的款项或是履约保证金中直接扣除乙方的违约金，不足的部分由乙方另行补足。</w:t>
      </w:r>
    </w:p>
    <w:p>
      <w:pPr>
        <w:numPr>
          <w:ilvl w:val="0"/>
          <w:numId w:val="88"/>
        </w:numPr>
        <w:tabs>
          <w:tab w:val="left" w:pos="840"/>
        </w:tabs>
        <w:spacing w:line="420" w:lineRule="exact"/>
        <w:ind w:left="420" w:hanging="420"/>
        <w:rPr>
          <w:rFonts w:hint="eastAsia" w:ascii="宋体" w:hAnsi="宋体" w:eastAsia="宋体" w:cs="宋体"/>
          <w:szCs w:val="21"/>
        </w:rPr>
      </w:pPr>
      <w:r>
        <w:rPr>
          <w:rFonts w:hint="eastAsia" w:ascii="宋体" w:hAnsi="宋体" w:eastAsia="宋体" w:cs="宋体"/>
          <w:szCs w:val="21"/>
        </w:rPr>
        <w:t>乙方交</w:t>
      </w:r>
      <w:bookmarkStart w:id="52" w:name="_Toc86481565"/>
      <w:r>
        <w:rPr>
          <w:rFonts w:hint="eastAsia" w:ascii="宋体" w:hAnsi="宋体" w:eastAsia="宋体" w:cs="宋体"/>
          <w:szCs w:val="21"/>
        </w:rPr>
        <w:t>付的货物不符合</w:t>
      </w:r>
      <w:bookmarkEnd w:id="52"/>
      <w:r>
        <w:rPr>
          <w:rFonts w:hint="eastAsia" w:ascii="宋体" w:hAnsi="宋体" w:eastAsia="宋体" w:cs="宋体"/>
          <w:szCs w:val="21"/>
        </w:rPr>
        <w:t>合同规定的，甲方有权拒收，经乙方一再努力仍未能达到合同规定的，甲方有权单方中止合同且乙方需向甲方支付合同总价</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3%</w:t>
      </w:r>
      <w:r>
        <w:rPr>
          <w:rFonts w:hint="eastAsia" w:ascii="宋体" w:hAnsi="宋体" w:eastAsia="宋体" w:cs="宋体"/>
          <w:szCs w:val="21"/>
          <w:u w:val="single"/>
        </w:rPr>
        <w:t xml:space="preserve"> </w:t>
      </w:r>
      <w:r>
        <w:rPr>
          <w:rFonts w:hint="eastAsia" w:ascii="宋体" w:hAnsi="宋体" w:eastAsia="宋体" w:cs="宋体"/>
          <w:szCs w:val="21"/>
        </w:rPr>
        <w:t>的违约金。</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争议的解决</w:t>
      </w:r>
    </w:p>
    <w:p>
      <w:pPr>
        <w:numPr>
          <w:ilvl w:val="0"/>
          <w:numId w:val="89"/>
        </w:numPr>
        <w:spacing w:line="360" w:lineRule="auto"/>
        <w:ind w:left="420" w:hanging="420"/>
        <w:rPr>
          <w:rFonts w:hint="eastAsia" w:ascii="宋体" w:hAnsi="宋体" w:eastAsia="宋体" w:cs="宋体"/>
          <w:szCs w:val="21"/>
        </w:rPr>
      </w:pPr>
      <w:r>
        <w:rPr>
          <w:rFonts w:hint="eastAsia" w:ascii="宋体" w:hAnsi="宋体" w:eastAsia="宋体" w:cs="宋体"/>
          <w:szCs w:val="21"/>
        </w:rPr>
        <w:t>凡与</w:t>
      </w:r>
      <w:bookmarkStart w:id="53" w:name="_Toc86481566"/>
      <w:r>
        <w:rPr>
          <w:rFonts w:hint="eastAsia" w:ascii="宋体" w:hAnsi="宋体" w:eastAsia="宋体" w:cs="宋体"/>
          <w:szCs w:val="21"/>
        </w:rPr>
        <w:t>本合同有关而引起</w:t>
      </w:r>
      <w:bookmarkEnd w:id="53"/>
      <w:r>
        <w:rPr>
          <w:rFonts w:hint="eastAsia" w:ascii="宋体" w:hAnsi="宋体" w:eastAsia="宋体" w:cs="宋体"/>
          <w:szCs w:val="21"/>
        </w:rPr>
        <w:t>的一切争议，甲乙双方应首先通过友好协商解决，如经协商后仍不能达成协议时，任何一方可以向法院提出诉讼。</w:t>
      </w:r>
    </w:p>
    <w:p>
      <w:pPr>
        <w:numPr>
          <w:ilvl w:val="0"/>
          <w:numId w:val="89"/>
        </w:numPr>
        <w:spacing w:line="360" w:lineRule="auto"/>
        <w:ind w:left="420" w:hanging="420"/>
        <w:rPr>
          <w:rFonts w:hint="eastAsia" w:ascii="宋体" w:hAnsi="宋体" w:eastAsia="宋体" w:cs="宋体"/>
          <w:szCs w:val="21"/>
        </w:rPr>
      </w:pPr>
      <w:r>
        <w:rPr>
          <w:rFonts w:hint="eastAsia" w:ascii="宋体" w:hAnsi="宋体" w:eastAsia="宋体" w:cs="宋体"/>
          <w:szCs w:val="21"/>
        </w:rPr>
        <w:t>本合同发生的诉讼管辖地为东莞市有管辖权的法院。</w:t>
      </w:r>
    </w:p>
    <w:p>
      <w:pPr>
        <w:numPr>
          <w:ilvl w:val="0"/>
          <w:numId w:val="89"/>
        </w:numPr>
        <w:spacing w:line="360" w:lineRule="auto"/>
        <w:ind w:left="420" w:hanging="420"/>
        <w:rPr>
          <w:rFonts w:hint="eastAsia" w:ascii="宋体" w:hAnsi="宋体" w:eastAsia="宋体" w:cs="宋体"/>
          <w:szCs w:val="21"/>
        </w:rPr>
      </w:pPr>
      <w:r>
        <w:rPr>
          <w:rFonts w:hint="eastAsia" w:ascii="宋体" w:hAnsi="宋体" w:eastAsia="宋体" w:cs="宋体"/>
          <w:szCs w:val="21"/>
        </w:rPr>
        <w:t>在进行法院审理期间，除提交法院审理的事项外，合同其他部分仍继续履行。</w:t>
      </w:r>
    </w:p>
    <w:p>
      <w:pPr>
        <w:numPr>
          <w:ilvl w:val="0"/>
          <w:numId w:val="89"/>
        </w:numPr>
        <w:spacing w:line="360" w:lineRule="auto"/>
        <w:ind w:left="420" w:hanging="420"/>
        <w:rPr>
          <w:rFonts w:hint="eastAsia" w:ascii="宋体" w:hAnsi="宋体" w:eastAsia="宋体" w:cs="宋体"/>
          <w:szCs w:val="21"/>
        </w:rPr>
      </w:pPr>
      <w:r>
        <w:rPr>
          <w:rFonts w:hint="eastAsia" w:ascii="宋体" w:hAnsi="宋体" w:eastAsia="宋体" w:cs="宋体"/>
          <w:szCs w:val="21"/>
        </w:rPr>
        <w:t>本合同按照中华人民共和国的法律进行解释。</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不可抗力</w:t>
      </w:r>
    </w:p>
    <w:p>
      <w:pPr>
        <w:numPr>
          <w:ilvl w:val="0"/>
          <w:numId w:val="90"/>
        </w:numPr>
        <w:spacing w:line="360" w:lineRule="auto"/>
        <w:ind w:left="420" w:hanging="420"/>
        <w:rPr>
          <w:rFonts w:hint="eastAsia" w:ascii="宋体" w:hAnsi="宋体" w:eastAsia="宋体" w:cs="宋体"/>
          <w:szCs w:val="21"/>
        </w:rPr>
      </w:pPr>
      <w:r>
        <w:rPr>
          <w:rFonts w:hint="eastAsia" w:ascii="宋体" w:hAnsi="宋体" w:eastAsia="宋体" w:cs="宋体"/>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90"/>
        </w:numPr>
        <w:spacing w:line="360" w:lineRule="auto"/>
        <w:ind w:left="420" w:hanging="420"/>
        <w:rPr>
          <w:rFonts w:hint="eastAsia" w:ascii="宋体" w:hAnsi="宋体" w:eastAsia="宋体" w:cs="宋体"/>
          <w:szCs w:val="21"/>
        </w:rPr>
      </w:pPr>
      <w:r>
        <w:rPr>
          <w:rFonts w:hint="eastAsia" w:ascii="宋体" w:hAnsi="宋体" w:eastAsia="宋体" w:cs="宋体"/>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合同生效</w:t>
      </w:r>
    </w:p>
    <w:p>
      <w:pPr>
        <w:numPr>
          <w:ilvl w:val="0"/>
          <w:numId w:val="91"/>
        </w:numPr>
        <w:spacing w:line="360" w:lineRule="auto"/>
        <w:ind w:left="420" w:hanging="420"/>
        <w:rPr>
          <w:rFonts w:hint="eastAsia" w:ascii="宋体" w:hAnsi="宋体" w:eastAsia="宋体" w:cs="宋体"/>
          <w:szCs w:val="21"/>
        </w:rPr>
      </w:pPr>
      <w:r>
        <w:rPr>
          <w:rFonts w:hint="eastAsia" w:ascii="宋体" w:hAnsi="宋体" w:eastAsia="宋体" w:cs="宋体"/>
          <w:szCs w:val="21"/>
        </w:rPr>
        <w:t>本合同</w:t>
      </w:r>
      <w:bookmarkStart w:id="54" w:name="_Toc86481569"/>
      <w:r>
        <w:rPr>
          <w:rFonts w:hint="eastAsia" w:ascii="宋体" w:hAnsi="宋体" w:eastAsia="宋体" w:cs="宋体"/>
          <w:szCs w:val="21"/>
        </w:rPr>
        <w:t>由双方法定代表</w:t>
      </w:r>
      <w:bookmarkEnd w:id="54"/>
      <w:r>
        <w:rPr>
          <w:rFonts w:hint="eastAsia" w:ascii="宋体" w:hAnsi="宋体" w:eastAsia="宋体" w:cs="宋体"/>
          <w:szCs w:val="21"/>
        </w:rPr>
        <w:t>人或委托代理人签字盖章后立即生效，具有同等法律效力，服务期为合同签定日至</w:t>
      </w:r>
      <w:r>
        <w:rPr>
          <w:rFonts w:hint="eastAsia" w:ascii="宋体" w:hAnsi="宋体" w:eastAsia="宋体" w:cs="宋体"/>
          <w:szCs w:val="21"/>
          <w:u w:val="single"/>
          <w:lang w:val="en-US" w:eastAsia="zh-CN"/>
        </w:rPr>
        <w:t xml:space="preserve">  202  </w:t>
      </w:r>
      <w:r>
        <w:rPr>
          <w:rFonts w:hint="eastAsia" w:ascii="宋体" w:hAnsi="宋体" w:eastAsia="宋体" w:cs="宋体"/>
          <w:szCs w:val="21"/>
          <w:u w:val="single"/>
        </w:rPr>
        <w:t>年</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月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日</w:t>
      </w:r>
      <w:r>
        <w:rPr>
          <w:rFonts w:hint="eastAsia" w:ascii="宋体" w:hAnsi="宋体" w:eastAsia="宋体" w:cs="宋体"/>
          <w:szCs w:val="21"/>
        </w:rPr>
        <w:t>，合同有效期随服务期结束而自然终止。</w:t>
      </w:r>
    </w:p>
    <w:p>
      <w:pPr>
        <w:numPr>
          <w:ilvl w:val="0"/>
          <w:numId w:val="91"/>
        </w:numPr>
        <w:spacing w:line="360" w:lineRule="auto"/>
        <w:ind w:left="420" w:hanging="420"/>
        <w:rPr>
          <w:rFonts w:hint="eastAsia" w:ascii="宋体" w:hAnsi="宋体" w:eastAsia="宋体" w:cs="宋体"/>
          <w:szCs w:val="21"/>
        </w:rPr>
      </w:pPr>
      <w:r>
        <w:rPr>
          <w:rFonts w:hint="eastAsia" w:ascii="宋体" w:hAnsi="宋体" w:eastAsia="宋体" w:cs="宋体"/>
          <w:szCs w:val="21"/>
        </w:rPr>
        <w:t>本合同一式</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贰</w:t>
      </w:r>
      <w:r>
        <w:rPr>
          <w:rFonts w:hint="eastAsia" w:ascii="宋体" w:hAnsi="宋体" w:eastAsia="宋体" w:cs="宋体"/>
          <w:szCs w:val="21"/>
          <w:u w:val="single"/>
        </w:rPr>
        <w:t xml:space="preserve">   </w:t>
      </w:r>
      <w:r>
        <w:rPr>
          <w:rFonts w:hint="eastAsia" w:ascii="宋体" w:hAnsi="宋体" w:eastAsia="宋体" w:cs="宋体"/>
          <w:szCs w:val="21"/>
        </w:rPr>
        <w:t>份，其中甲方</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壹</w:t>
      </w:r>
      <w:r>
        <w:rPr>
          <w:rFonts w:hint="eastAsia" w:ascii="宋体" w:hAnsi="宋体" w:eastAsia="宋体" w:cs="宋体"/>
          <w:szCs w:val="21"/>
          <w:u w:val="single"/>
        </w:rPr>
        <w:t xml:space="preserve">  </w:t>
      </w:r>
      <w:r>
        <w:rPr>
          <w:rFonts w:hint="eastAsia" w:ascii="宋体" w:hAnsi="宋体" w:eastAsia="宋体" w:cs="宋体"/>
          <w:szCs w:val="21"/>
        </w:rPr>
        <w:t>份、乙方</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壹</w:t>
      </w:r>
      <w:r>
        <w:rPr>
          <w:rFonts w:hint="eastAsia" w:ascii="宋体" w:hAnsi="宋体" w:eastAsia="宋体" w:cs="宋体"/>
          <w:szCs w:val="21"/>
          <w:u w:val="single"/>
        </w:rPr>
        <w:t xml:space="preserve">   </w:t>
      </w:r>
      <w:r>
        <w:rPr>
          <w:rFonts w:hint="eastAsia" w:ascii="宋体" w:hAnsi="宋体" w:eastAsia="宋体" w:cs="宋体"/>
          <w:szCs w:val="21"/>
        </w:rPr>
        <w:t>份。</w:t>
      </w:r>
    </w:p>
    <w:p>
      <w:pPr>
        <w:numPr>
          <w:ilvl w:val="0"/>
          <w:numId w:val="80"/>
        </w:numPr>
        <w:spacing w:before="312" w:beforeLines="100" w:line="360" w:lineRule="auto"/>
        <w:ind w:left="420" w:hanging="420"/>
        <w:rPr>
          <w:rFonts w:hint="eastAsia" w:ascii="宋体" w:hAnsi="宋体" w:eastAsia="宋体" w:cs="宋体"/>
          <w:b/>
          <w:szCs w:val="21"/>
        </w:rPr>
      </w:pPr>
      <w:r>
        <w:rPr>
          <w:rFonts w:hint="eastAsia" w:ascii="宋体" w:hAnsi="宋体" w:eastAsia="宋体" w:cs="宋体"/>
          <w:b/>
          <w:szCs w:val="21"/>
        </w:rPr>
        <w:t>其它</w:t>
      </w:r>
    </w:p>
    <w:p>
      <w:pPr>
        <w:numPr>
          <w:ilvl w:val="0"/>
          <w:numId w:val="92"/>
        </w:numPr>
        <w:spacing w:line="360" w:lineRule="auto"/>
        <w:ind w:left="420" w:hanging="420"/>
        <w:rPr>
          <w:rFonts w:hint="eastAsia" w:ascii="宋体" w:hAnsi="宋体" w:eastAsia="宋体" w:cs="宋体"/>
          <w:szCs w:val="21"/>
        </w:rPr>
      </w:pPr>
      <w:r>
        <w:rPr>
          <w:rFonts w:hint="eastAsia" w:ascii="宋体" w:hAnsi="宋体" w:eastAsia="宋体" w:cs="宋体"/>
          <w:szCs w:val="21"/>
        </w:rPr>
        <w:t>本合同未尽</w:t>
      </w:r>
      <w:bookmarkStart w:id="55" w:name="_Toc86481570"/>
      <w:r>
        <w:rPr>
          <w:rFonts w:hint="eastAsia" w:ascii="宋体" w:hAnsi="宋体" w:eastAsia="宋体" w:cs="宋体"/>
          <w:szCs w:val="21"/>
        </w:rPr>
        <w:t>事宜，双方</w:t>
      </w:r>
      <w:bookmarkEnd w:id="55"/>
      <w:r>
        <w:rPr>
          <w:rFonts w:hint="eastAsia" w:ascii="宋体" w:hAnsi="宋体" w:eastAsia="宋体" w:cs="宋体"/>
          <w:szCs w:val="21"/>
        </w:rPr>
        <w:t>可签订补充合同，补充合同与所有附件均为合同的有效组成部分，与本合同具有同等法律效力。</w:t>
      </w:r>
    </w:p>
    <w:p>
      <w:pPr>
        <w:numPr>
          <w:ilvl w:val="0"/>
          <w:numId w:val="92"/>
        </w:numPr>
        <w:spacing w:line="360" w:lineRule="auto"/>
        <w:ind w:left="420" w:hanging="420"/>
        <w:rPr>
          <w:rFonts w:hint="eastAsia" w:ascii="宋体" w:hAnsi="宋体" w:eastAsia="宋体" w:cs="宋体"/>
          <w:szCs w:val="21"/>
        </w:rPr>
      </w:pPr>
      <w:r>
        <w:rPr>
          <w:rFonts w:hint="eastAsia" w:ascii="宋体" w:hAnsi="宋体" w:eastAsia="宋体" w:cs="宋体"/>
          <w:szCs w:val="21"/>
        </w:rPr>
        <w:t>在执行本合同的过程中，所有经甲乙双方签署确认的文件（包括会议纪要、补充协议、往来信函、合同附件等）即成为本合同的有效组成部分，其生效日期为双方签字盖章或确认之日期。</w:t>
      </w:r>
    </w:p>
    <w:p>
      <w:pPr>
        <w:numPr>
          <w:ilvl w:val="0"/>
          <w:numId w:val="92"/>
        </w:numPr>
        <w:spacing w:line="360" w:lineRule="auto"/>
        <w:ind w:left="420" w:hanging="420"/>
        <w:rPr>
          <w:rFonts w:hint="eastAsia" w:ascii="宋体" w:hAnsi="宋体" w:eastAsia="宋体" w:cs="宋体"/>
          <w:szCs w:val="21"/>
        </w:rPr>
      </w:pPr>
      <w:r>
        <w:rPr>
          <w:rFonts w:hint="eastAsia" w:ascii="宋体" w:hAnsi="宋体" w:eastAsia="宋体" w:cs="宋体"/>
          <w:szCs w:val="21"/>
        </w:rPr>
        <w:t xml:space="preserve">本合同合计 </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6</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r>
        <w:rPr>
          <w:rFonts w:hint="eastAsia" w:ascii="宋体" w:hAnsi="宋体" w:eastAsia="宋体" w:cs="宋体"/>
          <w:sz w:val="21"/>
          <w:szCs w:val="21"/>
        </w:rPr>
        <w:t>附件1 .成交通知书</w:t>
      </w:r>
      <w:r>
        <w:rPr>
          <w:rFonts w:hint="eastAsia" w:ascii="宋体" w:hAnsi="宋体" w:eastAsia="宋体" w:cs="宋体"/>
          <w:sz w:val="21"/>
          <w:szCs w:val="21"/>
          <w:lang w:eastAsia="zh-CN"/>
        </w:rPr>
        <w:t>！</w:t>
      </w:r>
    </w:p>
    <w:p>
      <w:pPr>
        <w:spacing w:line="360" w:lineRule="auto"/>
        <w:rPr>
          <w:rFonts w:hint="eastAsia" w:ascii="宋体" w:hAnsi="宋体" w:eastAsia="宋体" w:cs="宋体"/>
          <w:szCs w:val="21"/>
        </w:rPr>
      </w:pPr>
    </w:p>
    <w:p>
      <w:pPr>
        <w:numPr>
          <w:ilvl w:val="0"/>
          <w:numId w:val="0"/>
        </w:numPr>
        <w:spacing w:line="360" w:lineRule="auto"/>
        <w:ind w:leftChars="0"/>
        <w:rPr>
          <w:rFonts w:hint="eastAsia" w:ascii="宋体" w:hAnsi="宋体" w:eastAsia="宋体" w:cs="宋体"/>
          <w:b/>
          <w:bCs/>
          <w:szCs w:val="21"/>
          <w:lang w:val="en-US" w:eastAsia="zh-CN"/>
        </w:rPr>
      </w:pPr>
      <w:r>
        <w:rPr>
          <w:rFonts w:hint="eastAsia" w:ascii="宋体" w:hAnsi="宋体" w:eastAsia="宋体" w:cs="宋体"/>
          <w:b/>
          <w:bCs/>
          <w:szCs w:val="21"/>
          <w:lang w:eastAsia="zh-CN"/>
        </w:rPr>
        <w:t>九</w:t>
      </w:r>
      <w:r>
        <w:rPr>
          <w:rFonts w:hint="eastAsia" w:ascii="宋体" w:hAnsi="宋体" w:eastAsia="宋体" w:cs="宋体"/>
          <w:b/>
          <w:bCs/>
          <w:szCs w:val="21"/>
          <w:lang w:val="en-US" w:eastAsia="zh-CN"/>
        </w:rPr>
        <w:t xml:space="preserve">  签署</w:t>
      </w:r>
    </w:p>
    <w:tbl>
      <w:tblPr>
        <w:tblStyle w:val="23"/>
        <w:tblW w:w="92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15"/>
        <w:gridCol w:w="4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4"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甲方（盖章）：</w:t>
            </w:r>
            <w:r>
              <w:rPr>
                <w:rFonts w:hint="eastAsia" w:ascii="宋体" w:hAnsi="宋体" w:eastAsia="宋体" w:cs="宋体"/>
                <w:sz w:val="21"/>
                <w:szCs w:val="21"/>
                <w:lang w:eastAsia="zh-CN"/>
              </w:rPr>
              <w:t>东莞市企石镇东山股份经济联合社</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乙方(盖章)：</w:t>
            </w:r>
            <w:r>
              <w:rPr>
                <w:rFonts w:hint="eastAsia" w:ascii="宋体" w:hAnsi="宋体" w:eastAsia="宋体" w:cs="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甲方代表人(签字)：</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乙方代表人(签字)：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签字日期：</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0"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地址：</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地址：</w:t>
            </w:r>
            <w:r>
              <w:rPr>
                <w:rFonts w:hint="eastAsia" w:ascii="宋体" w:hAnsi="宋体" w:eastAsia="宋体" w:cs="宋体"/>
                <w:sz w:val="21"/>
                <w:szCs w:val="21"/>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4"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电话：</w:t>
            </w:r>
            <w:r>
              <w:rPr>
                <w:rFonts w:hint="eastAsia" w:ascii="宋体" w:hAnsi="宋体" w:eastAsia="宋体" w:cs="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传真：</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开户银行：</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8" w:hRule="atLeast"/>
        </w:trPr>
        <w:tc>
          <w:tcPr>
            <w:tcW w:w="481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银行账户：</w:t>
            </w:r>
          </w:p>
        </w:tc>
        <w:tc>
          <w:tcPr>
            <w:tcW w:w="4465"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银行账户：</w:t>
            </w:r>
            <w:r>
              <w:rPr>
                <w:rFonts w:hint="eastAsia" w:ascii="宋体" w:hAnsi="宋体" w:eastAsia="宋体" w:cs="宋体"/>
                <w:sz w:val="21"/>
                <w:szCs w:val="21"/>
                <w:lang w:val="en-US" w:eastAsia="zh-CN"/>
              </w:rPr>
              <w:t xml:space="preserve"> </w:t>
            </w:r>
          </w:p>
        </w:tc>
      </w:tr>
      <w:bookmarkEnd w:id="49"/>
      <w:bookmarkEnd w:id="50"/>
      <w:bookmarkEnd w:id="51"/>
    </w:tbl>
    <w:p>
      <w:pPr>
        <w:pStyle w:val="2"/>
        <w:keepNext w:val="0"/>
        <w:keepLines w:val="0"/>
        <w:pageBreakBefore/>
        <w:spacing w:after="240" w:line="360" w:lineRule="auto"/>
        <w:jc w:val="center"/>
        <w:rPr>
          <w:kern w:val="0"/>
          <w:sz w:val="20"/>
          <w:szCs w:val="20"/>
          <w:lang w:eastAsia="zh-Hans"/>
        </w:rPr>
      </w:pPr>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6"/>
      <w:bookmarkEnd w:id="47"/>
      <w:bookmarkEnd w:id="48"/>
    </w:p>
    <w:p>
      <w:pPr>
        <w:widowControl/>
        <w:jc w:val="left"/>
        <w:rPr>
          <w:kern w:val="0"/>
          <w:sz w:val="20"/>
          <w:szCs w:val="20"/>
          <w:lang w:eastAsia="zh-Hans"/>
        </w:rPr>
      </w:pPr>
    </w:p>
    <w:p>
      <w:pPr>
        <w:spacing w:before="468" w:beforeLines="150"/>
        <w:jc w:val="center"/>
        <w:rPr>
          <w:rFonts w:ascii="宋体" w:hAnsi="宋体"/>
          <w:b/>
          <w:bCs/>
          <w:sz w:val="60"/>
          <w:szCs w:val="60"/>
        </w:rPr>
      </w:pPr>
      <w:bookmarkStart w:id="56" w:name="_Toc169799785"/>
      <w:bookmarkStart w:id="57" w:name="_Hlk170195764"/>
      <w:r>
        <w:rPr>
          <w:rFonts w:hint="eastAsia" w:ascii="宋体" w:hAnsi="宋体"/>
          <w:b/>
          <w:bCs/>
          <w:sz w:val="60"/>
          <w:szCs w:val="60"/>
        </w:rPr>
        <w:t>东莞市企石镇霞朗村智慧消防监控系统运维服务采购项目</w:t>
      </w:r>
    </w:p>
    <w:p>
      <w:pPr>
        <w:spacing w:before="468" w:beforeLines="150"/>
        <w:jc w:val="center"/>
        <w:rPr>
          <w:rFonts w:ascii="宋体" w:hAnsi="宋体"/>
          <w:b/>
          <w:bCs/>
          <w:sz w:val="72"/>
          <w:szCs w:val="72"/>
        </w:rPr>
      </w:pPr>
      <w:r>
        <w:rPr>
          <w:rFonts w:hint="eastAsia" w:ascii="宋体" w:hAnsi="宋体"/>
          <w:b/>
          <w:bCs/>
          <w:sz w:val="72"/>
          <w:szCs w:val="72"/>
        </w:rPr>
        <w:t>响应</w:t>
      </w:r>
      <w:r>
        <w:rPr>
          <w:rFonts w:ascii="宋体" w:hAnsi="宋体"/>
          <w:b/>
          <w:bCs/>
          <w:sz w:val="72"/>
          <w:szCs w:val="72"/>
        </w:rPr>
        <w:t>文件</w:t>
      </w:r>
      <w:bookmarkEnd w:id="56"/>
    </w:p>
    <w:p>
      <w:pPr>
        <w:spacing w:after="1560" w:afterLines="500"/>
        <w:jc w:val="center"/>
        <w:rPr>
          <w:rFonts w:ascii="宋体" w:hAnsi="宋体"/>
          <w:b/>
          <w:bCs/>
        </w:rPr>
      </w:pPr>
      <w:bookmarkStart w:id="58" w:name="_Toc169799786"/>
      <w:r>
        <w:rPr>
          <w:rFonts w:ascii="宋体" w:hAnsi="宋体"/>
          <w:b/>
          <w:bCs/>
          <w:sz w:val="44"/>
          <w:szCs w:val="48"/>
        </w:rPr>
        <w:t>（正本/副本）</w:t>
      </w:r>
      <w:bookmarkEnd w:id="58"/>
      <w:r>
        <w:rPr>
          <w:rFonts w:ascii="宋体" w:hAnsi="宋体"/>
          <w:b/>
          <w:bCs/>
        </w:rPr>
        <w:br w:type="textWrapping"/>
      </w:r>
    </w:p>
    <w:p>
      <w:pPr>
        <w:widowControl/>
        <w:spacing w:before="4524" w:beforeLines="145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项目编号：ZHDGZC2025045</w:t>
      </w:r>
    </w:p>
    <w:p>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7"/>
    <w:p>
      <w:pPr>
        <w:widowControl/>
        <w:jc w:val="left"/>
        <w:rPr>
          <w:kern w:val="0"/>
          <w:sz w:val="20"/>
          <w:szCs w:val="20"/>
        </w:rPr>
      </w:pPr>
    </w:p>
    <w:p>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响应承诺</w:t>
      </w:r>
      <w:r>
        <w:rPr>
          <w:kern w:val="0"/>
          <w:szCs w:val="21"/>
          <w:lang w:eastAsia="zh-Hans"/>
        </w:rPr>
        <w:t>函</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首次报价表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分项报价表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中小企业声明函</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政策适用性说明</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法定代表人证明书</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法定代表人授权委托书</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资格条件承诺函</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提供具有独立承担民事责任的能力的证明材料</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拟投入本项目设备情况表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项目技术服务人员情况表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项目负责人简历表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供应商业绩情况表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技术和服务要求响应表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商务条件响应表</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各类证明材料</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采购代理服务费支付承诺书</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询问函、质疑函、投诉书格式</w:t>
      </w:r>
    </w:p>
    <w:p>
      <w:pPr>
        <w:keepNext w:val="0"/>
        <w:keepLines w:val="0"/>
        <w:pageBreakBefore w:val="0"/>
        <w:widowControl/>
        <w:numPr>
          <w:ilvl w:val="0"/>
          <w:numId w:val="93"/>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kern w:val="0"/>
          <w:szCs w:val="21"/>
          <w:lang w:eastAsia="zh-Hans"/>
        </w:rPr>
      </w:pPr>
      <w:r>
        <w:rPr>
          <w:rFonts w:hint="eastAsia"/>
          <w:kern w:val="0"/>
          <w:szCs w:val="21"/>
          <w:lang w:eastAsia="zh-Hans"/>
        </w:rPr>
        <w:t>项目实施方案、质量保证及售后服务承诺等</w:t>
      </w:r>
    </w:p>
    <w:p>
      <w:pPr>
        <w:widowControl/>
        <w:jc w:val="left"/>
        <w:rPr>
          <w:kern w:val="0"/>
          <w:sz w:val="20"/>
          <w:szCs w:val="20"/>
        </w:rPr>
      </w:pPr>
    </w:p>
    <w:p>
      <w:pPr>
        <w:widowControl/>
        <w:jc w:val="left"/>
        <w:rPr>
          <w:kern w:val="0"/>
          <w:sz w:val="20"/>
          <w:szCs w:val="20"/>
          <w:lang w:eastAsia="zh-Hans"/>
        </w:rPr>
      </w:pPr>
    </w:p>
    <w:p>
      <w:pPr>
        <w:pageBreakBefore/>
        <w:rPr>
          <w:rFonts w:ascii="宋体" w:hAnsi="宋体"/>
          <w:b/>
          <w:bCs/>
        </w:rPr>
      </w:pPr>
      <w:r>
        <w:rPr>
          <w:rFonts w:hint="eastAsia" w:ascii="宋体" w:hAnsi="宋体"/>
          <w:b/>
          <w:bCs/>
          <w:sz w:val="24"/>
          <w:szCs w:val="28"/>
        </w:rPr>
        <w:t>资格、符合性审查索引表格式</w:t>
      </w:r>
    </w:p>
    <w:p>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5802"/>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9286" w:type="dxa"/>
            <w:gridSpan w:val="3"/>
            <w:vAlign w:val="center"/>
          </w:tcPr>
          <w:p>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754"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5802" w:type="dxa"/>
            <w:tcBorders>
              <w:bottom w:val="single" w:color="auto" w:sz="4" w:space="0"/>
              <w:tl2br w:val="nil"/>
            </w:tcBorders>
            <w:vAlign w:val="center"/>
          </w:tcPr>
          <w:p>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2730" w:type="dxa"/>
            <w:vAlign w:val="center"/>
          </w:tcPr>
          <w:p>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754" w:type="dxa"/>
            <w:vAlign w:val="center"/>
          </w:tcPr>
          <w:p>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5802" w:type="dxa"/>
            <w:tcBorders>
              <w:tl2br w:val="nil"/>
            </w:tcBorders>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9286" w:type="dxa"/>
            <w:gridSpan w:val="3"/>
            <w:vAlign w:val="center"/>
          </w:tcPr>
          <w:p>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2730"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pacing w:val="-1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pacing w:val="-1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pacing w:val="-1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54" w:type="dxa"/>
            <w:vAlign w:val="center"/>
          </w:tcPr>
          <w:p>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5802" w:type="dxa"/>
            <w:vAlign w:val="center"/>
          </w:tcPr>
          <w:p>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pPr>
              <w:spacing w:line="360" w:lineRule="auto"/>
              <w:jc w:val="center"/>
              <w:rPr>
                <w:rFonts w:ascii="宋体" w:hAnsi="宋体"/>
                <w:b/>
                <w:bCs/>
                <w:color w:val="000000" w:themeColor="text1"/>
                <w:spacing w:val="-10"/>
                <w:szCs w:val="21"/>
                <w14:textFill>
                  <w14:solidFill>
                    <w14:schemeClr w14:val="tx1"/>
                  </w14:solidFill>
                </w14:textFill>
              </w:rPr>
            </w:pPr>
          </w:p>
        </w:tc>
      </w:tr>
    </w:tbl>
    <w:p>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pPr>
        <w:pageBreakBefore/>
        <w:tabs>
          <w:tab w:val="left" w:pos="284"/>
          <w:tab w:val="left" w:pos="426"/>
          <w:tab w:val="left" w:pos="709"/>
        </w:tabs>
        <w:jc w:val="left"/>
        <w:rPr>
          <w:rFonts w:ascii="宋体" w:hAnsi="宋体"/>
          <w:b/>
          <w:bCs/>
          <w:szCs w:val="21"/>
        </w:rPr>
      </w:pPr>
      <w:bookmarkStart w:id="59" w:name="_Hlk169787866"/>
      <w:r>
        <w:rPr>
          <w:rFonts w:ascii="宋体" w:hAnsi="宋体"/>
          <w:b/>
          <w:bCs/>
          <w:sz w:val="24"/>
          <w:szCs w:val="24"/>
        </w:rPr>
        <w:t>详细评审</w:t>
      </w:r>
      <w:r>
        <w:rPr>
          <w:rFonts w:hint="eastAsia" w:ascii="宋体" w:hAnsi="宋体"/>
          <w:b/>
          <w:bCs/>
          <w:sz w:val="24"/>
          <w:szCs w:val="24"/>
        </w:rPr>
        <w:t>索引表</w:t>
      </w:r>
      <w:bookmarkEnd w:id="59"/>
      <w:r>
        <w:rPr>
          <w:rFonts w:hint="eastAsia" w:ascii="宋体" w:hAnsi="宋体"/>
          <w:b/>
          <w:bCs/>
          <w:sz w:val="24"/>
          <w:szCs w:val="24"/>
        </w:rPr>
        <w:t>格式</w:t>
      </w:r>
    </w:p>
    <w:p>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697"/>
        <w:gridCol w:w="3703"/>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gridSpan w:val="4"/>
            <w:vAlign w:val="center"/>
          </w:tcPr>
          <w:p>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gridSpan w:val="4"/>
            <w:vAlign w:val="center"/>
          </w:tcPr>
          <w:p>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2"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pPr>
              <w:spacing w:line="360" w:lineRule="auto"/>
              <w:jc w:val="center"/>
              <w:rPr>
                <w:rFonts w:ascii="宋体" w:hAnsi="宋体"/>
                <w:b/>
                <w:color w:val="000000" w:themeColor="text1"/>
                <w:szCs w:val="21"/>
                <w14:textFill>
                  <w14:solidFill>
                    <w14:schemeClr w14:val="tx1"/>
                  </w14:solidFill>
                </w14:textFill>
              </w:rPr>
            </w:pPr>
          </w:p>
        </w:tc>
      </w:tr>
    </w:tbl>
    <w:p>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pPr>
        <w:pageBreakBefore/>
        <w:rPr>
          <w:rFonts w:ascii="宋体" w:hAnsi="宋体"/>
          <w:b/>
          <w:bCs/>
        </w:rPr>
      </w:pPr>
      <w:bookmarkStart w:id="60" w:name="_Toc169799787"/>
      <w:r>
        <w:rPr>
          <w:rFonts w:ascii="宋体" w:hAnsi="宋体"/>
          <w:b/>
          <w:bCs/>
          <w:sz w:val="24"/>
          <w:szCs w:val="28"/>
        </w:rPr>
        <w:t>格式一：</w:t>
      </w:r>
      <w:bookmarkEnd w:id="60"/>
    </w:p>
    <w:p>
      <w:pPr>
        <w:widowControl/>
        <w:spacing w:after="312" w:afterLines="100"/>
        <w:jc w:val="center"/>
        <w:outlineLvl w:val="3"/>
        <w:rPr>
          <w:color w:val="auto"/>
          <w:kern w:val="0"/>
          <w:sz w:val="20"/>
          <w:szCs w:val="20"/>
          <w:lang w:eastAsia="zh-Hans"/>
        </w:rPr>
      </w:pPr>
      <w:r>
        <w:rPr>
          <w:rFonts w:hint="eastAsia"/>
          <w:b/>
          <w:color w:val="auto"/>
          <w:kern w:val="0"/>
          <w:sz w:val="32"/>
          <w:lang w:eastAsia="zh-Hans"/>
        </w:rPr>
        <w:t>响应承诺</w:t>
      </w:r>
      <w:r>
        <w:rPr>
          <w:b/>
          <w:color w:val="auto"/>
          <w:kern w:val="0"/>
          <w:sz w:val="32"/>
          <w:lang w:eastAsia="zh-Hans"/>
        </w:rPr>
        <w:t>函</w:t>
      </w:r>
    </w:p>
    <w:p>
      <w:pPr>
        <w:widowControl/>
        <w:spacing w:after="156" w:afterLines="50"/>
        <w:jc w:val="left"/>
        <w:rPr>
          <w:b/>
          <w:bCs/>
          <w:color w:val="auto"/>
          <w:kern w:val="0"/>
          <w:sz w:val="20"/>
          <w:szCs w:val="20"/>
          <w:lang w:eastAsia="zh-Hans"/>
        </w:rPr>
      </w:pPr>
      <w:r>
        <w:rPr>
          <w:b/>
          <w:bCs/>
          <w:color w:val="auto"/>
          <w:kern w:val="0"/>
          <w:sz w:val="20"/>
          <w:szCs w:val="20"/>
          <w:lang w:eastAsia="zh-Hans"/>
        </w:rPr>
        <w:t>致</w:t>
      </w:r>
      <w:r>
        <w:rPr>
          <w:rFonts w:hint="eastAsia"/>
          <w:b/>
          <w:bCs/>
          <w:color w:val="auto"/>
          <w:kern w:val="0"/>
          <w:sz w:val="20"/>
          <w:szCs w:val="20"/>
          <w:lang w:eastAsia="zh-Hans"/>
        </w:rPr>
        <w:t>：</w:t>
      </w:r>
      <w:r>
        <w:rPr>
          <w:b/>
          <w:bCs/>
          <w:color w:val="auto"/>
          <w:kern w:val="0"/>
          <w:sz w:val="20"/>
          <w:szCs w:val="20"/>
          <w:lang w:eastAsia="zh-Hans"/>
        </w:rPr>
        <w:t>广东智汇城市招标采购有限公司</w:t>
      </w:r>
    </w:p>
    <w:p>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eastAsia="zh-Hans"/>
        </w:rPr>
        <w:t>招标代理</w:t>
      </w:r>
      <w:r>
        <w:rPr>
          <w:rFonts w:ascii="宋体" w:hAnsi="宋体"/>
          <w:color w:val="auto"/>
          <w:kern w:val="0"/>
          <w:szCs w:val="21"/>
          <w:lang w:eastAsia="zh-Hans"/>
        </w:rPr>
        <w:t>服务费。</w:t>
      </w:r>
    </w:p>
    <w:p>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p>
    <w:p>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电 话：</w:t>
      </w:r>
      <w:r>
        <w:rPr>
          <w:rFonts w:hint="eastAsia" w:ascii="宋体" w:hAnsi="宋体"/>
          <w:color w:val="auto"/>
          <w:kern w:val="0"/>
          <w:szCs w:val="21"/>
          <w:u w:val="single"/>
        </w:rPr>
        <w:t xml:space="preserve">                                </w:t>
      </w:r>
    </w:p>
    <w:p>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pPr>
        <w:widowControl/>
        <w:snapToGrid w:val="0"/>
        <w:spacing w:line="360" w:lineRule="auto"/>
        <w:contextualSpacing/>
        <w:jc w:val="left"/>
        <w:rPr>
          <w:kern w:val="0"/>
          <w:sz w:val="20"/>
          <w:szCs w:val="20"/>
          <w:lang w:eastAsia="zh-Hans"/>
        </w:rPr>
      </w:pPr>
    </w:p>
    <w:p>
      <w:pPr>
        <w:pageBreakBefore/>
        <w:rPr>
          <w:kern w:val="0"/>
          <w:sz w:val="20"/>
          <w:szCs w:val="20"/>
          <w:lang w:eastAsia="zh-Hans"/>
        </w:rPr>
      </w:pPr>
      <w:bookmarkStart w:id="61" w:name="_Toc169799788"/>
      <w:r>
        <w:rPr>
          <w:rFonts w:ascii="宋体" w:hAnsi="宋体"/>
          <w:b/>
          <w:bCs/>
          <w:sz w:val="24"/>
          <w:szCs w:val="28"/>
        </w:rPr>
        <w:t>格式二：</w:t>
      </w:r>
      <w:bookmarkEnd w:id="61"/>
    </w:p>
    <w:p>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pPr>
        <w:widowControl/>
        <w:snapToGrid w:val="0"/>
        <w:spacing w:line="360" w:lineRule="auto"/>
        <w:contextualSpacing/>
        <w:jc w:val="left"/>
        <w:rPr>
          <w:kern w:val="0"/>
          <w:szCs w:val="21"/>
          <w:lang w:eastAsia="zh-Hans"/>
        </w:rPr>
      </w:pPr>
      <w:r>
        <w:rPr>
          <w:kern w:val="0"/>
          <w:szCs w:val="21"/>
          <w:lang w:eastAsia="zh-Hans"/>
        </w:rPr>
        <w:t>项目编号：</w:t>
      </w:r>
    </w:p>
    <w:p>
      <w:pPr>
        <w:widowControl/>
        <w:snapToGrid w:val="0"/>
        <w:spacing w:line="360" w:lineRule="auto"/>
        <w:contextualSpacing/>
        <w:jc w:val="left"/>
        <w:rPr>
          <w:kern w:val="0"/>
          <w:szCs w:val="21"/>
          <w:lang w:eastAsia="zh-Hans"/>
        </w:rPr>
      </w:pPr>
      <w:r>
        <w:rPr>
          <w:kern w:val="0"/>
          <w:szCs w:val="21"/>
          <w:lang w:eastAsia="zh-Hans"/>
        </w:rPr>
        <w:t>项目名称：</w:t>
      </w:r>
    </w:p>
    <w:p>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2"/>
        <w:tblW w:w="92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4168"/>
        <w:gridCol w:w="3241"/>
        <w:gridCol w:w="11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65" w:hRule="atLeast"/>
          <w:jc w:val="center"/>
        </w:trPr>
        <w:tc>
          <w:tcPr>
            <w:tcW w:w="735" w:type="dxa"/>
            <w:tcBorders>
              <w:top w:val="single" w:color="auto" w:sz="4" w:space="0"/>
              <w:left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4168" w:type="dxa"/>
            <w:tcBorders>
              <w:top w:val="single" w:color="auto" w:sz="4" w:space="0"/>
              <w:left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3241" w:type="dxa"/>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总报价（单位：元）</w:t>
            </w:r>
          </w:p>
        </w:tc>
        <w:tc>
          <w:tcPr>
            <w:tcW w:w="1142" w:type="dxa"/>
            <w:tcBorders>
              <w:top w:val="single" w:color="auto" w:sz="4" w:space="0"/>
              <w:left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83"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4168" w:type="dxa"/>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3241" w:type="dxa"/>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1142" w:type="dxa"/>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pPr>
        <w:widowControl/>
        <w:snapToGrid w:val="0"/>
        <w:spacing w:line="360" w:lineRule="auto"/>
        <w:contextualSpacing/>
        <w:jc w:val="left"/>
        <w:rPr>
          <w:kern w:val="0"/>
          <w:szCs w:val="21"/>
        </w:rPr>
      </w:pPr>
    </w:p>
    <w:tbl>
      <w:tblPr>
        <w:tblStyle w:val="23"/>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286" w:type="dxa"/>
          </w:tcPr>
          <w:p>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pPr>
              <w:spacing w:before="780" w:beforeLines="250"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注明：</w:t>
            </w:r>
          </w:p>
          <w:p>
            <w:pPr>
              <w:widowControl w:val="0"/>
              <w:numPr>
                <w:ilvl w:val="0"/>
                <w:numId w:val="94"/>
              </w:numPr>
              <w:spacing w:line="360" w:lineRule="auto"/>
              <w:ind w:left="360" w:hanging="360" w:firstLineChars="0"/>
              <w:jc w:val="both"/>
              <w:rPr>
                <w:rFonts w:hint="eastAsia" w:asciiTheme="majorEastAsia" w:hAnsiTheme="majorEastAsia" w:eastAsiaTheme="majorEastAsia" w:cstheme="majorEastAsia"/>
                <w:kern w:val="2"/>
                <w:sz w:val="21"/>
                <w:szCs w:val="21"/>
                <w:lang w:val="en-US" w:eastAsia="zh-CN" w:bidi="ar-SA"/>
              </w:rPr>
            </w:pPr>
            <w:r>
              <w:rPr>
                <w:rFonts w:hint="eastAsia" w:asciiTheme="majorEastAsia" w:hAnsiTheme="majorEastAsia" w:eastAsiaTheme="majorEastAsia" w:cstheme="majorEastAsia"/>
                <w:kern w:val="2"/>
                <w:sz w:val="21"/>
                <w:szCs w:val="21"/>
                <w:lang w:val="en-US" w:eastAsia="zh-CN" w:bidi="ar-SA"/>
              </w:rPr>
              <w:t>首次总报价栏须用文字和数字两种方式表示的总价。</w:t>
            </w:r>
          </w:p>
          <w:p>
            <w:pPr>
              <w:widowControl w:val="0"/>
              <w:numPr>
                <w:ilvl w:val="0"/>
                <w:numId w:val="94"/>
              </w:numPr>
              <w:spacing w:line="360" w:lineRule="auto"/>
              <w:ind w:left="360" w:hanging="360" w:firstLineChars="0"/>
              <w:jc w:val="both"/>
              <w:rPr>
                <w:rFonts w:hint="eastAsia" w:asciiTheme="majorEastAsia" w:hAnsiTheme="majorEastAsia" w:eastAsiaTheme="majorEastAsia" w:cstheme="majorEastAsia"/>
                <w:kern w:val="2"/>
                <w:sz w:val="21"/>
                <w:szCs w:val="21"/>
                <w:lang w:val="en-US" w:eastAsia="zh-CN" w:bidi="ar-SA"/>
              </w:rPr>
            </w:pPr>
            <w:r>
              <w:rPr>
                <w:rFonts w:hint="eastAsia" w:asciiTheme="majorEastAsia" w:hAnsiTheme="majorEastAsia" w:eastAsiaTheme="majorEastAsia" w:cstheme="majorEastAsia"/>
                <w:kern w:val="2"/>
                <w:sz w:val="21"/>
                <w:szCs w:val="21"/>
                <w:lang w:val="en-US" w:eastAsia="zh-CN" w:bidi="ar-SA"/>
              </w:rPr>
              <w:t>首次报价表内容与响应文件中相应内容不一致的，以首次报价表为准。</w:t>
            </w:r>
          </w:p>
          <w:p>
            <w:pPr>
              <w:widowControl w:val="0"/>
              <w:numPr>
                <w:ilvl w:val="0"/>
                <w:numId w:val="94"/>
              </w:numPr>
              <w:spacing w:after="624" w:afterLines="200" w:line="360" w:lineRule="auto"/>
              <w:ind w:left="357" w:hanging="357" w:firstLineChars="0"/>
              <w:jc w:val="both"/>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kern w:val="2"/>
                <w:sz w:val="21"/>
                <w:szCs w:val="21"/>
                <w:lang w:val="en-US" w:eastAsia="zh-CN" w:bidi="ar-SA"/>
              </w:rPr>
              <w:t>大写金额和小写金额不一致的，以大写金额为准。</w:t>
            </w:r>
          </w:p>
          <w:p>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286" w:type="dxa"/>
          </w:tcPr>
          <w:p>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286" w:type="dxa"/>
          </w:tcPr>
          <w:p>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pPr>
        <w:widowControl/>
        <w:snapToGrid w:val="0"/>
        <w:spacing w:line="360" w:lineRule="auto"/>
        <w:contextualSpacing/>
        <w:jc w:val="left"/>
        <w:rPr>
          <w:kern w:val="0"/>
          <w:sz w:val="20"/>
          <w:szCs w:val="20"/>
          <w:lang w:eastAsia="zh-Hans"/>
        </w:rPr>
      </w:pPr>
    </w:p>
    <w:p>
      <w:pPr>
        <w:widowControl/>
        <w:jc w:val="left"/>
        <w:rPr>
          <w:kern w:val="0"/>
          <w:sz w:val="20"/>
          <w:szCs w:val="20"/>
          <w:lang w:eastAsia="zh-Hans"/>
        </w:rPr>
      </w:pPr>
    </w:p>
    <w:p>
      <w:pPr>
        <w:pageBreakBefore/>
        <w:rPr>
          <w:kern w:val="0"/>
          <w:sz w:val="20"/>
          <w:szCs w:val="20"/>
          <w:lang w:eastAsia="zh-Hans"/>
        </w:rPr>
      </w:pPr>
      <w:bookmarkStart w:id="62" w:name="_Toc169799789"/>
      <w:r>
        <w:rPr>
          <w:rFonts w:ascii="宋体" w:hAnsi="宋体"/>
          <w:b/>
          <w:bCs/>
          <w:sz w:val="24"/>
          <w:szCs w:val="28"/>
        </w:rPr>
        <w:t>格式三：</w:t>
      </w:r>
      <w:bookmarkEnd w:id="62"/>
    </w:p>
    <w:p>
      <w:pPr>
        <w:widowControl/>
        <w:jc w:val="center"/>
        <w:outlineLvl w:val="3"/>
        <w:rPr>
          <w:rFonts w:ascii="宋体" w:hAnsi="宋体"/>
          <w:kern w:val="0"/>
          <w:sz w:val="20"/>
          <w:szCs w:val="20"/>
          <w:lang w:eastAsia="zh-Hans"/>
        </w:rPr>
      </w:pPr>
      <w:r>
        <w:rPr>
          <w:rFonts w:ascii="宋体" w:hAnsi="宋体"/>
          <w:b/>
          <w:kern w:val="0"/>
          <w:sz w:val="32"/>
          <w:lang w:eastAsia="zh-Hans"/>
        </w:rPr>
        <w:t>分项报价表</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项目编号：</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项目名称：</w:t>
      </w:r>
    </w:p>
    <w:p>
      <w:pPr>
        <w:widowControl/>
        <w:snapToGrid w:val="0"/>
        <w:spacing w:line="360" w:lineRule="auto"/>
        <w:contextualSpacing/>
        <w:jc w:val="left"/>
        <w:rPr>
          <w:rFonts w:ascii="宋体" w:hAnsi="宋体"/>
          <w:kern w:val="0"/>
          <w:szCs w:val="21"/>
        </w:rPr>
      </w:pPr>
      <w:r>
        <w:rPr>
          <w:rFonts w:hint="eastAsia" w:ascii="宋体" w:hAnsi="宋体"/>
          <w:kern w:val="0"/>
          <w:szCs w:val="21"/>
          <w:lang w:eastAsia="zh-Hans"/>
        </w:rPr>
        <w:t>供应商</w:t>
      </w:r>
      <w:r>
        <w:rPr>
          <w:rFonts w:ascii="宋体" w:hAnsi="宋体"/>
          <w:kern w:val="0"/>
          <w:szCs w:val="21"/>
          <w:lang w:eastAsia="zh-Hans"/>
        </w:rPr>
        <w:t>名称：</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货币及单位：人民币/元</w:t>
      </w:r>
    </w:p>
    <w:p>
      <w:pPr>
        <w:widowControl/>
        <w:snapToGrid w:val="0"/>
        <w:spacing w:line="360" w:lineRule="auto"/>
        <w:contextualSpacing/>
        <w:jc w:val="left"/>
        <w:rPr>
          <w:rFonts w:ascii="宋体" w:hAnsi="宋体"/>
          <w:kern w:val="0"/>
          <w:szCs w:val="21"/>
          <w:lang w:eastAsia="zh-Hans"/>
        </w:rPr>
      </w:pPr>
    </w:p>
    <w:tbl>
      <w:tblPr>
        <w:tblStyle w:val="22"/>
        <w:tblW w:w="928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41"/>
        <w:gridCol w:w="2141"/>
        <w:gridCol w:w="1941"/>
        <w:gridCol w:w="1941"/>
        <w:gridCol w:w="192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341" w:type="dxa"/>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序号</w:t>
            </w:r>
          </w:p>
        </w:tc>
        <w:tc>
          <w:tcPr>
            <w:tcW w:w="2141" w:type="dxa"/>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服务名称</w:t>
            </w:r>
          </w:p>
        </w:tc>
        <w:tc>
          <w:tcPr>
            <w:tcW w:w="1941" w:type="dxa"/>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单价</w:t>
            </w:r>
          </w:p>
        </w:tc>
        <w:tc>
          <w:tcPr>
            <w:tcW w:w="1941" w:type="dxa"/>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数量</w:t>
            </w:r>
          </w:p>
        </w:tc>
        <w:tc>
          <w:tcPr>
            <w:tcW w:w="1922" w:type="dxa"/>
          </w:tcPr>
          <w:p>
            <w:pPr>
              <w:widowControl/>
              <w:snapToGrid w:val="0"/>
              <w:spacing w:line="276" w:lineRule="auto"/>
              <w:contextualSpacing/>
              <w:jc w:val="center"/>
              <w:rPr>
                <w:rFonts w:ascii="宋体" w:hAnsi="宋体"/>
                <w:kern w:val="0"/>
                <w:szCs w:val="21"/>
                <w:lang w:eastAsia="zh-Hans"/>
              </w:rPr>
            </w:pPr>
            <w:r>
              <w:rPr>
                <w:rFonts w:hint="eastAsia" w:ascii="宋体" w:hAnsi="宋体"/>
                <w:kern w:val="0"/>
                <w:szCs w:val="21"/>
                <w:lang w:eastAsia="zh-Hans"/>
              </w:rPr>
              <w:t>合计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341" w:type="dxa"/>
          </w:tcPr>
          <w:p>
            <w:pPr>
              <w:snapToGrid w:val="0"/>
              <w:spacing w:line="276" w:lineRule="auto"/>
              <w:contextualSpacing/>
              <w:jc w:val="center"/>
              <w:rPr>
                <w:rFonts w:ascii="宋体" w:hAnsi="宋体"/>
                <w:szCs w:val="21"/>
              </w:rPr>
            </w:pPr>
          </w:p>
        </w:tc>
        <w:tc>
          <w:tcPr>
            <w:tcW w:w="21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22" w:type="dxa"/>
          </w:tcPr>
          <w:p>
            <w:pPr>
              <w:snapToGrid w:val="0"/>
              <w:spacing w:line="276" w:lineRule="auto"/>
              <w:contextualSpacing/>
              <w:jc w:val="cente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341" w:type="dxa"/>
          </w:tcPr>
          <w:p>
            <w:pPr>
              <w:snapToGrid w:val="0"/>
              <w:spacing w:line="276" w:lineRule="auto"/>
              <w:contextualSpacing/>
              <w:jc w:val="center"/>
              <w:rPr>
                <w:rFonts w:ascii="宋体" w:hAnsi="宋体"/>
                <w:szCs w:val="21"/>
              </w:rPr>
            </w:pPr>
          </w:p>
        </w:tc>
        <w:tc>
          <w:tcPr>
            <w:tcW w:w="21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22" w:type="dxa"/>
          </w:tcPr>
          <w:p>
            <w:pPr>
              <w:snapToGrid w:val="0"/>
              <w:spacing w:line="276" w:lineRule="auto"/>
              <w:contextualSpacing/>
              <w:jc w:val="cente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341" w:type="dxa"/>
          </w:tcPr>
          <w:p>
            <w:pPr>
              <w:snapToGrid w:val="0"/>
              <w:spacing w:line="276" w:lineRule="auto"/>
              <w:contextualSpacing/>
              <w:jc w:val="center"/>
              <w:rPr>
                <w:rFonts w:ascii="宋体" w:hAnsi="宋体"/>
                <w:szCs w:val="21"/>
              </w:rPr>
            </w:pPr>
            <w:r>
              <w:rPr>
                <w:rFonts w:ascii="宋体" w:hAnsi="宋体"/>
                <w:kern w:val="0"/>
                <w:szCs w:val="21"/>
                <w:lang w:eastAsia="zh-Hans"/>
              </w:rPr>
              <w:t>...</w:t>
            </w:r>
          </w:p>
        </w:tc>
        <w:tc>
          <w:tcPr>
            <w:tcW w:w="21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41" w:type="dxa"/>
          </w:tcPr>
          <w:p>
            <w:pPr>
              <w:snapToGrid w:val="0"/>
              <w:spacing w:line="276" w:lineRule="auto"/>
              <w:contextualSpacing/>
              <w:jc w:val="center"/>
              <w:rPr>
                <w:rFonts w:ascii="宋体" w:hAnsi="宋体"/>
                <w:szCs w:val="21"/>
              </w:rPr>
            </w:pPr>
          </w:p>
        </w:tc>
        <w:tc>
          <w:tcPr>
            <w:tcW w:w="1922" w:type="dxa"/>
          </w:tcPr>
          <w:p>
            <w:pPr>
              <w:snapToGrid w:val="0"/>
              <w:spacing w:line="276" w:lineRule="auto"/>
              <w:contextualSpacing/>
              <w:jc w:val="cente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9286" w:type="dxa"/>
            <w:gridSpan w:val="5"/>
          </w:tcPr>
          <w:p>
            <w:pPr>
              <w:snapToGrid w:val="0"/>
              <w:spacing w:line="276" w:lineRule="auto"/>
              <w:contextualSpacing/>
              <w:rPr>
                <w:rFonts w:ascii="宋体" w:hAnsi="宋体"/>
                <w:szCs w:val="21"/>
              </w:rPr>
            </w:pPr>
            <w:r>
              <w:rPr>
                <w:rFonts w:hint="eastAsia" w:ascii="宋体" w:hAnsi="宋体"/>
                <w:kern w:val="0"/>
                <w:szCs w:val="21"/>
              </w:rPr>
              <w:t>总价：</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r>
              <w:rPr>
                <w:rFonts w:hint="eastAsia" w:ascii="宋体" w:hAnsi="宋体"/>
                <w:szCs w:val="21"/>
              </w:rPr>
              <w:t>（小写：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p>
        </w:tc>
      </w:tr>
    </w:tbl>
    <w:p>
      <w:pPr>
        <w:widowControl/>
        <w:snapToGrid w:val="0"/>
        <w:spacing w:line="360" w:lineRule="auto"/>
        <w:contextualSpacing/>
        <w:jc w:val="left"/>
        <w:rPr>
          <w:kern w:val="0"/>
          <w:sz w:val="20"/>
          <w:szCs w:val="20"/>
          <w:lang w:eastAsia="zh-Hans"/>
        </w:rPr>
      </w:pPr>
    </w:p>
    <w:p>
      <w:pPr>
        <w:widowControl/>
        <w:snapToGrid w:val="0"/>
        <w:spacing w:line="360" w:lineRule="auto"/>
        <w:contextualSpacing/>
        <w:jc w:val="left"/>
        <w:rPr>
          <w:kern w:val="0"/>
          <w:sz w:val="20"/>
          <w:szCs w:val="20"/>
          <w:lang w:eastAsia="zh-Hans"/>
        </w:rPr>
      </w:pPr>
    </w:p>
    <w:p>
      <w:pPr>
        <w:widowControl/>
        <w:spacing w:before="624" w:beforeLines="200" w:line="300" w:lineRule="auto"/>
        <w:jc w:val="left"/>
        <w:rPr>
          <w:rFonts w:ascii="宋体" w:hAnsi="宋体"/>
          <w:kern w:val="0"/>
          <w:szCs w:val="21"/>
          <w:lang w:eastAsia="zh-Hans"/>
        </w:rPr>
      </w:pPr>
      <w:r>
        <w:rPr>
          <w:rFonts w:hint="eastAsia" w:ascii="宋体" w:hAnsi="宋体"/>
          <w:kern w:val="0"/>
          <w:szCs w:val="21"/>
          <w:lang w:eastAsia="zh-Hans"/>
        </w:rPr>
        <w:t>供应商</w:t>
      </w:r>
      <w:r>
        <w:rPr>
          <w:rFonts w:ascii="宋体" w:hAnsi="宋体"/>
          <w:kern w:val="0"/>
          <w:szCs w:val="21"/>
          <w:lang w:eastAsia="zh-Hans"/>
        </w:rPr>
        <w:t>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rPr>
          <w:rFonts w:ascii="宋体" w:hAnsi="宋体"/>
          <w:szCs w:val="21"/>
        </w:rPr>
      </w:pPr>
    </w:p>
    <w:p>
      <w:pPr>
        <w:pageBreakBefore/>
        <w:rPr>
          <w:rFonts w:ascii="宋体" w:hAnsi="宋体"/>
          <w:kern w:val="0"/>
          <w:szCs w:val="21"/>
          <w:lang w:eastAsia="zh-Hans"/>
        </w:rPr>
      </w:pPr>
      <w:bookmarkStart w:id="63" w:name="_Toc169799790"/>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63"/>
    </w:p>
    <w:p>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pPr>
        <w:widowControl/>
        <w:jc w:val="left"/>
        <w:rPr>
          <w:rFonts w:ascii="宋体" w:hAnsi="宋体"/>
          <w:kern w:val="0"/>
          <w:szCs w:val="21"/>
          <w:lang w:eastAsia="zh-Hans"/>
        </w:rPr>
      </w:pPr>
    </w:p>
    <w:p>
      <w:pPr>
        <w:pageBreakBefore/>
        <w:rPr>
          <w:kern w:val="0"/>
          <w:szCs w:val="21"/>
          <w:lang w:eastAsia="zh-Hans"/>
        </w:rPr>
      </w:pPr>
      <w:bookmarkStart w:id="64" w:name="_Toc169799793"/>
      <w:r>
        <w:rPr>
          <w:rFonts w:ascii="宋体" w:hAnsi="宋体"/>
          <w:b/>
          <w:bCs/>
          <w:sz w:val="24"/>
          <w:szCs w:val="28"/>
        </w:rPr>
        <w:t>格式</w:t>
      </w:r>
      <w:r>
        <w:rPr>
          <w:rFonts w:hint="eastAsia" w:ascii="宋体" w:hAnsi="宋体"/>
          <w:b/>
          <w:bCs/>
          <w:sz w:val="24"/>
          <w:szCs w:val="28"/>
          <w:lang w:val="en-US" w:eastAsia="zh-CN"/>
        </w:rPr>
        <w:t>五</w:t>
      </w:r>
      <w:r>
        <w:rPr>
          <w:rFonts w:ascii="宋体" w:hAnsi="宋体"/>
          <w:b/>
          <w:bCs/>
          <w:sz w:val="24"/>
          <w:szCs w:val="28"/>
        </w:rPr>
        <w:t>：</w:t>
      </w:r>
      <w:bookmarkEnd w:id="64"/>
    </w:p>
    <w:p>
      <w:pPr>
        <w:widowControl/>
        <w:spacing w:after="156" w:afterLines="50"/>
        <w:jc w:val="center"/>
        <w:outlineLvl w:val="3"/>
        <w:rPr>
          <w:kern w:val="0"/>
          <w:sz w:val="20"/>
          <w:szCs w:val="20"/>
          <w:lang w:eastAsia="zh-Hans"/>
        </w:rPr>
      </w:pPr>
      <w:r>
        <w:rPr>
          <w:b/>
          <w:kern w:val="0"/>
          <w:sz w:val="32"/>
          <w:lang w:eastAsia="zh-Hans"/>
        </w:rPr>
        <w:t>政策适用性说明</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72"/>
        <w:gridCol w:w="1140"/>
        <w:gridCol w:w="1140"/>
        <w:gridCol w:w="1138"/>
        <w:gridCol w:w="1140"/>
        <w:gridCol w:w="1003"/>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1772"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1140"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1140"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1138"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1140"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1003"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1160"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3" w:type="dxa"/>
            <w:vAlign w:val="center"/>
          </w:tcPr>
          <w:p>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1772"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138" w:type="dxa"/>
            <w:vAlign w:val="center"/>
          </w:tcPr>
          <w:p>
            <w:pPr>
              <w:snapToGrid w:val="0"/>
              <w:spacing w:line="360" w:lineRule="auto"/>
              <w:contextualSpacing/>
              <w:jc w:val="center"/>
              <w:rPr>
                <w:rFonts w:ascii="宋体" w:hAnsi="宋体"/>
                <w:szCs w:val="21"/>
              </w:rPr>
            </w:pPr>
          </w:p>
        </w:tc>
        <w:tc>
          <w:tcPr>
            <w:tcW w:w="1140" w:type="dxa"/>
            <w:vAlign w:val="center"/>
          </w:tcPr>
          <w:p>
            <w:pPr>
              <w:snapToGrid w:val="0"/>
              <w:spacing w:line="360" w:lineRule="auto"/>
              <w:contextualSpacing/>
              <w:jc w:val="center"/>
              <w:rPr>
                <w:rFonts w:ascii="宋体" w:hAnsi="宋体"/>
                <w:szCs w:val="21"/>
              </w:rPr>
            </w:pPr>
          </w:p>
        </w:tc>
        <w:tc>
          <w:tcPr>
            <w:tcW w:w="1003" w:type="dxa"/>
            <w:vAlign w:val="center"/>
          </w:tcPr>
          <w:p>
            <w:pPr>
              <w:snapToGrid w:val="0"/>
              <w:spacing w:line="360" w:lineRule="auto"/>
              <w:contextualSpacing/>
              <w:jc w:val="center"/>
              <w:rPr>
                <w:rFonts w:ascii="宋体" w:hAnsi="宋体"/>
                <w:szCs w:val="21"/>
              </w:rPr>
            </w:pPr>
          </w:p>
        </w:tc>
        <w:tc>
          <w:tcPr>
            <w:tcW w:w="1160" w:type="dxa"/>
            <w:vAlign w:val="center"/>
          </w:tcPr>
          <w:p>
            <w:pPr>
              <w:snapToGrid w:val="0"/>
              <w:spacing w:line="360" w:lineRule="auto"/>
              <w:contextualSpacing/>
              <w:jc w:val="center"/>
              <w:rPr>
                <w:rFonts w:ascii="宋体" w:hAnsi="宋体"/>
                <w:szCs w:val="21"/>
              </w:rPr>
            </w:pPr>
          </w:p>
        </w:tc>
      </w:tr>
    </w:tbl>
    <w:p>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pPr>
        <w:widowControl/>
        <w:snapToGrid w:val="0"/>
        <w:spacing w:line="360" w:lineRule="auto"/>
        <w:contextualSpacing/>
        <w:jc w:val="left"/>
        <w:rPr>
          <w:rFonts w:ascii="宋体" w:hAnsi="宋体"/>
          <w:kern w:val="0"/>
          <w:szCs w:val="21"/>
        </w:rPr>
      </w:pPr>
    </w:p>
    <w:p>
      <w:pPr>
        <w:widowControl/>
        <w:snapToGrid w:val="0"/>
        <w:spacing w:line="360" w:lineRule="auto"/>
        <w:contextualSpacing/>
        <w:jc w:val="left"/>
        <w:rPr>
          <w:rFonts w:ascii="宋体" w:hAnsi="宋体"/>
          <w:kern w:val="0"/>
          <w:szCs w:val="21"/>
        </w:rPr>
      </w:pP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kern w:val="0"/>
          <w:sz w:val="20"/>
          <w:szCs w:val="20"/>
          <w:lang w:eastAsia="zh-Hans"/>
        </w:rPr>
      </w:pPr>
      <w:bookmarkStart w:id="65" w:name="_Toc169799795"/>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65"/>
    </w:p>
    <w:p>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spacing w:before="156" w:beforeLines="50" w:after="156" w:afterLines="50" w:line="360" w:lineRule="auto"/>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9286"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094" w:hRule="atLeast"/>
          <w:jc w:val="center"/>
        </w:trPr>
        <w:tc>
          <w:tcPr>
            <w:tcW w:w="4643" w:type="dxa"/>
            <w:vAlign w:val="center"/>
          </w:tcPr>
          <w:p>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4643" w:type="dxa"/>
            <w:vAlign w:val="center"/>
          </w:tcPr>
          <w:p>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pPr>
        <w:widowControl/>
        <w:jc w:val="left"/>
        <w:rPr>
          <w:kern w:val="0"/>
          <w:sz w:val="20"/>
          <w:szCs w:val="20"/>
          <w:lang w:eastAsia="zh-Hans"/>
        </w:rPr>
      </w:pPr>
    </w:p>
    <w:p>
      <w:pPr>
        <w:pageBreakBefore/>
        <w:rPr>
          <w:kern w:val="0"/>
          <w:sz w:val="20"/>
          <w:szCs w:val="20"/>
          <w:lang w:eastAsia="zh-Hans"/>
        </w:rPr>
      </w:pPr>
      <w:bookmarkStart w:id="66" w:name="_Toc169799796"/>
      <w:r>
        <w:rPr>
          <w:rFonts w:ascii="宋体" w:hAnsi="宋体"/>
          <w:b/>
          <w:bCs/>
          <w:sz w:val="24"/>
          <w:szCs w:val="28"/>
        </w:rPr>
        <w:t>格式</w:t>
      </w:r>
      <w:r>
        <w:rPr>
          <w:rFonts w:hint="eastAsia" w:ascii="宋体" w:hAnsi="宋体"/>
          <w:b/>
          <w:bCs/>
          <w:sz w:val="24"/>
          <w:szCs w:val="28"/>
          <w:lang w:val="en-US" w:eastAsia="zh-CN"/>
        </w:rPr>
        <w:t>七</w:t>
      </w:r>
      <w:r>
        <w:rPr>
          <w:rFonts w:ascii="宋体" w:hAnsi="宋体"/>
          <w:b/>
          <w:bCs/>
          <w:sz w:val="24"/>
          <w:szCs w:val="28"/>
        </w:rPr>
        <w:t>：</w:t>
      </w:r>
      <w:bookmarkEnd w:id="66"/>
    </w:p>
    <w:p>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pPr>
        <w:pStyle w:val="49"/>
        <w:spacing w:line="360" w:lineRule="auto"/>
        <w:ind w:firstLine="0" w:firstLineChars="0"/>
        <w:rPr>
          <w:rFonts w:ascii="宋体" w:eastAsia="宋体"/>
          <w:color w:val="000000" w:themeColor="text1"/>
          <w:sz w:val="21"/>
          <w:szCs w:val="21"/>
          <w14:textFill>
            <w14:solidFill>
              <w14:schemeClr w14:val="tx1"/>
            </w14:solidFill>
          </w14:textFill>
        </w:rPr>
      </w:pPr>
    </w:p>
    <w:p>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9286"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584" w:hRule="atLeast"/>
          <w:jc w:val="center"/>
        </w:trPr>
        <w:tc>
          <w:tcPr>
            <w:tcW w:w="4643" w:type="dxa"/>
            <w:vAlign w:val="center"/>
          </w:tcPr>
          <w:p>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4643" w:type="dxa"/>
            <w:vAlign w:val="center"/>
          </w:tcPr>
          <w:p>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pPr>
        <w:widowControl/>
        <w:jc w:val="left"/>
        <w:rPr>
          <w:kern w:val="0"/>
          <w:sz w:val="20"/>
          <w:szCs w:val="20"/>
          <w:lang w:eastAsia="zh-Hans"/>
        </w:rPr>
      </w:pPr>
    </w:p>
    <w:p>
      <w:pPr>
        <w:pStyle w:val="74"/>
        <w:ind w:right="1890" w:firstLine="640"/>
        <w:jc w:val="center"/>
        <w:rPr>
          <w:rFonts w:hint="default"/>
        </w:rPr>
      </w:pPr>
    </w:p>
    <w:p>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八</w:t>
      </w:r>
      <w:r>
        <w:rPr>
          <w:rFonts w:hint="eastAsia" w:ascii="宋体" w:hAnsi="宋体"/>
          <w:b/>
          <w:bCs/>
          <w:sz w:val="24"/>
          <w:szCs w:val="28"/>
        </w:rPr>
        <w:t>：</w:t>
      </w:r>
    </w:p>
    <w:p>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pPr>
        <w:pStyle w:val="70"/>
        <w:widowControl/>
        <w:numPr>
          <w:ilvl w:val="0"/>
          <w:numId w:val="95"/>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pPr>
        <w:rPr>
          <w:rFonts w:ascii="宋体" w:hAnsi="宋体"/>
          <w:szCs w:val="21"/>
        </w:rPr>
      </w:pPr>
    </w:p>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rPr>
          <w:rFonts w:ascii="宋体" w:hAnsi="宋体"/>
          <w:szCs w:val="21"/>
        </w:rPr>
      </w:pPr>
    </w:p>
    <w:p>
      <w:pPr>
        <w:pageBreakBefore/>
        <w:rPr>
          <w:kern w:val="0"/>
          <w:szCs w:val="21"/>
          <w:lang w:eastAsia="zh-Hans"/>
        </w:rPr>
      </w:pPr>
      <w:bookmarkStart w:id="67" w:name="_Toc169799798"/>
      <w:r>
        <w:rPr>
          <w:rFonts w:ascii="宋体" w:hAnsi="宋体"/>
          <w:b/>
          <w:bCs/>
          <w:sz w:val="24"/>
          <w:szCs w:val="28"/>
        </w:rPr>
        <w:t>格式</w:t>
      </w:r>
      <w:r>
        <w:rPr>
          <w:rFonts w:hint="eastAsia" w:ascii="宋体" w:hAnsi="宋体"/>
          <w:b/>
          <w:bCs/>
          <w:sz w:val="24"/>
          <w:szCs w:val="28"/>
          <w:lang w:val="en-US" w:eastAsia="zh-CN"/>
        </w:rPr>
        <w:t>九</w:t>
      </w:r>
      <w:r>
        <w:rPr>
          <w:rFonts w:ascii="宋体" w:hAnsi="宋体"/>
          <w:b/>
          <w:bCs/>
          <w:sz w:val="24"/>
          <w:szCs w:val="28"/>
        </w:rPr>
        <w:t>：</w:t>
      </w:r>
      <w:bookmarkEnd w:id="67"/>
    </w:p>
    <w:p>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pPr>
        <w:widowControl/>
        <w:jc w:val="left"/>
        <w:rPr>
          <w:kern w:val="0"/>
          <w:sz w:val="20"/>
          <w:szCs w:val="20"/>
          <w:lang w:eastAsia="zh-Hans"/>
        </w:rPr>
      </w:pPr>
    </w:p>
    <w:p>
      <w:pPr>
        <w:pageBreakBefore/>
        <w:rPr>
          <w:rFonts w:ascii="宋体" w:hAnsi="宋体"/>
          <w:b/>
          <w:bCs/>
        </w:rPr>
      </w:pPr>
      <w:r>
        <w:rPr>
          <w:rFonts w:hint="eastAsia" w:ascii="宋体" w:hAnsi="宋体"/>
          <w:b/>
          <w:bCs/>
          <w:sz w:val="24"/>
          <w:szCs w:val="28"/>
        </w:rPr>
        <w:t>格式十：</w:t>
      </w:r>
    </w:p>
    <w:p>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03"/>
        <w:gridCol w:w="2162"/>
        <w:gridCol w:w="1359"/>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988" w:type="dxa"/>
            <w:vAlign w:val="center"/>
          </w:tcPr>
          <w:p>
            <w:pPr>
              <w:jc w:val="center"/>
              <w:rPr>
                <w:rFonts w:ascii="宋体" w:hAnsi="宋体"/>
                <w:b/>
                <w:bCs/>
                <w:szCs w:val="21"/>
              </w:rPr>
            </w:pPr>
            <w:r>
              <w:rPr>
                <w:rFonts w:hint="eastAsia" w:ascii="宋体" w:hAnsi="宋体"/>
                <w:b/>
                <w:bCs/>
                <w:szCs w:val="21"/>
              </w:rPr>
              <w:t>序号</w:t>
            </w:r>
          </w:p>
        </w:tc>
        <w:tc>
          <w:tcPr>
            <w:tcW w:w="2903" w:type="dxa"/>
            <w:vAlign w:val="center"/>
          </w:tcPr>
          <w:p>
            <w:pPr>
              <w:jc w:val="center"/>
              <w:rPr>
                <w:rFonts w:ascii="宋体" w:hAnsi="宋体"/>
                <w:b/>
                <w:bCs/>
                <w:szCs w:val="21"/>
              </w:rPr>
            </w:pPr>
            <w:r>
              <w:rPr>
                <w:rFonts w:hint="eastAsia" w:ascii="宋体" w:hAnsi="宋体"/>
                <w:b/>
                <w:bCs/>
                <w:szCs w:val="21"/>
              </w:rPr>
              <w:t>名称</w:t>
            </w:r>
          </w:p>
        </w:tc>
        <w:tc>
          <w:tcPr>
            <w:tcW w:w="2162" w:type="dxa"/>
            <w:vAlign w:val="center"/>
          </w:tcPr>
          <w:p>
            <w:pPr>
              <w:jc w:val="center"/>
              <w:rPr>
                <w:rFonts w:ascii="宋体" w:hAnsi="宋体"/>
                <w:b/>
                <w:bCs/>
                <w:szCs w:val="21"/>
              </w:rPr>
            </w:pPr>
            <w:r>
              <w:rPr>
                <w:rFonts w:hint="eastAsia" w:ascii="宋体" w:hAnsi="宋体"/>
                <w:b/>
                <w:bCs/>
                <w:szCs w:val="21"/>
              </w:rPr>
              <w:t>规格型号</w:t>
            </w:r>
          </w:p>
        </w:tc>
        <w:tc>
          <w:tcPr>
            <w:tcW w:w="1359" w:type="dxa"/>
            <w:vAlign w:val="center"/>
          </w:tcPr>
          <w:p>
            <w:pPr>
              <w:jc w:val="center"/>
              <w:rPr>
                <w:rFonts w:ascii="宋体" w:hAnsi="宋体"/>
                <w:b/>
                <w:bCs/>
                <w:szCs w:val="21"/>
              </w:rPr>
            </w:pPr>
            <w:r>
              <w:rPr>
                <w:rFonts w:hint="eastAsia" w:ascii="宋体" w:hAnsi="宋体"/>
                <w:b/>
                <w:bCs/>
                <w:szCs w:val="21"/>
              </w:rPr>
              <w:t>数量</w:t>
            </w:r>
          </w:p>
        </w:tc>
        <w:tc>
          <w:tcPr>
            <w:tcW w:w="1874" w:type="dxa"/>
            <w:vAlign w:val="center"/>
          </w:tcPr>
          <w:p>
            <w:pPr>
              <w:jc w:val="center"/>
              <w:rPr>
                <w:rFonts w:ascii="宋体" w:hAnsi="宋体"/>
                <w:b/>
                <w:bCs/>
                <w:szCs w:val="21"/>
              </w:rPr>
            </w:pPr>
            <w:r>
              <w:rPr>
                <w:rFonts w:hint="eastAsia" w:ascii="宋体" w:hAnsi="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88" w:type="dxa"/>
            <w:vAlign w:val="center"/>
          </w:tcPr>
          <w:p>
            <w:pPr>
              <w:jc w:val="center"/>
              <w:rPr>
                <w:rFonts w:ascii="宋体" w:hAnsi="宋体"/>
                <w:szCs w:val="21"/>
              </w:rPr>
            </w:pPr>
          </w:p>
        </w:tc>
        <w:tc>
          <w:tcPr>
            <w:tcW w:w="2903" w:type="dxa"/>
            <w:vAlign w:val="center"/>
          </w:tcPr>
          <w:p>
            <w:pPr>
              <w:jc w:val="center"/>
              <w:rPr>
                <w:rFonts w:ascii="宋体" w:hAnsi="宋体"/>
                <w:szCs w:val="21"/>
              </w:rPr>
            </w:pPr>
          </w:p>
        </w:tc>
        <w:tc>
          <w:tcPr>
            <w:tcW w:w="2162" w:type="dxa"/>
            <w:vAlign w:val="center"/>
          </w:tcPr>
          <w:p>
            <w:pPr>
              <w:jc w:val="center"/>
              <w:rPr>
                <w:rFonts w:ascii="宋体" w:hAnsi="宋体"/>
                <w:szCs w:val="21"/>
              </w:rPr>
            </w:pPr>
          </w:p>
        </w:tc>
        <w:tc>
          <w:tcPr>
            <w:tcW w:w="1359" w:type="dxa"/>
            <w:vAlign w:val="center"/>
          </w:tcPr>
          <w:p>
            <w:pPr>
              <w:jc w:val="center"/>
              <w:rPr>
                <w:rFonts w:ascii="宋体" w:hAnsi="宋体"/>
                <w:szCs w:val="21"/>
              </w:rPr>
            </w:pPr>
          </w:p>
        </w:tc>
        <w:tc>
          <w:tcPr>
            <w:tcW w:w="1874" w:type="dxa"/>
            <w:vAlign w:val="center"/>
          </w:tcPr>
          <w:p>
            <w:pPr>
              <w:jc w:val="center"/>
              <w:rPr>
                <w:rFonts w:ascii="宋体" w:hAnsi="宋体"/>
                <w:szCs w:val="21"/>
              </w:rPr>
            </w:pPr>
          </w:p>
        </w:tc>
      </w:tr>
    </w:tbl>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213"/>
        <w:gridCol w:w="1372"/>
        <w:gridCol w:w="2008"/>
        <w:gridCol w:w="1541"/>
        <w:gridCol w:w="1081"/>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773" w:type="dxa"/>
            <w:vAlign w:val="center"/>
          </w:tcPr>
          <w:p>
            <w:pPr>
              <w:jc w:val="center"/>
              <w:rPr>
                <w:rFonts w:ascii="宋体" w:hAnsi="宋体"/>
                <w:b/>
                <w:bCs/>
                <w:szCs w:val="21"/>
              </w:rPr>
            </w:pPr>
            <w:r>
              <w:rPr>
                <w:rFonts w:hint="eastAsia" w:ascii="宋体" w:hAnsi="宋体"/>
                <w:b/>
                <w:bCs/>
                <w:szCs w:val="21"/>
              </w:rPr>
              <w:t>序号</w:t>
            </w:r>
          </w:p>
        </w:tc>
        <w:tc>
          <w:tcPr>
            <w:tcW w:w="1213" w:type="dxa"/>
            <w:vAlign w:val="center"/>
          </w:tcPr>
          <w:p>
            <w:pPr>
              <w:jc w:val="center"/>
              <w:rPr>
                <w:rFonts w:ascii="宋体" w:hAnsi="宋体"/>
                <w:b/>
                <w:bCs/>
                <w:szCs w:val="21"/>
              </w:rPr>
            </w:pPr>
            <w:r>
              <w:rPr>
                <w:rFonts w:hint="eastAsia" w:ascii="宋体" w:hAnsi="宋体"/>
                <w:b/>
                <w:bCs/>
                <w:szCs w:val="21"/>
              </w:rPr>
              <w:t>姓名</w:t>
            </w:r>
          </w:p>
        </w:tc>
        <w:tc>
          <w:tcPr>
            <w:tcW w:w="1372" w:type="dxa"/>
            <w:vAlign w:val="center"/>
          </w:tcPr>
          <w:p>
            <w:pPr>
              <w:jc w:val="center"/>
              <w:rPr>
                <w:rFonts w:ascii="宋体" w:hAnsi="宋体"/>
                <w:b/>
                <w:bCs/>
                <w:szCs w:val="21"/>
              </w:rPr>
            </w:pPr>
            <w:r>
              <w:rPr>
                <w:rFonts w:hint="eastAsia" w:ascii="宋体" w:hAnsi="宋体"/>
                <w:b/>
                <w:bCs/>
                <w:szCs w:val="21"/>
              </w:rPr>
              <w:t>职位</w:t>
            </w:r>
          </w:p>
        </w:tc>
        <w:tc>
          <w:tcPr>
            <w:tcW w:w="2008" w:type="dxa"/>
            <w:vAlign w:val="center"/>
          </w:tcPr>
          <w:p>
            <w:pPr>
              <w:jc w:val="center"/>
              <w:rPr>
                <w:rFonts w:ascii="宋体" w:hAnsi="宋体"/>
                <w:b/>
                <w:bCs/>
                <w:szCs w:val="21"/>
              </w:rPr>
            </w:pPr>
            <w:r>
              <w:rPr>
                <w:rFonts w:hint="eastAsia" w:ascii="宋体" w:hAnsi="宋体"/>
                <w:b/>
                <w:bCs/>
                <w:szCs w:val="21"/>
              </w:rPr>
              <w:t>持何种资格证件</w:t>
            </w:r>
          </w:p>
        </w:tc>
        <w:tc>
          <w:tcPr>
            <w:tcW w:w="1541" w:type="dxa"/>
            <w:vAlign w:val="center"/>
          </w:tcPr>
          <w:p>
            <w:pPr>
              <w:jc w:val="center"/>
              <w:rPr>
                <w:rFonts w:ascii="宋体" w:hAnsi="宋体"/>
                <w:b/>
                <w:bCs/>
                <w:szCs w:val="21"/>
              </w:rPr>
            </w:pPr>
            <w:r>
              <w:rPr>
                <w:rFonts w:hint="eastAsia" w:ascii="宋体" w:hAnsi="宋体"/>
                <w:b/>
                <w:bCs/>
                <w:szCs w:val="21"/>
              </w:rPr>
              <w:t>发证时间</w:t>
            </w:r>
          </w:p>
        </w:tc>
        <w:tc>
          <w:tcPr>
            <w:tcW w:w="1081" w:type="dxa"/>
            <w:vAlign w:val="center"/>
          </w:tcPr>
          <w:p>
            <w:pPr>
              <w:jc w:val="center"/>
              <w:rPr>
                <w:rFonts w:ascii="宋体" w:hAnsi="宋体"/>
                <w:b/>
                <w:bCs/>
                <w:szCs w:val="21"/>
              </w:rPr>
            </w:pPr>
            <w:r>
              <w:rPr>
                <w:rFonts w:hint="eastAsia" w:ascii="宋体" w:hAnsi="宋体"/>
                <w:b/>
                <w:bCs/>
                <w:szCs w:val="21"/>
              </w:rPr>
              <w:t>学历</w:t>
            </w:r>
          </w:p>
        </w:tc>
        <w:tc>
          <w:tcPr>
            <w:tcW w:w="1298" w:type="dxa"/>
            <w:vAlign w:val="center"/>
          </w:tcPr>
          <w:p>
            <w:pPr>
              <w:jc w:val="center"/>
              <w:rPr>
                <w:rFonts w:ascii="宋体" w:hAnsi="宋体"/>
                <w:b/>
                <w:bCs/>
                <w:szCs w:val="21"/>
              </w:rPr>
            </w:pPr>
            <w:r>
              <w:rPr>
                <w:rFonts w:hint="eastAsia" w:ascii="宋体" w:hAnsi="宋体"/>
                <w:b/>
                <w:bCs/>
                <w:szCs w:val="21"/>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widowControl/>
              <w:tabs>
                <w:tab w:val="right" w:leader="dot" w:pos="8302"/>
              </w:tabs>
              <w:jc w:val="center"/>
              <w:rPr>
                <w:rFonts w:ascii="宋体" w:hAnsi="宋体"/>
                <w:kern w:val="0"/>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widowControl/>
              <w:tabs>
                <w:tab w:val="right" w:leader="dot" w:pos="8302"/>
              </w:tabs>
              <w:jc w:val="center"/>
              <w:rPr>
                <w:rFonts w:ascii="宋体" w:hAnsi="宋体"/>
                <w:kern w:val="0"/>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773" w:type="dxa"/>
            <w:vAlign w:val="center"/>
          </w:tcPr>
          <w:p>
            <w:pPr>
              <w:jc w:val="center"/>
              <w:rPr>
                <w:rFonts w:ascii="宋体" w:hAnsi="宋体"/>
                <w:szCs w:val="21"/>
              </w:rPr>
            </w:pPr>
          </w:p>
        </w:tc>
        <w:tc>
          <w:tcPr>
            <w:tcW w:w="1213" w:type="dxa"/>
            <w:vAlign w:val="center"/>
          </w:tcPr>
          <w:p>
            <w:pPr>
              <w:jc w:val="center"/>
              <w:rPr>
                <w:rFonts w:ascii="宋体" w:hAnsi="宋体"/>
                <w:szCs w:val="21"/>
              </w:rPr>
            </w:pPr>
          </w:p>
        </w:tc>
        <w:tc>
          <w:tcPr>
            <w:tcW w:w="1372" w:type="dxa"/>
            <w:vAlign w:val="center"/>
          </w:tcPr>
          <w:p>
            <w:pPr>
              <w:jc w:val="center"/>
              <w:rPr>
                <w:rFonts w:ascii="宋体" w:hAnsi="宋体"/>
                <w:szCs w:val="21"/>
              </w:rPr>
            </w:pPr>
          </w:p>
        </w:tc>
        <w:tc>
          <w:tcPr>
            <w:tcW w:w="2008" w:type="dxa"/>
            <w:vAlign w:val="center"/>
          </w:tcPr>
          <w:p>
            <w:pPr>
              <w:jc w:val="center"/>
              <w:rPr>
                <w:rFonts w:ascii="宋体" w:hAnsi="宋体"/>
                <w:szCs w:val="21"/>
              </w:rPr>
            </w:pPr>
          </w:p>
        </w:tc>
        <w:tc>
          <w:tcPr>
            <w:tcW w:w="1541" w:type="dxa"/>
          </w:tcPr>
          <w:p>
            <w:pPr>
              <w:jc w:val="center"/>
              <w:rPr>
                <w:rFonts w:ascii="宋体" w:hAnsi="宋体"/>
                <w:szCs w:val="21"/>
              </w:rPr>
            </w:pPr>
          </w:p>
        </w:tc>
        <w:tc>
          <w:tcPr>
            <w:tcW w:w="1081" w:type="dxa"/>
            <w:vAlign w:val="center"/>
          </w:tcPr>
          <w:p>
            <w:pPr>
              <w:jc w:val="center"/>
              <w:rPr>
                <w:rFonts w:ascii="宋体" w:hAnsi="宋体"/>
                <w:szCs w:val="21"/>
              </w:rPr>
            </w:pPr>
          </w:p>
        </w:tc>
        <w:tc>
          <w:tcPr>
            <w:tcW w:w="1298" w:type="dxa"/>
          </w:tcPr>
          <w:p>
            <w:pPr>
              <w:jc w:val="center"/>
              <w:rPr>
                <w:rFonts w:ascii="宋体" w:hAnsi="宋体"/>
                <w:szCs w:val="21"/>
              </w:rPr>
            </w:pPr>
          </w:p>
        </w:tc>
      </w:tr>
    </w:tbl>
    <w:p>
      <w:pPr>
        <w:spacing w:line="360" w:lineRule="auto"/>
        <w:rPr>
          <w:rFonts w:ascii="黑体" w:hAnsi="黑体" w:eastAsia="黑体"/>
        </w:rPr>
      </w:pPr>
    </w:p>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spacing w:line="360" w:lineRule="auto"/>
        <w:rPr>
          <w:rFonts w:ascii="黑体" w:hAnsi="黑体" w:eastAsia="黑体"/>
        </w:rPr>
      </w:pPr>
    </w:p>
    <w:p>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778" w:type="dxa"/>
            <w:vAlign w:val="center"/>
          </w:tcPr>
          <w:p>
            <w:pPr>
              <w:jc w:val="center"/>
              <w:rPr>
                <w:rFonts w:ascii="宋体" w:hAnsi="宋体"/>
                <w:szCs w:val="21"/>
              </w:rPr>
            </w:pPr>
            <w:r>
              <w:rPr>
                <w:rFonts w:hint="eastAsia" w:ascii="宋体" w:hAnsi="宋体"/>
                <w:szCs w:val="21"/>
              </w:rPr>
              <w:t>姓名</w:t>
            </w:r>
          </w:p>
        </w:tc>
        <w:tc>
          <w:tcPr>
            <w:tcW w:w="2772" w:type="dxa"/>
            <w:gridSpan w:val="4"/>
            <w:vAlign w:val="center"/>
          </w:tcPr>
          <w:p>
            <w:pPr>
              <w:jc w:val="center"/>
              <w:rPr>
                <w:rFonts w:ascii="宋体" w:hAnsi="宋体"/>
                <w:szCs w:val="21"/>
              </w:rPr>
            </w:pPr>
          </w:p>
        </w:tc>
        <w:tc>
          <w:tcPr>
            <w:tcW w:w="891" w:type="dxa"/>
            <w:vAlign w:val="center"/>
          </w:tcPr>
          <w:p>
            <w:pPr>
              <w:jc w:val="center"/>
              <w:rPr>
                <w:rFonts w:ascii="宋体" w:hAnsi="宋体"/>
                <w:szCs w:val="21"/>
              </w:rPr>
            </w:pPr>
            <w:r>
              <w:rPr>
                <w:rFonts w:hint="eastAsia" w:ascii="宋体" w:hAnsi="宋体"/>
                <w:szCs w:val="21"/>
              </w:rPr>
              <w:t>性别</w:t>
            </w:r>
          </w:p>
        </w:tc>
        <w:tc>
          <w:tcPr>
            <w:tcW w:w="1787" w:type="dxa"/>
            <w:gridSpan w:val="3"/>
            <w:vAlign w:val="center"/>
          </w:tcPr>
          <w:p>
            <w:pPr>
              <w:jc w:val="center"/>
              <w:rPr>
                <w:rFonts w:ascii="宋体" w:hAnsi="宋体"/>
                <w:szCs w:val="21"/>
              </w:rPr>
            </w:pPr>
          </w:p>
        </w:tc>
        <w:tc>
          <w:tcPr>
            <w:tcW w:w="1146" w:type="dxa"/>
            <w:gridSpan w:val="2"/>
            <w:vAlign w:val="center"/>
          </w:tcPr>
          <w:p>
            <w:pPr>
              <w:jc w:val="center"/>
              <w:rPr>
                <w:rFonts w:ascii="宋体" w:hAnsi="宋体"/>
                <w:szCs w:val="21"/>
              </w:rPr>
            </w:pPr>
            <w:r>
              <w:rPr>
                <w:rFonts w:hint="eastAsia" w:ascii="宋体" w:hAnsi="宋体"/>
                <w:szCs w:val="21"/>
              </w:rPr>
              <w:t>年龄</w:t>
            </w:r>
          </w:p>
        </w:tc>
        <w:tc>
          <w:tcPr>
            <w:tcW w:w="1912" w:type="dxa"/>
            <w:gridSpan w:val="2"/>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78" w:type="dxa"/>
            <w:vAlign w:val="center"/>
          </w:tcPr>
          <w:p>
            <w:pPr>
              <w:jc w:val="center"/>
              <w:rPr>
                <w:rFonts w:ascii="宋体" w:hAnsi="宋体"/>
                <w:szCs w:val="21"/>
              </w:rPr>
            </w:pPr>
            <w:r>
              <w:rPr>
                <w:rFonts w:hint="eastAsia" w:ascii="宋体" w:hAnsi="宋体"/>
                <w:szCs w:val="21"/>
              </w:rPr>
              <w:t>职务</w:t>
            </w:r>
          </w:p>
        </w:tc>
        <w:tc>
          <w:tcPr>
            <w:tcW w:w="2772" w:type="dxa"/>
            <w:gridSpan w:val="4"/>
            <w:vAlign w:val="center"/>
          </w:tcPr>
          <w:p>
            <w:pPr>
              <w:jc w:val="center"/>
              <w:rPr>
                <w:rFonts w:ascii="宋体" w:hAnsi="宋体"/>
                <w:szCs w:val="21"/>
              </w:rPr>
            </w:pPr>
          </w:p>
        </w:tc>
        <w:tc>
          <w:tcPr>
            <w:tcW w:w="891" w:type="dxa"/>
            <w:vAlign w:val="center"/>
          </w:tcPr>
          <w:p>
            <w:pPr>
              <w:jc w:val="center"/>
              <w:rPr>
                <w:rFonts w:ascii="宋体" w:hAnsi="宋体"/>
                <w:szCs w:val="21"/>
              </w:rPr>
            </w:pPr>
            <w:r>
              <w:rPr>
                <w:rFonts w:hint="eastAsia" w:ascii="宋体" w:hAnsi="宋体"/>
                <w:szCs w:val="21"/>
              </w:rPr>
              <w:t>职称</w:t>
            </w:r>
          </w:p>
        </w:tc>
        <w:tc>
          <w:tcPr>
            <w:tcW w:w="1787" w:type="dxa"/>
            <w:gridSpan w:val="3"/>
            <w:vAlign w:val="center"/>
          </w:tcPr>
          <w:p>
            <w:pPr>
              <w:jc w:val="center"/>
              <w:rPr>
                <w:rFonts w:ascii="宋体" w:hAnsi="宋体"/>
                <w:szCs w:val="21"/>
              </w:rPr>
            </w:pPr>
          </w:p>
        </w:tc>
        <w:tc>
          <w:tcPr>
            <w:tcW w:w="1146" w:type="dxa"/>
            <w:gridSpan w:val="2"/>
            <w:vAlign w:val="center"/>
          </w:tcPr>
          <w:p>
            <w:pPr>
              <w:jc w:val="center"/>
              <w:rPr>
                <w:rFonts w:ascii="宋体" w:hAnsi="宋体"/>
                <w:szCs w:val="21"/>
              </w:rPr>
            </w:pPr>
            <w:r>
              <w:rPr>
                <w:rFonts w:hint="eastAsia" w:ascii="宋体" w:hAnsi="宋体"/>
                <w:szCs w:val="21"/>
              </w:rPr>
              <w:t>学历</w:t>
            </w:r>
          </w:p>
        </w:tc>
        <w:tc>
          <w:tcPr>
            <w:tcW w:w="1912" w:type="dxa"/>
            <w:gridSpan w:val="2"/>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3010" w:type="dxa"/>
            <w:gridSpan w:val="3"/>
            <w:vAlign w:val="center"/>
          </w:tcPr>
          <w:p>
            <w:pPr>
              <w:jc w:val="center"/>
              <w:rPr>
                <w:rFonts w:ascii="宋体" w:hAnsi="宋体"/>
                <w:szCs w:val="21"/>
              </w:rPr>
            </w:pPr>
            <w:r>
              <w:rPr>
                <w:rFonts w:hint="eastAsia" w:ascii="宋体" w:hAnsi="宋体"/>
                <w:szCs w:val="21"/>
              </w:rPr>
              <w:t>参加工作时间</w:t>
            </w:r>
          </w:p>
        </w:tc>
        <w:tc>
          <w:tcPr>
            <w:tcW w:w="2007" w:type="dxa"/>
            <w:gridSpan w:val="4"/>
            <w:vAlign w:val="center"/>
          </w:tcPr>
          <w:p>
            <w:pPr>
              <w:jc w:val="center"/>
              <w:rPr>
                <w:rFonts w:ascii="宋体" w:hAnsi="宋体"/>
                <w:szCs w:val="21"/>
              </w:rPr>
            </w:pPr>
          </w:p>
        </w:tc>
        <w:tc>
          <w:tcPr>
            <w:tcW w:w="2790" w:type="dxa"/>
            <w:gridSpan w:val="5"/>
            <w:vAlign w:val="center"/>
          </w:tcPr>
          <w:p>
            <w:pPr>
              <w:jc w:val="center"/>
              <w:rPr>
                <w:rFonts w:ascii="宋体" w:hAnsi="宋体"/>
                <w:szCs w:val="21"/>
              </w:rPr>
            </w:pPr>
            <w:r>
              <w:rPr>
                <w:rFonts w:hint="eastAsia" w:ascii="宋体" w:hAnsi="宋体"/>
                <w:szCs w:val="21"/>
              </w:rPr>
              <w:t>相关经验年限</w:t>
            </w:r>
          </w:p>
        </w:tc>
        <w:tc>
          <w:tcPr>
            <w:tcW w:w="1479"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3010" w:type="dxa"/>
            <w:gridSpan w:val="3"/>
            <w:vAlign w:val="center"/>
          </w:tcPr>
          <w:p>
            <w:pPr>
              <w:jc w:val="center"/>
              <w:rPr>
                <w:rFonts w:ascii="宋体" w:hAnsi="宋体"/>
                <w:szCs w:val="21"/>
              </w:rPr>
            </w:pPr>
            <w:r>
              <w:rPr>
                <w:rFonts w:hint="eastAsia" w:ascii="宋体" w:hAnsi="宋体"/>
                <w:szCs w:val="21"/>
              </w:rPr>
              <w:t>资格证书名称、编号</w:t>
            </w:r>
          </w:p>
        </w:tc>
        <w:tc>
          <w:tcPr>
            <w:tcW w:w="6276" w:type="dxa"/>
            <w:gridSpan w:val="1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9286" w:type="dxa"/>
            <w:gridSpan w:val="13"/>
            <w:vAlign w:val="center"/>
          </w:tcPr>
          <w:p>
            <w:pPr>
              <w:jc w:val="center"/>
              <w:rPr>
                <w:rFonts w:ascii="宋体" w:hAnsi="宋体"/>
                <w:szCs w:val="21"/>
              </w:rPr>
            </w:pPr>
            <w:r>
              <w:rPr>
                <w:rFonts w:hint="eastAsia" w:ascii="宋体" w:hAnsi="宋体"/>
                <w:szCs w:val="21"/>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569" w:type="dxa"/>
            <w:gridSpan w:val="2"/>
            <w:vAlign w:val="center"/>
          </w:tcPr>
          <w:p>
            <w:pPr>
              <w:jc w:val="center"/>
              <w:rPr>
                <w:rFonts w:ascii="宋体" w:hAnsi="宋体"/>
                <w:szCs w:val="21"/>
              </w:rPr>
            </w:pPr>
            <w:r>
              <w:rPr>
                <w:rFonts w:hint="eastAsia" w:ascii="宋体" w:hAnsi="宋体"/>
                <w:szCs w:val="21"/>
              </w:rPr>
              <w:t>采购人</w:t>
            </w:r>
          </w:p>
        </w:tc>
        <w:tc>
          <w:tcPr>
            <w:tcW w:w="1786" w:type="dxa"/>
            <w:gridSpan w:val="2"/>
            <w:vAlign w:val="center"/>
          </w:tcPr>
          <w:p>
            <w:pPr>
              <w:jc w:val="center"/>
              <w:rPr>
                <w:rFonts w:ascii="宋体" w:hAnsi="宋体"/>
                <w:szCs w:val="21"/>
              </w:rPr>
            </w:pPr>
            <w:r>
              <w:rPr>
                <w:rFonts w:hint="eastAsia" w:ascii="宋体" w:hAnsi="宋体"/>
                <w:szCs w:val="21"/>
              </w:rPr>
              <w:t>项目名称</w:t>
            </w:r>
          </w:p>
        </w:tc>
        <w:tc>
          <w:tcPr>
            <w:tcW w:w="1677" w:type="dxa"/>
            <w:gridSpan w:val="4"/>
            <w:vAlign w:val="center"/>
          </w:tcPr>
          <w:p>
            <w:pPr>
              <w:jc w:val="center"/>
              <w:rPr>
                <w:rFonts w:ascii="宋体" w:hAnsi="宋体"/>
                <w:szCs w:val="21"/>
              </w:rPr>
            </w:pPr>
            <w:r>
              <w:rPr>
                <w:rFonts w:hint="eastAsia" w:ascii="宋体" w:hAnsi="宋体"/>
                <w:szCs w:val="21"/>
              </w:rPr>
              <w:t>项目规模</w:t>
            </w:r>
          </w:p>
        </w:tc>
        <w:tc>
          <w:tcPr>
            <w:tcW w:w="1657" w:type="dxa"/>
            <w:gridSpan w:val="2"/>
            <w:vAlign w:val="center"/>
          </w:tcPr>
          <w:p>
            <w:pPr>
              <w:jc w:val="center"/>
              <w:rPr>
                <w:rFonts w:ascii="宋体" w:hAnsi="宋体"/>
                <w:szCs w:val="21"/>
              </w:rPr>
            </w:pPr>
            <w:r>
              <w:rPr>
                <w:rFonts w:hint="eastAsia" w:ascii="宋体" w:hAnsi="宋体"/>
                <w:szCs w:val="21"/>
              </w:rPr>
              <w:t>所任职务</w:t>
            </w:r>
          </w:p>
        </w:tc>
        <w:tc>
          <w:tcPr>
            <w:tcW w:w="2597" w:type="dxa"/>
            <w:gridSpan w:val="3"/>
            <w:vAlign w:val="center"/>
          </w:tcPr>
          <w:p>
            <w:pPr>
              <w:jc w:val="center"/>
              <w:rPr>
                <w:rFonts w:ascii="宋体" w:hAnsi="宋体"/>
                <w:szCs w:val="21"/>
              </w:rPr>
            </w:pPr>
            <w:r>
              <w:rPr>
                <w:rFonts w:hint="eastAsia" w:ascii="宋体" w:hAnsi="宋体"/>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69" w:type="dxa"/>
            <w:gridSpan w:val="2"/>
            <w:vAlign w:val="center"/>
          </w:tcPr>
          <w:p>
            <w:pPr>
              <w:jc w:val="center"/>
              <w:rPr>
                <w:rFonts w:ascii="宋体" w:hAnsi="宋体"/>
                <w:szCs w:val="21"/>
              </w:rPr>
            </w:pPr>
          </w:p>
        </w:tc>
        <w:tc>
          <w:tcPr>
            <w:tcW w:w="1786" w:type="dxa"/>
            <w:gridSpan w:val="2"/>
            <w:vAlign w:val="center"/>
          </w:tcPr>
          <w:p>
            <w:pPr>
              <w:jc w:val="center"/>
              <w:rPr>
                <w:rFonts w:ascii="宋体" w:hAnsi="宋体"/>
                <w:szCs w:val="21"/>
              </w:rPr>
            </w:pPr>
          </w:p>
        </w:tc>
        <w:tc>
          <w:tcPr>
            <w:tcW w:w="1677" w:type="dxa"/>
            <w:gridSpan w:val="4"/>
            <w:vAlign w:val="center"/>
          </w:tcPr>
          <w:p>
            <w:pPr>
              <w:jc w:val="center"/>
              <w:rPr>
                <w:rFonts w:ascii="宋体" w:hAnsi="宋体"/>
                <w:szCs w:val="21"/>
              </w:rPr>
            </w:pPr>
          </w:p>
        </w:tc>
        <w:tc>
          <w:tcPr>
            <w:tcW w:w="1657" w:type="dxa"/>
            <w:gridSpan w:val="2"/>
            <w:vAlign w:val="center"/>
          </w:tcPr>
          <w:p>
            <w:pPr>
              <w:jc w:val="center"/>
              <w:rPr>
                <w:rFonts w:ascii="宋体" w:hAnsi="宋体"/>
                <w:szCs w:val="21"/>
              </w:rPr>
            </w:pPr>
          </w:p>
        </w:tc>
        <w:tc>
          <w:tcPr>
            <w:tcW w:w="2597"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69" w:type="dxa"/>
            <w:gridSpan w:val="2"/>
            <w:vAlign w:val="center"/>
          </w:tcPr>
          <w:p>
            <w:pPr>
              <w:jc w:val="center"/>
              <w:rPr>
                <w:rFonts w:ascii="宋体" w:hAnsi="宋体"/>
                <w:szCs w:val="21"/>
              </w:rPr>
            </w:pPr>
          </w:p>
        </w:tc>
        <w:tc>
          <w:tcPr>
            <w:tcW w:w="1786" w:type="dxa"/>
            <w:gridSpan w:val="2"/>
            <w:vAlign w:val="center"/>
          </w:tcPr>
          <w:p>
            <w:pPr>
              <w:jc w:val="center"/>
              <w:rPr>
                <w:rFonts w:ascii="宋体" w:hAnsi="宋体"/>
                <w:szCs w:val="21"/>
              </w:rPr>
            </w:pPr>
          </w:p>
        </w:tc>
        <w:tc>
          <w:tcPr>
            <w:tcW w:w="1677" w:type="dxa"/>
            <w:gridSpan w:val="4"/>
            <w:vAlign w:val="center"/>
          </w:tcPr>
          <w:p>
            <w:pPr>
              <w:jc w:val="center"/>
              <w:rPr>
                <w:rFonts w:ascii="宋体" w:hAnsi="宋体"/>
                <w:szCs w:val="21"/>
              </w:rPr>
            </w:pPr>
          </w:p>
        </w:tc>
        <w:tc>
          <w:tcPr>
            <w:tcW w:w="1657" w:type="dxa"/>
            <w:gridSpan w:val="2"/>
            <w:vAlign w:val="center"/>
          </w:tcPr>
          <w:p>
            <w:pPr>
              <w:jc w:val="center"/>
              <w:rPr>
                <w:rFonts w:ascii="宋体" w:hAnsi="宋体"/>
                <w:szCs w:val="21"/>
              </w:rPr>
            </w:pPr>
          </w:p>
        </w:tc>
        <w:tc>
          <w:tcPr>
            <w:tcW w:w="2597"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69" w:type="dxa"/>
            <w:gridSpan w:val="2"/>
            <w:vAlign w:val="center"/>
          </w:tcPr>
          <w:p>
            <w:pPr>
              <w:jc w:val="center"/>
              <w:rPr>
                <w:rFonts w:ascii="宋体" w:hAnsi="宋体"/>
                <w:szCs w:val="21"/>
              </w:rPr>
            </w:pPr>
          </w:p>
        </w:tc>
        <w:tc>
          <w:tcPr>
            <w:tcW w:w="1786" w:type="dxa"/>
            <w:gridSpan w:val="2"/>
            <w:vAlign w:val="center"/>
          </w:tcPr>
          <w:p>
            <w:pPr>
              <w:jc w:val="center"/>
              <w:rPr>
                <w:rFonts w:ascii="宋体" w:hAnsi="宋体"/>
                <w:szCs w:val="21"/>
              </w:rPr>
            </w:pPr>
          </w:p>
        </w:tc>
        <w:tc>
          <w:tcPr>
            <w:tcW w:w="1677" w:type="dxa"/>
            <w:gridSpan w:val="4"/>
            <w:vAlign w:val="center"/>
          </w:tcPr>
          <w:p>
            <w:pPr>
              <w:jc w:val="center"/>
              <w:rPr>
                <w:rFonts w:ascii="宋体" w:hAnsi="宋体"/>
                <w:szCs w:val="21"/>
              </w:rPr>
            </w:pPr>
          </w:p>
        </w:tc>
        <w:tc>
          <w:tcPr>
            <w:tcW w:w="1657" w:type="dxa"/>
            <w:gridSpan w:val="2"/>
            <w:vAlign w:val="center"/>
          </w:tcPr>
          <w:p>
            <w:pPr>
              <w:jc w:val="center"/>
              <w:rPr>
                <w:rFonts w:ascii="宋体" w:hAnsi="宋体"/>
                <w:szCs w:val="21"/>
              </w:rPr>
            </w:pPr>
          </w:p>
        </w:tc>
        <w:tc>
          <w:tcPr>
            <w:tcW w:w="2597"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69" w:type="dxa"/>
            <w:gridSpan w:val="2"/>
            <w:vAlign w:val="center"/>
          </w:tcPr>
          <w:p>
            <w:pPr>
              <w:jc w:val="center"/>
              <w:rPr>
                <w:rFonts w:ascii="宋体" w:hAnsi="宋体"/>
                <w:szCs w:val="21"/>
              </w:rPr>
            </w:pPr>
          </w:p>
        </w:tc>
        <w:tc>
          <w:tcPr>
            <w:tcW w:w="1786" w:type="dxa"/>
            <w:gridSpan w:val="2"/>
            <w:vAlign w:val="center"/>
          </w:tcPr>
          <w:p>
            <w:pPr>
              <w:jc w:val="center"/>
              <w:rPr>
                <w:rFonts w:ascii="宋体" w:hAnsi="宋体"/>
                <w:szCs w:val="21"/>
              </w:rPr>
            </w:pPr>
          </w:p>
        </w:tc>
        <w:tc>
          <w:tcPr>
            <w:tcW w:w="1677" w:type="dxa"/>
            <w:gridSpan w:val="4"/>
            <w:vAlign w:val="center"/>
          </w:tcPr>
          <w:p>
            <w:pPr>
              <w:jc w:val="center"/>
              <w:rPr>
                <w:rFonts w:ascii="宋体" w:hAnsi="宋体"/>
                <w:szCs w:val="21"/>
              </w:rPr>
            </w:pPr>
          </w:p>
        </w:tc>
        <w:tc>
          <w:tcPr>
            <w:tcW w:w="1657" w:type="dxa"/>
            <w:gridSpan w:val="2"/>
            <w:vAlign w:val="center"/>
          </w:tcPr>
          <w:p>
            <w:pPr>
              <w:jc w:val="center"/>
              <w:rPr>
                <w:rFonts w:ascii="宋体" w:hAnsi="宋体"/>
                <w:szCs w:val="21"/>
              </w:rPr>
            </w:pPr>
          </w:p>
        </w:tc>
        <w:tc>
          <w:tcPr>
            <w:tcW w:w="2597"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69" w:type="dxa"/>
            <w:gridSpan w:val="2"/>
            <w:vAlign w:val="center"/>
          </w:tcPr>
          <w:p>
            <w:pPr>
              <w:jc w:val="center"/>
              <w:rPr>
                <w:rFonts w:ascii="宋体" w:hAnsi="宋体"/>
                <w:szCs w:val="21"/>
              </w:rPr>
            </w:pPr>
          </w:p>
        </w:tc>
        <w:tc>
          <w:tcPr>
            <w:tcW w:w="1786" w:type="dxa"/>
            <w:gridSpan w:val="2"/>
            <w:vAlign w:val="center"/>
          </w:tcPr>
          <w:p>
            <w:pPr>
              <w:jc w:val="center"/>
              <w:rPr>
                <w:rFonts w:ascii="宋体" w:hAnsi="宋体"/>
                <w:szCs w:val="21"/>
              </w:rPr>
            </w:pPr>
          </w:p>
        </w:tc>
        <w:tc>
          <w:tcPr>
            <w:tcW w:w="1677" w:type="dxa"/>
            <w:gridSpan w:val="4"/>
            <w:vAlign w:val="center"/>
          </w:tcPr>
          <w:p>
            <w:pPr>
              <w:jc w:val="center"/>
              <w:rPr>
                <w:rFonts w:ascii="宋体" w:hAnsi="宋体"/>
                <w:szCs w:val="21"/>
              </w:rPr>
            </w:pPr>
          </w:p>
        </w:tc>
        <w:tc>
          <w:tcPr>
            <w:tcW w:w="1657" w:type="dxa"/>
            <w:gridSpan w:val="2"/>
            <w:vAlign w:val="center"/>
          </w:tcPr>
          <w:p>
            <w:pPr>
              <w:jc w:val="center"/>
              <w:rPr>
                <w:rFonts w:ascii="宋体" w:hAnsi="宋体"/>
                <w:szCs w:val="21"/>
              </w:rPr>
            </w:pPr>
          </w:p>
        </w:tc>
        <w:tc>
          <w:tcPr>
            <w:tcW w:w="2597" w:type="dxa"/>
            <w:gridSpan w:val="3"/>
            <w:vAlign w:val="center"/>
          </w:tcPr>
          <w:p>
            <w:pPr>
              <w:jc w:val="center"/>
              <w:rPr>
                <w:rFonts w:ascii="宋体" w:hAnsi="宋体"/>
                <w:szCs w:val="21"/>
              </w:rPr>
            </w:pPr>
          </w:p>
        </w:tc>
      </w:tr>
    </w:tbl>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kern w:val="0"/>
          <w:sz w:val="20"/>
          <w:szCs w:val="20"/>
        </w:rPr>
      </w:pPr>
      <w:bookmarkStart w:id="68" w:name="_Toc169799799"/>
      <w:r>
        <w:rPr>
          <w:rFonts w:ascii="宋体" w:hAnsi="宋体"/>
          <w:b/>
          <w:bCs/>
          <w:sz w:val="24"/>
          <w:szCs w:val="28"/>
        </w:rPr>
        <w:t>格式十</w:t>
      </w:r>
      <w:r>
        <w:rPr>
          <w:rFonts w:hint="eastAsia" w:ascii="宋体" w:hAnsi="宋体"/>
          <w:b/>
          <w:bCs/>
          <w:sz w:val="24"/>
          <w:szCs w:val="28"/>
          <w:lang w:val="en-US" w:eastAsia="zh-CN"/>
        </w:rPr>
        <w:t>三</w:t>
      </w:r>
      <w:r>
        <w:rPr>
          <w:rFonts w:ascii="宋体" w:hAnsi="宋体"/>
          <w:b/>
          <w:bCs/>
          <w:sz w:val="24"/>
          <w:szCs w:val="28"/>
        </w:rPr>
        <w:t>：</w:t>
      </w:r>
      <w:bookmarkEnd w:id="68"/>
    </w:p>
    <w:p>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928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55"/>
        <w:gridCol w:w="1195"/>
        <w:gridCol w:w="1436"/>
        <w:gridCol w:w="1293"/>
        <w:gridCol w:w="1120"/>
        <w:gridCol w:w="1423"/>
        <w:gridCol w:w="216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序号</w:t>
            </w:r>
          </w:p>
        </w:tc>
        <w:tc>
          <w:tcPr>
            <w:tcW w:w="1195"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1436"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1293"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1120" w:type="dxa"/>
          </w:tcPr>
          <w:p>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1423"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2164"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tcPr>
          <w:p>
            <w:pPr>
              <w:widowControl/>
              <w:jc w:val="center"/>
              <w:rPr>
                <w:rFonts w:ascii="宋体" w:hAnsi="宋体"/>
                <w:kern w:val="0"/>
                <w:szCs w:val="21"/>
                <w:lang w:eastAsia="zh-Hans"/>
              </w:rPr>
            </w:pPr>
            <w:r>
              <w:rPr>
                <w:rFonts w:ascii="宋体" w:hAnsi="宋体"/>
                <w:kern w:val="0"/>
                <w:szCs w:val="21"/>
                <w:lang w:eastAsia="zh-Hans"/>
              </w:rPr>
              <w:t>1</w:t>
            </w:r>
          </w:p>
        </w:tc>
        <w:tc>
          <w:tcPr>
            <w:tcW w:w="1195" w:type="dxa"/>
          </w:tcPr>
          <w:p>
            <w:pPr>
              <w:rPr>
                <w:rFonts w:ascii="宋体" w:hAnsi="宋体"/>
                <w:szCs w:val="21"/>
              </w:rPr>
            </w:pPr>
          </w:p>
        </w:tc>
        <w:tc>
          <w:tcPr>
            <w:tcW w:w="1436" w:type="dxa"/>
          </w:tcPr>
          <w:p>
            <w:pPr>
              <w:rPr>
                <w:rFonts w:ascii="宋体" w:hAnsi="宋体"/>
                <w:szCs w:val="21"/>
              </w:rPr>
            </w:pPr>
          </w:p>
        </w:tc>
        <w:tc>
          <w:tcPr>
            <w:tcW w:w="1293" w:type="dxa"/>
          </w:tcPr>
          <w:p>
            <w:pPr>
              <w:rPr>
                <w:rFonts w:ascii="宋体" w:hAnsi="宋体"/>
                <w:szCs w:val="21"/>
              </w:rPr>
            </w:pPr>
          </w:p>
        </w:tc>
        <w:tc>
          <w:tcPr>
            <w:tcW w:w="1120" w:type="dxa"/>
          </w:tcPr>
          <w:p>
            <w:pPr>
              <w:rPr>
                <w:rFonts w:ascii="宋体" w:hAnsi="宋体"/>
                <w:szCs w:val="21"/>
              </w:rPr>
            </w:pPr>
          </w:p>
        </w:tc>
        <w:tc>
          <w:tcPr>
            <w:tcW w:w="1423" w:type="dxa"/>
          </w:tcPr>
          <w:p>
            <w:pPr>
              <w:rPr>
                <w:rFonts w:ascii="宋体" w:hAnsi="宋体"/>
                <w:szCs w:val="21"/>
              </w:rPr>
            </w:pPr>
          </w:p>
        </w:tc>
        <w:tc>
          <w:tcPr>
            <w:tcW w:w="2164"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tcPr>
          <w:p>
            <w:pPr>
              <w:widowControl/>
              <w:jc w:val="center"/>
              <w:rPr>
                <w:rFonts w:ascii="宋体" w:hAnsi="宋体"/>
                <w:kern w:val="0"/>
                <w:szCs w:val="21"/>
                <w:lang w:eastAsia="zh-Hans"/>
              </w:rPr>
            </w:pPr>
            <w:r>
              <w:rPr>
                <w:rFonts w:ascii="宋体" w:hAnsi="宋体"/>
                <w:kern w:val="0"/>
                <w:szCs w:val="21"/>
                <w:lang w:eastAsia="zh-Hans"/>
              </w:rPr>
              <w:t>2</w:t>
            </w:r>
          </w:p>
        </w:tc>
        <w:tc>
          <w:tcPr>
            <w:tcW w:w="1195" w:type="dxa"/>
          </w:tcPr>
          <w:p>
            <w:pPr>
              <w:rPr>
                <w:rFonts w:ascii="宋体" w:hAnsi="宋体"/>
                <w:szCs w:val="21"/>
              </w:rPr>
            </w:pPr>
          </w:p>
        </w:tc>
        <w:tc>
          <w:tcPr>
            <w:tcW w:w="1436" w:type="dxa"/>
          </w:tcPr>
          <w:p>
            <w:pPr>
              <w:rPr>
                <w:rFonts w:ascii="宋体" w:hAnsi="宋体"/>
                <w:szCs w:val="21"/>
              </w:rPr>
            </w:pPr>
          </w:p>
        </w:tc>
        <w:tc>
          <w:tcPr>
            <w:tcW w:w="1293" w:type="dxa"/>
          </w:tcPr>
          <w:p>
            <w:pPr>
              <w:rPr>
                <w:rFonts w:ascii="宋体" w:hAnsi="宋体"/>
                <w:szCs w:val="21"/>
              </w:rPr>
            </w:pPr>
          </w:p>
        </w:tc>
        <w:tc>
          <w:tcPr>
            <w:tcW w:w="1120" w:type="dxa"/>
          </w:tcPr>
          <w:p>
            <w:pPr>
              <w:rPr>
                <w:rFonts w:ascii="宋体" w:hAnsi="宋体"/>
                <w:szCs w:val="21"/>
              </w:rPr>
            </w:pPr>
          </w:p>
        </w:tc>
        <w:tc>
          <w:tcPr>
            <w:tcW w:w="1423" w:type="dxa"/>
          </w:tcPr>
          <w:p>
            <w:pPr>
              <w:rPr>
                <w:rFonts w:ascii="宋体" w:hAnsi="宋体"/>
                <w:szCs w:val="21"/>
              </w:rPr>
            </w:pPr>
          </w:p>
        </w:tc>
        <w:tc>
          <w:tcPr>
            <w:tcW w:w="2164"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tcPr>
          <w:p>
            <w:pPr>
              <w:widowControl/>
              <w:jc w:val="center"/>
              <w:rPr>
                <w:rFonts w:ascii="宋体" w:hAnsi="宋体"/>
                <w:kern w:val="0"/>
                <w:szCs w:val="21"/>
                <w:lang w:eastAsia="zh-Hans"/>
              </w:rPr>
            </w:pPr>
            <w:r>
              <w:rPr>
                <w:rFonts w:ascii="宋体" w:hAnsi="宋体"/>
                <w:kern w:val="0"/>
                <w:szCs w:val="21"/>
                <w:lang w:eastAsia="zh-Hans"/>
              </w:rPr>
              <w:t>3</w:t>
            </w:r>
          </w:p>
        </w:tc>
        <w:tc>
          <w:tcPr>
            <w:tcW w:w="1195" w:type="dxa"/>
          </w:tcPr>
          <w:p>
            <w:pPr>
              <w:rPr>
                <w:rFonts w:ascii="宋体" w:hAnsi="宋体"/>
                <w:szCs w:val="21"/>
              </w:rPr>
            </w:pPr>
          </w:p>
        </w:tc>
        <w:tc>
          <w:tcPr>
            <w:tcW w:w="1436" w:type="dxa"/>
          </w:tcPr>
          <w:p>
            <w:pPr>
              <w:rPr>
                <w:rFonts w:ascii="宋体" w:hAnsi="宋体"/>
                <w:szCs w:val="21"/>
              </w:rPr>
            </w:pPr>
          </w:p>
        </w:tc>
        <w:tc>
          <w:tcPr>
            <w:tcW w:w="1293" w:type="dxa"/>
          </w:tcPr>
          <w:p>
            <w:pPr>
              <w:rPr>
                <w:rFonts w:ascii="宋体" w:hAnsi="宋体"/>
                <w:szCs w:val="21"/>
              </w:rPr>
            </w:pPr>
          </w:p>
        </w:tc>
        <w:tc>
          <w:tcPr>
            <w:tcW w:w="1120" w:type="dxa"/>
          </w:tcPr>
          <w:p>
            <w:pPr>
              <w:rPr>
                <w:rFonts w:ascii="宋体" w:hAnsi="宋体"/>
                <w:szCs w:val="21"/>
              </w:rPr>
            </w:pPr>
          </w:p>
        </w:tc>
        <w:tc>
          <w:tcPr>
            <w:tcW w:w="1423" w:type="dxa"/>
          </w:tcPr>
          <w:p>
            <w:pPr>
              <w:rPr>
                <w:rFonts w:ascii="宋体" w:hAnsi="宋体"/>
                <w:szCs w:val="21"/>
              </w:rPr>
            </w:pPr>
          </w:p>
        </w:tc>
        <w:tc>
          <w:tcPr>
            <w:tcW w:w="2164"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tcPr>
          <w:p>
            <w:pPr>
              <w:widowControl/>
              <w:jc w:val="center"/>
              <w:rPr>
                <w:rFonts w:ascii="宋体" w:hAnsi="宋体"/>
                <w:kern w:val="0"/>
                <w:szCs w:val="21"/>
                <w:lang w:eastAsia="zh-Hans"/>
              </w:rPr>
            </w:pPr>
            <w:r>
              <w:rPr>
                <w:rFonts w:ascii="宋体" w:hAnsi="宋体"/>
                <w:kern w:val="0"/>
                <w:szCs w:val="21"/>
                <w:lang w:eastAsia="zh-Hans"/>
              </w:rPr>
              <w:t>4</w:t>
            </w:r>
          </w:p>
        </w:tc>
        <w:tc>
          <w:tcPr>
            <w:tcW w:w="1195" w:type="dxa"/>
          </w:tcPr>
          <w:p>
            <w:pPr>
              <w:rPr>
                <w:rFonts w:ascii="宋体" w:hAnsi="宋体"/>
                <w:szCs w:val="21"/>
              </w:rPr>
            </w:pPr>
          </w:p>
        </w:tc>
        <w:tc>
          <w:tcPr>
            <w:tcW w:w="1436" w:type="dxa"/>
          </w:tcPr>
          <w:p>
            <w:pPr>
              <w:rPr>
                <w:rFonts w:ascii="宋体" w:hAnsi="宋体"/>
                <w:szCs w:val="21"/>
              </w:rPr>
            </w:pPr>
          </w:p>
        </w:tc>
        <w:tc>
          <w:tcPr>
            <w:tcW w:w="1293" w:type="dxa"/>
          </w:tcPr>
          <w:p>
            <w:pPr>
              <w:rPr>
                <w:rFonts w:ascii="宋体" w:hAnsi="宋体"/>
                <w:szCs w:val="21"/>
              </w:rPr>
            </w:pPr>
          </w:p>
        </w:tc>
        <w:tc>
          <w:tcPr>
            <w:tcW w:w="1120" w:type="dxa"/>
          </w:tcPr>
          <w:p>
            <w:pPr>
              <w:rPr>
                <w:rFonts w:ascii="宋体" w:hAnsi="宋体"/>
                <w:szCs w:val="21"/>
              </w:rPr>
            </w:pPr>
          </w:p>
        </w:tc>
        <w:tc>
          <w:tcPr>
            <w:tcW w:w="1423" w:type="dxa"/>
          </w:tcPr>
          <w:p>
            <w:pPr>
              <w:rPr>
                <w:rFonts w:ascii="宋体" w:hAnsi="宋体"/>
                <w:szCs w:val="21"/>
              </w:rPr>
            </w:pPr>
          </w:p>
        </w:tc>
        <w:tc>
          <w:tcPr>
            <w:tcW w:w="2164"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655" w:type="dxa"/>
          </w:tcPr>
          <w:p>
            <w:pPr>
              <w:widowControl/>
              <w:jc w:val="center"/>
              <w:rPr>
                <w:rFonts w:ascii="宋体" w:hAnsi="宋体"/>
                <w:kern w:val="0"/>
                <w:szCs w:val="21"/>
                <w:lang w:eastAsia="zh-Hans"/>
              </w:rPr>
            </w:pPr>
            <w:r>
              <w:rPr>
                <w:rFonts w:ascii="宋体" w:hAnsi="宋体"/>
                <w:kern w:val="0"/>
                <w:szCs w:val="21"/>
                <w:lang w:eastAsia="zh-Hans"/>
              </w:rPr>
              <w:t>…</w:t>
            </w:r>
          </w:p>
        </w:tc>
        <w:tc>
          <w:tcPr>
            <w:tcW w:w="1195" w:type="dxa"/>
          </w:tcPr>
          <w:p>
            <w:pPr>
              <w:rPr>
                <w:rFonts w:ascii="宋体" w:hAnsi="宋体"/>
                <w:szCs w:val="21"/>
              </w:rPr>
            </w:pPr>
          </w:p>
        </w:tc>
        <w:tc>
          <w:tcPr>
            <w:tcW w:w="1436" w:type="dxa"/>
          </w:tcPr>
          <w:p>
            <w:pPr>
              <w:rPr>
                <w:rFonts w:ascii="宋体" w:hAnsi="宋体"/>
                <w:szCs w:val="21"/>
              </w:rPr>
            </w:pPr>
          </w:p>
        </w:tc>
        <w:tc>
          <w:tcPr>
            <w:tcW w:w="1293" w:type="dxa"/>
          </w:tcPr>
          <w:p>
            <w:pPr>
              <w:rPr>
                <w:rFonts w:ascii="宋体" w:hAnsi="宋体"/>
                <w:szCs w:val="21"/>
              </w:rPr>
            </w:pPr>
          </w:p>
        </w:tc>
        <w:tc>
          <w:tcPr>
            <w:tcW w:w="1120" w:type="dxa"/>
          </w:tcPr>
          <w:p>
            <w:pPr>
              <w:rPr>
                <w:rFonts w:ascii="宋体" w:hAnsi="宋体"/>
                <w:szCs w:val="21"/>
              </w:rPr>
            </w:pPr>
          </w:p>
        </w:tc>
        <w:tc>
          <w:tcPr>
            <w:tcW w:w="1423" w:type="dxa"/>
          </w:tcPr>
          <w:p>
            <w:pPr>
              <w:rPr>
                <w:rFonts w:ascii="宋体" w:hAnsi="宋体"/>
                <w:szCs w:val="21"/>
              </w:rPr>
            </w:pPr>
          </w:p>
        </w:tc>
        <w:tc>
          <w:tcPr>
            <w:tcW w:w="2164" w:type="dxa"/>
          </w:tcPr>
          <w:p>
            <w:pPr>
              <w:rPr>
                <w:rFonts w:ascii="宋体" w:hAnsi="宋体"/>
                <w:szCs w:val="21"/>
              </w:rPr>
            </w:pPr>
          </w:p>
        </w:tc>
      </w:tr>
    </w:tbl>
    <w:p>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pPr>
        <w:widowControl/>
        <w:jc w:val="left"/>
        <w:rPr>
          <w:kern w:val="0"/>
          <w:sz w:val="20"/>
          <w:szCs w:val="20"/>
          <w:lang w:eastAsia="zh-Hans"/>
        </w:rPr>
      </w:pPr>
    </w:p>
    <w:p>
      <w:pPr>
        <w:widowControl/>
        <w:jc w:val="left"/>
        <w:rPr>
          <w:kern w:val="0"/>
          <w:sz w:val="20"/>
          <w:szCs w:val="20"/>
        </w:rPr>
      </w:pPr>
    </w:p>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kern w:val="0"/>
          <w:sz w:val="20"/>
          <w:szCs w:val="20"/>
          <w:lang w:eastAsia="zh-Hans"/>
        </w:rPr>
      </w:pPr>
      <w:bookmarkStart w:id="69" w:name="_Toc169799800"/>
      <w:r>
        <w:rPr>
          <w:rFonts w:ascii="宋体" w:hAnsi="宋体"/>
          <w:b/>
          <w:bCs/>
          <w:sz w:val="24"/>
          <w:szCs w:val="28"/>
        </w:rPr>
        <w:t>格式十</w:t>
      </w:r>
      <w:r>
        <w:rPr>
          <w:rFonts w:hint="eastAsia" w:ascii="宋体" w:hAnsi="宋体"/>
          <w:b/>
          <w:bCs/>
          <w:sz w:val="24"/>
          <w:szCs w:val="28"/>
          <w:lang w:val="en-US" w:eastAsia="zh-CN"/>
        </w:rPr>
        <w:t>四</w:t>
      </w:r>
      <w:r>
        <w:rPr>
          <w:rFonts w:ascii="宋体" w:hAnsi="宋体"/>
          <w:b/>
          <w:bCs/>
          <w:sz w:val="24"/>
          <w:szCs w:val="28"/>
        </w:rPr>
        <w:t>：</w:t>
      </w:r>
      <w:bookmarkEnd w:id="69"/>
    </w:p>
    <w:p>
      <w:pPr>
        <w:widowControl/>
        <w:spacing w:after="312" w:afterLines="100"/>
        <w:jc w:val="center"/>
        <w:outlineLvl w:val="3"/>
        <w:rPr>
          <w:kern w:val="0"/>
          <w:sz w:val="20"/>
          <w:szCs w:val="20"/>
        </w:rPr>
      </w:pPr>
      <w:r>
        <w:rPr>
          <w:b/>
          <w:kern w:val="0"/>
          <w:sz w:val="32"/>
          <w:lang w:eastAsia="zh-Hans"/>
        </w:rPr>
        <w:t>技术和服务要求响应表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2"/>
        <w:gridCol w:w="1564"/>
        <w:gridCol w:w="1250"/>
        <w:gridCol w:w="1250"/>
        <w:gridCol w:w="1406"/>
        <w:gridCol w:w="1252"/>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vAlign w:val="center"/>
          </w:tcPr>
          <w:p>
            <w:pPr>
              <w:widowControl/>
              <w:jc w:val="center"/>
              <w:rPr>
                <w:b/>
                <w:bCs/>
                <w:kern w:val="0"/>
                <w:szCs w:val="21"/>
                <w:lang w:eastAsia="zh-Hans"/>
              </w:rPr>
            </w:pPr>
            <w:r>
              <w:rPr>
                <w:b/>
                <w:bCs/>
                <w:kern w:val="0"/>
                <w:szCs w:val="21"/>
                <w:lang w:eastAsia="zh-Hans"/>
              </w:rPr>
              <w:t>序号</w:t>
            </w:r>
          </w:p>
        </w:tc>
        <w:tc>
          <w:tcPr>
            <w:tcW w:w="782" w:type="dxa"/>
            <w:vAlign w:val="center"/>
          </w:tcPr>
          <w:p>
            <w:pPr>
              <w:widowControl/>
              <w:jc w:val="center"/>
              <w:rPr>
                <w:b/>
                <w:bCs/>
                <w:kern w:val="0"/>
                <w:szCs w:val="21"/>
                <w:lang w:eastAsia="zh-Hans"/>
              </w:rPr>
            </w:pPr>
            <w:r>
              <w:rPr>
                <w:b/>
                <w:bCs/>
                <w:kern w:val="0"/>
                <w:szCs w:val="21"/>
                <w:lang w:eastAsia="zh-Hans"/>
              </w:rPr>
              <w:t>参数性质</w:t>
            </w:r>
          </w:p>
        </w:tc>
        <w:tc>
          <w:tcPr>
            <w:tcW w:w="1564" w:type="dxa"/>
            <w:vAlign w:val="center"/>
          </w:tcPr>
          <w:p>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1250" w:type="dxa"/>
            <w:vAlign w:val="center"/>
          </w:tcPr>
          <w:p>
            <w:pPr>
              <w:widowControl/>
              <w:jc w:val="center"/>
              <w:rPr>
                <w:b/>
                <w:bCs/>
                <w:kern w:val="0"/>
                <w:szCs w:val="21"/>
                <w:lang w:eastAsia="zh-Hans"/>
              </w:rPr>
            </w:pPr>
            <w:r>
              <w:rPr>
                <w:b/>
                <w:bCs/>
                <w:kern w:val="0"/>
                <w:szCs w:val="21"/>
                <w:lang w:eastAsia="zh-Hans"/>
              </w:rPr>
              <w:t>响应文件响应的具体内容</w:t>
            </w:r>
          </w:p>
        </w:tc>
        <w:tc>
          <w:tcPr>
            <w:tcW w:w="1250" w:type="dxa"/>
            <w:vAlign w:val="center"/>
          </w:tcPr>
          <w:p>
            <w:pPr>
              <w:widowControl/>
              <w:jc w:val="center"/>
              <w:rPr>
                <w:b/>
                <w:bCs/>
                <w:kern w:val="0"/>
                <w:szCs w:val="21"/>
                <w:lang w:eastAsia="zh-Hans"/>
              </w:rPr>
            </w:pPr>
            <w:r>
              <w:rPr>
                <w:b/>
                <w:bCs/>
                <w:kern w:val="0"/>
                <w:szCs w:val="21"/>
                <w:lang w:eastAsia="zh-Hans"/>
              </w:rPr>
              <w:t>型号</w:t>
            </w:r>
          </w:p>
        </w:tc>
        <w:tc>
          <w:tcPr>
            <w:tcW w:w="1406" w:type="dxa"/>
            <w:vAlign w:val="center"/>
          </w:tcPr>
          <w:p>
            <w:pPr>
              <w:widowControl/>
              <w:jc w:val="center"/>
              <w:rPr>
                <w:b/>
                <w:bCs/>
                <w:kern w:val="0"/>
                <w:szCs w:val="21"/>
                <w:lang w:eastAsia="zh-Hans"/>
              </w:rPr>
            </w:pPr>
            <w:r>
              <w:rPr>
                <w:b/>
                <w:bCs/>
                <w:kern w:val="0"/>
                <w:szCs w:val="21"/>
                <w:lang w:eastAsia="zh-Hans"/>
              </w:rPr>
              <w:t>是否偏离</w:t>
            </w:r>
          </w:p>
        </w:tc>
        <w:tc>
          <w:tcPr>
            <w:tcW w:w="1252" w:type="dxa"/>
            <w:vAlign w:val="center"/>
          </w:tcPr>
          <w:p>
            <w:pPr>
              <w:widowControl/>
              <w:jc w:val="center"/>
              <w:rPr>
                <w:b/>
                <w:bCs/>
                <w:kern w:val="0"/>
                <w:szCs w:val="21"/>
                <w:lang w:eastAsia="zh-Hans"/>
              </w:rPr>
            </w:pPr>
            <w:r>
              <w:rPr>
                <w:b/>
                <w:bCs/>
                <w:kern w:val="0"/>
                <w:szCs w:val="21"/>
                <w:lang w:eastAsia="zh-Hans"/>
              </w:rPr>
              <w:t>证明文件所在位置</w:t>
            </w:r>
          </w:p>
        </w:tc>
        <w:tc>
          <w:tcPr>
            <w:tcW w:w="845" w:type="dxa"/>
            <w:vAlign w:val="center"/>
          </w:tcPr>
          <w:p>
            <w:pPr>
              <w:widowControl/>
              <w:jc w:val="center"/>
              <w:rPr>
                <w:b/>
                <w:bCs/>
                <w:kern w:val="0"/>
                <w:szCs w:val="21"/>
                <w:lang w:eastAsia="zh-Hans"/>
              </w:rPr>
            </w:pPr>
            <w:r>
              <w:rPr>
                <w:b/>
                <w:bCs/>
                <w:kern w:val="0"/>
                <w:szCs w:val="21"/>
                <w:lang w:eastAsia="zh-Han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1</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2</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3</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4</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5</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6</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7" w:type="dxa"/>
          </w:tcPr>
          <w:p>
            <w:pPr>
              <w:widowControl/>
              <w:jc w:val="center"/>
              <w:rPr>
                <w:kern w:val="0"/>
                <w:sz w:val="20"/>
                <w:szCs w:val="20"/>
                <w:lang w:eastAsia="zh-Hans"/>
              </w:rPr>
            </w:pPr>
            <w:r>
              <w:rPr>
                <w:kern w:val="0"/>
                <w:sz w:val="20"/>
                <w:szCs w:val="20"/>
                <w:lang w:eastAsia="zh-Hans"/>
              </w:rPr>
              <w:t>……</w:t>
            </w:r>
          </w:p>
        </w:tc>
        <w:tc>
          <w:tcPr>
            <w:tcW w:w="782" w:type="dxa"/>
          </w:tcPr>
          <w:p>
            <w:pPr>
              <w:jc w:val="center"/>
              <w:rPr>
                <w:szCs w:val="24"/>
              </w:rPr>
            </w:pPr>
          </w:p>
        </w:tc>
        <w:tc>
          <w:tcPr>
            <w:tcW w:w="1564" w:type="dxa"/>
          </w:tcPr>
          <w:p>
            <w:pPr>
              <w:jc w:val="center"/>
              <w:rPr>
                <w:szCs w:val="24"/>
              </w:rPr>
            </w:pPr>
          </w:p>
        </w:tc>
        <w:tc>
          <w:tcPr>
            <w:tcW w:w="1250" w:type="dxa"/>
          </w:tcPr>
          <w:p>
            <w:pPr>
              <w:jc w:val="center"/>
              <w:rPr>
                <w:szCs w:val="24"/>
              </w:rPr>
            </w:pPr>
          </w:p>
        </w:tc>
        <w:tc>
          <w:tcPr>
            <w:tcW w:w="1250" w:type="dxa"/>
          </w:tcPr>
          <w:p>
            <w:pPr>
              <w:jc w:val="center"/>
              <w:rPr>
                <w:szCs w:val="24"/>
              </w:rPr>
            </w:pPr>
          </w:p>
        </w:tc>
        <w:tc>
          <w:tcPr>
            <w:tcW w:w="1406" w:type="dxa"/>
          </w:tcPr>
          <w:p>
            <w:pPr>
              <w:jc w:val="center"/>
              <w:rPr>
                <w:szCs w:val="24"/>
              </w:rPr>
            </w:pPr>
          </w:p>
        </w:tc>
        <w:tc>
          <w:tcPr>
            <w:tcW w:w="1252" w:type="dxa"/>
          </w:tcPr>
          <w:p>
            <w:pPr>
              <w:jc w:val="center"/>
              <w:rPr>
                <w:szCs w:val="24"/>
              </w:rPr>
            </w:pPr>
          </w:p>
        </w:tc>
        <w:tc>
          <w:tcPr>
            <w:tcW w:w="845" w:type="dxa"/>
          </w:tcPr>
          <w:p>
            <w:pPr>
              <w:jc w:val="center"/>
              <w:rPr>
                <w:szCs w:val="24"/>
              </w:rPr>
            </w:pPr>
          </w:p>
        </w:tc>
      </w:tr>
    </w:tbl>
    <w:p>
      <w:pPr>
        <w:widowControl/>
        <w:jc w:val="left"/>
        <w:rPr>
          <w:kern w:val="0"/>
          <w:sz w:val="20"/>
          <w:szCs w:val="20"/>
          <w:lang w:eastAsia="zh-Hans"/>
        </w:rPr>
      </w:pPr>
      <w:r>
        <w:rPr>
          <w:kern w:val="0"/>
          <w:sz w:val="20"/>
          <w:szCs w:val="20"/>
          <w:lang w:eastAsia="zh-Hans"/>
        </w:rPr>
        <w:t>说明：</w:t>
      </w:r>
    </w:p>
    <w:p>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70" w:name="_Hlk169717981"/>
      <w:r>
        <w:rPr>
          <w:rFonts w:ascii="宋体" w:hAnsi="宋体"/>
          <w:kern w:val="0"/>
          <w:szCs w:val="21"/>
          <w:lang w:eastAsia="zh-Hans"/>
        </w:rPr>
        <w:t>“备注”</w:t>
      </w:r>
      <w:bookmarkEnd w:id="70"/>
      <w:r>
        <w:rPr>
          <w:rFonts w:ascii="宋体" w:hAnsi="宋体"/>
          <w:kern w:val="0"/>
          <w:szCs w:val="21"/>
          <w:lang w:eastAsia="zh-Hans"/>
        </w:rPr>
        <w:t>处可填写偏离情况的说明。</w:t>
      </w:r>
    </w:p>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kern w:val="0"/>
          <w:sz w:val="20"/>
          <w:szCs w:val="20"/>
          <w:lang w:eastAsia="zh-Hans"/>
        </w:rPr>
      </w:pPr>
      <w:bookmarkStart w:id="71" w:name="_Toc169799801"/>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71"/>
    </w:p>
    <w:p>
      <w:pPr>
        <w:widowControl/>
        <w:spacing w:after="312" w:afterLines="100"/>
        <w:jc w:val="center"/>
        <w:outlineLvl w:val="3"/>
        <w:rPr>
          <w:kern w:val="0"/>
          <w:sz w:val="20"/>
          <w:szCs w:val="20"/>
        </w:rPr>
      </w:pPr>
      <w:r>
        <w:rPr>
          <w:b/>
          <w:kern w:val="0"/>
          <w:sz w:val="32"/>
          <w:lang w:eastAsia="zh-Hans"/>
        </w:rPr>
        <w:t>商务条件响应表</w:t>
      </w:r>
    </w:p>
    <w:tbl>
      <w:tblPr>
        <w:tblStyle w:val="22"/>
        <w:tblW w:w="928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5"/>
        <w:gridCol w:w="1255"/>
        <w:gridCol w:w="1579"/>
        <w:gridCol w:w="1664"/>
        <w:gridCol w:w="1322"/>
        <w:gridCol w:w="1322"/>
        <w:gridCol w:w="131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序号</w:t>
            </w:r>
          </w:p>
        </w:tc>
        <w:tc>
          <w:tcPr>
            <w:tcW w:w="1255" w:type="dxa"/>
            <w:vAlign w:val="center"/>
          </w:tcPr>
          <w:p>
            <w:pPr>
              <w:widowControl/>
              <w:jc w:val="center"/>
              <w:rPr>
                <w:rFonts w:ascii="宋体" w:hAnsi="宋体"/>
                <w:b/>
                <w:bCs/>
                <w:kern w:val="0"/>
                <w:szCs w:val="21"/>
              </w:rPr>
            </w:pPr>
            <w:r>
              <w:rPr>
                <w:rFonts w:ascii="宋体" w:hAnsi="宋体"/>
                <w:b/>
                <w:bCs/>
                <w:kern w:val="0"/>
                <w:szCs w:val="21"/>
                <w:lang w:eastAsia="zh-Hans"/>
              </w:rPr>
              <w:t>参数性质</w:t>
            </w:r>
          </w:p>
        </w:tc>
        <w:tc>
          <w:tcPr>
            <w:tcW w:w="1579" w:type="dxa"/>
            <w:vAlign w:val="center"/>
          </w:tcPr>
          <w:p>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1664"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1322"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1322"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1319" w:type="dxa"/>
            <w:vAlign w:val="center"/>
          </w:tcPr>
          <w:p>
            <w:pPr>
              <w:widowControl/>
              <w:jc w:val="center"/>
              <w:rPr>
                <w:rFonts w:ascii="宋体" w:hAnsi="宋体"/>
                <w:b/>
                <w:bCs/>
                <w:kern w:val="0"/>
                <w:szCs w:val="21"/>
                <w:lang w:eastAsia="zh-Hans"/>
              </w:rPr>
            </w:pPr>
            <w:r>
              <w:rPr>
                <w:rFonts w:ascii="宋体" w:hAnsi="宋体"/>
                <w:b/>
                <w:bCs/>
                <w:kern w:val="0"/>
                <w:szCs w:val="21"/>
                <w:lang w:eastAsia="zh-Hans"/>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1</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2</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3</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4</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5</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6</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7</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8</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9</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825" w:type="dxa"/>
          </w:tcPr>
          <w:p>
            <w:pPr>
              <w:widowControl/>
              <w:jc w:val="center"/>
              <w:rPr>
                <w:rFonts w:ascii="宋体" w:hAnsi="宋体"/>
                <w:kern w:val="0"/>
                <w:szCs w:val="21"/>
                <w:lang w:eastAsia="zh-Hans"/>
              </w:rPr>
            </w:pPr>
            <w:r>
              <w:rPr>
                <w:rFonts w:ascii="宋体" w:hAnsi="宋体"/>
                <w:kern w:val="0"/>
                <w:szCs w:val="21"/>
                <w:lang w:eastAsia="zh-Hans"/>
              </w:rPr>
              <w:t>……</w:t>
            </w:r>
          </w:p>
        </w:tc>
        <w:tc>
          <w:tcPr>
            <w:tcW w:w="1255" w:type="dxa"/>
          </w:tcPr>
          <w:p>
            <w:pPr>
              <w:rPr>
                <w:rFonts w:ascii="宋体" w:hAnsi="宋体"/>
                <w:szCs w:val="21"/>
              </w:rPr>
            </w:pPr>
          </w:p>
        </w:tc>
        <w:tc>
          <w:tcPr>
            <w:tcW w:w="1579" w:type="dxa"/>
          </w:tcPr>
          <w:p>
            <w:pPr>
              <w:rPr>
                <w:rFonts w:ascii="宋体" w:hAnsi="宋体"/>
                <w:szCs w:val="21"/>
              </w:rPr>
            </w:pPr>
          </w:p>
        </w:tc>
        <w:tc>
          <w:tcPr>
            <w:tcW w:w="1664" w:type="dxa"/>
          </w:tcPr>
          <w:p>
            <w:pPr>
              <w:rPr>
                <w:rFonts w:ascii="宋体" w:hAnsi="宋体"/>
                <w:szCs w:val="21"/>
              </w:rPr>
            </w:pPr>
          </w:p>
        </w:tc>
        <w:tc>
          <w:tcPr>
            <w:tcW w:w="1322" w:type="dxa"/>
          </w:tcPr>
          <w:p>
            <w:pPr>
              <w:rPr>
                <w:rFonts w:ascii="宋体" w:hAnsi="宋体"/>
                <w:szCs w:val="21"/>
              </w:rPr>
            </w:pPr>
          </w:p>
        </w:tc>
        <w:tc>
          <w:tcPr>
            <w:tcW w:w="1322" w:type="dxa"/>
          </w:tcPr>
          <w:p>
            <w:pPr>
              <w:rPr>
                <w:rFonts w:ascii="宋体" w:hAnsi="宋体"/>
                <w:szCs w:val="21"/>
              </w:rPr>
            </w:pPr>
          </w:p>
        </w:tc>
        <w:tc>
          <w:tcPr>
            <w:tcW w:w="1319" w:type="dxa"/>
          </w:tcPr>
          <w:p>
            <w:pPr>
              <w:rPr>
                <w:rFonts w:ascii="宋体" w:hAnsi="宋体"/>
                <w:szCs w:val="21"/>
              </w:rPr>
            </w:pPr>
          </w:p>
        </w:tc>
      </w:tr>
    </w:tbl>
    <w:p>
      <w:pPr>
        <w:widowControl/>
        <w:jc w:val="left"/>
        <w:rPr>
          <w:kern w:val="0"/>
          <w:sz w:val="20"/>
          <w:szCs w:val="20"/>
          <w:lang w:eastAsia="zh-Hans"/>
        </w:rPr>
      </w:pPr>
      <w:r>
        <w:rPr>
          <w:kern w:val="0"/>
          <w:sz w:val="20"/>
          <w:szCs w:val="20"/>
          <w:lang w:eastAsia="zh-Hans"/>
        </w:rPr>
        <w:t>说明：</w:t>
      </w:r>
    </w:p>
    <w:p>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pPr>
        <w:widowControl/>
        <w:jc w:val="left"/>
        <w:rPr>
          <w:kern w:val="0"/>
          <w:sz w:val="20"/>
          <w:szCs w:val="20"/>
          <w:lang w:eastAsia="zh-Hans"/>
        </w:rPr>
      </w:pPr>
      <w:r>
        <w:rPr>
          <w:rFonts w:ascii="宋体" w:hAnsi="宋体"/>
          <w:kern w:val="0"/>
          <w:szCs w:val="21"/>
          <w:lang w:eastAsia="zh-Hans"/>
        </w:rPr>
        <w:t>5.“备注”处可填写偏离情况的说明。</w:t>
      </w:r>
    </w:p>
    <w:p>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pPr>
        <w:pageBreakBefore/>
        <w:rPr>
          <w:kern w:val="0"/>
          <w:sz w:val="20"/>
          <w:szCs w:val="20"/>
          <w:lang w:eastAsia="zh-Hans"/>
        </w:rPr>
      </w:pPr>
      <w:bookmarkStart w:id="72" w:name="_Toc169799802"/>
      <w:r>
        <w:rPr>
          <w:rFonts w:ascii="宋体" w:hAnsi="宋体"/>
          <w:b/>
          <w:bCs/>
          <w:sz w:val="24"/>
          <w:szCs w:val="28"/>
        </w:rPr>
        <w:t>格式</w:t>
      </w:r>
      <w:r>
        <w:rPr>
          <w:rFonts w:hint="eastAsia" w:ascii="宋体" w:hAnsi="宋体"/>
          <w:b/>
          <w:bCs/>
          <w:sz w:val="24"/>
          <w:szCs w:val="28"/>
          <w:lang w:val="en-US" w:eastAsia="zh-CN"/>
        </w:rPr>
        <w:t>十六</w:t>
      </w:r>
      <w:r>
        <w:rPr>
          <w:rFonts w:ascii="宋体" w:hAnsi="宋体"/>
          <w:b/>
          <w:bCs/>
          <w:sz w:val="24"/>
          <w:szCs w:val="28"/>
        </w:rPr>
        <w:t>：</w:t>
      </w:r>
      <w:bookmarkEnd w:id="72"/>
    </w:p>
    <w:p>
      <w:pPr>
        <w:widowControl/>
        <w:jc w:val="left"/>
        <w:rPr>
          <w:kern w:val="0"/>
          <w:szCs w:val="21"/>
          <w:lang w:eastAsia="zh-Hans"/>
        </w:rPr>
      </w:pPr>
      <w:r>
        <w:rPr>
          <w:kern w:val="0"/>
          <w:szCs w:val="21"/>
          <w:lang w:eastAsia="zh-Hans"/>
        </w:rPr>
        <w:t>（以下格式文件由供应商根据需要选用）</w:t>
      </w:r>
    </w:p>
    <w:p>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pPr>
        <w:widowControl/>
        <w:jc w:val="left"/>
        <w:rPr>
          <w:rFonts w:ascii="宋体" w:hAnsi="宋体"/>
          <w:kern w:val="0"/>
          <w:szCs w:val="21"/>
          <w:lang w:eastAsia="zh-Hans"/>
        </w:rPr>
      </w:pPr>
      <w:r>
        <w:rPr>
          <w:rFonts w:ascii="宋体" w:hAnsi="宋体"/>
          <w:kern w:val="0"/>
          <w:szCs w:val="21"/>
          <w:lang w:eastAsia="zh-Hans"/>
        </w:rPr>
        <w:t>1.磋商文件要求提供的其他资料。</w:t>
      </w:r>
    </w:p>
    <w:p>
      <w:pPr>
        <w:widowControl/>
        <w:jc w:val="left"/>
        <w:rPr>
          <w:rFonts w:ascii="宋体" w:hAnsi="宋体"/>
          <w:kern w:val="0"/>
          <w:szCs w:val="21"/>
          <w:lang w:eastAsia="zh-Hans"/>
        </w:rPr>
      </w:pPr>
      <w:r>
        <w:rPr>
          <w:rFonts w:ascii="宋体" w:hAnsi="宋体"/>
          <w:kern w:val="0"/>
          <w:szCs w:val="21"/>
          <w:lang w:eastAsia="zh-Hans"/>
        </w:rPr>
        <w:t>2.供应商认为需提供的其他资料。</w:t>
      </w:r>
    </w:p>
    <w:p>
      <w:pPr>
        <w:widowControl/>
        <w:jc w:val="left"/>
        <w:rPr>
          <w:kern w:val="0"/>
          <w:sz w:val="20"/>
          <w:szCs w:val="20"/>
          <w:lang w:eastAsia="zh-Hans"/>
        </w:rPr>
      </w:pPr>
    </w:p>
    <w:p>
      <w:pPr>
        <w:pageBreakBefore/>
        <w:rPr>
          <w:kern w:val="0"/>
          <w:sz w:val="20"/>
          <w:szCs w:val="20"/>
          <w:lang w:eastAsia="zh-Hans"/>
        </w:rPr>
      </w:pPr>
      <w:bookmarkStart w:id="73" w:name="_Toc169799803"/>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bookmarkEnd w:id="73"/>
    </w:p>
    <w:p>
      <w:pPr>
        <w:widowControl/>
        <w:jc w:val="center"/>
        <w:outlineLvl w:val="3"/>
        <w:rPr>
          <w:kern w:val="0"/>
          <w:sz w:val="20"/>
          <w:szCs w:val="20"/>
          <w:lang w:eastAsia="zh-Hans"/>
        </w:rPr>
      </w:pPr>
      <w:r>
        <w:rPr>
          <w:b/>
          <w:kern w:val="0"/>
          <w:sz w:val="32"/>
          <w:lang w:eastAsia="zh-Hans"/>
        </w:rPr>
        <w:t>采购代理服务费支付承诺书</w:t>
      </w:r>
    </w:p>
    <w:p>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pPr>
        <w:widowControl/>
        <w:snapToGrid w:val="0"/>
        <w:spacing w:line="360" w:lineRule="auto"/>
        <w:contextualSpacing/>
        <w:jc w:val="left"/>
        <w:rPr>
          <w:rFonts w:ascii="宋体" w:hAnsi="宋体"/>
          <w:kern w:val="0"/>
          <w:szCs w:val="21"/>
        </w:rPr>
      </w:pPr>
    </w:p>
    <w:p>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pPr>
        <w:widowControl/>
        <w:snapToGrid w:val="0"/>
        <w:spacing w:before="468" w:beforeLines="150" w:line="360" w:lineRule="auto"/>
        <w:ind w:firstLine="3542" w:firstLineChars="1687"/>
        <w:contextualSpacing/>
        <w:jc w:val="left"/>
        <w:rPr>
          <w:rFonts w:ascii="宋体" w:hAnsi="宋体"/>
          <w:kern w:val="0"/>
          <w:szCs w:val="21"/>
        </w:rPr>
      </w:pPr>
    </w:p>
    <w:p>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pPr>
        <w:widowControl/>
        <w:snapToGrid w:val="0"/>
        <w:spacing w:line="360" w:lineRule="auto"/>
        <w:contextualSpacing/>
        <w:jc w:val="left"/>
        <w:rPr>
          <w:kern w:val="0"/>
          <w:sz w:val="20"/>
          <w:szCs w:val="20"/>
          <w:lang w:eastAsia="zh-Hans"/>
        </w:rPr>
      </w:pPr>
      <w:r>
        <w:rPr>
          <w:kern w:val="0"/>
          <w:sz w:val="20"/>
          <w:szCs w:val="20"/>
          <w:lang w:eastAsia="zh-Hans"/>
        </w:rPr>
        <w:t xml:space="preserve"> </w:t>
      </w:r>
    </w:p>
    <w:p>
      <w:pPr>
        <w:pageBreakBefore/>
        <w:rPr>
          <w:kern w:val="0"/>
          <w:sz w:val="20"/>
          <w:szCs w:val="20"/>
          <w:lang w:eastAsia="zh-Hans"/>
        </w:rPr>
      </w:pPr>
      <w:bookmarkStart w:id="74" w:name="_Toc169799804"/>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74"/>
    </w:p>
    <w:p>
      <w:pPr>
        <w:widowControl/>
        <w:jc w:val="left"/>
        <w:rPr>
          <w:kern w:val="0"/>
          <w:sz w:val="20"/>
          <w:szCs w:val="20"/>
          <w:lang w:eastAsia="zh-Hans"/>
        </w:rPr>
      </w:pPr>
      <w:r>
        <w:rPr>
          <w:kern w:val="0"/>
          <w:sz w:val="20"/>
          <w:szCs w:val="20"/>
          <w:lang w:eastAsia="zh-Hans"/>
        </w:rPr>
        <w:t>（以下格式文件由供应商根据需要选用）</w:t>
      </w:r>
    </w:p>
    <w:p>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pPr>
        <w:widowControl/>
        <w:spacing w:before="312" w:beforeLines="100" w:after="156" w:afterLines="50"/>
        <w:jc w:val="center"/>
        <w:outlineLvl w:val="3"/>
        <w:rPr>
          <w:kern w:val="0"/>
          <w:sz w:val="20"/>
          <w:szCs w:val="20"/>
          <w:lang w:eastAsia="zh-Hans"/>
        </w:rPr>
      </w:pPr>
      <w:r>
        <w:rPr>
          <w:b/>
          <w:kern w:val="0"/>
          <w:sz w:val="32"/>
          <w:lang w:eastAsia="zh-Hans"/>
        </w:rPr>
        <w:t>询问函</w:t>
      </w:r>
    </w:p>
    <w:p>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pPr>
        <w:pageBreakBefore/>
        <w:spacing w:after="156" w:afterLines="50"/>
        <w:jc w:val="center"/>
        <w:outlineLvl w:val="3"/>
        <w:rPr>
          <w:kern w:val="0"/>
          <w:sz w:val="20"/>
          <w:szCs w:val="20"/>
          <w:lang w:eastAsia="zh-Hans"/>
        </w:rPr>
      </w:pPr>
      <w:r>
        <w:rPr>
          <w:b/>
          <w:kern w:val="0"/>
          <w:sz w:val="32"/>
          <w:lang w:eastAsia="zh-Hans"/>
        </w:rPr>
        <w:t>质疑函</w:t>
      </w:r>
    </w:p>
    <w:p>
      <w:pPr>
        <w:widowControl/>
        <w:jc w:val="left"/>
        <w:rPr>
          <w:rFonts w:ascii="宋体" w:hAnsi="宋体"/>
          <w:kern w:val="0"/>
          <w:szCs w:val="21"/>
          <w:lang w:eastAsia="zh-Hans"/>
        </w:rPr>
      </w:pPr>
      <w:r>
        <w:rPr>
          <w:rFonts w:ascii="宋体" w:hAnsi="宋体"/>
          <w:kern w:val="0"/>
          <w:szCs w:val="21"/>
          <w:lang w:eastAsia="zh-Hans"/>
        </w:rPr>
        <w:t>一、质疑供应商基本信息</w:t>
      </w:r>
    </w:p>
    <w:p>
      <w:pPr>
        <w:widowControl/>
        <w:jc w:val="left"/>
        <w:rPr>
          <w:rFonts w:ascii="宋体" w:hAnsi="宋体"/>
          <w:kern w:val="0"/>
          <w:szCs w:val="21"/>
          <w:lang w:eastAsia="zh-Hans"/>
        </w:rPr>
      </w:pPr>
      <w:r>
        <w:rPr>
          <w:rFonts w:ascii="宋体" w:hAnsi="宋体"/>
          <w:kern w:val="0"/>
          <w:szCs w:val="21"/>
          <w:lang w:eastAsia="zh-Hans"/>
        </w:rPr>
        <w:t>质疑供应商：</w:t>
      </w:r>
    </w:p>
    <w:p>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二、质疑项目基本情况</w:t>
      </w:r>
    </w:p>
    <w:p>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三、质疑事项具体内容</w:t>
      </w:r>
    </w:p>
    <w:p>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pPr>
        <w:widowControl/>
        <w:jc w:val="left"/>
        <w:rPr>
          <w:rFonts w:ascii="宋体" w:hAnsi="宋体"/>
          <w:kern w:val="0"/>
          <w:szCs w:val="21"/>
          <w:lang w:eastAsia="zh-Hans"/>
        </w:rPr>
      </w:pPr>
      <w:r>
        <w:rPr>
          <w:rFonts w:ascii="宋体" w:hAnsi="宋体"/>
          <w:kern w:val="0"/>
          <w:szCs w:val="21"/>
          <w:lang w:eastAsia="zh-Hans"/>
        </w:rPr>
        <w:t>……</w:t>
      </w:r>
    </w:p>
    <w:p>
      <w:pPr>
        <w:widowControl/>
        <w:jc w:val="left"/>
        <w:rPr>
          <w:rFonts w:ascii="宋体" w:hAnsi="宋体"/>
          <w:kern w:val="0"/>
          <w:szCs w:val="21"/>
          <w:lang w:eastAsia="zh-Hans"/>
        </w:rPr>
      </w:pPr>
      <w:r>
        <w:rPr>
          <w:rFonts w:ascii="宋体" w:hAnsi="宋体"/>
          <w:kern w:val="0"/>
          <w:szCs w:val="21"/>
          <w:lang w:eastAsia="zh-Hans"/>
        </w:rPr>
        <w:t>四、与质疑事项相关的质疑请求</w:t>
      </w:r>
    </w:p>
    <w:p>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pPr>
        <w:widowControl/>
        <w:spacing w:before="156" w:beforeLines="50"/>
        <w:jc w:val="left"/>
        <w:rPr>
          <w:kern w:val="0"/>
          <w:sz w:val="20"/>
          <w:szCs w:val="20"/>
          <w:lang w:eastAsia="zh-Hans"/>
        </w:rPr>
      </w:pPr>
      <w:r>
        <w:rPr>
          <w:kern w:val="0"/>
          <w:szCs w:val="21"/>
          <w:lang w:eastAsia="zh-Hans"/>
        </w:rPr>
        <w:t>日期： 年 月 日</w:t>
      </w:r>
    </w:p>
    <w:p>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pPr>
        <w:pageBreakBefore/>
        <w:spacing w:before="780" w:beforeLines="250" w:after="312" w:afterLines="100"/>
        <w:jc w:val="center"/>
        <w:outlineLvl w:val="3"/>
        <w:rPr>
          <w:kern w:val="0"/>
          <w:szCs w:val="21"/>
          <w:lang w:eastAsia="zh-Hans"/>
        </w:rPr>
      </w:pPr>
      <w:r>
        <w:rPr>
          <w:b/>
          <w:kern w:val="0"/>
          <w:sz w:val="32"/>
          <w:lang w:eastAsia="zh-Hans"/>
        </w:rPr>
        <w:t>投诉书</w:t>
      </w:r>
    </w:p>
    <w:p>
      <w:pPr>
        <w:widowControl/>
        <w:snapToGrid w:val="0"/>
        <w:spacing w:line="360" w:lineRule="auto"/>
        <w:contextualSpacing/>
        <w:jc w:val="left"/>
        <w:rPr>
          <w:rFonts w:ascii="宋体" w:hAnsi="宋体"/>
          <w:kern w:val="0"/>
          <w:szCs w:val="21"/>
          <w:lang w:eastAsia="zh-Hans"/>
        </w:rPr>
      </w:pPr>
      <w:bookmarkStart w:id="75" w:name="_Toc169799805"/>
      <w:r>
        <w:rPr>
          <w:rFonts w:ascii="宋体" w:hAnsi="宋体"/>
          <w:kern w:val="0"/>
          <w:szCs w:val="21"/>
          <w:lang w:eastAsia="zh-Hans"/>
        </w:rPr>
        <w:t>一、投诉相关主体基本情况</w:t>
      </w:r>
    </w:p>
    <w:p>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5"/>
    <w:p>
      <w:pPr>
        <w:pageBreakBefore/>
        <w:rPr>
          <w:kern w:val="0"/>
          <w:sz w:val="20"/>
          <w:szCs w:val="20"/>
          <w:lang w:eastAsia="zh-Hans"/>
        </w:rPr>
      </w:pPr>
      <w:bookmarkStart w:id="76" w:name="_Toc169799806"/>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76"/>
    </w:p>
    <w:p>
      <w:pPr>
        <w:widowControl/>
        <w:jc w:val="left"/>
        <w:rPr>
          <w:kern w:val="0"/>
          <w:sz w:val="20"/>
          <w:szCs w:val="20"/>
          <w:lang w:eastAsia="zh-Hans"/>
        </w:rPr>
      </w:pPr>
      <w:r>
        <w:rPr>
          <w:kern w:val="0"/>
          <w:sz w:val="20"/>
          <w:szCs w:val="20"/>
          <w:lang w:eastAsia="zh-Hans"/>
        </w:rPr>
        <w:t>（以下格式文件由供应商根据需要选用）</w:t>
      </w:r>
    </w:p>
    <w:p>
      <w:pPr>
        <w:spacing w:line="360" w:lineRule="auto"/>
        <w:rPr>
          <w:rFonts w:asciiTheme="minorEastAsia" w:hAnsiTheme="minorEastAsia" w:eastAsiaTheme="minorEastAsia"/>
        </w:rPr>
      </w:pPr>
      <w:r>
        <w:rPr>
          <w:rFonts w:hint="eastAsia"/>
          <w:sz w:val="20"/>
          <w:szCs w:val="20"/>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0F0E76"/>
    <w:multiLevelType w:val="singleLevel"/>
    <w:tmpl w:val="8E0F0E76"/>
    <w:lvl w:ilvl="0" w:tentative="0">
      <w:start w:val="1"/>
      <w:numFmt w:val="decimal"/>
      <w:lvlText w:val="%1."/>
      <w:lvlJc w:val="left"/>
      <w:pPr>
        <w:ind w:left="425" w:hanging="425"/>
      </w:pPr>
      <w:rPr>
        <w:rFonts w:hint="default"/>
        <w:b w:val="0"/>
        <w:bCs w:val="0"/>
      </w:rPr>
    </w:lvl>
  </w:abstractNum>
  <w:abstractNum w:abstractNumId="1">
    <w:nsid w:val="C2F1FF14"/>
    <w:multiLevelType w:val="singleLevel"/>
    <w:tmpl w:val="C2F1FF14"/>
    <w:lvl w:ilvl="0" w:tentative="0">
      <w:start w:val="1"/>
      <w:numFmt w:val="decimal"/>
      <w:lvlText w:val="%1."/>
      <w:lvlJc w:val="left"/>
      <w:pPr>
        <w:ind w:left="425" w:hanging="425"/>
      </w:pPr>
      <w:rPr>
        <w:rFonts w:hint="default"/>
      </w:rPr>
    </w:lvl>
  </w:abstractNum>
  <w:abstractNum w:abstractNumId="2">
    <w:nsid w:val="F1D3D8A6"/>
    <w:multiLevelType w:val="singleLevel"/>
    <w:tmpl w:val="F1D3D8A6"/>
    <w:lvl w:ilvl="0" w:tentative="0">
      <w:start w:val="1"/>
      <w:numFmt w:val="decimal"/>
      <w:lvlText w:val="%1."/>
      <w:lvlJc w:val="left"/>
      <w:pPr>
        <w:ind w:left="425" w:hanging="425"/>
      </w:pPr>
      <w:rPr>
        <w:rFonts w:hint="default"/>
      </w:r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EDFCB28"/>
    <w:multiLevelType w:val="singleLevel"/>
    <w:tmpl w:val="1EDFCB28"/>
    <w:lvl w:ilvl="0" w:tentative="0">
      <w:start w:val="1"/>
      <w:numFmt w:val="decimal"/>
      <w:lvlText w:val="(%1)"/>
      <w:lvlJc w:val="left"/>
      <w:pPr>
        <w:ind w:left="425" w:hanging="425"/>
      </w:pPr>
      <w:rPr>
        <w:rFonts w:hint="default"/>
      </w:rPr>
    </w:lvl>
  </w:abstractNum>
  <w:abstractNum w:abstractNumId="30">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4">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F446DEC"/>
    <w:multiLevelType w:val="multilevel"/>
    <w:tmpl w:val="2F446DE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6">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0D4D877"/>
    <w:multiLevelType w:val="singleLevel"/>
    <w:tmpl w:val="60D4D877"/>
    <w:lvl w:ilvl="0" w:tentative="0">
      <w:start w:val="1"/>
      <w:numFmt w:val="decimal"/>
      <w:lvlText w:val="(%1)"/>
      <w:lvlJc w:val="left"/>
      <w:pPr>
        <w:ind w:left="425" w:hanging="425"/>
      </w:pPr>
      <w:rPr>
        <w:rFonts w:hint="default"/>
      </w:rPr>
    </w:lvl>
  </w:abstractNum>
  <w:abstractNum w:abstractNumId="7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DFBE2E3"/>
    <w:multiLevelType w:val="singleLevel"/>
    <w:tmpl w:val="6DFBE2E3"/>
    <w:lvl w:ilvl="0" w:tentative="0">
      <w:start w:val="1"/>
      <w:numFmt w:val="chineseCounting"/>
      <w:suff w:val="nothing"/>
      <w:lvlText w:val="%1、"/>
      <w:lvlJc w:val="left"/>
      <w:pPr>
        <w:ind w:left="0" w:firstLine="420"/>
      </w:pPr>
      <w:rPr>
        <w:rFonts w:hint="eastAsia"/>
      </w:rPr>
    </w:lvl>
  </w:abstractNum>
  <w:abstractNum w:abstractNumId="84">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4"/>
  </w:num>
  <w:num w:numId="2">
    <w:abstractNumId w:val="18"/>
  </w:num>
  <w:num w:numId="3">
    <w:abstractNumId w:val="41"/>
  </w:num>
  <w:num w:numId="4">
    <w:abstractNumId w:val="40"/>
  </w:num>
  <w:num w:numId="5">
    <w:abstractNumId w:val="15"/>
  </w:num>
  <w:num w:numId="6">
    <w:abstractNumId w:val="92"/>
  </w:num>
  <w:num w:numId="7">
    <w:abstractNumId w:val="89"/>
  </w:num>
  <w:num w:numId="8">
    <w:abstractNumId w:val="66"/>
  </w:num>
  <w:num w:numId="9">
    <w:abstractNumId w:val="91"/>
  </w:num>
  <w:num w:numId="10">
    <w:abstractNumId w:val="7"/>
  </w:num>
  <w:num w:numId="11">
    <w:abstractNumId w:val="1"/>
  </w:num>
  <w:num w:numId="12">
    <w:abstractNumId w:val="73"/>
  </w:num>
  <w:num w:numId="13">
    <w:abstractNumId w:val="32"/>
  </w:num>
  <w:num w:numId="14">
    <w:abstractNumId w:val="48"/>
  </w:num>
  <w:num w:numId="15">
    <w:abstractNumId w:val="2"/>
  </w:num>
  <w:num w:numId="16">
    <w:abstractNumId w:val="54"/>
  </w:num>
  <w:num w:numId="17">
    <w:abstractNumId w:val="25"/>
  </w:num>
  <w:num w:numId="18">
    <w:abstractNumId w:val="8"/>
  </w:num>
  <w:num w:numId="19">
    <w:abstractNumId w:val="11"/>
  </w:num>
  <w:num w:numId="20">
    <w:abstractNumId w:val="9"/>
  </w:num>
  <w:num w:numId="21">
    <w:abstractNumId w:val="93"/>
  </w:num>
  <w:num w:numId="22">
    <w:abstractNumId w:val="19"/>
  </w:num>
  <w:num w:numId="23">
    <w:abstractNumId w:val="45"/>
  </w:num>
  <w:num w:numId="24">
    <w:abstractNumId w:val="46"/>
  </w:num>
  <w:num w:numId="25">
    <w:abstractNumId w:val="12"/>
  </w:num>
  <w:num w:numId="26">
    <w:abstractNumId w:val="84"/>
  </w:num>
  <w:num w:numId="27">
    <w:abstractNumId w:val="14"/>
  </w:num>
  <w:num w:numId="28">
    <w:abstractNumId w:val="3"/>
  </w:num>
  <w:num w:numId="29">
    <w:abstractNumId w:val="85"/>
  </w:num>
  <w:num w:numId="30">
    <w:abstractNumId w:val="69"/>
  </w:num>
  <w:num w:numId="31">
    <w:abstractNumId w:val="24"/>
  </w:num>
  <w:num w:numId="32">
    <w:abstractNumId w:val="42"/>
  </w:num>
  <w:num w:numId="33">
    <w:abstractNumId w:val="22"/>
  </w:num>
  <w:num w:numId="34">
    <w:abstractNumId w:val="60"/>
  </w:num>
  <w:num w:numId="35">
    <w:abstractNumId w:val="79"/>
  </w:num>
  <w:num w:numId="36">
    <w:abstractNumId w:val="52"/>
  </w:num>
  <w:num w:numId="37">
    <w:abstractNumId w:val="86"/>
  </w:num>
  <w:num w:numId="38">
    <w:abstractNumId w:val="72"/>
  </w:num>
  <w:num w:numId="39">
    <w:abstractNumId w:val="61"/>
  </w:num>
  <w:num w:numId="40">
    <w:abstractNumId w:val="38"/>
  </w:num>
  <w:num w:numId="41">
    <w:abstractNumId w:val="6"/>
  </w:num>
  <w:num w:numId="42">
    <w:abstractNumId w:val="26"/>
  </w:num>
  <w:num w:numId="43">
    <w:abstractNumId w:val="56"/>
  </w:num>
  <w:num w:numId="44">
    <w:abstractNumId w:val="71"/>
  </w:num>
  <w:num w:numId="45">
    <w:abstractNumId w:val="59"/>
  </w:num>
  <w:num w:numId="46">
    <w:abstractNumId w:val="80"/>
  </w:num>
  <w:num w:numId="47">
    <w:abstractNumId w:val="35"/>
  </w:num>
  <w:num w:numId="48">
    <w:abstractNumId w:val="82"/>
  </w:num>
  <w:num w:numId="49">
    <w:abstractNumId w:val="34"/>
  </w:num>
  <w:num w:numId="50">
    <w:abstractNumId w:val="78"/>
  </w:num>
  <w:num w:numId="51">
    <w:abstractNumId w:val="57"/>
  </w:num>
  <w:num w:numId="52">
    <w:abstractNumId w:val="62"/>
  </w:num>
  <w:num w:numId="53">
    <w:abstractNumId w:val="43"/>
  </w:num>
  <w:num w:numId="54">
    <w:abstractNumId w:val="5"/>
  </w:num>
  <w:num w:numId="55">
    <w:abstractNumId w:val="17"/>
  </w:num>
  <w:num w:numId="56">
    <w:abstractNumId w:val="53"/>
  </w:num>
  <w:num w:numId="57">
    <w:abstractNumId w:val="74"/>
  </w:num>
  <w:num w:numId="58">
    <w:abstractNumId w:val="67"/>
  </w:num>
  <w:num w:numId="59">
    <w:abstractNumId w:val="51"/>
  </w:num>
  <w:num w:numId="60">
    <w:abstractNumId w:val="64"/>
  </w:num>
  <w:num w:numId="61">
    <w:abstractNumId w:val="30"/>
  </w:num>
  <w:num w:numId="62">
    <w:abstractNumId w:val="90"/>
  </w:num>
  <w:num w:numId="63">
    <w:abstractNumId w:val="4"/>
  </w:num>
  <w:num w:numId="64">
    <w:abstractNumId w:val="75"/>
  </w:num>
  <w:num w:numId="65">
    <w:abstractNumId w:val="58"/>
  </w:num>
  <w:num w:numId="66">
    <w:abstractNumId w:val="55"/>
  </w:num>
  <w:num w:numId="67">
    <w:abstractNumId w:val="33"/>
  </w:num>
  <w:num w:numId="68">
    <w:abstractNumId w:val="16"/>
  </w:num>
  <w:num w:numId="69">
    <w:abstractNumId w:val="63"/>
  </w:num>
  <w:num w:numId="70">
    <w:abstractNumId w:val="47"/>
  </w:num>
  <w:num w:numId="71">
    <w:abstractNumId w:val="70"/>
  </w:num>
  <w:num w:numId="72">
    <w:abstractNumId w:val="68"/>
  </w:num>
  <w:num w:numId="73">
    <w:abstractNumId w:val="65"/>
  </w:num>
  <w:num w:numId="74">
    <w:abstractNumId w:val="20"/>
  </w:num>
  <w:num w:numId="75">
    <w:abstractNumId w:val="88"/>
  </w:num>
  <w:num w:numId="76">
    <w:abstractNumId w:val="81"/>
  </w:num>
  <w:num w:numId="77">
    <w:abstractNumId w:val="36"/>
  </w:num>
  <w:num w:numId="78">
    <w:abstractNumId w:val="21"/>
  </w:num>
  <w:num w:numId="79">
    <w:abstractNumId w:val="76"/>
  </w:num>
  <w:num w:numId="80">
    <w:abstractNumId w:val="13"/>
  </w:num>
  <w:num w:numId="81">
    <w:abstractNumId w:val="50"/>
  </w:num>
  <w:num w:numId="82">
    <w:abstractNumId w:val="0"/>
  </w:num>
  <w:num w:numId="83">
    <w:abstractNumId w:val="28"/>
  </w:num>
  <w:num w:numId="84">
    <w:abstractNumId w:val="94"/>
  </w:num>
  <w:num w:numId="85">
    <w:abstractNumId w:val="23"/>
  </w:num>
  <w:num w:numId="86">
    <w:abstractNumId w:val="39"/>
  </w:num>
  <w:num w:numId="87">
    <w:abstractNumId w:val="29"/>
  </w:num>
  <w:num w:numId="88">
    <w:abstractNumId w:val="10"/>
  </w:num>
  <w:num w:numId="89">
    <w:abstractNumId w:val="87"/>
  </w:num>
  <w:num w:numId="90">
    <w:abstractNumId w:val="27"/>
  </w:num>
  <w:num w:numId="91">
    <w:abstractNumId w:val="31"/>
  </w:num>
  <w:num w:numId="92">
    <w:abstractNumId w:val="37"/>
  </w:num>
  <w:num w:numId="93">
    <w:abstractNumId w:val="83"/>
  </w:num>
  <w:num w:numId="94">
    <w:abstractNumId w:val="77"/>
  </w:num>
  <w:num w:numId="95">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3A65A56"/>
    <w:rsid w:val="0E0F3D78"/>
    <w:rsid w:val="10071369"/>
    <w:rsid w:val="11647A4F"/>
    <w:rsid w:val="11B928CB"/>
    <w:rsid w:val="18976EEF"/>
    <w:rsid w:val="19780C73"/>
    <w:rsid w:val="27D52D46"/>
    <w:rsid w:val="27F009E7"/>
    <w:rsid w:val="2BC5737C"/>
    <w:rsid w:val="33581EED"/>
    <w:rsid w:val="3DCC7B36"/>
    <w:rsid w:val="4245123D"/>
    <w:rsid w:val="43760FB2"/>
    <w:rsid w:val="47924127"/>
    <w:rsid w:val="47B60184"/>
    <w:rsid w:val="48F74848"/>
    <w:rsid w:val="49A4496C"/>
    <w:rsid w:val="49EA4865"/>
    <w:rsid w:val="4A56349A"/>
    <w:rsid w:val="4C045886"/>
    <w:rsid w:val="4D8331E2"/>
    <w:rsid w:val="4EA71845"/>
    <w:rsid w:val="4F0F079A"/>
    <w:rsid w:val="4F2A1CC8"/>
    <w:rsid w:val="506D728C"/>
    <w:rsid w:val="51965659"/>
    <w:rsid w:val="54704F4A"/>
    <w:rsid w:val="5FFB4B3F"/>
    <w:rsid w:val="621134FA"/>
    <w:rsid w:val="638C48B6"/>
    <w:rsid w:val="65FC431B"/>
    <w:rsid w:val="6D927D32"/>
    <w:rsid w:val="6DB20A89"/>
    <w:rsid w:val="6FBF9311"/>
    <w:rsid w:val="70114CEC"/>
    <w:rsid w:val="70750D5C"/>
    <w:rsid w:val="724F4F07"/>
    <w:rsid w:val="738803A7"/>
    <w:rsid w:val="75EB1BC8"/>
    <w:rsid w:val="77C912FA"/>
    <w:rsid w:val="785C3891"/>
    <w:rsid w:val="787A7F08"/>
    <w:rsid w:val="7AE31458"/>
    <w:rsid w:val="7C1C4562"/>
    <w:rsid w:val="7C5A5AC4"/>
    <w:rsid w:val="7C5F1143"/>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61</Pages>
  <Words>4362</Words>
  <Characters>4680</Characters>
  <Lines>370</Lines>
  <Paragraphs>104</Paragraphs>
  <TotalTime>19</TotalTime>
  <ScaleCrop>false</ScaleCrop>
  <LinksUpToDate>false</LinksUpToDate>
  <CharactersWithSpaces>4871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2025-06-20T08:07:00Z</cp:lastPrinted>
  <dcterms:modified xsi:type="dcterms:W3CDTF">2025-06-27T07:37:23Z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212C83DD5D824E52AB0638A1247B5564_12</vt:lpwstr>
  </property>
</Properties>
</file>