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1694DFF9">
      <w:pPr>
        <w:pStyle w:val="74"/>
        <w:keepNext w:val="0"/>
        <w:keepLines w:val="0"/>
        <w:pageBreakBefore w:val="0"/>
        <w:widowControl/>
        <w:tabs>
          <w:tab w:val="left" w:pos="9072"/>
        </w:tabs>
        <w:kinsoku/>
        <w:wordWrap/>
        <w:overflowPunct/>
        <w:topLinePunct w:val="0"/>
        <w:autoSpaceDE/>
        <w:autoSpaceDN/>
        <w:bidi w:val="0"/>
        <w:adjustRightInd/>
        <w:snapToGrid/>
        <w:spacing w:before="469" w:beforeLines="150" w:line="640" w:lineRule="exact"/>
        <w:ind w:left="2597" w:leftChars="400" w:hanging="1757" w:hangingChars="500"/>
        <w:textAlignment w:val="auto"/>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w:t>
      </w:r>
      <w:r>
        <w:rPr>
          <w:rFonts w:hint="eastAsia" w:ascii="宋体" w:hAnsi="宋体" w:eastAsia="宋体"/>
          <w:b/>
          <w:color w:val="auto"/>
          <w:sz w:val="35"/>
          <w:szCs w:val="35"/>
          <w:highlight w:val="none"/>
        </w:rPr>
        <w:t>ZHDGZC2025049</w:t>
      </w:r>
    </w:p>
    <w:p w14:paraId="68612354">
      <w:pPr>
        <w:pStyle w:val="74"/>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rPr>
        <w:t>东莞市莞城医院GE VoIuson E8超声诊断仪维保服务项目</w:t>
      </w:r>
    </w:p>
    <w:p w14:paraId="71953F7B">
      <w:pPr>
        <w:pStyle w:val="74"/>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东莞市莞城医院</w:t>
      </w:r>
    </w:p>
    <w:p w14:paraId="354529F8">
      <w:pPr>
        <w:pStyle w:val="74"/>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asciiTheme="minorEastAsia" w:hAnsiTheme="minorEastAsia" w:eastAsiaTheme="minorEastAsia"/>
          <w:b/>
          <w:spacing w:val="60"/>
          <w:sz w:val="28"/>
          <w:szCs w:val="28"/>
        </w:rPr>
      </w:pPr>
      <w:r>
        <w:rPr>
          <w:rFonts w:ascii="宋体" w:hAnsi="宋体" w:eastAsia="宋体"/>
          <w:b/>
          <w:color w:val="auto"/>
          <w:sz w:val="35"/>
          <w:szCs w:val="35"/>
          <w:highlight w:val="none"/>
        </w:rPr>
        <w:t>采购代理机构：广东智汇城市招标采购有限公司</w:t>
      </w:r>
    </w:p>
    <w:sdt>
      <w:sdtPr>
        <w:rPr>
          <w:rFonts w:asciiTheme="minorEastAsia" w:hAnsiTheme="minorEastAsia" w:eastAsiaTheme="minorEastAsia" w:cstheme="minorBidi"/>
          <w:b w:val="0"/>
          <w:bCs w:val="0"/>
          <w:color w:val="auto"/>
          <w:kern w:val="2"/>
          <w:sz w:val="21"/>
          <w:szCs w:val="22"/>
          <w:lang w:val="zh-CN"/>
        </w:rPr>
        <w:id w:val="1573932282"/>
      </w:sdtPr>
      <w:sdtEndPr>
        <w:rPr>
          <w:rFonts w:hint="eastAsia" w:ascii="宋体" w:hAnsi="宋体" w:eastAsia="宋体" w:cs="宋体"/>
          <w:b w:val="0"/>
          <w:bCs w:val="0"/>
          <w:color w:val="auto"/>
          <w:kern w:val="0"/>
          <w:sz w:val="24"/>
          <w:szCs w:val="24"/>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sz w:val="36"/>
              <w:szCs w:val="36"/>
            </w:rPr>
          </w:pPr>
          <w:r>
            <w:rPr>
              <w:rFonts w:hint="eastAsia" w:asciiTheme="minorEastAsia" w:hAnsiTheme="minorEastAsia" w:eastAsiaTheme="minorEastAsia"/>
              <w:color w:val="auto"/>
              <w:sz w:val="36"/>
              <w:szCs w:val="36"/>
              <w:lang w:val="zh-CN"/>
            </w:rPr>
            <w:t>目录</w:t>
          </w:r>
        </w:p>
        <w:p w14:paraId="211B31F5">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Style w:val="28"/>
              <w:rFonts w:hint="eastAsia" w:ascii="宋体" w:hAnsi="宋体" w:eastAsia="宋体" w:cs="宋体"/>
              <w:spacing w:val="20"/>
              <w:sz w:val="24"/>
              <w:szCs w:val="24"/>
            </w:rPr>
            <w:fldChar w:fldCharType="begin"/>
          </w:r>
          <w:r>
            <w:rPr>
              <w:rStyle w:val="28"/>
              <w:rFonts w:hint="eastAsia" w:ascii="宋体" w:hAnsi="宋体" w:eastAsia="宋体" w:cs="宋体"/>
              <w:spacing w:val="20"/>
              <w:sz w:val="24"/>
              <w:szCs w:val="24"/>
            </w:rPr>
            <w:instrText xml:space="preserve"> TOC \o "1-3" \h \z \u </w:instrText>
          </w:r>
          <w:r>
            <w:rPr>
              <w:rStyle w:val="28"/>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_Toc20392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第一章 磋商邀请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_Toc20392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4E4E03BF">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_Toc19016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_Toc19016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3DE85B35">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_Toc11850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第三章 磋商须知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_Toc11850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3A2D27AC">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_Toc2386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第四章 评审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_Toc2386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296EB6A5">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_Toc6913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_Toc6913 \h </w:instrText>
          </w:r>
          <w:r>
            <w:rPr>
              <w:rFonts w:hint="eastAsia" w:ascii="宋体" w:hAnsi="宋体" w:eastAsia="宋体" w:cs="宋体"/>
              <w:sz w:val="24"/>
              <w:szCs w:val="24"/>
            </w:rPr>
            <w:fldChar w:fldCharType="separate"/>
          </w:r>
          <w:r>
            <w:rPr>
              <w:rFonts w:hint="eastAsia" w:ascii="宋体" w:hAnsi="宋体" w:eastAsia="宋体" w:cs="宋体"/>
              <w:sz w:val="24"/>
              <w:szCs w:val="24"/>
            </w:rPr>
            <w:t>32</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56F7A48E">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_Toc5581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第六章 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_Toc5581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636ADDE6">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Fonts w:asciiTheme="minorEastAsia" w:hAnsiTheme="minorEastAsia" w:eastAsiaTheme="minorEastAsia"/>
              <w:lang w:val="zh-CN"/>
            </w:rPr>
          </w:pPr>
          <w:r>
            <w:rPr>
              <w:rFonts w:hint="eastAsia" w:ascii="宋体" w:hAnsi="宋体" w:eastAsia="宋体" w:cs="宋体"/>
              <w:spacing w:val="20"/>
              <w:sz w:val="24"/>
              <w:szCs w:val="24"/>
            </w:rPr>
            <w:fldChar w:fldCharType="end"/>
          </w:r>
        </w:p>
      </w:sdtContent>
    </w:sdt>
    <w:p w14:paraId="6FAB5EA8">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20392"/>
      <w:bookmarkStart w:id="1" w:name="_Toc516661492"/>
      <w:bookmarkStart w:id="2" w:name="_Toc503257147"/>
      <w:bookmarkStart w:id="3" w:name="_Toc405313952"/>
      <w:r>
        <w:rPr>
          <w:rFonts w:hint="eastAsia" w:asciiTheme="minorEastAsia" w:hAnsiTheme="minorEastAsia" w:eastAsiaTheme="minorEastAsia"/>
          <w:spacing w:val="20"/>
          <w:sz w:val="32"/>
          <w:szCs w:val="32"/>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szCs w:val="21"/>
        </w:rPr>
      </w:pPr>
      <w:r>
        <w:rPr>
          <w:rFonts w:hint="eastAsia" w:ascii="宋体" w:hAnsi="宋体" w:eastAsia="宋体" w:cs="Times New Roman"/>
          <w:color w:val="auto"/>
          <w:kern w:val="0"/>
          <w:szCs w:val="21"/>
          <w:highlight w:val="none"/>
          <w:u w:val="single"/>
        </w:rPr>
        <w:t>东莞市莞城医院GE VoIuson E8超声诊断仪维保服务项目</w:t>
      </w:r>
      <w:r>
        <w:rPr>
          <w:rFonts w:hint="eastAsia" w:asciiTheme="minorEastAsia" w:hAnsiTheme="minorEastAsia" w:eastAsiaTheme="minorEastAsia"/>
          <w:szCs w:val="21"/>
        </w:rPr>
        <w:t>的潜在供应商应</w:t>
      </w:r>
      <w:r>
        <w:rPr>
          <w:rFonts w:hint="eastAsia" w:asciiTheme="minorEastAsia" w:hAnsiTheme="minorEastAsia" w:eastAsiaTheme="minorEastAsia"/>
          <w:color w:val="auto"/>
          <w:szCs w:val="21"/>
        </w:rPr>
        <w:t>在东莞市南城街道雅园产业园区路5号1栋1楼或微信搜索公众号“广东智汇城市招标采购有限公司”获</w:t>
      </w:r>
      <w:r>
        <w:rPr>
          <w:rFonts w:hint="eastAsia" w:asciiTheme="minorEastAsia" w:hAnsiTheme="minorEastAsia" w:eastAsiaTheme="minorEastAsia"/>
          <w:szCs w:val="21"/>
        </w:rPr>
        <w:t>取采购文件，并于</w:t>
      </w:r>
      <w:r>
        <w:rPr>
          <w:rFonts w:hint="eastAsia" w:ascii="宋体" w:hAnsi="宋体" w:eastAsia="宋体" w:cs="Times New Roman"/>
          <w:color w:val="auto"/>
          <w:kern w:val="0"/>
          <w:szCs w:val="21"/>
          <w:highlight w:val="none"/>
          <w:u w:val="singl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cs="Times New Roman"/>
          <w:color w:val="auto"/>
          <w:kern w:val="0"/>
          <w:szCs w:val="21"/>
          <w:highlight w:val="none"/>
          <w:u w:val="single"/>
          <w:lang w:val="en-US" w:eastAsia="zh-CN"/>
        </w:rPr>
        <w:t>07</w:t>
      </w:r>
      <w:r>
        <w:rPr>
          <w:rFonts w:ascii="宋体" w:hAnsi="宋体" w:eastAsia="宋体" w:cs="Times New Roman"/>
          <w:color w:val="auto"/>
          <w:kern w:val="0"/>
          <w:szCs w:val="21"/>
          <w:highlight w:val="none"/>
          <w:lang w:eastAsia="zh-Hans"/>
        </w:rPr>
        <w:t>月</w:t>
      </w:r>
      <w:r>
        <w:rPr>
          <w:rFonts w:hint="eastAsia" w:ascii="宋体" w:hAnsi="宋体" w:cs="Times New Roman"/>
          <w:color w:val="auto"/>
          <w:kern w:val="0"/>
          <w:szCs w:val="21"/>
          <w:highlight w:val="none"/>
          <w:u w:val="single"/>
          <w:lang w:val="en-US" w:eastAsia="zh-CN"/>
        </w:rPr>
        <w:t>15</w:t>
      </w:r>
      <w:r>
        <w:rPr>
          <w:rFonts w:ascii="宋体" w:hAnsi="宋体" w:eastAsia="宋体" w:cs="Times New Roman"/>
          <w:color w:val="auto"/>
          <w:kern w:val="0"/>
          <w:szCs w:val="21"/>
          <w:highlight w:val="none"/>
          <w:lang w:eastAsia="zh-Hans"/>
        </w:rPr>
        <w:t>日</w:t>
      </w:r>
      <w:r>
        <w:rPr>
          <w:rFonts w:hint="eastAsia" w:ascii="宋体" w:hAnsi="宋体" w:cs="Times New Roman"/>
          <w:color w:val="auto"/>
          <w:kern w:val="0"/>
          <w:szCs w:val="21"/>
          <w:highlight w:val="none"/>
          <w:u w:val="single"/>
          <w:lang w:val="en-US" w:eastAsia="zh-CN"/>
        </w:rPr>
        <w:t>09</w:t>
      </w:r>
      <w:r>
        <w:rPr>
          <w:rFonts w:ascii="宋体" w:hAnsi="宋体" w:eastAsia="宋体" w:cs="Times New Roman"/>
          <w:color w:val="auto"/>
          <w:kern w:val="0"/>
          <w:szCs w:val="21"/>
          <w:highlight w:val="none"/>
          <w:lang w:eastAsia="zh-Hans"/>
        </w:rPr>
        <w:t>点</w:t>
      </w:r>
      <w:r>
        <w:rPr>
          <w:rFonts w:hint="eastAsia" w:ascii="宋体" w:hAnsi="宋体" w:cs="Times New Roman"/>
          <w:color w:val="auto"/>
          <w:kern w:val="0"/>
          <w:szCs w:val="21"/>
          <w:highlight w:val="none"/>
          <w:u w:val="single"/>
          <w:lang w:val="en-US" w:eastAsia="zh-CN"/>
        </w:rPr>
        <w:t>30</w:t>
      </w:r>
      <w:r>
        <w:rPr>
          <w:rFonts w:ascii="宋体" w:hAnsi="宋体" w:eastAsia="宋体" w:cs="Times New Roman"/>
          <w:color w:val="auto"/>
          <w:kern w:val="0"/>
          <w:szCs w:val="21"/>
          <w:highlight w:val="none"/>
          <w:lang w:eastAsia="zh-Hans"/>
        </w:rPr>
        <w:t>分</w:t>
      </w:r>
      <w:r>
        <w:rPr>
          <w:rFonts w:hint="eastAsia" w:asciiTheme="minorEastAsia" w:hAnsiTheme="minorEastAsia" w:eastAsiaTheme="minorEastAsia"/>
          <w:szCs w:val="21"/>
        </w:rPr>
        <w:t>（北京时间）前递交响应文件。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563D56AB">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w:t>
      </w:r>
      <w:r>
        <w:rPr>
          <w:rFonts w:hint="eastAsia" w:ascii="宋体" w:hAnsi="宋体" w:eastAsia="宋体" w:cs="Times New Roman"/>
          <w:color w:val="auto"/>
          <w:kern w:val="0"/>
          <w:szCs w:val="21"/>
          <w:highlight w:val="none"/>
        </w:rPr>
        <w:t>ZHDGZC2025049</w:t>
      </w:r>
    </w:p>
    <w:p w14:paraId="0A32BCFC">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w:t>
      </w:r>
      <w:r>
        <w:rPr>
          <w:rFonts w:hint="eastAsia" w:ascii="宋体" w:hAnsi="宋体" w:eastAsia="宋体" w:cs="Times New Roman"/>
          <w:color w:val="auto"/>
          <w:kern w:val="0"/>
          <w:szCs w:val="21"/>
          <w:highlight w:val="none"/>
          <w:lang w:eastAsia="zh-Hans"/>
        </w:rPr>
        <w:t>东莞市莞城医院GE VoIuson E8超声诊断仪维保服务项目</w:t>
      </w:r>
    </w:p>
    <w:p w14:paraId="5788C160">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346F51B3">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w:t>
      </w:r>
      <w:r>
        <w:rPr>
          <w:rFonts w:hint="eastAsia" w:ascii="宋体" w:hAnsi="宋体" w:eastAsia="宋体" w:cs="Times New Roman"/>
          <w:color w:val="auto"/>
          <w:kern w:val="0"/>
          <w:szCs w:val="21"/>
          <w:highlight w:val="none"/>
          <w:lang w:eastAsia="zh-Hans"/>
        </w:rPr>
        <w:t>500,000.00</w:t>
      </w:r>
      <w:r>
        <w:rPr>
          <w:rFonts w:ascii="宋体" w:hAnsi="宋体" w:eastAsia="宋体" w:cs="Times New Roman"/>
          <w:color w:val="auto"/>
          <w:kern w:val="0"/>
          <w:szCs w:val="21"/>
          <w:highlight w:val="none"/>
          <w:lang w:eastAsia="zh-Hans"/>
        </w:rPr>
        <w:t>元</w:t>
      </w:r>
    </w:p>
    <w:p w14:paraId="7F606E7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标的内容：</w:t>
      </w:r>
    </w:p>
    <w:tbl>
      <w:tblPr>
        <w:tblStyle w:val="2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2475"/>
        <w:gridCol w:w="2035"/>
        <w:gridCol w:w="724"/>
        <w:gridCol w:w="706"/>
        <w:gridCol w:w="2592"/>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402" w:type="pct"/>
            <w:vAlign w:val="center"/>
          </w:tcPr>
          <w:p w14:paraId="427A8EC7">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序号</w:t>
            </w:r>
          </w:p>
        </w:tc>
        <w:tc>
          <w:tcPr>
            <w:tcW w:w="1333" w:type="pct"/>
            <w:vAlign w:val="center"/>
          </w:tcPr>
          <w:p w14:paraId="72C4323F">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标的名称</w:t>
            </w:r>
          </w:p>
        </w:tc>
        <w:tc>
          <w:tcPr>
            <w:tcW w:w="1096" w:type="pct"/>
            <w:vAlign w:val="center"/>
          </w:tcPr>
          <w:p w14:paraId="6BC87F70">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预算金额（元）</w:t>
            </w:r>
          </w:p>
        </w:tc>
        <w:tc>
          <w:tcPr>
            <w:tcW w:w="390" w:type="pct"/>
            <w:vAlign w:val="center"/>
          </w:tcPr>
          <w:p w14:paraId="05CDE2E7">
            <w:pPr>
              <w:widowControl/>
              <w:jc w:val="center"/>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数量</w:t>
            </w:r>
          </w:p>
        </w:tc>
        <w:tc>
          <w:tcPr>
            <w:tcW w:w="380" w:type="pct"/>
            <w:vAlign w:val="center"/>
          </w:tcPr>
          <w:p w14:paraId="3DD5745A">
            <w:pPr>
              <w:widowControl/>
              <w:jc w:val="center"/>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单位</w:t>
            </w:r>
          </w:p>
        </w:tc>
        <w:tc>
          <w:tcPr>
            <w:tcW w:w="1396" w:type="pct"/>
            <w:vAlign w:val="center"/>
          </w:tcPr>
          <w:p w14:paraId="46866B18">
            <w:pPr>
              <w:widowControl/>
              <w:jc w:val="center"/>
              <w:rPr>
                <w:rFonts w:ascii="Calibri" w:hAnsi="Calibri" w:eastAsia="宋体" w:cs="Times New Roman"/>
                <w:b/>
                <w:bCs/>
                <w:color w:val="auto"/>
                <w:kern w:val="0"/>
                <w:sz w:val="21"/>
                <w:szCs w:val="21"/>
                <w:highlight w:val="none"/>
                <w:lang w:eastAsia="zh-Hans"/>
              </w:rPr>
            </w:pPr>
            <w:r>
              <w:rPr>
                <w:rFonts w:hint="eastAsia" w:ascii="Calibri" w:hAnsi="Calibri" w:eastAsia="宋体" w:cs="Times New Roman"/>
                <w:b/>
                <w:bCs/>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02" w:type="pct"/>
            <w:vAlign w:val="center"/>
          </w:tcPr>
          <w:p w14:paraId="6DC1FBC2">
            <w:pPr>
              <w:widowControl/>
              <w:jc w:val="center"/>
              <w:rPr>
                <w:rFonts w:ascii="Calibri" w:hAnsi="Calibri" w:eastAsia="宋体" w:cs="Times New Roman"/>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1333" w:type="pct"/>
            <w:vAlign w:val="center"/>
          </w:tcPr>
          <w:p w14:paraId="45E441AE">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Cs w:val="21"/>
                <w:highlight w:val="none"/>
                <w:lang w:eastAsia="zh-Hans"/>
              </w:rPr>
              <w:t>GE VoIuson E8超声诊断仪</w:t>
            </w:r>
            <w:r>
              <w:rPr>
                <w:rFonts w:hint="eastAsia" w:ascii="宋体" w:hAnsi="宋体" w:eastAsia="宋体" w:cs="Times New Roman"/>
                <w:color w:val="auto"/>
                <w:kern w:val="0"/>
                <w:szCs w:val="21"/>
                <w:highlight w:val="none"/>
                <w:lang w:val="en-US" w:eastAsia="zh-CN"/>
              </w:rPr>
              <w:t>更新、升级及</w:t>
            </w:r>
            <w:r>
              <w:rPr>
                <w:rFonts w:hint="eastAsia" w:ascii="宋体" w:hAnsi="宋体" w:eastAsia="宋体" w:cs="Times New Roman"/>
                <w:color w:val="auto"/>
                <w:kern w:val="0"/>
                <w:szCs w:val="21"/>
                <w:highlight w:val="none"/>
                <w:lang w:eastAsia="zh-Hans"/>
              </w:rPr>
              <w:t>维保服务</w:t>
            </w:r>
          </w:p>
        </w:tc>
        <w:tc>
          <w:tcPr>
            <w:tcW w:w="1096" w:type="pct"/>
            <w:vAlign w:val="center"/>
          </w:tcPr>
          <w:p w14:paraId="60B881F5">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Cs w:val="21"/>
                <w:highlight w:val="none"/>
                <w:lang w:eastAsia="zh-Hans"/>
              </w:rPr>
              <w:t>500,000.00</w:t>
            </w:r>
          </w:p>
        </w:tc>
        <w:tc>
          <w:tcPr>
            <w:tcW w:w="390" w:type="pct"/>
            <w:vAlign w:val="center"/>
          </w:tcPr>
          <w:p w14:paraId="215E745D">
            <w:pPr>
              <w:widowControl/>
              <w:jc w:val="center"/>
              <w:rPr>
                <w:rFonts w:ascii="宋体" w:hAnsi="宋体"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1</w:t>
            </w:r>
          </w:p>
        </w:tc>
        <w:tc>
          <w:tcPr>
            <w:tcW w:w="380" w:type="pct"/>
            <w:vAlign w:val="center"/>
          </w:tcPr>
          <w:p w14:paraId="0D05EEAD">
            <w:pPr>
              <w:widowControl/>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项</w:t>
            </w:r>
          </w:p>
        </w:tc>
        <w:tc>
          <w:tcPr>
            <w:tcW w:w="1396" w:type="pct"/>
            <w:vAlign w:val="center"/>
          </w:tcPr>
          <w:p w14:paraId="3FA2DDE4">
            <w:pPr>
              <w:widowControl/>
              <w:jc w:val="center"/>
              <w:rPr>
                <w:rFonts w:ascii="Calibri" w:hAnsi="Calibri" w:eastAsia="宋体" w:cs="Times New Roman"/>
                <w:color w:val="auto"/>
                <w:kern w:val="0"/>
                <w:sz w:val="21"/>
                <w:szCs w:val="21"/>
                <w:highlight w:val="none"/>
              </w:rPr>
            </w:pPr>
            <w:r>
              <w:rPr>
                <w:rFonts w:ascii="Calibri" w:hAnsi="Calibri" w:eastAsia="宋体" w:cs="Times New Roman"/>
                <w:color w:val="auto"/>
                <w:kern w:val="0"/>
                <w:sz w:val="21"/>
                <w:szCs w:val="21"/>
                <w:highlight w:val="none"/>
                <w:lang w:eastAsia="zh-Hans"/>
              </w:rPr>
              <w:t>详见第二章</w:t>
            </w:r>
            <w:r>
              <w:rPr>
                <w:rFonts w:hint="eastAsia" w:ascii="Calibri" w:hAnsi="Calibri" w:eastAsia="宋体" w:cs="Times New Roman"/>
                <w:color w:val="auto"/>
                <w:kern w:val="0"/>
                <w:sz w:val="21"/>
                <w:szCs w:val="21"/>
                <w:highlight w:val="none"/>
                <w:lang w:eastAsia="zh-Hans"/>
              </w:rPr>
              <w:t>采购需求</w:t>
            </w:r>
          </w:p>
        </w:tc>
      </w:tr>
    </w:tbl>
    <w:p w14:paraId="637D930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合同履行期限：自合同签订之日起至GE VoIuson E8超声诊断仪更新、升级完成并经采购人验收合格后3年。</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本项目（不接受）联合体投标。</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在</w:t>
      </w:r>
      <w:r>
        <w:rPr>
          <w:rFonts w:hint="eastAsia" w:ascii="宋体" w:hAnsi="宋体"/>
          <w:bCs/>
          <w:kern w:val="0"/>
          <w:szCs w:val="21"/>
          <w:lang w:val="en-US" w:eastAsia="zh-CN"/>
        </w:rPr>
        <w:t>响应</w:t>
      </w:r>
      <w:r>
        <w:rPr>
          <w:rFonts w:hint="eastAsia" w:ascii="宋体" w:hAnsi="宋体"/>
          <w:bCs/>
          <w:kern w:val="0"/>
          <w:szCs w:val="21"/>
        </w:rPr>
        <w:t>文件中填报设备及专业技术能力情况或提供资格条件承诺函（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val="0"/>
          <w:bCs/>
          <w:kern w:val="0"/>
          <w:szCs w:val="21"/>
          <w:lang w:val="en-US" w:eastAsia="zh-CN"/>
        </w:rPr>
        <w:t>无</w:t>
      </w:r>
      <w:r>
        <w:rPr>
          <w:rFonts w:hint="eastAsia" w:ascii="宋体" w:hAnsi="宋体"/>
          <w:b w:val="0"/>
          <w:bCs/>
          <w:kern w:val="0"/>
          <w:szCs w:val="21"/>
          <w:lang w:eastAsia="zh-CN"/>
        </w:rPr>
        <w:t>。</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keepNext w:val="0"/>
        <w:keepLines w:val="0"/>
        <w:pageBreakBefore w:val="0"/>
        <w:widowControl/>
        <w:numPr>
          <w:ilvl w:val="0"/>
          <w:numId w:val="4"/>
        </w:numPr>
        <w:kinsoku/>
        <w:wordWrap w:val="0"/>
        <w:overflowPunct/>
        <w:topLinePunct w:val="0"/>
        <w:autoSpaceDE/>
        <w:autoSpaceDN/>
        <w:bidi w:val="0"/>
        <w:adjustRightInd/>
        <w:snapToGrid/>
        <w:spacing w:line="360" w:lineRule="auto"/>
        <w:ind w:left="0" w:hanging="420" w:hangingChars="200"/>
        <w:jc w:val="left"/>
        <w:textAlignment w:val="auto"/>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59B1A6CC">
      <w:pPr>
        <w:pStyle w:val="70"/>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cs="宋体" w:asciiTheme="minorEastAsia" w:hAnsiTheme="minorEastAsia" w:eastAsiaTheme="minorEastAsia"/>
          <w:szCs w:val="21"/>
        </w:rPr>
      </w:pPr>
      <w:r>
        <w:rPr>
          <w:rFonts w:hint="eastAsia" w:cs="宋体" w:asciiTheme="minorEastAsia" w:hAnsiTheme="minorEastAsia" w:eastAsiaTheme="minorEastAsia"/>
          <w:szCs w:val="21"/>
        </w:rPr>
        <w:t>时间：</w:t>
      </w:r>
      <w:r>
        <w:rPr>
          <w:rFonts w:hint="eastAsia" w:ascii="宋体" w:hAnsi="宋体" w:eastAsia="宋体" w:cs="Times New Roman"/>
          <w:color w:val="auto"/>
          <w:sz w:val="21"/>
          <w:szCs w:val="21"/>
          <w:highlight w:val="none"/>
          <w:u w:val="single"/>
          <w:lang w:val="en-US" w:eastAsia="zh-CN"/>
        </w:rPr>
        <w:t>2025</w:t>
      </w:r>
      <w:r>
        <w:rPr>
          <w:rFonts w:ascii="宋体" w:hAnsi="宋体" w:eastAsia="宋体" w:cs="Times New Roman"/>
          <w:color w:val="auto"/>
          <w:sz w:val="21"/>
          <w:szCs w:val="21"/>
          <w:highlight w:val="none"/>
          <w:lang w:eastAsia="zh-CN"/>
        </w:rPr>
        <w:t>年</w:t>
      </w:r>
      <w:r>
        <w:rPr>
          <w:rFonts w:hint="eastAsia" w:ascii="宋体" w:hAnsi="宋体" w:cs="Times New Roman"/>
          <w:color w:val="auto"/>
          <w:kern w:val="0"/>
          <w:szCs w:val="21"/>
          <w:highlight w:val="none"/>
          <w:u w:val="single"/>
          <w:lang w:val="en-US" w:eastAsia="zh-CN"/>
        </w:rPr>
        <w:t>07</w:t>
      </w:r>
      <w:r>
        <w:rPr>
          <w:rFonts w:ascii="宋体" w:hAnsi="宋体" w:eastAsia="宋体" w:cs="Times New Roman"/>
          <w:color w:val="auto"/>
          <w:sz w:val="21"/>
          <w:szCs w:val="21"/>
          <w:highlight w:val="none"/>
          <w:lang w:eastAsia="zh-CN"/>
        </w:rPr>
        <w:t>月</w:t>
      </w:r>
      <w:r>
        <w:rPr>
          <w:rFonts w:hint="eastAsia" w:ascii="宋体" w:hAnsi="宋体" w:cs="Times New Roman"/>
          <w:color w:val="auto"/>
          <w:kern w:val="0"/>
          <w:szCs w:val="21"/>
          <w:highlight w:val="none"/>
          <w:u w:val="single"/>
          <w:lang w:val="en-US" w:eastAsia="zh-CN"/>
        </w:rPr>
        <w:t>01</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u w:val="single"/>
          <w:lang w:val="en-US" w:eastAsia="zh-CN"/>
        </w:rPr>
        <w:t>2025</w:t>
      </w:r>
      <w:r>
        <w:rPr>
          <w:rFonts w:ascii="宋体" w:hAnsi="宋体" w:eastAsia="宋体" w:cs="Times New Roman"/>
          <w:color w:val="auto"/>
          <w:sz w:val="21"/>
          <w:szCs w:val="21"/>
          <w:highlight w:val="none"/>
          <w:lang w:eastAsia="zh-CN"/>
        </w:rPr>
        <w:t>年</w:t>
      </w:r>
      <w:r>
        <w:rPr>
          <w:rFonts w:hint="eastAsia" w:ascii="宋体" w:hAnsi="宋体" w:cs="Times New Roman"/>
          <w:color w:val="auto"/>
          <w:kern w:val="0"/>
          <w:szCs w:val="21"/>
          <w:highlight w:val="none"/>
          <w:u w:val="single"/>
          <w:lang w:val="en-US" w:eastAsia="zh-CN"/>
        </w:rPr>
        <w:t>07</w:t>
      </w:r>
      <w:r>
        <w:rPr>
          <w:rFonts w:ascii="宋体" w:hAnsi="宋体" w:eastAsia="宋体" w:cs="Times New Roman"/>
          <w:color w:val="auto"/>
          <w:sz w:val="21"/>
          <w:szCs w:val="21"/>
          <w:highlight w:val="none"/>
          <w:lang w:eastAsia="zh-CN"/>
        </w:rPr>
        <w:t>月</w:t>
      </w:r>
      <w:r>
        <w:rPr>
          <w:rFonts w:hint="eastAsia" w:ascii="宋体" w:hAnsi="宋体" w:cs="Times New Roman"/>
          <w:color w:val="auto"/>
          <w:kern w:val="0"/>
          <w:szCs w:val="21"/>
          <w:highlight w:val="none"/>
          <w:u w:val="single"/>
          <w:lang w:val="en-US" w:eastAsia="zh-CN"/>
        </w:rPr>
        <w:t>08</w:t>
      </w:r>
      <w:r>
        <w:rPr>
          <w:rFonts w:ascii="宋体" w:hAnsi="宋体" w:eastAsia="宋体" w:cs="Times New Roman"/>
          <w:color w:val="auto"/>
          <w:sz w:val="21"/>
          <w:szCs w:val="21"/>
          <w:highlight w:val="none"/>
          <w:lang w:eastAsia="zh-CN"/>
        </w:rPr>
        <w:t>日</w:t>
      </w:r>
      <w:r>
        <w:rPr>
          <w:rFonts w:hint="eastAsia" w:cs="宋体" w:asciiTheme="minorEastAsia" w:hAnsiTheme="minorEastAsia" w:eastAsiaTheme="minorEastAsia"/>
          <w:iCs/>
          <w:szCs w:val="21"/>
          <w:u w:val="single"/>
        </w:rPr>
        <w:t>（磋商文件的发售期限自开始之日起不得少于5个工作日）</w:t>
      </w:r>
      <w:r>
        <w:rPr>
          <w:rFonts w:hint="eastAsia" w:cs="宋体" w:asciiTheme="minorEastAsia" w:hAnsiTheme="minorEastAsia" w:eastAsiaTheme="minorEastAsia"/>
          <w:szCs w:val="21"/>
        </w:rPr>
        <w:t>，每天上午9：00至12：00，下午2：30至5：30（北京时间，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2E44290C">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地点：东莞市南城街道雅园产业园区路5号1栋1楼或微信搜索公众号“广东智汇城市招标采购有限公司”</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48558A96">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420" w:leftChars="200" w:firstLine="0" w:firstLineChars="0"/>
        <w:textAlignment w:val="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时间：</w:t>
      </w:r>
      <w:r>
        <w:rPr>
          <w:rFonts w:hint="eastAsia" w:asciiTheme="minorEastAsia" w:hAnsiTheme="minorEastAsia" w:eastAsiaTheme="minorEastAsia"/>
          <w:color w:val="000000" w:themeColor="text1"/>
          <w:szCs w:val="21"/>
          <w14:textFill>
            <w14:solidFill>
              <w14:schemeClr w14:val="tx1"/>
            </w14:solidFill>
          </w14:textFill>
        </w:rPr>
        <w:t>截止时间</w:t>
      </w:r>
      <w:r>
        <w:rPr>
          <w:rFonts w:hint="eastAsia" w:ascii="宋体" w:hAnsi="宋体" w:eastAsia="宋体" w:cs="Times New Roman"/>
          <w:color w:val="auto"/>
          <w:kern w:val="0"/>
          <w:szCs w:val="21"/>
          <w:highlight w:val="none"/>
          <w:u w:val="singl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cs="Times New Roman"/>
          <w:color w:val="auto"/>
          <w:kern w:val="0"/>
          <w:szCs w:val="21"/>
          <w:highlight w:val="none"/>
          <w:u w:val="single"/>
          <w:lang w:val="en-US" w:eastAsia="zh-CN"/>
        </w:rPr>
        <w:t>07</w:t>
      </w:r>
      <w:r>
        <w:rPr>
          <w:rFonts w:ascii="宋体" w:hAnsi="宋体" w:eastAsia="宋体" w:cs="Times New Roman"/>
          <w:color w:val="auto"/>
          <w:kern w:val="0"/>
          <w:szCs w:val="21"/>
          <w:highlight w:val="none"/>
          <w:lang w:eastAsia="zh-Hans"/>
        </w:rPr>
        <w:t>月</w:t>
      </w:r>
      <w:r>
        <w:rPr>
          <w:rFonts w:hint="eastAsia" w:ascii="宋体" w:hAnsi="宋体" w:cs="Times New Roman"/>
          <w:color w:val="auto"/>
          <w:kern w:val="0"/>
          <w:szCs w:val="21"/>
          <w:highlight w:val="none"/>
          <w:u w:val="single"/>
          <w:lang w:val="en-US" w:eastAsia="zh-CN"/>
        </w:rPr>
        <w:t>15</w:t>
      </w:r>
      <w:r>
        <w:rPr>
          <w:rFonts w:ascii="宋体" w:hAnsi="宋体" w:eastAsia="宋体" w:cs="Times New Roman"/>
          <w:color w:val="auto"/>
          <w:kern w:val="0"/>
          <w:szCs w:val="21"/>
          <w:highlight w:val="none"/>
          <w:lang w:eastAsia="zh-Hans"/>
        </w:rPr>
        <w:t>日</w:t>
      </w:r>
      <w:r>
        <w:rPr>
          <w:rFonts w:hint="eastAsia" w:ascii="宋体" w:hAnsi="宋体" w:cs="Times New Roman"/>
          <w:color w:val="auto"/>
          <w:kern w:val="0"/>
          <w:szCs w:val="21"/>
          <w:highlight w:val="none"/>
          <w:u w:val="single"/>
          <w:lang w:val="en-US" w:eastAsia="zh-CN"/>
        </w:rPr>
        <w:t>09</w:t>
      </w:r>
      <w:r>
        <w:rPr>
          <w:rFonts w:ascii="宋体" w:hAnsi="宋体" w:eastAsia="宋体" w:cs="Times New Roman"/>
          <w:color w:val="auto"/>
          <w:kern w:val="0"/>
          <w:szCs w:val="21"/>
          <w:highlight w:val="none"/>
          <w:lang w:eastAsia="zh-Hans"/>
        </w:rPr>
        <w:t>点</w:t>
      </w:r>
      <w:r>
        <w:rPr>
          <w:rFonts w:hint="eastAsia" w:ascii="宋体" w:hAnsi="宋体" w:cs="Times New Roman"/>
          <w:color w:val="auto"/>
          <w:kern w:val="0"/>
          <w:szCs w:val="21"/>
          <w:highlight w:val="none"/>
          <w:u w:val="single"/>
          <w:lang w:val="en-US" w:eastAsia="zh-CN"/>
        </w:rPr>
        <w:t>30</w:t>
      </w:r>
      <w:r>
        <w:rPr>
          <w:rFonts w:ascii="宋体" w:hAnsi="宋体" w:eastAsia="宋体" w:cs="Times New Roman"/>
          <w:color w:val="auto"/>
          <w:kern w:val="0"/>
          <w:szCs w:val="21"/>
          <w:highlight w:val="none"/>
          <w:lang w:eastAsia="zh-Hans"/>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14B2688C">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地点：东莞市南城街道雅园产业园区路5号1栋1楼</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宋体" w:hAnsi="宋体" w:eastAsia="宋体" w:cs="Times New Roman"/>
          <w:color w:val="auto"/>
          <w:kern w:val="0"/>
          <w:szCs w:val="21"/>
          <w:highlight w:val="none"/>
          <w:u w:val="singl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cs="Times New Roman"/>
          <w:color w:val="auto"/>
          <w:kern w:val="0"/>
          <w:szCs w:val="21"/>
          <w:highlight w:val="none"/>
          <w:u w:val="single"/>
          <w:lang w:val="en-US" w:eastAsia="zh-CN"/>
        </w:rPr>
        <w:t>07</w:t>
      </w:r>
      <w:r>
        <w:rPr>
          <w:rFonts w:ascii="宋体" w:hAnsi="宋体" w:eastAsia="宋体" w:cs="Times New Roman"/>
          <w:color w:val="auto"/>
          <w:kern w:val="0"/>
          <w:szCs w:val="21"/>
          <w:highlight w:val="none"/>
          <w:lang w:eastAsia="zh-Hans"/>
        </w:rPr>
        <w:t>月</w:t>
      </w:r>
      <w:r>
        <w:rPr>
          <w:rFonts w:hint="eastAsia" w:ascii="宋体" w:hAnsi="宋体" w:cs="Times New Roman"/>
          <w:color w:val="auto"/>
          <w:kern w:val="0"/>
          <w:szCs w:val="21"/>
          <w:highlight w:val="none"/>
          <w:u w:val="single"/>
          <w:lang w:val="en-US" w:eastAsia="zh-CN"/>
        </w:rPr>
        <w:t>15</w:t>
      </w:r>
      <w:r>
        <w:rPr>
          <w:rFonts w:ascii="宋体" w:hAnsi="宋体" w:eastAsia="宋体" w:cs="Times New Roman"/>
          <w:color w:val="auto"/>
          <w:kern w:val="0"/>
          <w:szCs w:val="21"/>
          <w:highlight w:val="none"/>
          <w:lang w:eastAsia="zh-Hans"/>
        </w:rPr>
        <w:t>日</w:t>
      </w:r>
      <w:r>
        <w:rPr>
          <w:rFonts w:hint="eastAsia" w:ascii="宋体" w:hAnsi="宋体" w:cs="Times New Roman"/>
          <w:color w:val="auto"/>
          <w:kern w:val="0"/>
          <w:szCs w:val="21"/>
          <w:highlight w:val="none"/>
          <w:u w:val="single"/>
          <w:lang w:val="en-US" w:eastAsia="zh-CN"/>
        </w:rPr>
        <w:t>09</w:t>
      </w:r>
      <w:r>
        <w:rPr>
          <w:rFonts w:ascii="宋体" w:hAnsi="宋体" w:eastAsia="宋体" w:cs="Times New Roman"/>
          <w:color w:val="auto"/>
          <w:kern w:val="0"/>
          <w:szCs w:val="21"/>
          <w:highlight w:val="none"/>
          <w:lang w:eastAsia="zh-Hans"/>
        </w:rPr>
        <w:t>点</w:t>
      </w:r>
      <w:r>
        <w:rPr>
          <w:rFonts w:hint="eastAsia" w:ascii="宋体" w:hAnsi="宋体" w:cs="Times New Roman"/>
          <w:color w:val="auto"/>
          <w:kern w:val="0"/>
          <w:szCs w:val="21"/>
          <w:highlight w:val="none"/>
          <w:u w:val="single"/>
          <w:lang w:val="en-US" w:eastAsia="zh-CN"/>
        </w:rPr>
        <w:t>30</w:t>
      </w:r>
      <w:r>
        <w:rPr>
          <w:rFonts w:ascii="宋体" w:hAnsi="宋体" w:eastAsia="宋体" w:cs="Times New Roman"/>
          <w:color w:val="auto"/>
          <w:kern w:val="0"/>
          <w:szCs w:val="21"/>
          <w:highlight w:val="none"/>
          <w:lang w:eastAsia="zh-Hans"/>
        </w:rPr>
        <w:t>分</w:t>
      </w:r>
    </w:p>
    <w:p w14:paraId="4F514DF3">
      <w:pPr>
        <w:pStyle w:val="70"/>
        <w:tabs>
          <w:tab w:val="left" w:pos="426"/>
        </w:tabs>
        <w:spacing w:line="360" w:lineRule="auto"/>
        <w:ind w:left="-1"/>
        <w:rPr>
          <w:rFonts w:asciiTheme="minorEastAsia" w:hAnsiTheme="minorEastAsia" w:eastAsiaTheme="minorEastAsia"/>
          <w:color w:val="FF0000"/>
          <w:szCs w:val="21"/>
        </w:rPr>
      </w:pPr>
      <w:r>
        <w:rPr>
          <w:rFonts w:hint="eastAsia" w:asciiTheme="minorEastAsia" w:hAnsiTheme="minorEastAsia" w:eastAsiaTheme="minorEastAsia"/>
          <w:color w:val="auto"/>
          <w:szCs w:val="21"/>
        </w:rPr>
        <w:t>地点：东莞市南城街道雅园产业园区路5号1栋1</w:t>
      </w:r>
      <w:r>
        <w:rPr>
          <w:rFonts w:hint="eastAsia" w:asciiTheme="minorEastAsia" w:hAnsiTheme="minorEastAsia" w:eastAsiaTheme="minorEastAsia"/>
          <w:color w:val="000000" w:themeColor="text1"/>
          <w:szCs w:val="21"/>
          <w14:textFill>
            <w14:solidFill>
              <w14:schemeClr w14:val="tx1"/>
            </w14:solidFill>
          </w14:textFill>
        </w:rPr>
        <w:t>楼</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szCs w:val="21"/>
        </w:rPr>
        <w:t>需要落实的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w:t>
      </w:r>
      <w:r>
        <w:rPr>
          <w:rFonts w:hint="eastAsia" w:asciiTheme="minorEastAsia" w:hAnsiTheme="minorEastAsia" w:eastAsiaTheme="minorEastAsia"/>
          <w:bCs/>
          <w:color w:val="auto"/>
          <w:szCs w:val="21"/>
        </w:rPr>
        <w:t>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工业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14:paraId="0289EBF7">
      <w:pPr>
        <w:pStyle w:val="70"/>
        <w:keepNext w:val="0"/>
        <w:keepLines w:val="0"/>
        <w:pageBreakBefore w:val="0"/>
        <w:widowControl w:val="0"/>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bCs/>
          <w:color w:val="auto"/>
          <w:spacing w:val="0"/>
          <w:sz w:val="21"/>
          <w:szCs w:val="21"/>
        </w:rPr>
      </w:pPr>
      <w:r>
        <w:rPr>
          <w:rFonts w:hint="eastAsia" w:ascii="宋体" w:hAnsi="宋体"/>
          <w:color w:val="auto"/>
          <w:spacing w:val="0"/>
          <w:sz w:val="21"/>
          <w:szCs w:val="21"/>
        </w:rPr>
        <w:t>中国采购与招标网</w:t>
      </w:r>
      <w:r>
        <w:rPr>
          <w:rFonts w:ascii="宋体" w:hAnsi="宋体"/>
          <w:color w:val="auto"/>
          <w:spacing w:val="0"/>
          <w:sz w:val="21"/>
          <w:szCs w:val="21"/>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获取磋商文件联系人及联系方式：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采购人信息</w:t>
      </w:r>
    </w:p>
    <w:p w14:paraId="4900A1DC">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w:t>
      </w:r>
      <w:r>
        <w:rPr>
          <w:rFonts w:hint="eastAsia" w:ascii="宋体" w:hAnsi="宋体" w:eastAsia="宋体" w:cs="Times New Roman"/>
          <w:color w:val="auto"/>
          <w:sz w:val="21"/>
          <w:szCs w:val="21"/>
          <w:highlight w:val="none"/>
        </w:rPr>
        <w:t>东莞市莞城医院</w:t>
      </w:r>
    </w:p>
    <w:p w14:paraId="384E59E3">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址：</w:t>
      </w:r>
      <w:r>
        <w:rPr>
          <w:rFonts w:hint="eastAsia" w:ascii="宋体" w:hAnsi="宋体" w:eastAsia="宋体" w:cs="Times New Roman"/>
          <w:color w:val="auto"/>
          <w:sz w:val="21"/>
          <w:szCs w:val="21"/>
          <w:highlight w:val="none"/>
        </w:rPr>
        <w:t>东莞市莞城街道莞太路78号</w:t>
      </w:r>
    </w:p>
    <w:p w14:paraId="30DB3D4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w:t>
      </w:r>
      <w:r>
        <w:rPr>
          <w:rFonts w:hint="eastAsia" w:ascii="宋体" w:hAnsi="宋体" w:eastAsia="宋体" w:cs="Times New Roman"/>
          <w:color w:val="auto"/>
          <w:sz w:val="21"/>
          <w:szCs w:val="21"/>
          <w:highlight w:val="none"/>
        </w:rPr>
        <w:t>郑先生 0769-23038186</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05DE4C84">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 xml:space="preserve">名 </w:t>
      </w:r>
      <w:r>
        <w:rPr>
          <w:rFonts w:hint="eastAsia" w:ascii="宋体" w:hAnsi="宋体"/>
          <w:bCs/>
          <w:color w:val="auto"/>
          <w:szCs w:val="21"/>
          <w:lang w:val="en-US" w:eastAsia="zh-CN"/>
        </w:rPr>
        <w:t xml:space="preserve">  </w:t>
      </w:r>
      <w:r>
        <w:rPr>
          <w:rFonts w:ascii="宋体" w:hAnsi="宋体"/>
          <w:bCs/>
          <w:color w:val="auto"/>
          <w:szCs w:val="21"/>
        </w:rPr>
        <w:t xml:space="preserve"> </w:t>
      </w:r>
      <w:r>
        <w:rPr>
          <w:rFonts w:hint="eastAsia" w:ascii="宋体" w:hAnsi="宋体"/>
          <w:bCs/>
          <w:color w:val="auto"/>
          <w:szCs w:val="21"/>
        </w:rPr>
        <w:t>称：广东智汇城市招标采购有限公司</w:t>
      </w:r>
    </w:p>
    <w:p w14:paraId="3C2A19C1">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地</w:t>
      </w:r>
      <w:r>
        <w:rPr>
          <w:rFonts w:hint="eastAsia" w:ascii="宋体" w:hAnsi="宋体"/>
          <w:bCs/>
          <w:color w:val="auto"/>
          <w:szCs w:val="21"/>
          <w:lang w:val="en-US" w:eastAsia="zh-CN"/>
        </w:rPr>
        <w:t xml:space="preserve">    </w:t>
      </w:r>
      <w:r>
        <w:rPr>
          <w:rFonts w:hint="eastAsia" w:ascii="宋体" w:hAnsi="宋体"/>
          <w:bCs/>
          <w:color w:val="auto"/>
          <w:szCs w:val="21"/>
        </w:rPr>
        <w:t>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w:t>
      </w:r>
      <w:bookmarkStart w:id="6" w:name="OLE_LINK1"/>
      <w:r>
        <w:rPr>
          <w:rFonts w:hint="eastAsia" w:ascii="宋体" w:hAnsi="宋体"/>
          <w:bCs/>
          <w:color w:val="auto"/>
          <w:szCs w:val="21"/>
        </w:rPr>
        <w:t>0769</w:t>
      </w:r>
      <w:r>
        <w:rPr>
          <w:rFonts w:hint="eastAsia" w:ascii="宋体" w:hAnsi="宋体"/>
          <w:bCs/>
          <w:color w:val="auto"/>
          <w:szCs w:val="21"/>
          <w:lang w:val="en-US" w:eastAsia="zh-CN"/>
        </w:rPr>
        <w:t>-</w:t>
      </w:r>
      <w:r>
        <w:rPr>
          <w:rFonts w:hint="eastAsia" w:ascii="宋体" w:hAnsi="宋体"/>
          <w:bCs/>
          <w:color w:val="auto"/>
          <w:szCs w:val="21"/>
        </w:rPr>
        <w:t>22367009</w:t>
      </w:r>
      <w:bookmarkEnd w:id="6"/>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4C383F68">
      <w:pPr>
        <w:tabs>
          <w:tab w:val="left" w:pos="567"/>
        </w:tabs>
        <w:spacing w:line="360" w:lineRule="auto"/>
        <w:ind w:left="283" w:leftChars="135" w:firstLine="142" w:firstLineChars="68"/>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陈子菱</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auto"/>
          <w:szCs w:val="21"/>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201BA6D3">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07</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01</w:t>
      </w:r>
      <w:bookmarkStart w:id="69" w:name="_GoBack"/>
      <w:bookmarkEnd w:id="69"/>
      <w:r>
        <w:rPr>
          <w:rFonts w:hint="eastAsia" w:asciiTheme="minorEastAsia" w:hAnsiTheme="minorEastAsia" w:eastAsiaTheme="minorEastAsia"/>
          <w:b/>
          <w:color w:val="000000" w:themeColor="text1"/>
          <w:szCs w:val="21"/>
          <w14:textFill>
            <w14:solidFill>
              <w14:schemeClr w14:val="tx1"/>
            </w14:solidFill>
          </w14:textFill>
        </w:rPr>
        <w:t>日</w:t>
      </w: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7" w:name="_Toc19016"/>
      <w:bookmarkStart w:id="8" w:name="_Toc90976500"/>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7"/>
      <w:bookmarkEnd w:id="8"/>
    </w:p>
    <w:p w14:paraId="1917F190">
      <w:pPr>
        <w:snapToGrid w:val="0"/>
        <w:spacing w:line="360" w:lineRule="auto"/>
        <w:contextualSpacing/>
        <w:rPr>
          <w:rFonts w:ascii="宋体" w:hAnsi="宋体"/>
          <w:b/>
          <w:szCs w:val="21"/>
        </w:rPr>
      </w:pPr>
      <w:bookmarkStart w:id="9" w:name="_Hlk90919605"/>
      <w:r>
        <w:rPr>
          <w:rFonts w:hint="eastAsia" w:ascii="宋体" w:hAnsi="宋体"/>
          <w:b/>
          <w:szCs w:val="21"/>
        </w:rPr>
        <w:t>说明：</w:t>
      </w:r>
    </w:p>
    <w:p w14:paraId="469AD730">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14:paraId="71793A08">
      <w:pPr>
        <w:snapToGrid w:val="0"/>
        <w:spacing w:line="360" w:lineRule="auto"/>
        <w:contextualSpacing/>
        <w:rPr>
          <w:rFonts w:ascii="等线" w:hAnsi="等线" w:eastAsia="等线"/>
        </w:rPr>
      </w:pPr>
    </w:p>
    <w:p w14:paraId="52B4396B">
      <w:pPr>
        <w:numPr>
          <w:ilvl w:val="0"/>
          <w:numId w:val="7"/>
        </w:numPr>
        <w:snapToGrid w:val="0"/>
        <w:spacing w:line="360" w:lineRule="auto"/>
        <w:ind w:left="442" w:hanging="442"/>
        <w:contextualSpacing/>
        <w:rPr>
          <w:rFonts w:ascii="等线" w:hAnsi="等线" w:eastAsia="等线"/>
        </w:rPr>
      </w:pPr>
      <w:r>
        <w:rPr>
          <w:rFonts w:ascii="宋体" w:hAnsi="宋体"/>
          <w:b/>
          <w:bCs/>
        </w:rPr>
        <w:t>项目概况</w:t>
      </w:r>
    </w:p>
    <w:p w14:paraId="38CFF18A">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eastAsia="宋体"/>
          <w:b w:val="0"/>
          <w:bCs/>
          <w:color w:val="auto"/>
          <w:szCs w:val="21"/>
          <w:highlight w:val="none"/>
        </w:rPr>
      </w:pPr>
      <w:r>
        <w:rPr>
          <w:rFonts w:hint="eastAsia" w:ascii="宋体" w:hAnsi="宋体" w:eastAsia="宋体"/>
          <w:b w:val="0"/>
          <w:bCs/>
          <w:color w:val="auto"/>
          <w:szCs w:val="21"/>
          <w:highlight w:val="none"/>
        </w:rPr>
        <w:t>本项目为东莞市莞城医院GE VoIuson E8超声诊断仪维保服务项目，本项目须对设备的关键硬件及软件进行升级处理，从而提升超声设备的性能和检查效益，同时延长机器的使用寿命。</w:t>
      </w:r>
      <w:r>
        <w:rPr>
          <w:rFonts w:hint="eastAsia" w:ascii="宋体" w:hAnsi="宋体" w:eastAsia="宋体"/>
          <w:b w:val="0"/>
          <w:bCs/>
          <w:color w:val="auto"/>
          <w:szCs w:val="21"/>
          <w:highlight w:val="none"/>
          <w:lang w:val="en-US" w:eastAsia="zh-CN"/>
        </w:rPr>
        <w:t>成交供应商</w:t>
      </w:r>
      <w:r>
        <w:rPr>
          <w:rFonts w:hint="eastAsia" w:ascii="宋体" w:hAnsi="宋体" w:eastAsia="宋体"/>
          <w:b w:val="0"/>
          <w:bCs/>
          <w:color w:val="auto"/>
          <w:szCs w:val="21"/>
          <w:highlight w:val="none"/>
        </w:rPr>
        <w:t>需根据本项目采购内容及要求，提供相应的服务。</w:t>
      </w:r>
    </w:p>
    <w:p w14:paraId="4562D4C9">
      <w:pPr>
        <w:numPr>
          <w:ilvl w:val="0"/>
          <w:numId w:val="7"/>
        </w:numPr>
        <w:snapToGrid w:val="0"/>
        <w:spacing w:line="360" w:lineRule="auto"/>
        <w:ind w:left="442" w:hanging="442"/>
        <w:contextualSpacing/>
        <w:rPr>
          <w:rFonts w:ascii="宋体" w:hAnsi="宋体"/>
          <w:b/>
          <w:szCs w:val="21"/>
        </w:rPr>
      </w:pPr>
      <w:r>
        <w:rPr>
          <w:rFonts w:ascii="宋体" w:hAnsi="宋体"/>
          <w:b/>
          <w:bCs/>
        </w:rPr>
        <w:t>采购标的</w:t>
      </w:r>
    </w:p>
    <w:p w14:paraId="7B89FF67">
      <w:pPr>
        <w:numPr>
          <w:ilvl w:val="0"/>
          <w:numId w:val="8"/>
        </w:numPr>
        <w:snapToGrid w:val="0"/>
        <w:spacing w:line="360" w:lineRule="auto"/>
        <w:contextualSpacing/>
        <w:rPr>
          <w:rFonts w:ascii="宋体" w:hAnsi="宋体"/>
          <w:bCs/>
          <w:szCs w:val="21"/>
        </w:rPr>
      </w:pPr>
      <w:r>
        <w:rPr>
          <w:rFonts w:ascii="宋体" w:hAnsi="宋体"/>
          <w:bCs/>
          <w:szCs w:val="21"/>
        </w:rPr>
        <w:t>采购标的</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3751"/>
        <w:gridCol w:w="1416"/>
        <w:gridCol w:w="1349"/>
        <w:gridCol w:w="1947"/>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3" w:type="pct"/>
            <w:vAlign w:val="center"/>
          </w:tcPr>
          <w:p w14:paraId="60E665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序号</w:t>
            </w:r>
          </w:p>
        </w:tc>
        <w:tc>
          <w:tcPr>
            <w:tcW w:w="2019" w:type="pct"/>
            <w:vAlign w:val="center"/>
          </w:tcPr>
          <w:p w14:paraId="01DA73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标的名称</w:t>
            </w:r>
          </w:p>
        </w:tc>
        <w:tc>
          <w:tcPr>
            <w:tcW w:w="762" w:type="pct"/>
            <w:vAlign w:val="center"/>
          </w:tcPr>
          <w:p w14:paraId="3490E62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数量</w:t>
            </w:r>
          </w:p>
        </w:tc>
        <w:tc>
          <w:tcPr>
            <w:tcW w:w="726" w:type="pct"/>
            <w:vAlign w:val="center"/>
          </w:tcPr>
          <w:p w14:paraId="35D979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单位</w:t>
            </w:r>
          </w:p>
        </w:tc>
        <w:tc>
          <w:tcPr>
            <w:tcW w:w="1048" w:type="pct"/>
            <w:vAlign w:val="center"/>
          </w:tcPr>
          <w:p w14:paraId="73122C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43" w:type="pct"/>
            <w:vAlign w:val="center"/>
          </w:tcPr>
          <w:p w14:paraId="56467E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color w:val="auto"/>
                <w:szCs w:val="21"/>
                <w:highlight w:val="none"/>
                <w:lang w:val="en-US" w:eastAsia="zh-CN"/>
              </w:rPr>
            </w:pPr>
            <w:r>
              <w:rPr>
                <w:rFonts w:hint="eastAsia" w:ascii="宋体" w:hAnsi="宋体" w:eastAsia="宋体"/>
                <w:b/>
                <w:bCs w:val="0"/>
                <w:color w:val="auto"/>
                <w:szCs w:val="21"/>
                <w:highlight w:val="none"/>
                <w:lang w:val="en-US" w:eastAsia="zh-CN"/>
              </w:rPr>
              <w:t>1</w:t>
            </w:r>
          </w:p>
        </w:tc>
        <w:tc>
          <w:tcPr>
            <w:tcW w:w="2019" w:type="pct"/>
            <w:vAlign w:val="center"/>
          </w:tcPr>
          <w:p w14:paraId="69742D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Cs/>
                <w:color w:val="auto"/>
                <w:szCs w:val="21"/>
                <w:highlight w:val="none"/>
              </w:rPr>
            </w:pPr>
            <w:r>
              <w:rPr>
                <w:rFonts w:hint="eastAsia" w:ascii="宋体" w:hAnsi="宋体" w:eastAsia="宋体" w:cs="Times New Roman"/>
                <w:color w:val="auto"/>
                <w:kern w:val="0"/>
                <w:szCs w:val="21"/>
                <w:highlight w:val="none"/>
                <w:lang w:eastAsia="zh-Hans"/>
              </w:rPr>
              <w:t>GE VoIuson E8超声诊断仪</w:t>
            </w:r>
            <w:r>
              <w:rPr>
                <w:rFonts w:hint="eastAsia" w:ascii="宋体" w:hAnsi="宋体" w:eastAsia="宋体" w:cs="Times New Roman"/>
                <w:color w:val="auto"/>
                <w:kern w:val="0"/>
                <w:szCs w:val="21"/>
                <w:highlight w:val="none"/>
                <w:lang w:val="en-US" w:eastAsia="zh-CN"/>
              </w:rPr>
              <w:t>更新、升级及</w:t>
            </w:r>
            <w:r>
              <w:rPr>
                <w:rFonts w:hint="eastAsia" w:ascii="宋体" w:hAnsi="宋体" w:eastAsia="宋体" w:cs="Times New Roman"/>
                <w:color w:val="auto"/>
                <w:kern w:val="0"/>
                <w:szCs w:val="21"/>
                <w:highlight w:val="none"/>
                <w:lang w:eastAsia="zh-Hans"/>
              </w:rPr>
              <w:t>维保服务</w:t>
            </w:r>
          </w:p>
        </w:tc>
        <w:tc>
          <w:tcPr>
            <w:tcW w:w="762" w:type="pct"/>
            <w:vAlign w:val="center"/>
          </w:tcPr>
          <w:p w14:paraId="28F886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726" w:type="pct"/>
            <w:vAlign w:val="center"/>
          </w:tcPr>
          <w:p w14:paraId="613B9B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项</w:t>
            </w:r>
          </w:p>
        </w:tc>
        <w:tc>
          <w:tcPr>
            <w:tcW w:w="1048" w:type="pct"/>
            <w:vAlign w:val="center"/>
          </w:tcPr>
          <w:p w14:paraId="46C79F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工业</w:t>
            </w:r>
          </w:p>
        </w:tc>
      </w:tr>
    </w:tbl>
    <w:p w14:paraId="48980B12">
      <w:pPr>
        <w:numPr>
          <w:ilvl w:val="0"/>
          <w:numId w:val="7"/>
        </w:numPr>
        <w:snapToGrid w:val="0"/>
        <w:spacing w:line="360" w:lineRule="auto"/>
        <w:ind w:left="442" w:hanging="442"/>
        <w:contextualSpacing/>
        <w:rPr>
          <w:rFonts w:ascii="宋体" w:hAnsi="宋体"/>
          <w:b/>
          <w:szCs w:val="21"/>
        </w:rPr>
      </w:pPr>
      <w:r>
        <w:rPr>
          <w:rFonts w:ascii="宋体" w:hAnsi="宋体"/>
          <w:b/>
          <w:bCs/>
        </w:rPr>
        <w:t>商务要求</w:t>
      </w:r>
    </w:p>
    <w:p w14:paraId="78164F07">
      <w:pPr>
        <w:numPr>
          <w:ilvl w:val="0"/>
          <w:numId w:val="9"/>
        </w:numPr>
        <w:snapToGrid w:val="0"/>
        <w:spacing w:line="360" w:lineRule="auto"/>
        <w:contextualSpacing/>
      </w:pPr>
      <w:r>
        <w:rPr>
          <w:rFonts w:hint="eastAsia" w:ascii="宋体" w:hAnsi="宋体"/>
          <w:iCs/>
          <w:szCs w:val="21"/>
        </w:rPr>
        <w:t>服务时间</w:t>
      </w:r>
      <w:r>
        <w:rPr>
          <w:rFonts w:hint="eastAsia" w:ascii="宋体" w:hAnsi="宋体"/>
          <w:iCs/>
          <w:szCs w:val="21"/>
          <w:lang w:eastAsia="zh-CN"/>
        </w:rPr>
        <w:t>：</w:t>
      </w:r>
    </w:p>
    <w:p w14:paraId="5BF2B291">
      <w:pPr>
        <w:pStyle w:val="70"/>
        <w:numPr>
          <w:ilvl w:val="0"/>
          <w:numId w:val="10"/>
        </w:numPr>
        <w:snapToGrid w:val="0"/>
        <w:spacing w:line="360" w:lineRule="auto"/>
        <w:ind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服务期：自合同签订之日起至GE VoIuson E8超声诊断仪更新、升级完成并经采购人验收合格后3年；</w:t>
      </w:r>
    </w:p>
    <w:p w14:paraId="4EC274BD">
      <w:pPr>
        <w:pStyle w:val="70"/>
        <w:numPr>
          <w:ilvl w:val="0"/>
          <w:numId w:val="10"/>
        </w:numPr>
        <w:snapToGrid w:val="0"/>
        <w:spacing w:line="360" w:lineRule="auto"/>
        <w:ind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更新、升级服务时间：自合同签订之日起20天内完成GE VoIuson E8超声诊断仪更新、升级并经采购人验收合格；</w:t>
      </w:r>
    </w:p>
    <w:p w14:paraId="797F44C9">
      <w:pPr>
        <w:pStyle w:val="70"/>
        <w:numPr>
          <w:ilvl w:val="0"/>
          <w:numId w:val="10"/>
        </w:numPr>
        <w:snapToGrid w:val="0"/>
        <w:spacing w:line="360" w:lineRule="auto"/>
        <w:ind w:firstLineChars="0"/>
        <w:contextualSpacing/>
        <w:rPr>
          <w:rFonts w:ascii="宋体" w:hAnsi="宋体"/>
          <w:iCs/>
          <w:szCs w:val="21"/>
        </w:rPr>
      </w:pPr>
      <w:r>
        <w:rPr>
          <w:rFonts w:hint="eastAsia" w:ascii="宋体" w:hAnsi="宋体" w:eastAsia="宋体"/>
          <w:iCs/>
          <w:color w:val="auto"/>
          <w:szCs w:val="21"/>
          <w:highlight w:val="none"/>
          <w:lang w:val="en-US" w:eastAsia="zh-CN"/>
        </w:rPr>
        <w:t>维保服务时间：自GE VoIuson E8超声诊断仪更新、升级完成并经采购人验收合格之日起3年。</w:t>
      </w:r>
    </w:p>
    <w:p w14:paraId="34CC259B">
      <w:pPr>
        <w:numPr>
          <w:ilvl w:val="0"/>
          <w:numId w:val="9"/>
        </w:numPr>
        <w:snapToGrid w:val="0"/>
        <w:spacing w:line="360" w:lineRule="auto"/>
        <w:contextualSpacing/>
        <w:rPr>
          <w:rFonts w:ascii="宋体" w:hAnsi="宋体"/>
          <w:iCs/>
          <w:szCs w:val="21"/>
        </w:rPr>
      </w:pPr>
      <w:r>
        <w:rPr>
          <w:rFonts w:hint="eastAsia" w:ascii="宋体" w:hAnsi="宋体"/>
          <w:iCs/>
          <w:szCs w:val="21"/>
        </w:rPr>
        <w:t>服务地点</w:t>
      </w:r>
      <w:r>
        <w:rPr>
          <w:rFonts w:hint="eastAsia" w:ascii="宋体" w:hAnsi="宋体"/>
          <w:iCs/>
          <w:szCs w:val="21"/>
          <w:lang w:eastAsia="zh-CN"/>
        </w:rPr>
        <w:t>：</w:t>
      </w:r>
      <w:r>
        <w:rPr>
          <w:rFonts w:hint="eastAsia" w:ascii="宋体" w:hAnsi="宋体" w:eastAsia="宋体"/>
          <w:iCs/>
          <w:color w:val="auto"/>
          <w:szCs w:val="21"/>
          <w:highlight w:val="none"/>
          <w:lang w:val="en-US" w:eastAsia="zh-CN"/>
        </w:rPr>
        <w:t>东莞市莞城街道或采购人指定地点。</w:t>
      </w:r>
    </w:p>
    <w:p w14:paraId="16CB89DF">
      <w:pPr>
        <w:numPr>
          <w:ilvl w:val="0"/>
          <w:numId w:val="9"/>
        </w:numPr>
        <w:snapToGrid w:val="0"/>
        <w:spacing w:line="360" w:lineRule="auto"/>
        <w:contextualSpacing/>
        <w:rPr>
          <w:rFonts w:ascii="宋体" w:hAnsi="宋体"/>
          <w:iCs/>
          <w:szCs w:val="21"/>
        </w:rPr>
      </w:pPr>
      <w:r>
        <w:rPr>
          <w:rFonts w:hint="eastAsia" w:ascii="宋体" w:hAnsi="宋体"/>
          <w:iCs/>
          <w:szCs w:val="21"/>
        </w:rPr>
        <w:t>付款方式</w:t>
      </w:r>
      <w:r>
        <w:rPr>
          <w:rFonts w:hint="eastAsia" w:ascii="宋体" w:hAnsi="宋体"/>
          <w:iCs/>
          <w:szCs w:val="21"/>
          <w:lang w:eastAsia="zh-CN"/>
        </w:rPr>
        <w:t>：</w:t>
      </w:r>
    </w:p>
    <w:p w14:paraId="0A22AFC6">
      <w:pPr>
        <w:pStyle w:val="70"/>
        <w:numPr>
          <w:ilvl w:val="0"/>
          <w:numId w:val="11"/>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第一期，支付比例：合同价总额65%。成交供应商完成GE VoIuson E8超声诊断仪更新、升级并经采购人验收合格，且自验收合格之日起成交供应商提供本项目约定的维保服务满1年，成交供应商可向采购人递交请款资料，申请支付第1年度服务费用，采购人在收到成交供应商合格请款资料后30个工作日内根据成交供应商第1年度维护保养质量考核情况，按约定扣减后支付对应服务费用；</w:t>
      </w:r>
    </w:p>
    <w:p w14:paraId="660418BC">
      <w:pPr>
        <w:pStyle w:val="70"/>
        <w:numPr>
          <w:ilvl w:val="0"/>
          <w:numId w:val="11"/>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第二期，支付比例：合同价总额25%。成交供应商提供本项目约定的维保服务满2年，成交供应商可向采购人递交请款资料，申请支付第2年度服务费用，采购人在收到成交供应商合格请款资料后30个工作日内根据成交供应商第2年度维护保养质量考核情况，按约定扣减后支付对应服务费用；</w:t>
      </w:r>
    </w:p>
    <w:p w14:paraId="1A56ED5A">
      <w:pPr>
        <w:pStyle w:val="70"/>
        <w:numPr>
          <w:ilvl w:val="0"/>
          <w:numId w:val="11"/>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第三期，支付比例：合同价总额10%。成交供应商提供本项目约定的维保服务满3年，成交供应商可向采购人递交请款资料，申请支付第3年度服务费用，采购人在收到成交供应商合格请款资料后30个工作日内根据成交供应商第3年度维护保养质量考核情况，按约定扣减后支付对应服务费用。</w:t>
      </w:r>
    </w:p>
    <w:p w14:paraId="48FA5768">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632" w:leftChars="0" w:hanging="632" w:hangingChars="300"/>
        <w:contextualSpacing/>
        <w:textAlignment w:val="auto"/>
        <w:rPr>
          <w:rFonts w:hint="eastAsia" w:ascii="宋体" w:hAnsi="宋体" w:eastAsia="宋体"/>
          <w:b/>
          <w:bCs/>
          <w:iCs/>
          <w:color w:val="auto"/>
          <w:szCs w:val="21"/>
          <w:highlight w:val="none"/>
          <w:lang w:val="en-US" w:eastAsia="zh-CN"/>
        </w:rPr>
      </w:pPr>
      <w:r>
        <w:rPr>
          <w:rFonts w:hint="eastAsia" w:ascii="宋体" w:hAnsi="宋体" w:eastAsia="宋体"/>
          <w:b/>
          <w:bCs/>
          <w:iCs/>
          <w:color w:val="auto"/>
          <w:szCs w:val="21"/>
          <w:highlight w:val="none"/>
          <w:lang w:val="en-US" w:eastAsia="zh-CN"/>
        </w:rPr>
        <w:t>注：1.请款资料是指：①请款申请函；②GE VoIuson E8超声诊断仪更新、升级验收合格报告；③《维护保养质量考核表》；④等额、合规的增值税发票；</w:t>
      </w:r>
    </w:p>
    <w:p w14:paraId="344770D7">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62" w:leftChars="220"/>
        <w:contextualSpacing/>
        <w:textAlignment w:val="auto"/>
        <w:rPr>
          <w:rFonts w:hint="default" w:ascii="宋体" w:hAnsi="宋体" w:eastAsia="宋体"/>
          <w:b/>
          <w:bCs/>
          <w:iCs/>
          <w:color w:val="auto"/>
          <w:szCs w:val="21"/>
          <w:highlight w:val="none"/>
          <w:lang w:val="en-US"/>
        </w:rPr>
      </w:pPr>
      <w:r>
        <w:rPr>
          <w:rFonts w:hint="eastAsia" w:ascii="宋体" w:hAnsi="宋体" w:eastAsia="宋体"/>
          <w:b/>
          <w:bCs/>
          <w:iCs/>
          <w:color w:val="auto"/>
          <w:szCs w:val="21"/>
          <w:highlight w:val="none"/>
          <w:lang w:val="en-US" w:eastAsia="zh-CN"/>
        </w:rPr>
        <w:t>2.本项目考核方法及服务费用扣减方式详见采购需求《维护保养质量考核表》相关内容。</w:t>
      </w:r>
    </w:p>
    <w:bookmarkEnd w:id="9"/>
    <w:p w14:paraId="1DDB419B">
      <w:pPr>
        <w:pStyle w:val="70"/>
        <w:numPr>
          <w:ilvl w:val="0"/>
          <w:numId w:val="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报价要求：</w:t>
      </w:r>
    </w:p>
    <w:p w14:paraId="6E979B86">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highlight w:val="none"/>
        </w:rPr>
      </w:pPr>
      <w:r>
        <w:rPr>
          <w:rFonts w:hint="eastAsia" w:ascii="宋体" w:hAnsi="宋体" w:eastAsia="宋体"/>
          <w:iCs/>
          <w:color w:val="auto"/>
          <w:szCs w:val="21"/>
          <w:highlight w:val="none"/>
        </w:rPr>
        <w:t>本项目报价方式为总价，</w:t>
      </w:r>
      <w:r>
        <w:rPr>
          <w:rFonts w:hint="eastAsia" w:ascii="宋体" w:hAnsi="宋体" w:eastAsia="宋体"/>
          <w:iCs/>
          <w:color w:val="auto"/>
          <w:szCs w:val="21"/>
          <w:highlight w:val="none"/>
          <w:lang w:eastAsia="zh-CN"/>
        </w:rPr>
        <w:t>供应商</w:t>
      </w:r>
      <w:r>
        <w:rPr>
          <w:rFonts w:hint="eastAsia" w:ascii="宋体" w:hAnsi="宋体" w:eastAsia="宋体"/>
          <w:iCs/>
          <w:color w:val="auto"/>
          <w:szCs w:val="21"/>
          <w:highlight w:val="none"/>
          <w:lang w:val="en-US" w:eastAsia="zh-CN"/>
        </w:rPr>
        <w:t>响应</w:t>
      </w:r>
      <w:r>
        <w:rPr>
          <w:rFonts w:hint="eastAsia" w:ascii="宋体" w:hAnsi="宋体" w:eastAsia="宋体"/>
          <w:iCs/>
          <w:color w:val="auto"/>
          <w:szCs w:val="21"/>
          <w:highlight w:val="none"/>
        </w:rPr>
        <w:t>报价应包含</w:t>
      </w:r>
      <w:r>
        <w:rPr>
          <w:rFonts w:hint="eastAsia" w:ascii="宋体" w:hAnsi="宋体" w:eastAsia="宋体"/>
          <w:iCs/>
          <w:color w:val="auto"/>
          <w:szCs w:val="21"/>
          <w:highlight w:val="none"/>
          <w:lang w:val="en-US" w:eastAsia="zh-CN"/>
        </w:rPr>
        <w:t>采购</w:t>
      </w:r>
      <w:r>
        <w:rPr>
          <w:rFonts w:hint="eastAsia" w:ascii="宋体" w:hAnsi="宋体" w:eastAsia="宋体"/>
          <w:iCs/>
          <w:color w:val="auto"/>
          <w:szCs w:val="21"/>
          <w:highlight w:val="none"/>
        </w:rPr>
        <w:t>文件要求的全部服务内容所需的所有费用，包括但不限于：设备更新升级、软件维护升级、保养耗材、备件更换、人工费、技术检测费、技术支持、售后服务、应向中华人民共和国政府缴纳的增值税和其他税等全部税费、保险、以及履行合同所需的费用、所有风险、责任等其他一切隐含及不可预见的费用。</w:t>
      </w:r>
    </w:p>
    <w:p w14:paraId="7F709499">
      <w:pPr>
        <w:pStyle w:val="70"/>
        <w:numPr>
          <w:ilvl w:val="0"/>
          <w:numId w:val="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验收要求：</w:t>
      </w:r>
    </w:p>
    <w:p w14:paraId="7B7EBF72">
      <w:pPr>
        <w:pStyle w:val="70"/>
        <w:numPr>
          <w:ilvl w:val="0"/>
          <w:numId w:val="12"/>
        </w:numPr>
        <w:snapToGrid w:val="0"/>
        <w:spacing w:line="360" w:lineRule="auto"/>
        <w:ind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成交供应商完成本项目指定设备的更新、升级服务后可向采购人提交验收申请，采购人在收到成交供应商验收申请后7个工作日内组织验收工作；验收通过的，由采购人出具对应的验收合格报告，验收不通过的，成交供应商须无条件返工直至验收通过为止；更新、升级后的设备须达到设备原厂合格标准并符合相关国家标准、行业标准和地方标准；</w:t>
      </w:r>
    </w:p>
    <w:p w14:paraId="439CDD7C">
      <w:pPr>
        <w:pStyle w:val="70"/>
        <w:numPr>
          <w:ilvl w:val="0"/>
          <w:numId w:val="12"/>
        </w:numPr>
        <w:snapToGrid w:val="0"/>
        <w:spacing w:line="360" w:lineRule="auto"/>
        <w:ind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成交供应商服务每满3个月为1服务周期，每个服务周期满后的7个工作日内，采购人相关科室将对成交供应商该服务周期的维保服务质量进行考核，考核标准详见《维护保养质量考核表》。成交供应商应根据设备实际情况提供维修和保养等服务，应保证设备达到设备原厂合格标准并符合相关国家标准、行业标准和地方标准。</w:t>
      </w:r>
    </w:p>
    <w:p w14:paraId="62A71971">
      <w:pPr>
        <w:pStyle w:val="70"/>
        <w:numPr>
          <w:ilvl w:val="0"/>
          <w:numId w:val="7"/>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技术要求</w:t>
      </w:r>
    </w:p>
    <w:p w14:paraId="3F87E3F6">
      <w:pPr>
        <w:pStyle w:val="70"/>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更新、升级</w:t>
      </w:r>
      <w:r>
        <w:rPr>
          <w:rFonts w:hint="eastAsia" w:ascii="宋体" w:hAnsi="宋体" w:eastAsia="宋体"/>
          <w:color w:val="auto"/>
          <w:szCs w:val="21"/>
          <w:highlight w:val="none"/>
          <w:lang w:val="en-US" w:eastAsia="zh-CN"/>
        </w:rPr>
        <w:t>及维保设备基本情况</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1064"/>
        <w:gridCol w:w="1876"/>
        <w:gridCol w:w="1131"/>
        <w:gridCol w:w="2172"/>
        <w:gridCol w:w="2172"/>
      </w:tblGrid>
      <w:tr w14:paraId="719B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7" w:type="pct"/>
            <w:vAlign w:val="center"/>
          </w:tcPr>
          <w:p w14:paraId="5F7A5C23">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573" w:type="pct"/>
            <w:vAlign w:val="center"/>
          </w:tcPr>
          <w:p w14:paraId="1F72DC62">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品牌</w:t>
            </w:r>
          </w:p>
        </w:tc>
        <w:tc>
          <w:tcPr>
            <w:tcW w:w="1010" w:type="pct"/>
            <w:vAlign w:val="center"/>
          </w:tcPr>
          <w:p w14:paraId="79FF2DE3">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型号</w:t>
            </w:r>
          </w:p>
        </w:tc>
        <w:tc>
          <w:tcPr>
            <w:tcW w:w="609" w:type="pct"/>
            <w:vAlign w:val="center"/>
          </w:tcPr>
          <w:p w14:paraId="3185A8BA">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数量</w:t>
            </w:r>
          </w:p>
        </w:tc>
        <w:tc>
          <w:tcPr>
            <w:tcW w:w="1169" w:type="pct"/>
            <w:vAlign w:val="center"/>
          </w:tcPr>
          <w:p w14:paraId="44903C8F">
            <w:p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单位</w:t>
            </w:r>
          </w:p>
        </w:tc>
        <w:tc>
          <w:tcPr>
            <w:tcW w:w="1169" w:type="pct"/>
            <w:vAlign w:val="center"/>
          </w:tcPr>
          <w:p w14:paraId="192FB55C">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主机产品编号</w:t>
            </w:r>
          </w:p>
        </w:tc>
      </w:tr>
      <w:tr w14:paraId="63143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67" w:type="pct"/>
            <w:vAlign w:val="center"/>
          </w:tcPr>
          <w:p w14:paraId="44E38705">
            <w:pPr>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1</w:t>
            </w:r>
          </w:p>
        </w:tc>
        <w:tc>
          <w:tcPr>
            <w:tcW w:w="573" w:type="pct"/>
            <w:vAlign w:val="center"/>
          </w:tcPr>
          <w:p w14:paraId="2F419431">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GE</w:t>
            </w:r>
          </w:p>
        </w:tc>
        <w:tc>
          <w:tcPr>
            <w:tcW w:w="1010" w:type="pct"/>
            <w:vAlign w:val="center"/>
          </w:tcPr>
          <w:p w14:paraId="578B736E">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Voluson E8</w:t>
            </w:r>
          </w:p>
        </w:tc>
        <w:tc>
          <w:tcPr>
            <w:tcW w:w="609" w:type="pct"/>
            <w:vAlign w:val="center"/>
          </w:tcPr>
          <w:p w14:paraId="1B9F3B1B">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169" w:type="pct"/>
            <w:vAlign w:val="center"/>
          </w:tcPr>
          <w:p w14:paraId="549B65C2">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台</w:t>
            </w:r>
          </w:p>
        </w:tc>
        <w:tc>
          <w:tcPr>
            <w:tcW w:w="1169" w:type="pct"/>
            <w:vAlign w:val="center"/>
          </w:tcPr>
          <w:p w14:paraId="2BC705A3">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082437161886</w:t>
            </w:r>
          </w:p>
        </w:tc>
      </w:tr>
    </w:tbl>
    <w:p w14:paraId="1559935D">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注：</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须提供1台GE彩超设备更新、升级服务，包括硬件升级和软件升级，将设备由原来的BT15版本升级至BT20版本，含所有人工及系统安全性软、硬件升级服务，升级后应保证设备达到设备原厂家合格标准并符合相关国家标准、行业标准和地方标准；更新、升级完成后由</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提供不少于4次/年的保养服务，更新、升级及维修、保养所涉及零配件、耗材均由</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负责，更换的零配件必须是原厂的零配件；设备的维修保养依照原厂的标准执行，</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须保证设备处于最佳运行状态，并在每次更新、升级、维修及保养后向采购人出具相应报告。</w:t>
      </w:r>
    </w:p>
    <w:p w14:paraId="5740117A">
      <w:pPr>
        <w:pStyle w:val="70"/>
        <w:numPr>
          <w:ilvl w:val="0"/>
          <w:numId w:val="13"/>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更新、升级服务</w:t>
      </w:r>
      <w:r>
        <w:rPr>
          <w:rFonts w:hint="eastAsia" w:ascii="宋体" w:hAnsi="宋体" w:eastAsia="宋体"/>
          <w:color w:val="auto"/>
          <w:szCs w:val="21"/>
          <w:highlight w:val="none"/>
          <w:lang w:val="en-US" w:eastAsia="zh-CN"/>
        </w:rPr>
        <w:t>内容及要求</w:t>
      </w:r>
    </w:p>
    <w:p w14:paraId="4FEB56CD">
      <w:pPr>
        <w:pStyle w:val="70"/>
        <w:widowControl/>
        <w:numPr>
          <w:ilvl w:val="0"/>
          <w:numId w:val="14"/>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rPr>
        <w:t>硬件模块升级要求</w:t>
      </w:r>
    </w:p>
    <w:p w14:paraId="79220575">
      <w:pPr>
        <w:pStyle w:val="70"/>
        <w:numPr>
          <w:ilvl w:val="0"/>
          <w:numId w:val="15"/>
        </w:numPr>
        <w:snapToGrid w:val="0"/>
        <w:spacing w:line="360" w:lineRule="auto"/>
        <w:ind w:left="420" w:leftChars="0" w:hanging="420" w:firstLineChars="0"/>
        <w:contextualSpacing/>
        <w:rPr>
          <w:rFonts w:hint="eastAsia" w:ascii="宋体" w:hAnsi="宋体" w:eastAsia="宋体"/>
          <w:b/>
          <w:bCs/>
          <w:iCs/>
          <w:color w:val="auto"/>
          <w:szCs w:val="21"/>
          <w:highlight w:val="none"/>
          <w:lang w:val="en-US" w:eastAsia="zh-CN"/>
        </w:rPr>
      </w:pPr>
      <w:r>
        <w:rPr>
          <w:rFonts w:hint="eastAsia" w:ascii="宋体" w:hAnsi="宋体" w:eastAsia="宋体"/>
          <w:b/>
          <w:bCs/>
          <w:iCs/>
          <w:color w:val="auto"/>
          <w:szCs w:val="21"/>
          <w:highlight w:val="none"/>
          <w:lang w:val="en-US" w:eastAsia="zh-CN"/>
        </w:rPr>
        <w:t>新增一个激活的探头接口，避免探头插拔麻烦，提升工作效率，三探头接口升级为四探头接口，须支持冰晶探头，二维冰晶探头：腹部：C1-6-D；C2-9-D；心脏：M5Sc-D；三维容积高端探头：RM7C、eM6C G2（仅E10），提高检查速度，操作更简捷，充分发挥设备效能。</w:t>
      </w:r>
    </w:p>
    <w:p w14:paraId="7E10700F">
      <w:pPr>
        <w:pStyle w:val="70"/>
        <w:numPr>
          <w:ilvl w:val="0"/>
          <w:numId w:val="15"/>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更换新的前端发射模块（包括接口板和通道板），升级全新智能化前端，提升超声信号发射/接收的精确度和效率；</w:t>
      </w:r>
    </w:p>
    <w:p w14:paraId="0CA05AFA">
      <w:pPr>
        <w:pStyle w:val="70"/>
        <w:numPr>
          <w:ilvl w:val="0"/>
          <w:numId w:val="15"/>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更换新的后端处理器，后端升级适应智能超声平台，优化分析数据。提升设备的图像分辨率，延长生命周期；</w:t>
      </w:r>
    </w:p>
    <w:p w14:paraId="337735BB">
      <w:pPr>
        <w:pStyle w:val="70"/>
        <w:numPr>
          <w:ilvl w:val="0"/>
          <w:numId w:val="15"/>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更换新的主电源板，电压输出更稳定，降低电网波动导致的故障率；</w:t>
      </w:r>
    </w:p>
    <w:p w14:paraId="047891BB">
      <w:pPr>
        <w:pStyle w:val="70"/>
        <w:numPr>
          <w:ilvl w:val="0"/>
          <w:numId w:val="15"/>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更换新的显卡，更加逼真地显示R-Flow、 HD live、3D打印等立体显示效果，助力医生更容易观察容积结构；</w:t>
      </w:r>
    </w:p>
    <w:p w14:paraId="1830C84D">
      <w:pPr>
        <w:pStyle w:val="70"/>
        <w:numPr>
          <w:ilvl w:val="0"/>
          <w:numId w:val="15"/>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系统硬盘更新为：≥64GB SSD系统硬盘，和≥1TB HDD内部存储硬盘，同时系统更新为双硬盘架构，主机操作系统以及各种功能搭载用独立的≥64GB SSD，内部病人信息存储单独用一个系统内置硬盘，互相不影响；</w:t>
      </w:r>
    </w:p>
    <w:p w14:paraId="36436719">
      <w:pPr>
        <w:pStyle w:val="70"/>
        <w:numPr>
          <w:ilvl w:val="0"/>
          <w:numId w:val="15"/>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扩展输出板更新，增加设备接收发射容量，能够处理更多的数据，提高设备性能和整体效益；</w:t>
      </w:r>
    </w:p>
    <w:p w14:paraId="0B1B2AA6">
      <w:pPr>
        <w:pStyle w:val="70"/>
        <w:numPr>
          <w:ilvl w:val="0"/>
          <w:numId w:val="15"/>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更新、升级后设备需支持一键输出全景3D打印。</w:t>
      </w:r>
    </w:p>
    <w:p w14:paraId="126DDC61">
      <w:pPr>
        <w:pStyle w:val="70"/>
        <w:widowControl/>
        <w:numPr>
          <w:ilvl w:val="0"/>
          <w:numId w:val="14"/>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rPr>
        <w:t>软件模块升级要求</w:t>
      </w:r>
    </w:p>
    <w:p w14:paraId="15E9A9F0">
      <w:pPr>
        <w:pStyle w:val="70"/>
        <w:widowControl/>
        <w:numPr>
          <w:ilvl w:val="0"/>
          <w:numId w:val="16"/>
        </w:numPr>
        <w:snapToGrid w:val="0"/>
        <w:spacing w:line="360" w:lineRule="auto"/>
        <w:ind w:left="425" w:leftChars="0" w:hanging="425" w:firstLineChars="0"/>
        <w:contextualSpacing/>
        <w:rPr>
          <w:rFonts w:hint="eastAsia" w:ascii="宋体" w:hAnsi="宋体" w:eastAsia="宋体"/>
          <w:b/>
          <w:bCs/>
          <w:color w:val="auto"/>
          <w:szCs w:val="21"/>
          <w:highlight w:val="none"/>
        </w:rPr>
      </w:pPr>
      <w:r>
        <w:rPr>
          <w:rFonts w:hint="eastAsia" w:ascii="宋体" w:hAnsi="宋体" w:eastAsia="宋体"/>
          <w:b/>
          <w:bCs/>
          <w:color w:val="auto"/>
          <w:szCs w:val="21"/>
          <w:highlight w:val="none"/>
        </w:rPr>
        <w:t>提供煊彩成像技术HD live Flow Silhouette，全新的血流血管容积显示模式，在煊流技术的基础上，增加血流/血管的透明轮廓剪影模式；通过减少透明度增强轮廓，可以突出边界的显示；通过增加透明度和轮廓，可以用于观察深部组织的结构；</w:t>
      </w:r>
    </w:p>
    <w:p w14:paraId="541CCB28">
      <w:pPr>
        <w:pStyle w:val="70"/>
        <w:widowControl/>
        <w:numPr>
          <w:ilvl w:val="0"/>
          <w:numId w:val="16"/>
        </w:numPr>
        <w:snapToGrid w:val="0"/>
        <w:spacing w:line="360" w:lineRule="auto"/>
        <w:ind w:left="425" w:leftChars="0" w:hanging="425" w:firstLineChars="0"/>
        <w:contextualSpacing/>
        <w:rPr>
          <w:rFonts w:hint="eastAsia" w:ascii="宋体" w:hAnsi="宋体" w:eastAsia="宋体"/>
          <w:b/>
          <w:bCs/>
          <w:color w:val="auto"/>
          <w:szCs w:val="21"/>
          <w:highlight w:val="none"/>
        </w:rPr>
      </w:pPr>
      <w:r>
        <w:rPr>
          <w:rFonts w:hint="eastAsia" w:ascii="宋体" w:hAnsi="宋体" w:eastAsia="宋体"/>
          <w:b/>
          <w:bCs/>
          <w:color w:val="auto"/>
          <w:szCs w:val="21"/>
          <w:highlight w:val="none"/>
        </w:rPr>
        <w:t>提供煊动成像技术HD Live Studio，对容积数据进行多个点光源的照射，光源数量从单个到三个不等；每一个光源包括三种类型的、可选择—平行光源、点状光源、遮罩光源。平行光源可调节空间位置，点光源可调节空间位置和距离，遮罩光源可调节空间位置、距离、入射角度和旋转方向；</w:t>
      </w:r>
    </w:p>
    <w:p w14:paraId="719DBCFF">
      <w:pPr>
        <w:pStyle w:val="70"/>
        <w:widowControl/>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提供胎儿颅脑自动测量分析软件Auto CNS，使用AI技术支持的软件功能，基于深度学习算法的胎儿颅脑自动分析，提升胎儿 CNS诊断的准确率、成功率及可重复性；</w:t>
      </w:r>
    </w:p>
    <w:p w14:paraId="7BD19175">
      <w:pPr>
        <w:pStyle w:val="70"/>
        <w:widowControl/>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新增一组高分辨率谐波、新增一组高穿透力谐波，增加成像的轴向和横向分辨率，提高组织的边界识别，更好的评估组织之间的区别。增加穿透力，减少伪像，为困难条件患者扫查设计的谐波频率调节条件；</w:t>
      </w:r>
    </w:p>
    <w:p w14:paraId="37D36BC1">
      <w:pPr>
        <w:pStyle w:val="70"/>
        <w:widowControl/>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胎心四维成像eSTIC，大幅度提升成像帧频，最高可达：800+帧/秒；</w:t>
      </w:r>
    </w:p>
    <w:p w14:paraId="686BE4CC">
      <w:pPr>
        <w:pStyle w:val="70"/>
        <w:keepNext w:val="0"/>
        <w:keepLines w:val="0"/>
        <w:pageBreakBefore w:val="0"/>
        <w:widowControl/>
        <w:numPr>
          <w:ilvl w:val="0"/>
          <w:numId w:val="16"/>
        </w:numPr>
        <w:kinsoku/>
        <w:wordWrap/>
        <w:overflowPunct/>
        <w:topLinePunct w:val="0"/>
        <w:autoSpaceDE/>
        <w:autoSpaceDN/>
        <w:bidi w:val="0"/>
        <w:adjustRightInd/>
        <w:snapToGrid/>
        <w:spacing w:line="360" w:lineRule="auto"/>
        <w:ind w:left="425" w:leftChars="0" w:hanging="425" w:firstLineChars="0"/>
        <w:contextualSpacing/>
        <w:textAlignment w:val="auto"/>
        <w:rPr>
          <w:rFonts w:ascii="宋体" w:hAnsi="宋体" w:eastAsia="宋体"/>
          <w:color w:val="auto"/>
          <w:szCs w:val="21"/>
          <w:highlight w:val="none"/>
        </w:rPr>
      </w:pPr>
      <w:r>
        <w:rPr>
          <w:rFonts w:hint="eastAsia" w:ascii="宋体" w:hAnsi="宋体" w:eastAsia="宋体"/>
          <w:color w:val="auto"/>
          <w:szCs w:val="21"/>
          <w:highlight w:val="none"/>
        </w:rPr>
        <w:t>新增窦卵泡监测技术SonoAVC antral，快速、实时、精确，半自动计数窦卵泡的数量。</w:t>
      </w:r>
    </w:p>
    <w:p w14:paraId="37F3026B">
      <w:pPr>
        <w:pStyle w:val="70"/>
        <w:keepNext w:val="0"/>
        <w:keepLines w:val="0"/>
        <w:pageBreakBefore w:val="0"/>
        <w:numPr>
          <w:ilvl w:val="0"/>
          <w:numId w:val="13"/>
        </w:numPr>
        <w:kinsoku/>
        <w:wordWrap/>
        <w:overflowPunct/>
        <w:topLinePunct w:val="0"/>
        <w:autoSpaceDE/>
        <w:autoSpaceDN/>
        <w:bidi w:val="0"/>
        <w:adjustRightInd/>
        <w:snapToGrid/>
        <w:spacing w:line="360" w:lineRule="auto"/>
        <w:ind w:firstLineChars="0"/>
        <w:contextualSpacing/>
        <w:textAlignment w:val="auto"/>
        <w:rPr>
          <w:rFonts w:ascii="宋体" w:hAnsi="宋体" w:eastAsia="宋体"/>
          <w:iCs/>
          <w:color w:val="auto"/>
          <w:szCs w:val="21"/>
          <w:highlight w:val="none"/>
        </w:rPr>
      </w:pPr>
      <w:r>
        <w:rPr>
          <w:rFonts w:hint="eastAsia" w:ascii="宋体" w:hAnsi="宋体" w:eastAsia="宋体"/>
          <w:iCs/>
          <w:color w:val="auto"/>
          <w:szCs w:val="21"/>
          <w:highlight w:val="none"/>
        </w:rPr>
        <w:t>维保服务</w:t>
      </w:r>
      <w:r>
        <w:rPr>
          <w:rFonts w:hint="eastAsia" w:ascii="宋体" w:hAnsi="宋体" w:eastAsia="宋体"/>
          <w:iCs/>
          <w:color w:val="auto"/>
          <w:szCs w:val="21"/>
          <w:highlight w:val="none"/>
          <w:lang w:val="en-US" w:eastAsia="zh-CN"/>
        </w:rPr>
        <w:t>内容及要求</w:t>
      </w:r>
    </w:p>
    <w:p w14:paraId="4DAC7C51">
      <w:pPr>
        <w:pStyle w:val="70"/>
        <w:keepNext w:val="0"/>
        <w:keepLines w:val="0"/>
        <w:pageBreakBefore w:val="0"/>
        <w:widowControl/>
        <w:numPr>
          <w:ilvl w:val="0"/>
          <w:numId w:val="17"/>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b/>
          <w:bCs/>
          <w:color w:val="auto"/>
          <w:szCs w:val="21"/>
          <w:highlight w:val="none"/>
          <w:u w:val="single"/>
        </w:rPr>
      </w:pPr>
      <w:r>
        <w:rPr>
          <w:rFonts w:hint="eastAsia" w:ascii="宋体" w:hAnsi="宋体" w:eastAsia="宋体"/>
          <w:b/>
          <w:bCs/>
          <w:color w:val="auto"/>
          <w:szCs w:val="21"/>
          <w:highlight w:val="none"/>
          <w:u w:val="single"/>
        </w:rPr>
        <w:t>★合同期内除因采购人影响外，</w:t>
      </w:r>
      <w:r>
        <w:rPr>
          <w:rFonts w:hint="eastAsia" w:ascii="宋体" w:hAnsi="宋体" w:eastAsia="宋体"/>
          <w:b/>
          <w:bCs/>
          <w:color w:val="auto"/>
          <w:szCs w:val="21"/>
          <w:highlight w:val="none"/>
          <w:u w:val="single"/>
          <w:lang w:eastAsia="zh-CN"/>
        </w:rPr>
        <w:t>成交供应商</w:t>
      </w:r>
      <w:r>
        <w:rPr>
          <w:rFonts w:hint="eastAsia" w:ascii="宋体" w:hAnsi="宋体" w:eastAsia="宋体"/>
          <w:b/>
          <w:bCs/>
          <w:color w:val="auto"/>
          <w:szCs w:val="21"/>
          <w:highlight w:val="none"/>
          <w:u w:val="single"/>
        </w:rPr>
        <w:t>必须确保设备的开机率≥95％（按全年365天计算），即每年停机不超过18天；每超过1天，延长本项目合同维保服务期2天；未履行维修义务或履行义务未符合要求的，采购人有权聘请第三方公司维修，维修费用（包括零配件更换费用等所有费用）均由</w:t>
      </w:r>
      <w:r>
        <w:rPr>
          <w:rFonts w:hint="eastAsia" w:ascii="宋体" w:hAnsi="宋体" w:eastAsia="宋体"/>
          <w:b/>
          <w:bCs/>
          <w:color w:val="auto"/>
          <w:szCs w:val="21"/>
          <w:highlight w:val="none"/>
          <w:u w:val="single"/>
          <w:lang w:eastAsia="zh-CN"/>
        </w:rPr>
        <w:t>成交供应商</w:t>
      </w:r>
      <w:r>
        <w:rPr>
          <w:rFonts w:hint="eastAsia" w:ascii="宋体" w:hAnsi="宋体" w:eastAsia="宋体"/>
          <w:b/>
          <w:bCs/>
          <w:color w:val="auto"/>
          <w:szCs w:val="21"/>
          <w:highlight w:val="none"/>
          <w:u w:val="single"/>
        </w:rPr>
        <w:t>承担。（须提供承诺函加盖</w:t>
      </w:r>
      <w:r>
        <w:rPr>
          <w:rFonts w:hint="eastAsia" w:ascii="宋体" w:hAnsi="宋体" w:eastAsia="宋体"/>
          <w:b/>
          <w:bCs/>
          <w:color w:val="auto"/>
          <w:szCs w:val="21"/>
          <w:highlight w:val="none"/>
          <w:u w:val="single"/>
          <w:lang w:eastAsia="zh-CN"/>
        </w:rPr>
        <w:t>供应商</w:t>
      </w:r>
      <w:r>
        <w:rPr>
          <w:rFonts w:hint="eastAsia" w:ascii="宋体" w:hAnsi="宋体" w:eastAsia="宋体"/>
          <w:b/>
          <w:bCs/>
          <w:color w:val="auto"/>
          <w:szCs w:val="21"/>
          <w:highlight w:val="none"/>
          <w:u w:val="single"/>
        </w:rPr>
        <w:t>公章，承诺函格式自拟）</w:t>
      </w:r>
    </w:p>
    <w:p w14:paraId="5DB960D2">
      <w:pPr>
        <w:keepNext w:val="0"/>
        <w:keepLines w:val="0"/>
        <w:pageBreakBefore w:val="0"/>
        <w:numPr>
          <w:ilvl w:val="0"/>
          <w:numId w:val="18"/>
        </w:numPr>
        <w:kinsoku/>
        <w:wordWrap/>
        <w:overflowPunct/>
        <w:topLinePunct w:val="0"/>
        <w:autoSpaceDE/>
        <w:autoSpaceDN/>
        <w:bidi w:val="0"/>
        <w:adjustRightInd/>
        <w:snapToGrid w:val="0"/>
        <w:spacing w:line="360" w:lineRule="auto"/>
        <w:ind w:left="418" w:hanging="417" w:hangingChars="199"/>
        <w:jc w:val="left"/>
        <w:textAlignment w:val="auto"/>
        <w:rPr>
          <w:rFonts w:ascii="宋体" w:hAnsi="宋体" w:eastAsia="宋体" w:cs="宋体"/>
          <w:color w:val="auto"/>
          <w:highlight w:val="none"/>
        </w:rPr>
      </w:pP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须能合法获得、完整使用有效的原厂高级故障诊断维修钥匙</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Service Key</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，以保障在设备故障时能及时诊断故障原因，制定维修计划，保障设备开机率。</w:t>
      </w:r>
    </w:p>
    <w:p w14:paraId="74092741">
      <w:pPr>
        <w:keepNext w:val="0"/>
        <w:keepLines w:val="0"/>
        <w:pageBreakBefore w:val="0"/>
        <w:numPr>
          <w:ilvl w:val="0"/>
          <w:numId w:val="18"/>
        </w:numPr>
        <w:kinsoku/>
        <w:wordWrap/>
        <w:overflowPunct/>
        <w:topLinePunct w:val="0"/>
        <w:autoSpaceDE/>
        <w:autoSpaceDN/>
        <w:bidi w:val="0"/>
        <w:adjustRightInd/>
        <w:snapToGrid w:val="0"/>
        <w:spacing w:line="360" w:lineRule="auto"/>
        <w:ind w:left="418" w:hanging="417" w:hangingChars="199"/>
        <w:jc w:val="left"/>
        <w:textAlignment w:val="auto"/>
        <w:rPr>
          <w:rFonts w:ascii="宋体" w:hAnsi="宋体" w:eastAsia="宋体" w:cs="宋体"/>
          <w:color w:val="auto"/>
          <w:highlight w:val="none"/>
        </w:rPr>
      </w:pP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需针对本项目实际情况对服务人员开展相关服务内容、标准的培训工作，通过科学的培训计划和内容确保相关服务人员能够为采购人提供产品服务专业支持。</w:t>
      </w:r>
    </w:p>
    <w:p w14:paraId="62CC3154">
      <w:pPr>
        <w:keepNext w:val="0"/>
        <w:keepLines w:val="0"/>
        <w:pageBreakBefore w:val="0"/>
        <w:numPr>
          <w:ilvl w:val="0"/>
          <w:numId w:val="18"/>
        </w:numPr>
        <w:kinsoku/>
        <w:wordWrap/>
        <w:overflowPunct/>
        <w:topLinePunct w:val="0"/>
        <w:autoSpaceDE/>
        <w:autoSpaceDN/>
        <w:bidi w:val="0"/>
        <w:adjustRightInd/>
        <w:snapToGrid w:val="0"/>
        <w:spacing w:line="360" w:lineRule="auto"/>
        <w:ind w:left="418" w:hanging="417" w:hangingChars="199"/>
        <w:jc w:val="left"/>
        <w:textAlignment w:val="auto"/>
        <w:rPr>
          <w:rFonts w:ascii="宋体" w:hAnsi="宋体" w:eastAsia="宋体" w:cs="宋体"/>
          <w:color w:val="auto"/>
          <w:highlight w:val="none"/>
        </w:rPr>
      </w:pPr>
      <w:r>
        <w:rPr>
          <w:rFonts w:hint="eastAsia" w:ascii="宋体" w:hAnsi="宋体" w:eastAsia="宋体" w:cs="宋体"/>
          <w:color w:val="auto"/>
          <w:highlight w:val="none"/>
        </w:rPr>
        <w:t>客户服务专线：</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具备全年7×24小时开通的并有专人接听的免费客服热线电话，为采购人快速诊断和技术支持服务。</w:t>
      </w:r>
    </w:p>
    <w:p w14:paraId="6FB91C5D">
      <w:pPr>
        <w:keepNext w:val="0"/>
        <w:keepLines w:val="0"/>
        <w:pageBreakBefore w:val="0"/>
        <w:numPr>
          <w:ilvl w:val="0"/>
          <w:numId w:val="18"/>
        </w:numPr>
        <w:kinsoku/>
        <w:wordWrap/>
        <w:overflowPunct/>
        <w:topLinePunct w:val="0"/>
        <w:autoSpaceDE/>
        <w:autoSpaceDN/>
        <w:bidi w:val="0"/>
        <w:adjustRightInd/>
        <w:snapToGrid w:val="0"/>
        <w:spacing w:line="360" w:lineRule="auto"/>
        <w:ind w:left="418" w:hanging="417" w:hangingChars="199"/>
        <w:jc w:val="left"/>
        <w:textAlignment w:val="auto"/>
        <w:rPr>
          <w:rFonts w:ascii="宋体" w:hAnsi="宋体" w:eastAsia="宋体" w:cs="宋体"/>
          <w:color w:val="auto"/>
          <w:highlight w:val="none"/>
        </w:rPr>
      </w:pP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在接到采购人报修电话后2小时内响应，12小时内到达采购人指定地点进行检修并及时提供相关的维修解决方案，48小时内保障设备恢复正常使用。</w:t>
      </w:r>
    </w:p>
    <w:p w14:paraId="7A377EEC">
      <w:pPr>
        <w:keepNext w:val="0"/>
        <w:keepLines w:val="0"/>
        <w:pageBreakBefore w:val="0"/>
        <w:numPr>
          <w:ilvl w:val="0"/>
          <w:numId w:val="18"/>
        </w:numPr>
        <w:kinsoku/>
        <w:wordWrap/>
        <w:overflowPunct/>
        <w:topLinePunct w:val="0"/>
        <w:autoSpaceDE/>
        <w:autoSpaceDN/>
        <w:bidi w:val="0"/>
        <w:adjustRightInd/>
        <w:snapToGrid w:val="0"/>
        <w:spacing w:line="360" w:lineRule="auto"/>
        <w:ind w:left="418" w:hanging="417" w:hangingChars="199"/>
        <w:jc w:val="left"/>
        <w:textAlignment w:val="auto"/>
        <w:rPr>
          <w:rFonts w:ascii="宋体" w:hAnsi="宋体" w:eastAsia="宋体" w:cs="宋体"/>
          <w:color w:val="auto"/>
          <w:highlight w:val="none"/>
        </w:rPr>
      </w:pPr>
      <w:r>
        <w:rPr>
          <w:rFonts w:hint="eastAsia" w:ascii="宋体" w:hAnsi="宋体" w:eastAsia="宋体" w:cs="宋体"/>
          <w:color w:val="auto"/>
          <w:highlight w:val="none"/>
        </w:rPr>
        <w:t>服务期内提供无限次人工响应服务，每季度不少于一次保养，</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维保服务应制定相应的计划、工作流程和设备管理方案，严格按照计划执行，每次上门维修后提供维修报告，每年度有年度报告。</w:t>
      </w:r>
    </w:p>
    <w:p w14:paraId="7AC30FB4">
      <w:pPr>
        <w:keepNext w:val="0"/>
        <w:keepLines w:val="0"/>
        <w:pageBreakBefore w:val="0"/>
        <w:numPr>
          <w:ilvl w:val="0"/>
          <w:numId w:val="18"/>
        </w:numPr>
        <w:kinsoku/>
        <w:wordWrap/>
        <w:overflowPunct/>
        <w:topLinePunct w:val="0"/>
        <w:autoSpaceDE/>
        <w:autoSpaceDN/>
        <w:bidi w:val="0"/>
        <w:adjustRightInd/>
        <w:snapToGrid w:val="0"/>
        <w:spacing w:line="360" w:lineRule="auto"/>
        <w:ind w:left="418" w:hanging="417" w:hangingChars="199"/>
        <w:jc w:val="left"/>
        <w:textAlignment w:val="auto"/>
        <w:rPr>
          <w:rFonts w:ascii="宋体" w:hAnsi="宋体" w:eastAsia="宋体" w:cs="宋体"/>
          <w:color w:val="auto"/>
          <w:highlight w:val="none"/>
        </w:rPr>
      </w:pP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应针对本项目内容建立相应的工作台账制度，对服务流程中涉及的台账、工作报告等内容有明确模板支撑，向采购人提交的工作报告需经过严谨的内部审核机制。</w:t>
      </w:r>
    </w:p>
    <w:p w14:paraId="098ED700">
      <w:pPr>
        <w:keepNext w:val="0"/>
        <w:keepLines w:val="0"/>
        <w:pageBreakBefore w:val="0"/>
        <w:numPr>
          <w:ilvl w:val="0"/>
          <w:numId w:val="18"/>
        </w:numPr>
        <w:kinsoku/>
        <w:wordWrap/>
        <w:overflowPunct/>
        <w:topLinePunct w:val="0"/>
        <w:autoSpaceDE/>
        <w:autoSpaceDN/>
        <w:bidi w:val="0"/>
        <w:adjustRightInd/>
        <w:snapToGrid w:val="0"/>
        <w:spacing w:line="360" w:lineRule="auto"/>
        <w:ind w:left="418" w:hanging="417" w:hangingChars="199"/>
        <w:jc w:val="left"/>
        <w:textAlignment w:val="auto"/>
        <w:rPr>
          <w:rFonts w:ascii="宋体" w:hAnsi="宋体" w:eastAsia="宋体" w:cs="宋体"/>
          <w:color w:val="auto"/>
          <w:highlight w:val="none"/>
        </w:rPr>
      </w:pPr>
      <w:r>
        <w:rPr>
          <w:rFonts w:hint="eastAsia" w:ascii="宋体" w:hAnsi="宋体" w:eastAsia="宋体" w:cs="宋体"/>
          <w:color w:val="auto"/>
          <w:highlight w:val="none"/>
        </w:rPr>
        <w:t>服务范围内，</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所提供的零配件必须是同一型号原生产厂家配件，必须是符合国家有关质量安全标准的合格产品，必须是符合机器的品质标准的合格产品，保证不会对设备质量或图像产生不良影响。</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rPr>
        <w:t>后，</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需提供的维修所需配件可接受向设备原生产厂家查询验证、设备原生产厂家出具的零配件来源证明、第三方单位检测、不定期抽检等方式检测验证，如为二手或经非法、非正常渠道来源备件，采购人有权不支付合同款项，并按相关规定对</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进行处罚；如因二手或经非法、非正常渠道来源备件给采购人带来其他经济损失（如上级监管单位处罚等），</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则需承担相关赔偿及责任。</w:t>
      </w:r>
    </w:p>
    <w:p w14:paraId="4DD733DD">
      <w:pPr>
        <w:keepNext w:val="0"/>
        <w:keepLines w:val="0"/>
        <w:pageBreakBefore w:val="0"/>
        <w:numPr>
          <w:ilvl w:val="0"/>
          <w:numId w:val="18"/>
        </w:numPr>
        <w:kinsoku/>
        <w:wordWrap/>
        <w:overflowPunct/>
        <w:topLinePunct w:val="0"/>
        <w:autoSpaceDE/>
        <w:autoSpaceDN/>
        <w:bidi w:val="0"/>
        <w:adjustRightInd/>
        <w:snapToGrid w:val="0"/>
        <w:spacing w:line="360" w:lineRule="auto"/>
        <w:ind w:left="418" w:hanging="417" w:hangingChars="199"/>
        <w:jc w:val="left"/>
        <w:textAlignment w:val="auto"/>
        <w:rPr>
          <w:rFonts w:ascii="宋体" w:hAnsi="宋体" w:eastAsia="宋体" w:cs="宋体"/>
          <w:color w:val="auto"/>
          <w:highlight w:val="none"/>
        </w:rPr>
      </w:pPr>
      <w:r>
        <w:rPr>
          <w:rFonts w:hint="eastAsia" w:ascii="宋体" w:hAnsi="宋体" w:eastAsia="宋体" w:cs="宋体"/>
          <w:color w:val="auto"/>
          <w:highlight w:val="none"/>
        </w:rPr>
        <w:t>服务团队要求：</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应为项目配备服务人员≥3名，其中项目负责人：1人，应具有生物医学工程或医工相关专业本科或以上学历，同时具有医疗器械初级或以上职称；配备服务人员（除项目负责人），至少1名医学影像技术或临床医学相关专业大专或以上学历，作为本项目临床培训支持人员。</w:t>
      </w:r>
    </w:p>
    <w:p w14:paraId="216E88F7">
      <w:pPr>
        <w:keepNext w:val="0"/>
        <w:keepLines w:val="0"/>
        <w:pageBreakBefore w:val="0"/>
        <w:numPr>
          <w:ilvl w:val="0"/>
          <w:numId w:val="18"/>
        </w:numPr>
        <w:kinsoku/>
        <w:wordWrap/>
        <w:overflowPunct/>
        <w:topLinePunct w:val="0"/>
        <w:autoSpaceDE/>
        <w:autoSpaceDN/>
        <w:bidi w:val="0"/>
        <w:adjustRightInd/>
        <w:snapToGrid w:val="0"/>
        <w:spacing w:line="360" w:lineRule="auto"/>
        <w:ind w:left="418" w:hanging="417" w:hangingChars="199"/>
        <w:jc w:val="left"/>
        <w:textAlignment w:val="auto"/>
        <w:rPr>
          <w:rFonts w:ascii="宋体" w:hAnsi="宋体" w:eastAsia="宋体" w:cs="宋体"/>
          <w:color w:val="auto"/>
          <w:highlight w:val="none"/>
        </w:rPr>
      </w:pP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拟投入服务人员应具备相关项目经验和专业背景，服务团队内部应有清晰的岗位和职责划分，组织架构合理、沟通顺畅高效、协作紧密。</w:t>
      </w:r>
    </w:p>
    <w:p w14:paraId="7E125541">
      <w:pPr>
        <w:keepNext w:val="0"/>
        <w:keepLines w:val="0"/>
        <w:pageBreakBefore w:val="0"/>
        <w:numPr>
          <w:ilvl w:val="0"/>
          <w:numId w:val="18"/>
        </w:numPr>
        <w:kinsoku/>
        <w:wordWrap/>
        <w:overflowPunct/>
        <w:topLinePunct w:val="0"/>
        <w:autoSpaceDE/>
        <w:autoSpaceDN/>
        <w:bidi w:val="0"/>
        <w:adjustRightInd/>
        <w:snapToGrid w:val="0"/>
        <w:spacing w:line="360" w:lineRule="auto"/>
        <w:ind w:left="418" w:hanging="417" w:hangingChars="199"/>
        <w:jc w:val="left"/>
        <w:textAlignment w:val="auto"/>
        <w:rPr>
          <w:rFonts w:ascii="宋体" w:hAnsi="宋体" w:eastAsia="宋体" w:cs="宋体"/>
          <w:iCs/>
          <w:color w:val="auto"/>
          <w:highlight w:val="none"/>
        </w:rPr>
      </w:pPr>
      <w:r>
        <w:rPr>
          <w:rFonts w:hint="eastAsia" w:ascii="宋体" w:hAnsi="宋体" w:eastAsia="宋体" w:cs="宋体"/>
          <w:iCs/>
          <w:color w:val="auto"/>
          <w:highlight w:val="none"/>
        </w:rPr>
        <w:t>面对本项目履约过程中可能出现的紧急情况，</w:t>
      </w:r>
      <w:r>
        <w:rPr>
          <w:rFonts w:hint="eastAsia" w:ascii="宋体" w:hAnsi="宋体" w:eastAsia="宋体" w:cs="宋体"/>
          <w:iCs/>
          <w:color w:val="auto"/>
          <w:highlight w:val="none"/>
          <w:lang w:eastAsia="zh-CN"/>
        </w:rPr>
        <w:t>成交供应商</w:t>
      </w:r>
      <w:r>
        <w:rPr>
          <w:rFonts w:hint="eastAsia" w:ascii="宋体" w:hAnsi="宋体" w:eastAsia="宋体" w:cs="宋体"/>
          <w:iCs/>
          <w:color w:val="auto"/>
          <w:highlight w:val="none"/>
        </w:rPr>
        <w:t>有一套预防和应对处置措施，应急响应机制迅速完备，应急服务人员数量和技术能力充沛，能够有效应对履约中的各种突发状况。</w:t>
      </w:r>
    </w:p>
    <w:p w14:paraId="11E6B0CC">
      <w:pPr>
        <w:pStyle w:val="70"/>
        <w:keepNext w:val="0"/>
        <w:keepLines w:val="0"/>
        <w:pageBreakBefore w:val="0"/>
        <w:numPr>
          <w:ilvl w:val="0"/>
          <w:numId w:val="13"/>
        </w:numPr>
        <w:kinsoku/>
        <w:wordWrap/>
        <w:overflowPunct/>
        <w:topLinePunct w:val="0"/>
        <w:autoSpaceDE/>
        <w:autoSpaceDN/>
        <w:bidi w:val="0"/>
        <w:adjustRightInd/>
        <w:snapToGrid w:val="0"/>
        <w:spacing w:line="360" w:lineRule="auto"/>
        <w:ind w:firstLineChars="0"/>
        <w:contextualSpacing/>
        <w:textAlignment w:val="auto"/>
        <w:rPr>
          <w:rFonts w:ascii="宋体" w:hAnsi="宋体" w:eastAsia="宋体"/>
          <w:iCs/>
          <w:color w:val="auto"/>
          <w:szCs w:val="21"/>
          <w:highlight w:val="none"/>
        </w:rPr>
      </w:pPr>
      <w:r>
        <w:rPr>
          <w:rFonts w:hint="eastAsia" w:ascii="宋体" w:hAnsi="宋体" w:eastAsia="宋体"/>
          <w:iCs/>
          <w:color w:val="auto"/>
          <w:szCs w:val="21"/>
          <w:highlight w:val="none"/>
        </w:rPr>
        <w:t>《维护保养质量考核表》</w:t>
      </w:r>
    </w:p>
    <w:tbl>
      <w:tblPr>
        <w:tblStyle w:val="22"/>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89"/>
        <w:gridCol w:w="1618"/>
        <w:gridCol w:w="5473"/>
        <w:gridCol w:w="1000"/>
        <w:gridCol w:w="499"/>
      </w:tblGrid>
      <w:tr w14:paraId="1D7E4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72537F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highlight w:val="none"/>
              </w:rPr>
            </w:pPr>
            <w:r>
              <w:rPr>
                <w:rFonts w:hint="eastAsia" w:ascii="宋体" w:hAnsi="宋体" w:eastAsia="宋体" w:cs="宋体"/>
                <w:b/>
                <w:bCs/>
                <w:color w:val="auto"/>
                <w:highlight w:val="none"/>
              </w:rPr>
              <w:t>序号</w:t>
            </w:r>
          </w:p>
        </w:tc>
        <w:tc>
          <w:tcPr>
            <w:tcW w:w="872" w:type="pct"/>
            <w:tcBorders>
              <w:top w:val="single" w:color="000000" w:sz="4" w:space="0"/>
              <w:left w:val="single" w:color="000000" w:sz="4" w:space="0"/>
              <w:bottom w:val="single" w:color="000000" w:sz="4" w:space="0"/>
              <w:right w:val="single" w:color="000000" w:sz="4" w:space="0"/>
            </w:tcBorders>
            <w:vAlign w:val="center"/>
          </w:tcPr>
          <w:p w14:paraId="4DBC895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highlight w:val="none"/>
              </w:rPr>
            </w:pPr>
            <w:r>
              <w:rPr>
                <w:rFonts w:hint="eastAsia" w:ascii="宋体" w:hAnsi="宋体" w:eastAsia="宋体" w:cs="宋体"/>
                <w:b/>
                <w:bCs/>
                <w:color w:val="auto"/>
                <w:highlight w:val="none"/>
              </w:rPr>
              <w:t>考核内容</w:t>
            </w:r>
          </w:p>
        </w:tc>
        <w:tc>
          <w:tcPr>
            <w:tcW w:w="2949" w:type="pct"/>
            <w:tcBorders>
              <w:top w:val="single" w:color="000000" w:sz="4" w:space="0"/>
              <w:left w:val="single" w:color="000000" w:sz="4" w:space="0"/>
              <w:bottom w:val="single" w:color="000000" w:sz="4" w:space="0"/>
              <w:right w:val="single" w:color="000000" w:sz="4" w:space="0"/>
            </w:tcBorders>
            <w:vAlign w:val="center"/>
          </w:tcPr>
          <w:p w14:paraId="49E42A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highlight w:val="none"/>
              </w:rPr>
            </w:pPr>
            <w:r>
              <w:rPr>
                <w:rFonts w:hint="eastAsia" w:ascii="宋体" w:hAnsi="宋体" w:eastAsia="宋体" w:cs="宋体"/>
                <w:b/>
                <w:bCs/>
                <w:color w:val="auto"/>
                <w:highlight w:val="none"/>
              </w:rPr>
              <w:t>考核标准</w:t>
            </w:r>
          </w:p>
        </w:tc>
        <w:tc>
          <w:tcPr>
            <w:tcW w:w="539" w:type="pct"/>
            <w:tcBorders>
              <w:top w:val="single" w:color="000000" w:sz="4" w:space="0"/>
              <w:left w:val="single" w:color="000000" w:sz="4" w:space="0"/>
              <w:bottom w:val="single" w:color="000000" w:sz="4" w:space="0"/>
              <w:right w:val="single" w:color="000000" w:sz="4" w:space="0"/>
            </w:tcBorders>
            <w:vAlign w:val="center"/>
          </w:tcPr>
          <w:p w14:paraId="551182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highlight w:val="none"/>
              </w:rPr>
            </w:pPr>
            <w:r>
              <w:rPr>
                <w:rFonts w:hint="eastAsia" w:ascii="宋体" w:hAnsi="宋体" w:eastAsia="宋体" w:cs="宋体"/>
                <w:b/>
                <w:bCs/>
                <w:color w:val="auto"/>
                <w:highlight w:val="none"/>
              </w:rPr>
              <w:t>满分值</w:t>
            </w:r>
          </w:p>
        </w:tc>
        <w:tc>
          <w:tcPr>
            <w:tcW w:w="268" w:type="pct"/>
            <w:tcBorders>
              <w:top w:val="single" w:color="000000" w:sz="4" w:space="0"/>
              <w:left w:val="single" w:color="000000" w:sz="4" w:space="0"/>
              <w:bottom w:val="single" w:color="000000" w:sz="4" w:space="0"/>
              <w:right w:val="single" w:color="000000" w:sz="4" w:space="0"/>
            </w:tcBorders>
            <w:vAlign w:val="center"/>
          </w:tcPr>
          <w:p w14:paraId="0EA450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highlight w:val="none"/>
              </w:rPr>
            </w:pPr>
            <w:r>
              <w:rPr>
                <w:rFonts w:hint="eastAsia" w:ascii="宋体" w:hAnsi="宋体" w:eastAsia="宋体" w:cs="宋体"/>
                <w:b/>
                <w:bCs/>
                <w:color w:val="auto"/>
                <w:highlight w:val="none"/>
              </w:rPr>
              <w:t>备注</w:t>
            </w:r>
          </w:p>
        </w:tc>
      </w:tr>
      <w:tr w14:paraId="06E6C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784B35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1</w:t>
            </w:r>
          </w:p>
        </w:tc>
        <w:tc>
          <w:tcPr>
            <w:tcW w:w="872" w:type="pct"/>
            <w:tcBorders>
              <w:top w:val="single" w:color="000000" w:sz="4" w:space="0"/>
              <w:left w:val="single" w:color="000000" w:sz="4" w:space="0"/>
              <w:bottom w:val="single" w:color="000000" w:sz="4" w:space="0"/>
              <w:right w:val="single" w:color="000000" w:sz="4" w:space="0"/>
            </w:tcBorders>
            <w:vAlign w:val="center"/>
          </w:tcPr>
          <w:p w14:paraId="487BD3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维修质量</w:t>
            </w:r>
          </w:p>
        </w:tc>
        <w:tc>
          <w:tcPr>
            <w:tcW w:w="2949" w:type="pct"/>
            <w:tcBorders>
              <w:top w:val="single" w:color="000000" w:sz="4" w:space="0"/>
              <w:left w:val="single" w:color="000000" w:sz="4" w:space="0"/>
              <w:bottom w:val="single" w:color="000000" w:sz="4" w:space="0"/>
              <w:right w:val="single" w:color="000000" w:sz="4" w:space="0"/>
            </w:tcBorders>
          </w:tcPr>
          <w:p w14:paraId="18300569">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若出现以下情况，出现一次扣2分，此项分扣完为止：</w:t>
            </w:r>
          </w:p>
          <w:p w14:paraId="728EBDF8">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1、一个月内，同一设备同一故障返修两次或以上的；</w:t>
            </w:r>
          </w:p>
          <w:p w14:paraId="69FEC429">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2、设备维修效果不佳，影响临床科室正常使用的，被投诉的。</w:t>
            </w:r>
          </w:p>
        </w:tc>
        <w:tc>
          <w:tcPr>
            <w:tcW w:w="539" w:type="pct"/>
            <w:tcBorders>
              <w:top w:val="single" w:color="000000" w:sz="4" w:space="0"/>
              <w:left w:val="single" w:color="000000" w:sz="4" w:space="0"/>
              <w:bottom w:val="single" w:color="000000" w:sz="4" w:space="0"/>
              <w:right w:val="single" w:color="000000" w:sz="4" w:space="0"/>
            </w:tcBorders>
            <w:vAlign w:val="center"/>
          </w:tcPr>
          <w:p w14:paraId="570E0A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20分</w:t>
            </w:r>
          </w:p>
        </w:tc>
        <w:tc>
          <w:tcPr>
            <w:tcW w:w="268" w:type="pct"/>
            <w:tcBorders>
              <w:top w:val="single" w:color="000000" w:sz="4" w:space="0"/>
              <w:left w:val="single" w:color="000000" w:sz="4" w:space="0"/>
              <w:bottom w:val="single" w:color="000000" w:sz="4" w:space="0"/>
              <w:right w:val="single" w:color="000000" w:sz="4" w:space="0"/>
            </w:tcBorders>
          </w:tcPr>
          <w:p w14:paraId="507DDBA3">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7D303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4F29B9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2</w:t>
            </w:r>
          </w:p>
        </w:tc>
        <w:tc>
          <w:tcPr>
            <w:tcW w:w="872" w:type="pct"/>
            <w:tcBorders>
              <w:top w:val="single" w:color="000000" w:sz="4" w:space="0"/>
              <w:left w:val="single" w:color="000000" w:sz="4" w:space="0"/>
              <w:bottom w:val="single" w:color="000000" w:sz="4" w:space="0"/>
              <w:right w:val="single" w:color="000000" w:sz="4" w:space="0"/>
            </w:tcBorders>
            <w:vAlign w:val="center"/>
          </w:tcPr>
          <w:p w14:paraId="416D0D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设备开机情况</w:t>
            </w:r>
          </w:p>
        </w:tc>
        <w:tc>
          <w:tcPr>
            <w:tcW w:w="2949" w:type="pct"/>
            <w:tcBorders>
              <w:top w:val="single" w:color="000000" w:sz="4" w:space="0"/>
              <w:left w:val="single" w:color="000000" w:sz="4" w:space="0"/>
              <w:bottom w:val="single" w:color="000000" w:sz="4" w:space="0"/>
              <w:right w:val="single" w:color="000000" w:sz="4" w:space="0"/>
            </w:tcBorders>
          </w:tcPr>
          <w:p w14:paraId="465A0031">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因设备故障未能及时修复，造成停机超过12小时的，每出现1次扣4分，此项分扣完为止。</w:t>
            </w:r>
          </w:p>
        </w:tc>
        <w:tc>
          <w:tcPr>
            <w:tcW w:w="539" w:type="pct"/>
            <w:tcBorders>
              <w:top w:val="single" w:color="000000" w:sz="4" w:space="0"/>
              <w:left w:val="single" w:color="000000" w:sz="4" w:space="0"/>
              <w:bottom w:val="single" w:color="000000" w:sz="4" w:space="0"/>
              <w:right w:val="single" w:color="000000" w:sz="4" w:space="0"/>
            </w:tcBorders>
            <w:vAlign w:val="center"/>
          </w:tcPr>
          <w:p w14:paraId="62845E8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20分</w:t>
            </w:r>
          </w:p>
        </w:tc>
        <w:tc>
          <w:tcPr>
            <w:tcW w:w="268" w:type="pct"/>
            <w:tcBorders>
              <w:top w:val="single" w:color="000000" w:sz="4" w:space="0"/>
              <w:left w:val="single" w:color="000000" w:sz="4" w:space="0"/>
              <w:bottom w:val="single" w:color="000000" w:sz="4" w:space="0"/>
              <w:right w:val="single" w:color="000000" w:sz="4" w:space="0"/>
            </w:tcBorders>
          </w:tcPr>
          <w:p w14:paraId="35AF9E81">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6BB85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3D7DE1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3</w:t>
            </w:r>
          </w:p>
        </w:tc>
        <w:tc>
          <w:tcPr>
            <w:tcW w:w="872" w:type="pct"/>
            <w:tcBorders>
              <w:top w:val="single" w:color="000000" w:sz="4" w:space="0"/>
              <w:left w:val="single" w:color="000000" w:sz="4" w:space="0"/>
              <w:bottom w:val="single" w:color="000000" w:sz="4" w:space="0"/>
              <w:right w:val="single" w:color="000000" w:sz="4" w:space="0"/>
            </w:tcBorders>
            <w:vAlign w:val="center"/>
          </w:tcPr>
          <w:p w14:paraId="34F4D08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设备质量控制情况</w:t>
            </w:r>
          </w:p>
        </w:tc>
        <w:tc>
          <w:tcPr>
            <w:tcW w:w="2949" w:type="pct"/>
            <w:tcBorders>
              <w:top w:val="single" w:color="000000" w:sz="4" w:space="0"/>
              <w:left w:val="single" w:color="000000" w:sz="4" w:space="0"/>
              <w:bottom w:val="single" w:color="000000" w:sz="4" w:space="0"/>
              <w:right w:val="single" w:color="000000" w:sz="4" w:space="0"/>
            </w:tcBorders>
          </w:tcPr>
          <w:p w14:paraId="6278F3E2">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设备在进行医用计量器具检定时，未能通过相关专业计量检测机构得检测合格，每出现一台扣10分，此项分扣完为止。</w:t>
            </w:r>
          </w:p>
        </w:tc>
        <w:tc>
          <w:tcPr>
            <w:tcW w:w="539" w:type="pct"/>
            <w:tcBorders>
              <w:top w:val="single" w:color="000000" w:sz="4" w:space="0"/>
              <w:left w:val="single" w:color="000000" w:sz="4" w:space="0"/>
              <w:bottom w:val="single" w:color="000000" w:sz="4" w:space="0"/>
              <w:right w:val="single" w:color="000000" w:sz="4" w:space="0"/>
            </w:tcBorders>
            <w:vAlign w:val="center"/>
          </w:tcPr>
          <w:p w14:paraId="44C2B8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20分</w:t>
            </w:r>
          </w:p>
        </w:tc>
        <w:tc>
          <w:tcPr>
            <w:tcW w:w="268" w:type="pct"/>
            <w:tcBorders>
              <w:top w:val="single" w:color="000000" w:sz="4" w:space="0"/>
              <w:left w:val="single" w:color="000000" w:sz="4" w:space="0"/>
              <w:bottom w:val="single" w:color="000000" w:sz="4" w:space="0"/>
              <w:right w:val="single" w:color="000000" w:sz="4" w:space="0"/>
            </w:tcBorders>
          </w:tcPr>
          <w:p w14:paraId="6FB04600">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62ABA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559701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4</w:t>
            </w:r>
          </w:p>
        </w:tc>
        <w:tc>
          <w:tcPr>
            <w:tcW w:w="872" w:type="pct"/>
            <w:tcBorders>
              <w:top w:val="single" w:color="000000" w:sz="4" w:space="0"/>
              <w:left w:val="single" w:color="000000" w:sz="4" w:space="0"/>
              <w:bottom w:val="single" w:color="000000" w:sz="4" w:space="0"/>
              <w:right w:val="single" w:color="000000" w:sz="4" w:space="0"/>
            </w:tcBorders>
            <w:vAlign w:val="center"/>
          </w:tcPr>
          <w:p w14:paraId="149568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服务态度</w:t>
            </w:r>
          </w:p>
        </w:tc>
        <w:tc>
          <w:tcPr>
            <w:tcW w:w="2949" w:type="pct"/>
            <w:tcBorders>
              <w:top w:val="single" w:color="000000" w:sz="4" w:space="0"/>
              <w:left w:val="single" w:color="000000" w:sz="4" w:space="0"/>
              <w:bottom w:val="single" w:color="000000" w:sz="4" w:space="0"/>
              <w:right w:val="single" w:color="000000" w:sz="4" w:space="0"/>
            </w:tcBorders>
          </w:tcPr>
          <w:p w14:paraId="4BB36284">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服务态度差，与科室发生争执，被科室投诉的，每次扣2分，此项分扣完为止。</w:t>
            </w:r>
          </w:p>
        </w:tc>
        <w:tc>
          <w:tcPr>
            <w:tcW w:w="539" w:type="pct"/>
            <w:tcBorders>
              <w:top w:val="single" w:color="000000" w:sz="4" w:space="0"/>
              <w:left w:val="single" w:color="000000" w:sz="4" w:space="0"/>
              <w:bottom w:val="single" w:color="000000" w:sz="4" w:space="0"/>
              <w:right w:val="single" w:color="000000" w:sz="4" w:space="0"/>
            </w:tcBorders>
            <w:vAlign w:val="center"/>
          </w:tcPr>
          <w:p w14:paraId="25A7A2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10分</w:t>
            </w:r>
          </w:p>
        </w:tc>
        <w:tc>
          <w:tcPr>
            <w:tcW w:w="268" w:type="pct"/>
            <w:tcBorders>
              <w:top w:val="single" w:color="000000" w:sz="4" w:space="0"/>
              <w:left w:val="single" w:color="000000" w:sz="4" w:space="0"/>
              <w:bottom w:val="single" w:color="000000" w:sz="4" w:space="0"/>
              <w:right w:val="single" w:color="000000" w:sz="4" w:space="0"/>
            </w:tcBorders>
          </w:tcPr>
          <w:p w14:paraId="1AB87520">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191854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7901AA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5</w:t>
            </w:r>
          </w:p>
        </w:tc>
        <w:tc>
          <w:tcPr>
            <w:tcW w:w="872" w:type="pct"/>
            <w:tcBorders>
              <w:top w:val="single" w:color="000000" w:sz="4" w:space="0"/>
              <w:left w:val="single" w:color="000000" w:sz="4" w:space="0"/>
              <w:bottom w:val="single" w:color="000000" w:sz="4" w:space="0"/>
              <w:right w:val="single" w:color="000000" w:sz="4" w:space="0"/>
            </w:tcBorders>
            <w:vAlign w:val="center"/>
          </w:tcPr>
          <w:p w14:paraId="50E8BD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维保计划执行性</w:t>
            </w:r>
          </w:p>
        </w:tc>
        <w:tc>
          <w:tcPr>
            <w:tcW w:w="2949" w:type="pct"/>
            <w:tcBorders>
              <w:top w:val="single" w:color="000000" w:sz="4" w:space="0"/>
              <w:left w:val="single" w:color="000000" w:sz="4" w:space="0"/>
              <w:bottom w:val="single" w:color="000000" w:sz="4" w:space="0"/>
              <w:right w:val="single" w:color="000000" w:sz="4" w:space="0"/>
            </w:tcBorders>
          </w:tcPr>
          <w:p w14:paraId="30A0396B">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按计划对维保设备提供年度灵活的定期检查和保养计划（1年4次以上），在计划实施前要跟科室做好沟通，保证检查和保养计划在科室配合下进行，不影响临床科室的正常工作；设备保养后须有科室人员签名的完整记录；未按维保计划执行的，单台设备每次扣</w:t>
            </w:r>
            <w:r>
              <w:rPr>
                <w:rFonts w:ascii="宋体" w:hAnsi="宋体" w:eastAsia="宋体" w:cs="宋体"/>
                <w:color w:val="auto"/>
                <w:highlight w:val="none"/>
              </w:rPr>
              <w:t>5</w:t>
            </w:r>
            <w:r>
              <w:rPr>
                <w:rFonts w:hint="eastAsia" w:ascii="宋体" w:hAnsi="宋体" w:eastAsia="宋体" w:cs="宋体"/>
                <w:color w:val="auto"/>
                <w:highlight w:val="none"/>
              </w:rPr>
              <w:t>分，此项分扣完为止。</w:t>
            </w:r>
          </w:p>
        </w:tc>
        <w:tc>
          <w:tcPr>
            <w:tcW w:w="539" w:type="pct"/>
            <w:tcBorders>
              <w:top w:val="single" w:color="000000" w:sz="4" w:space="0"/>
              <w:left w:val="single" w:color="000000" w:sz="4" w:space="0"/>
              <w:bottom w:val="single" w:color="000000" w:sz="4" w:space="0"/>
              <w:right w:val="single" w:color="000000" w:sz="4" w:space="0"/>
            </w:tcBorders>
            <w:vAlign w:val="center"/>
          </w:tcPr>
          <w:p w14:paraId="5637C87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10分</w:t>
            </w:r>
          </w:p>
        </w:tc>
        <w:tc>
          <w:tcPr>
            <w:tcW w:w="268" w:type="pct"/>
            <w:tcBorders>
              <w:top w:val="single" w:color="000000" w:sz="4" w:space="0"/>
              <w:left w:val="single" w:color="000000" w:sz="4" w:space="0"/>
              <w:bottom w:val="single" w:color="000000" w:sz="4" w:space="0"/>
              <w:right w:val="single" w:color="000000" w:sz="4" w:space="0"/>
            </w:tcBorders>
          </w:tcPr>
          <w:p w14:paraId="449CBBDC">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67CC6A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15A02A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6</w:t>
            </w:r>
          </w:p>
        </w:tc>
        <w:tc>
          <w:tcPr>
            <w:tcW w:w="872" w:type="pct"/>
            <w:tcBorders>
              <w:top w:val="single" w:color="000000" w:sz="4" w:space="0"/>
              <w:left w:val="single" w:color="000000" w:sz="4" w:space="0"/>
              <w:bottom w:val="single" w:color="000000" w:sz="4" w:space="0"/>
              <w:right w:val="single" w:color="000000" w:sz="4" w:space="0"/>
            </w:tcBorders>
            <w:vAlign w:val="center"/>
          </w:tcPr>
          <w:p w14:paraId="03393D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维修保养记录</w:t>
            </w:r>
          </w:p>
        </w:tc>
        <w:tc>
          <w:tcPr>
            <w:tcW w:w="2949" w:type="pct"/>
            <w:tcBorders>
              <w:top w:val="single" w:color="000000" w:sz="4" w:space="0"/>
              <w:left w:val="single" w:color="000000" w:sz="4" w:space="0"/>
              <w:bottom w:val="single" w:color="000000" w:sz="4" w:space="0"/>
              <w:right w:val="single" w:color="000000" w:sz="4" w:space="0"/>
            </w:tcBorders>
          </w:tcPr>
          <w:p w14:paraId="134E72AC">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lang w:val="en-US" w:eastAsia="zh-CN"/>
              </w:rPr>
              <w:t>成交供应商</w:t>
            </w:r>
            <w:r>
              <w:rPr>
                <w:rFonts w:hint="eastAsia" w:ascii="宋体" w:hAnsi="宋体" w:eastAsia="宋体" w:cs="宋体"/>
                <w:color w:val="auto"/>
                <w:highlight w:val="none"/>
              </w:rPr>
              <w:t>每次维修保养后，需做好记录备案，如发现缺少一次扣</w:t>
            </w:r>
            <w:r>
              <w:rPr>
                <w:rFonts w:ascii="宋体" w:hAnsi="宋体" w:eastAsia="宋体" w:cs="宋体"/>
                <w:color w:val="auto"/>
                <w:highlight w:val="none"/>
              </w:rPr>
              <w:t>5</w:t>
            </w:r>
            <w:r>
              <w:rPr>
                <w:rFonts w:hint="eastAsia" w:ascii="宋体" w:hAnsi="宋体" w:eastAsia="宋体" w:cs="宋体"/>
                <w:color w:val="auto"/>
                <w:highlight w:val="none"/>
              </w:rPr>
              <w:t>分，此项分扣完为止。</w:t>
            </w:r>
          </w:p>
        </w:tc>
        <w:tc>
          <w:tcPr>
            <w:tcW w:w="539" w:type="pct"/>
            <w:tcBorders>
              <w:top w:val="single" w:color="000000" w:sz="4" w:space="0"/>
              <w:left w:val="single" w:color="000000" w:sz="4" w:space="0"/>
              <w:bottom w:val="single" w:color="000000" w:sz="4" w:space="0"/>
              <w:right w:val="single" w:color="000000" w:sz="4" w:space="0"/>
            </w:tcBorders>
            <w:vAlign w:val="center"/>
          </w:tcPr>
          <w:p w14:paraId="224C7E2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20分</w:t>
            </w:r>
          </w:p>
        </w:tc>
        <w:tc>
          <w:tcPr>
            <w:tcW w:w="268" w:type="pct"/>
            <w:tcBorders>
              <w:top w:val="single" w:color="000000" w:sz="4" w:space="0"/>
              <w:left w:val="single" w:color="000000" w:sz="4" w:space="0"/>
              <w:bottom w:val="single" w:color="000000" w:sz="4" w:space="0"/>
              <w:right w:val="single" w:color="000000" w:sz="4" w:space="0"/>
            </w:tcBorders>
          </w:tcPr>
          <w:p w14:paraId="764C74E9">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608E9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tcBorders>
              <w:top w:val="single" w:color="000000" w:sz="4" w:space="0"/>
              <w:left w:val="single" w:color="000000" w:sz="4" w:space="0"/>
              <w:bottom w:val="single" w:color="000000" w:sz="4" w:space="0"/>
              <w:right w:val="single" w:color="000000" w:sz="4" w:space="0"/>
            </w:tcBorders>
          </w:tcPr>
          <w:p w14:paraId="585BA5DB">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注：</w:t>
            </w:r>
          </w:p>
          <w:p w14:paraId="2C73A8BF">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1、维护保养质量考核表作为双方结算服务费依据，</w:t>
            </w:r>
            <w:r>
              <w:rPr>
                <w:rFonts w:hint="eastAsia" w:ascii="宋体" w:hAnsi="宋体" w:eastAsia="宋体" w:cs="宋体"/>
                <w:color w:val="auto"/>
                <w:highlight w:val="none"/>
                <w:lang w:val="en-US" w:eastAsia="zh-CN"/>
              </w:rPr>
              <w:t>成交供应商</w:t>
            </w:r>
            <w:r>
              <w:rPr>
                <w:rFonts w:hint="eastAsia" w:ascii="宋体" w:hAnsi="宋体" w:eastAsia="宋体" w:cs="宋体"/>
                <w:color w:val="auto"/>
                <w:highlight w:val="none"/>
              </w:rPr>
              <w:t>服务每满3个月为1个考核周期，采购人每个考核周期内对</w:t>
            </w:r>
            <w:r>
              <w:rPr>
                <w:rFonts w:hint="eastAsia" w:ascii="宋体" w:hAnsi="宋体" w:eastAsia="宋体" w:cs="宋体"/>
                <w:color w:val="auto"/>
                <w:highlight w:val="none"/>
                <w:lang w:val="en-US" w:eastAsia="zh-CN"/>
              </w:rPr>
              <w:t>成交供应商</w:t>
            </w:r>
            <w:r>
              <w:rPr>
                <w:rFonts w:hint="eastAsia" w:ascii="宋体" w:hAnsi="宋体" w:eastAsia="宋体" w:cs="宋体"/>
                <w:color w:val="auto"/>
                <w:highlight w:val="none"/>
              </w:rPr>
              <w:t>进行不少于1次考核，并在</w:t>
            </w:r>
            <w:r>
              <w:rPr>
                <w:rFonts w:hint="eastAsia" w:ascii="宋体" w:hAnsi="宋体" w:eastAsia="宋体" w:cs="宋体"/>
                <w:color w:val="auto"/>
                <w:highlight w:val="none"/>
                <w:lang w:val="en-US" w:eastAsia="zh-CN"/>
              </w:rPr>
              <w:t>成交供应商</w:t>
            </w:r>
            <w:r>
              <w:rPr>
                <w:rFonts w:hint="eastAsia" w:ascii="宋体" w:hAnsi="宋体" w:eastAsia="宋体" w:cs="宋体"/>
                <w:color w:val="auto"/>
                <w:highlight w:val="none"/>
              </w:rPr>
              <w:t>开具当期服务费发票前完成考核。</w:t>
            </w:r>
            <w:r>
              <w:rPr>
                <w:rFonts w:hint="eastAsia" w:ascii="宋体" w:hAnsi="宋体" w:eastAsia="宋体" w:cs="宋体"/>
                <w:color w:val="auto"/>
                <w:highlight w:val="none"/>
                <w:lang w:val="en-US" w:eastAsia="zh-CN"/>
              </w:rPr>
              <w:t>成交供应商</w:t>
            </w:r>
            <w:r>
              <w:rPr>
                <w:rFonts w:hint="eastAsia" w:ascii="宋体" w:hAnsi="宋体" w:eastAsia="宋体" w:cs="宋体"/>
                <w:color w:val="auto"/>
                <w:highlight w:val="none"/>
              </w:rPr>
              <w:t>须根据考核得分情况，从当期服务费中扣除扣罚金额后开具相应金额发票。</w:t>
            </w:r>
          </w:p>
          <w:p w14:paraId="1DE8ED8E">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2、本考核表考核分满分为100分，扣罚标准如下：</w:t>
            </w:r>
          </w:p>
          <w:p w14:paraId="18D64064">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（1）考核得分均≥80分为合格，考核当期的维保服务费按全额支付；</w:t>
            </w:r>
          </w:p>
          <w:p w14:paraId="2D91FFA1">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2）考核得分出现＜80分情形的为不合格，同1个考核周期内出现1次考核不合格的扣除考核当期服务费的20%；同1个考核周内累计2次或服务期内累计3次考核不合格的扣除考核当期服务费的50%，采购人并有权解除合同。</w:t>
            </w:r>
          </w:p>
        </w:tc>
      </w:tr>
    </w:tbl>
    <w:p w14:paraId="18D3AD8F">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0" w:name="_Toc11850"/>
      <w:r>
        <w:rPr>
          <w:rFonts w:hint="eastAsia" w:asciiTheme="minorEastAsia" w:hAnsiTheme="minorEastAsia" w:eastAsiaTheme="minorEastAsia"/>
          <w:spacing w:val="20"/>
          <w:sz w:val="32"/>
          <w:szCs w:val="32"/>
        </w:rPr>
        <w:t>第三章 磋商须知</w:t>
      </w:r>
      <w:bookmarkEnd w:id="10"/>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2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2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20"/>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2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2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20"/>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21F46671">
      <w:pPr>
        <w:pStyle w:val="70"/>
        <w:widowControl/>
        <w:numPr>
          <w:ilvl w:val="0"/>
          <w:numId w:val="19"/>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kern w:val="0"/>
                <w:szCs w:val="21"/>
              </w:rPr>
            </w:pPr>
            <w:r>
              <w:rPr>
                <w:rFonts w:hint="eastAsia" w:ascii="宋体" w:hAnsi="宋体"/>
                <w:kern w:val="0"/>
                <w:szCs w:val="21"/>
              </w:rPr>
              <w:t>服务</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58EDEA8C">
            <w:pPr>
              <w:widowControl/>
              <w:snapToGrid w:val="0"/>
              <w:spacing w:line="400" w:lineRule="exact"/>
              <w:contextualSpacing/>
              <w:rPr>
                <w:rFonts w:ascii="宋体" w:hAnsi="宋体"/>
                <w:kern w:val="0"/>
                <w:szCs w:val="21"/>
              </w:rPr>
            </w:pPr>
            <w:r>
              <w:rPr>
                <w:rFonts w:hint="eastAsia" w:ascii="宋体" w:hAnsi="宋体"/>
                <w:kern w:val="0"/>
                <w:szCs w:val="21"/>
                <w:lang w:val="en-US" w:eastAsia="zh-CN"/>
              </w:rPr>
              <w:t>自筹</w:t>
            </w:r>
            <w:r>
              <w:rPr>
                <w:rFonts w:hint="eastAsia" w:ascii="宋体" w:hAnsi="宋体"/>
                <w:kern w:val="0"/>
                <w:szCs w:val="21"/>
              </w:rPr>
              <w:t>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从提交响应文件的截止之日起90日历天</w:t>
            </w:r>
            <w:r>
              <w:rPr>
                <w:rFonts w:hint="eastAsia" w:ascii="宋体" w:hAnsi="宋体"/>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51EB20E4">
            <w:pPr>
              <w:widowControl/>
              <w:snapToGrid w:val="0"/>
              <w:spacing w:line="400" w:lineRule="exact"/>
              <w:contextualSpacing/>
              <w:rPr>
                <w:rFonts w:ascii="宋体" w:hAnsi="宋体"/>
                <w:kern w:val="0"/>
                <w:szCs w:val="21"/>
              </w:rPr>
            </w:pPr>
            <w:r>
              <w:rPr>
                <w:rFonts w:hint="eastAsia" w:ascii="宋体" w:hAnsi="宋体"/>
                <w:kern w:val="0"/>
                <w:szCs w:val="21"/>
                <w:lang w:val="en-US" w:eastAsia="zh-CN"/>
              </w:rPr>
              <w:t>不收取</w:t>
            </w:r>
            <w:r>
              <w:rPr>
                <w:rFonts w:ascii="宋体" w:hAnsi="宋体"/>
                <w:kern w:val="0"/>
                <w:szCs w:val="21"/>
                <w:lang w:eastAsia="zh-Hans"/>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kern w:val="0"/>
                <w:szCs w:val="21"/>
                <w:lang w:eastAsia="zh-Hans"/>
              </w:rPr>
            </w:pPr>
            <w:r>
              <w:rPr>
                <w:rFonts w:ascii="宋体" w:hAnsi="宋体"/>
                <w:b/>
                <w:kern w:val="0"/>
                <w:szCs w:val="21"/>
                <w:lang w:eastAsia="zh-Hans"/>
              </w:rPr>
              <w:t>一、电子</w:t>
            </w:r>
            <w:r>
              <w:rPr>
                <w:rFonts w:hint="eastAsia" w:ascii="宋体" w:hAnsi="宋体"/>
                <w:b/>
                <w:kern w:val="0"/>
                <w:szCs w:val="21"/>
                <w:lang w:eastAsia="zh-Hans"/>
              </w:rPr>
              <w:t>响应</w:t>
            </w:r>
            <w:r>
              <w:rPr>
                <w:rFonts w:ascii="宋体" w:hAnsi="宋体"/>
                <w:b/>
                <w:kern w:val="0"/>
                <w:szCs w:val="21"/>
                <w:lang w:eastAsia="zh-Hans"/>
              </w:rPr>
              <w:t>文件：</w:t>
            </w:r>
          </w:p>
          <w:p w14:paraId="366DC476">
            <w:pPr>
              <w:widowControl/>
              <w:snapToGrid w:val="0"/>
              <w:spacing w:line="400" w:lineRule="exact"/>
              <w:contextualSpacing/>
              <w:rPr>
                <w:rFonts w:ascii="宋体" w:hAnsi="宋体"/>
                <w:kern w:val="0"/>
                <w:szCs w:val="21"/>
              </w:rPr>
            </w:pPr>
            <w:r>
              <w:rPr>
                <w:rFonts w:ascii="宋体" w:hAnsi="宋体"/>
                <w:kern w:val="0"/>
                <w:szCs w:val="21"/>
                <w:lang w:eastAsia="zh-Hans"/>
              </w:rPr>
              <w:t>电</w:t>
            </w:r>
            <w:r>
              <w:rPr>
                <w:rFonts w:hint="eastAsia" w:ascii="宋体" w:hAnsi="宋体"/>
                <w:kern w:val="0"/>
                <w:szCs w:val="21"/>
                <w:lang w:eastAsia="zh-Hans"/>
              </w:rPr>
              <w:t>子响应</w:t>
            </w:r>
            <w:r>
              <w:rPr>
                <w:rFonts w:ascii="宋体" w:hAnsi="宋体"/>
                <w:kern w:val="0"/>
                <w:szCs w:val="21"/>
                <w:lang w:eastAsia="zh-Hans"/>
              </w:rPr>
              <w:t>文件U盘(或光盘)</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w:t>
            </w:r>
          </w:p>
          <w:p w14:paraId="2C16A99A">
            <w:pPr>
              <w:widowControl/>
              <w:snapToGrid w:val="0"/>
              <w:spacing w:line="400" w:lineRule="exact"/>
              <w:contextualSpacing/>
              <w:rPr>
                <w:rFonts w:ascii="宋体" w:hAnsi="宋体"/>
                <w:kern w:val="0"/>
                <w:szCs w:val="21"/>
              </w:rPr>
            </w:pPr>
            <w:r>
              <w:rPr>
                <w:rFonts w:ascii="宋体" w:hAnsi="宋体"/>
                <w:b/>
                <w:kern w:val="0"/>
                <w:szCs w:val="21"/>
                <w:lang w:eastAsia="zh-Hans"/>
              </w:rPr>
              <w:t>二、</w:t>
            </w:r>
            <w:r>
              <w:rPr>
                <w:rFonts w:hint="eastAsia" w:ascii="宋体" w:hAnsi="宋体"/>
                <w:b/>
                <w:kern w:val="0"/>
                <w:szCs w:val="21"/>
                <w:lang w:eastAsia="zh-Hans"/>
              </w:rPr>
              <w:t>响应</w:t>
            </w:r>
            <w:r>
              <w:rPr>
                <w:rFonts w:ascii="宋体" w:hAnsi="宋体"/>
                <w:b/>
                <w:kern w:val="0"/>
                <w:szCs w:val="21"/>
                <w:lang w:eastAsia="zh-Hans"/>
              </w:rPr>
              <w:t>文件：</w:t>
            </w:r>
          </w:p>
          <w:p w14:paraId="7C753E67">
            <w:pPr>
              <w:widowControl/>
              <w:snapToGrid w:val="0"/>
              <w:spacing w:line="400" w:lineRule="exact"/>
              <w:contextualSpacing/>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文件正本</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响应</w:t>
            </w:r>
            <w:r>
              <w:rPr>
                <w:rFonts w:ascii="宋体" w:hAnsi="宋体"/>
                <w:kern w:val="0"/>
                <w:szCs w:val="21"/>
                <w:lang w:eastAsia="zh-Hans"/>
              </w:rPr>
              <w:t>文件副本</w:t>
            </w:r>
            <w:r>
              <w:rPr>
                <w:rFonts w:hint="eastAsia" w:ascii="宋体" w:hAnsi="宋体"/>
                <w:kern w:val="0"/>
                <w:szCs w:val="21"/>
              </w:rPr>
              <w:t>3</w:t>
            </w:r>
            <w:r>
              <w:rPr>
                <w:rFonts w:ascii="宋体" w:hAnsi="宋体"/>
                <w:kern w:val="0"/>
                <w:szCs w:val="21"/>
                <w:lang w:eastAsia="zh-Hans"/>
              </w:rPr>
              <w:t>份。</w:t>
            </w:r>
          </w:p>
          <w:p w14:paraId="13C06A1E">
            <w:pPr>
              <w:widowControl/>
              <w:snapToGrid w:val="0"/>
              <w:spacing w:line="400" w:lineRule="exact"/>
              <w:contextualSpacing/>
              <w:rPr>
                <w:rFonts w:ascii="宋体" w:hAnsi="宋体"/>
                <w:kern w:val="0"/>
                <w:szCs w:val="21"/>
              </w:rPr>
            </w:pPr>
            <w:r>
              <w:rPr>
                <w:rFonts w:ascii="宋体" w:hAnsi="宋体"/>
                <w:kern w:val="0"/>
                <w:szCs w:val="21"/>
                <w:lang w:eastAsia="zh-Hans"/>
              </w:rPr>
              <w:t>（递交的</w:t>
            </w:r>
            <w:r>
              <w:rPr>
                <w:rFonts w:hint="eastAsia" w:ascii="宋体" w:hAnsi="宋体"/>
                <w:kern w:val="0"/>
                <w:szCs w:val="21"/>
                <w:lang w:eastAsia="zh-Hans"/>
              </w:rPr>
              <w:t>响应</w:t>
            </w:r>
            <w:r>
              <w:rPr>
                <w:rFonts w:ascii="宋体" w:hAnsi="宋体"/>
                <w:kern w:val="0"/>
                <w:szCs w:val="21"/>
                <w:lang w:eastAsia="zh-Hans"/>
              </w:rPr>
              <w:t>文件需密封完好，</w:t>
            </w:r>
            <w:r>
              <w:rPr>
                <w:rFonts w:hint="eastAsia" w:ascii="宋体" w:hAnsi="宋体"/>
                <w:kern w:val="0"/>
                <w:szCs w:val="21"/>
                <w:lang w:eastAsia="zh-Hans"/>
              </w:rPr>
              <w:t>每套响应文件须清楚地标明“正本”或“副本”。若副本与正本不符，以正本为准。</w:t>
            </w:r>
            <w:r>
              <w:rPr>
                <w:rFonts w:ascii="宋体" w:hAnsi="宋体"/>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成交</w:t>
            </w:r>
            <w:r>
              <w:rPr>
                <w:rFonts w:ascii="宋体" w:hAnsi="宋体"/>
                <w:color w:val="auto"/>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收取。采购机构代理服务收费标准：参照国家计委文件“计价格[2002]1980号文”、“发改办价格[2003]857号文”和“发改价格[2011]534号文”的规定标准执行。</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履约担保</w:t>
            </w:r>
          </w:p>
        </w:tc>
        <w:tc>
          <w:tcPr>
            <w:tcW w:w="3619" w:type="pct"/>
            <w:vAlign w:val="center"/>
          </w:tcPr>
          <w:p w14:paraId="56DC2A87">
            <w:pPr>
              <w:widowControl/>
              <w:snapToGrid w:val="0"/>
              <w:spacing w:line="400" w:lineRule="exact"/>
              <w:contextualSpacing/>
              <w:rPr>
                <w:rFonts w:ascii="宋体" w:hAnsi="宋体"/>
                <w:color w:val="auto"/>
                <w:kern w:val="0"/>
                <w:szCs w:val="21"/>
                <w:lang w:eastAsia="zh-Hans"/>
              </w:rPr>
            </w:pPr>
            <w:r>
              <w:rPr>
                <w:rFonts w:hint="eastAsia" w:ascii="宋体" w:hAnsi="宋体"/>
                <w:color w:val="auto"/>
                <w:szCs w:val="21"/>
                <w:lang w:val="en-US" w:eastAsia="zh-CN"/>
              </w:rPr>
              <w:t>不收取</w:t>
            </w:r>
            <w:r>
              <w:rPr>
                <w:rFonts w:ascii="宋体" w:hAnsi="宋体"/>
                <w:color w:val="auto"/>
                <w:szCs w:val="21"/>
                <w:lang w:val="zh-CN"/>
              </w:rPr>
              <w:t>。</w:t>
            </w:r>
          </w:p>
        </w:tc>
      </w:tr>
    </w:tbl>
    <w:p w14:paraId="420D7E1F">
      <w:pPr>
        <w:widowControl/>
        <w:snapToGrid w:val="0"/>
        <w:spacing w:before="312" w:beforeLines="100" w:line="360" w:lineRule="auto"/>
        <w:contextualSpacing/>
        <w:jc w:val="left"/>
        <w:outlineLvl w:val="9"/>
        <w:rPr>
          <w:rFonts w:ascii="宋体" w:hAnsi="宋体"/>
          <w:b/>
          <w:kern w:val="0"/>
          <w:szCs w:val="21"/>
        </w:rPr>
      </w:pPr>
    </w:p>
    <w:p w14:paraId="00DD2CF4">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color w:val="auto"/>
          <w:kern w:val="0"/>
          <w:szCs w:val="21"/>
          <w:lang w:eastAsia="zh-Hans"/>
        </w:rPr>
        <w:t>参考</w:t>
      </w:r>
      <w:r>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kern w:val="0"/>
          <w:szCs w:val="21"/>
          <w:lang w:eastAsia="zh-Hans"/>
        </w:rPr>
        <w:t>等</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3A82A57B">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174DF57A">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30891E70">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18027132">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5713EDCD">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3296BA13">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77A9B27">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059ECC1D">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w:t>
      </w:r>
      <w:r>
        <w:rPr>
          <w:rFonts w:hint="eastAsia" w:ascii="宋体" w:hAnsi="宋体"/>
          <w:kern w:val="0"/>
          <w:szCs w:val="21"/>
          <w:lang w:eastAsia="zh-CN"/>
        </w:rPr>
        <w:t>（</w:t>
      </w:r>
      <w:r>
        <w:rPr>
          <w:rFonts w:hint="eastAsia" w:ascii="宋体" w:hAnsi="宋体"/>
          <w:kern w:val="0"/>
          <w:szCs w:val="21"/>
          <w:lang w:val="en-US" w:eastAsia="zh-CN"/>
        </w:rPr>
        <w:t>如适用</w:t>
      </w:r>
      <w:r>
        <w:rPr>
          <w:rFonts w:hint="eastAsia" w:ascii="宋体" w:hAnsi="宋体"/>
          <w:kern w:val="0"/>
          <w:szCs w:val="21"/>
          <w:lang w:eastAsia="zh-CN"/>
        </w:rPr>
        <w:t>）</w:t>
      </w:r>
      <w:r>
        <w:rPr>
          <w:rFonts w:ascii="宋体" w:hAnsi="宋体"/>
          <w:kern w:val="0"/>
          <w:szCs w:val="21"/>
          <w:lang w:eastAsia="zh-Hans"/>
        </w:rPr>
        <w:t>”规定的格式报出总价和分项价格。磋商总价中不得包含磋商文件要求以外的内容，否则，在评审时不予核减。</w:t>
      </w:r>
    </w:p>
    <w:p w14:paraId="0BE6FCCE">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AAD5990">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68B87D3F">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30"/>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w:t>
      </w:r>
      <w:r>
        <w:rPr>
          <w:rFonts w:ascii="宋体" w:hAnsi="宋体"/>
          <w:color w:val="auto"/>
          <w:kern w:val="0"/>
          <w:szCs w:val="21"/>
          <w:lang w:eastAsia="zh-Hans"/>
        </w:rPr>
        <w:t>准。</w:t>
      </w:r>
    </w:p>
    <w:p w14:paraId="402B995C">
      <w:pPr>
        <w:pStyle w:val="70"/>
        <w:widowControl/>
        <w:numPr>
          <w:ilvl w:val="0"/>
          <w:numId w:val="30"/>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lang w:eastAsia="zh-Hans"/>
        </w:rPr>
        <w:t>并书面报告监督管理部门</w:t>
      </w:r>
      <w:r>
        <w:rPr>
          <w:rFonts w:ascii="宋体" w:hAnsi="宋体"/>
          <w:color w:val="auto"/>
          <w:kern w:val="0"/>
          <w:szCs w:val="21"/>
          <w:lang w:eastAsia="zh-Hans"/>
        </w:rPr>
        <w:t>。</w:t>
      </w:r>
    </w:p>
    <w:p w14:paraId="3B2AA416">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bookmarkStart w:id="11" w:name="_Toc410738954"/>
      <w:bookmarkStart w:id="12" w:name="_Toc416771341"/>
      <w:bookmarkStart w:id="13" w:name="_Toc416770231"/>
      <w:bookmarkStart w:id="14" w:name="_Toc410736154"/>
      <w:r>
        <w:rPr>
          <w:rFonts w:hint="eastAsia" w:asciiTheme="minorEastAsia" w:hAnsiTheme="minorEastAsia" w:eastAsiaTheme="minorEastAsia"/>
          <w:b/>
          <w:bCs/>
        </w:rPr>
        <w:t>响应文件的式样和签署</w:t>
      </w:r>
      <w:bookmarkEnd w:id="11"/>
      <w:bookmarkEnd w:id="12"/>
      <w:bookmarkEnd w:id="13"/>
      <w:bookmarkEnd w:id="14"/>
    </w:p>
    <w:p w14:paraId="6DE5B1BD">
      <w:pPr>
        <w:pStyle w:val="70"/>
        <w:numPr>
          <w:ilvl w:val="0"/>
          <w:numId w:val="31"/>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31"/>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32"/>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2"/>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31"/>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29"/>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5" w:name="_Toc502738627"/>
      <w:bookmarkStart w:id="16" w:name="_Toc416771342"/>
      <w:bookmarkStart w:id="17" w:name="_Toc410736155"/>
      <w:bookmarkStart w:id="18" w:name="_Toc416770232"/>
      <w:bookmarkStart w:id="19" w:name="_Toc410738955"/>
      <w:r>
        <w:rPr>
          <w:rFonts w:hint="eastAsia" w:asciiTheme="minorEastAsia" w:hAnsiTheme="minorEastAsia" w:eastAsiaTheme="minorEastAsia"/>
          <w:b/>
          <w:bCs/>
        </w:rPr>
        <w:t>响应文件的递交</w:t>
      </w:r>
      <w:bookmarkEnd w:id="15"/>
      <w:bookmarkEnd w:id="16"/>
      <w:bookmarkEnd w:id="17"/>
      <w:bookmarkEnd w:id="18"/>
      <w:bookmarkEnd w:id="19"/>
    </w:p>
    <w:p w14:paraId="79DB5479">
      <w:pPr>
        <w:pStyle w:val="70"/>
        <w:numPr>
          <w:ilvl w:val="0"/>
          <w:numId w:val="33"/>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0" w:name="_Toc416771343"/>
      <w:bookmarkStart w:id="21" w:name="_Toc410736156"/>
      <w:bookmarkStart w:id="22" w:name="_Toc410738956"/>
      <w:bookmarkStart w:id="23" w:name="_Toc416770233"/>
      <w:r>
        <w:rPr>
          <w:rFonts w:hint="eastAsia" w:asciiTheme="minorEastAsia" w:hAnsiTheme="minorEastAsia" w:eastAsiaTheme="minorEastAsia"/>
          <w:b/>
          <w:bCs/>
        </w:rPr>
        <w:t>响应文件的密封和标记</w:t>
      </w:r>
      <w:bookmarkEnd w:id="20"/>
      <w:bookmarkEnd w:id="21"/>
      <w:bookmarkEnd w:id="22"/>
      <w:bookmarkEnd w:id="23"/>
    </w:p>
    <w:p w14:paraId="6E44954C">
      <w:pPr>
        <w:pStyle w:val="70"/>
        <w:numPr>
          <w:ilvl w:val="0"/>
          <w:numId w:val="34"/>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34"/>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4" w:name="_Hlk86740118"/>
      <w:r>
        <w:rPr>
          <w:rFonts w:hint="eastAsia" w:ascii="宋体" w:hAnsi="宋体"/>
          <w:bCs/>
          <w:szCs w:val="21"/>
        </w:rPr>
        <w:t>须同时提交以下文件</w:t>
      </w:r>
      <w:bookmarkEnd w:id="24"/>
      <w:r>
        <w:rPr>
          <w:rFonts w:hint="eastAsia" w:ascii="宋体" w:hAnsi="宋体"/>
          <w:bCs/>
          <w:szCs w:val="21"/>
        </w:rPr>
        <w:t>：</w:t>
      </w:r>
      <w:bookmarkStart w:id="25"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5"/>
      <w:r>
        <w:rPr>
          <w:rFonts w:hint="eastAsia" w:ascii="宋体" w:hAnsi="宋体"/>
          <w:bCs/>
          <w:szCs w:val="21"/>
        </w:rPr>
        <w:t>。</w:t>
      </w:r>
    </w:p>
    <w:p w14:paraId="7840E142">
      <w:pPr>
        <w:pStyle w:val="70"/>
        <w:numPr>
          <w:ilvl w:val="0"/>
          <w:numId w:val="34"/>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6"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6"/>
    <w:p w14:paraId="6C0EA5E6">
      <w:pPr>
        <w:pStyle w:val="70"/>
        <w:widowControl/>
        <w:numPr>
          <w:ilvl w:val="0"/>
          <w:numId w:val="29"/>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27" w:name="_Toc410736157"/>
      <w:bookmarkStart w:id="28" w:name="_Toc416771344"/>
      <w:bookmarkStart w:id="29" w:name="_Toc416770234"/>
      <w:bookmarkStart w:id="30" w:name="_Toc410738957"/>
      <w:r>
        <w:rPr>
          <w:rFonts w:hint="eastAsia" w:asciiTheme="minorEastAsia" w:hAnsiTheme="minorEastAsia" w:eastAsiaTheme="minorEastAsia"/>
          <w:b/>
          <w:bCs/>
        </w:rPr>
        <w:t>响应文件包装密封</w:t>
      </w:r>
    </w:p>
    <w:p w14:paraId="08FF4B64">
      <w:pPr>
        <w:pStyle w:val="70"/>
        <w:numPr>
          <w:ilvl w:val="0"/>
          <w:numId w:val="3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3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3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0"/>
        <w:numPr>
          <w:ilvl w:val="0"/>
          <w:numId w:val="35"/>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29"/>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27"/>
      <w:bookmarkEnd w:id="28"/>
      <w:bookmarkEnd w:id="29"/>
      <w:bookmarkEnd w:id="30"/>
    </w:p>
    <w:p w14:paraId="7C40EA8C">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中指明的地址。</w:t>
      </w:r>
    </w:p>
    <w:p w14:paraId="6172F1E5">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4974A3AF">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37"/>
        </w:numPr>
        <w:snapToGrid w:val="0"/>
        <w:spacing w:line="360" w:lineRule="auto"/>
        <w:ind w:left="426" w:hanging="426" w:firstLineChars="0"/>
        <w:contextualSpacing/>
        <w:jc w:val="left"/>
        <w:rPr>
          <w:rFonts w:ascii="宋体" w:hAnsi="宋体"/>
          <w:kern w:val="0"/>
          <w:szCs w:val="21"/>
          <w:lang w:eastAsia="zh-Hans"/>
        </w:rPr>
      </w:pPr>
      <w:r>
        <w:rPr>
          <w:rFonts w:hint="eastAsia" w:ascii="宋体" w:hAnsi="宋体"/>
          <w:kern w:val="0"/>
          <w:szCs w:val="21"/>
          <w:lang w:eastAsia="zh-Hans"/>
        </w:rPr>
        <w:t>在提交响应文件截止时间前，供应商可以修改或撤回响应文件，并于提交响应文件截止时间前将修改后重新提供响应文件，到达响应文件提交截止时间后，将不允许修改或撤回。</w:t>
      </w:r>
    </w:p>
    <w:p w14:paraId="2C0B6AAC">
      <w:pPr>
        <w:pStyle w:val="70"/>
        <w:widowControl/>
        <w:numPr>
          <w:ilvl w:val="0"/>
          <w:numId w:val="37"/>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56E49514">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响应保</w:t>
      </w:r>
      <w:r>
        <w:rPr>
          <w:rFonts w:ascii="宋体" w:hAnsi="宋体"/>
          <w:b/>
          <w:color w:val="auto"/>
          <w:kern w:val="0"/>
          <w:szCs w:val="21"/>
          <w:lang w:eastAsia="zh-Hans"/>
        </w:rPr>
        <w:t>证金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0"/>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6F913A57">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ascii="宋体" w:hAnsi="宋体"/>
          <w:kern w:val="0"/>
          <w:szCs w:val="21"/>
          <w:lang w:eastAsia="zh-Hans"/>
        </w:rPr>
        <w:t>规定的金额和缴纳要求缴纳响应保证金，并作为其响应文件的组成部分。</w:t>
      </w:r>
    </w:p>
    <w:p w14:paraId="2DF501F8">
      <w:pPr>
        <w:pStyle w:val="70"/>
        <w:widowControl/>
        <w:numPr>
          <w:ilvl w:val="0"/>
          <w:numId w:val="39"/>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kern w:val="0"/>
          <w:szCs w:val="21"/>
          <w:lang w:eastAsia="zh-Hans"/>
        </w:rPr>
        <w:t>规定的金额递交至采购代理机构，到账情况以开标时采购代理机构查询的信息为准。</w:t>
      </w:r>
    </w:p>
    <w:p w14:paraId="67E0E52B">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6FA949C6">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552C12BC">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2A285552">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31C65E5">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37DC40E">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4AD719F6">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390BDA25">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598EF326">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47"/>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4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1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75ED075C">
      <w:pPr>
        <w:pStyle w:val="70"/>
        <w:widowControl/>
        <w:numPr>
          <w:ilvl w:val="3"/>
          <w:numId w:val="49"/>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50"/>
        </w:numPr>
        <w:snapToGrid w:val="0"/>
        <w:spacing w:line="360" w:lineRule="auto"/>
        <w:ind w:left="442" w:hanging="442" w:firstLineChars="0"/>
        <w:contextualSpacing/>
        <w:rPr>
          <w:rFonts w:ascii="宋体" w:hAnsi="宋体"/>
        </w:rPr>
      </w:pPr>
      <w:r>
        <w:rPr>
          <w:rFonts w:ascii="宋体" w:hAnsi="宋体"/>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ascii="宋体" w:hAnsi="宋体"/>
        </w:rPr>
        <w:t>中“采购人、采购代理机构的名称、地址和联系方式”。</w:t>
      </w:r>
    </w:p>
    <w:p w14:paraId="3A1E2557">
      <w:pPr>
        <w:pStyle w:val="70"/>
        <w:widowControl/>
        <w:numPr>
          <w:ilvl w:val="3"/>
          <w:numId w:val="49"/>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2"/>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3C491FFB">
      <w:pPr>
        <w:pStyle w:val="70"/>
        <w:widowControl/>
        <w:numPr>
          <w:ilvl w:val="0"/>
          <w:numId w:val="52"/>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52"/>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53"/>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53"/>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53"/>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7E9F5EA">
      <w:pPr>
        <w:pStyle w:val="70"/>
        <w:widowControl/>
        <w:numPr>
          <w:ilvl w:val="0"/>
          <w:numId w:val="53"/>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以联合体形式参加采购活动的，其质疑应当由联合体成员委托主体提出。</w:t>
      </w:r>
    </w:p>
    <w:p w14:paraId="4ABCEF25">
      <w:pPr>
        <w:pStyle w:val="70"/>
        <w:widowControl/>
        <w:numPr>
          <w:ilvl w:val="0"/>
          <w:numId w:val="51"/>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w:t>
      </w:r>
      <w:r>
        <w:rPr>
          <w:rFonts w:ascii="宋体" w:hAnsi="宋体"/>
          <w:color w:val="auto"/>
          <w:kern w:val="0"/>
          <w:szCs w:val="21"/>
          <w:lang w:eastAsia="zh-Hans"/>
        </w:rPr>
        <w:t>人或采购代理机构有权将质疑函转发质疑事项各关联方，请其作出解释说明。对捏造事实、滥用维权扰乱采购秩序的恶意质疑者，将上报采购监督管理部门依法处理。</w:t>
      </w:r>
    </w:p>
    <w:p w14:paraId="4D2F380E">
      <w:pPr>
        <w:pStyle w:val="70"/>
        <w:widowControl/>
        <w:numPr>
          <w:ilvl w:val="0"/>
          <w:numId w:val="51"/>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陈子菱</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eastAsia="宋体" w:cs="Times New Roman"/>
          <w:color w:val="auto"/>
          <w:sz w:val="21"/>
          <w:szCs w:val="21"/>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0C01DC6B">
      <w:pPr>
        <w:pStyle w:val="70"/>
        <w:widowControl/>
        <w:numPr>
          <w:ilvl w:val="3"/>
          <w:numId w:val="49"/>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投诉</w:t>
      </w:r>
    </w:p>
    <w:p w14:paraId="78F2BD11">
      <w:pPr>
        <w:widowControl/>
        <w:snapToGrid w:val="0"/>
        <w:spacing w:line="360" w:lineRule="auto"/>
        <w:ind w:firstLine="480"/>
        <w:contextualSpacing/>
        <w:jc w:val="left"/>
        <w:rPr>
          <w:rFonts w:ascii="宋体" w:hAnsi="宋体"/>
          <w:color w:val="auto"/>
          <w:kern w:val="0"/>
          <w:szCs w:val="21"/>
        </w:rPr>
      </w:pPr>
      <w:r>
        <w:rPr>
          <w:rFonts w:ascii="宋体" w:hAnsi="宋体"/>
          <w:color w:val="auto"/>
          <w:kern w:val="0"/>
          <w:szCs w:val="21"/>
          <w:lang w:eastAsia="zh-Hans"/>
        </w:rPr>
        <w:t>质疑人对采购人或采购代理机构的质疑答复不满意或在规定时间内未得到答复的，可以在答复期满后15个工作日内，向本项目监督管理部门提起投诉。</w:t>
      </w:r>
    </w:p>
    <w:p w14:paraId="4C767DFE">
      <w:pPr>
        <w:pStyle w:val="70"/>
        <w:widowControl/>
        <w:numPr>
          <w:ilvl w:val="0"/>
          <w:numId w:val="19"/>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54"/>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4"/>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1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合同签订和履行</w:t>
      </w:r>
    </w:p>
    <w:p w14:paraId="6EB11016">
      <w:pPr>
        <w:pStyle w:val="70"/>
        <w:widowControl/>
        <w:numPr>
          <w:ilvl w:val="3"/>
          <w:numId w:val="55"/>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011B753D">
      <w:pPr>
        <w:pStyle w:val="70"/>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57"/>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57"/>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1" w:name="_Toc521951135"/>
      <w:bookmarkStart w:id="32" w:name="_Toc405313955"/>
      <w:bookmarkStart w:id="33" w:name="_Toc391627751"/>
      <w:bookmarkStart w:id="34" w:name="_Toc2386"/>
      <w:r>
        <w:rPr>
          <w:rFonts w:hint="eastAsia" w:asciiTheme="minorEastAsia" w:hAnsiTheme="minorEastAsia" w:eastAsiaTheme="minorEastAsia"/>
          <w:spacing w:val="20"/>
          <w:sz w:val="32"/>
          <w:szCs w:val="32"/>
        </w:rPr>
        <w:t>第</w:t>
      </w:r>
      <w:bookmarkEnd w:id="31"/>
      <w:bookmarkEnd w:id="32"/>
      <w:bookmarkEnd w:id="33"/>
      <w:bookmarkStart w:id="35" w:name="_Hlk46687785"/>
      <w:r>
        <w:rPr>
          <w:rFonts w:hint="eastAsia" w:asciiTheme="minorEastAsia" w:hAnsiTheme="minorEastAsia" w:eastAsiaTheme="minorEastAsia"/>
          <w:spacing w:val="20"/>
          <w:sz w:val="32"/>
          <w:szCs w:val="32"/>
        </w:rPr>
        <w:t>四章 评审</w:t>
      </w:r>
      <w:bookmarkEnd w:id="34"/>
    </w:p>
    <w:bookmarkEnd w:id="35"/>
    <w:p w14:paraId="722297AE">
      <w:pPr>
        <w:pStyle w:val="70"/>
        <w:numPr>
          <w:ilvl w:val="0"/>
          <w:numId w:val="58"/>
        </w:numPr>
        <w:snapToGrid w:val="0"/>
        <w:spacing w:line="360" w:lineRule="auto"/>
        <w:ind w:left="442" w:hanging="442" w:firstLineChars="0"/>
        <w:contextualSpacing/>
        <w:rPr>
          <w:b/>
          <w:bCs/>
        </w:rPr>
      </w:pPr>
      <w:r>
        <w:rPr>
          <w:b/>
          <w:bCs/>
        </w:rPr>
        <w:t>评审要求</w:t>
      </w:r>
    </w:p>
    <w:p w14:paraId="3421EA85">
      <w:pPr>
        <w:pStyle w:val="74"/>
        <w:numPr>
          <w:ilvl w:val="3"/>
          <w:numId w:val="59"/>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59"/>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60"/>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73D52A40">
      <w:pPr>
        <w:pStyle w:val="74"/>
        <w:numPr>
          <w:ilvl w:val="0"/>
          <w:numId w:val="60"/>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59"/>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721AAB8B">
      <w:pPr>
        <w:pStyle w:val="74"/>
        <w:numPr>
          <w:ilvl w:val="0"/>
          <w:numId w:val="61"/>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433F221">
      <w:pPr>
        <w:pStyle w:val="74"/>
        <w:numPr>
          <w:ilvl w:val="0"/>
          <w:numId w:val="61"/>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61"/>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pPr>
        <w:pStyle w:val="74"/>
        <w:numPr>
          <w:ilvl w:val="0"/>
          <w:numId w:val="61"/>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65119017">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6DD1B7AE">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61"/>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61"/>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61"/>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61"/>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参照</w:t>
      </w:r>
      <w:r>
        <w:rPr>
          <w:rFonts w:ascii="宋体" w:hAnsi="宋体" w:eastAsia="宋体"/>
          <w:sz w:val="21"/>
          <w:szCs w:val="21"/>
        </w:rPr>
        <w:t>《中华人民共和国政府采购法》、《中华人民共和国政府采购法实施条例》、《政府采购竞争性磋商采购方式管理暂行办法》及相关法律、法规的规定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64"/>
        </w:numPr>
        <w:snapToGrid w:val="0"/>
        <w:spacing w:line="360" w:lineRule="auto"/>
        <w:ind w:firstLineChars="0"/>
        <w:contextualSpacing/>
      </w:pPr>
      <w:r>
        <w:t>不同供应商的响应文件由同一单位或者个人编制；</w:t>
      </w:r>
    </w:p>
    <w:p w14:paraId="11BC39C9">
      <w:pPr>
        <w:pStyle w:val="70"/>
        <w:numPr>
          <w:ilvl w:val="0"/>
          <w:numId w:val="64"/>
        </w:numPr>
        <w:snapToGrid w:val="0"/>
        <w:spacing w:line="360" w:lineRule="auto"/>
        <w:ind w:firstLineChars="0"/>
        <w:contextualSpacing/>
      </w:pPr>
      <w:r>
        <w:t>不同供应商委托同一单位或者个人办理响应事宜；</w:t>
      </w:r>
    </w:p>
    <w:p w14:paraId="7D018D1D">
      <w:pPr>
        <w:pStyle w:val="70"/>
        <w:numPr>
          <w:ilvl w:val="0"/>
          <w:numId w:val="64"/>
        </w:numPr>
        <w:snapToGrid w:val="0"/>
        <w:spacing w:line="360" w:lineRule="auto"/>
        <w:ind w:firstLineChars="0"/>
        <w:contextualSpacing/>
      </w:pPr>
      <w:r>
        <w:t>不同供应商的响应文件载明的项目管理成员或者联系人员为同一人；</w:t>
      </w:r>
    </w:p>
    <w:p w14:paraId="3F8F7B1C">
      <w:pPr>
        <w:pStyle w:val="70"/>
        <w:numPr>
          <w:ilvl w:val="0"/>
          <w:numId w:val="64"/>
        </w:numPr>
        <w:snapToGrid w:val="0"/>
        <w:spacing w:line="360" w:lineRule="auto"/>
        <w:ind w:firstLineChars="0"/>
        <w:contextualSpacing/>
      </w:pPr>
      <w:r>
        <w:t>不同供应商的响应文件异常一致或者响应报价呈规律性差异；</w:t>
      </w:r>
    </w:p>
    <w:p w14:paraId="7E72B876">
      <w:pPr>
        <w:pStyle w:val="70"/>
        <w:numPr>
          <w:ilvl w:val="0"/>
          <w:numId w:val="64"/>
        </w:numPr>
        <w:snapToGrid w:val="0"/>
        <w:spacing w:line="360" w:lineRule="auto"/>
        <w:ind w:firstLineChars="0"/>
        <w:contextualSpacing/>
      </w:pPr>
      <w:r>
        <w:t>不同供应商的响应文件相互混装；</w:t>
      </w:r>
    </w:p>
    <w:p w14:paraId="121B7829">
      <w:pPr>
        <w:pStyle w:val="70"/>
        <w:numPr>
          <w:ilvl w:val="0"/>
          <w:numId w:val="64"/>
        </w:numPr>
        <w:snapToGrid w:val="0"/>
        <w:spacing w:line="360" w:lineRule="auto"/>
        <w:ind w:firstLineChars="0"/>
        <w:contextualSpacing/>
      </w:pPr>
      <w:r>
        <w:t>不同供应商的响应保证金支付款为从同一单位或个人的账户转出。</w:t>
      </w:r>
    </w:p>
    <w:p w14:paraId="42DD88F2">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65"/>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65"/>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65"/>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65"/>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0"/>
        <w:numPr>
          <w:ilvl w:val="0"/>
          <w:numId w:val="65"/>
        </w:numPr>
        <w:snapToGrid w:val="0"/>
        <w:spacing w:line="360" w:lineRule="auto"/>
        <w:ind w:left="442" w:hanging="442" w:firstLineChars="0"/>
        <w:contextualSpacing/>
      </w:pPr>
      <w:r>
        <w:t>供应商之间事先约定由某一特定供应商成交；</w:t>
      </w:r>
    </w:p>
    <w:p w14:paraId="66B44421">
      <w:pPr>
        <w:pStyle w:val="70"/>
        <w:numPr>
          <w:ilvl w:val="0"/>
          <w:numId w:val="65"/>
        </w:numPr>
        <w:snapToGrid w:val="0"/>
        <w:spacing w:line="360" w:lineRule="auto"/>
        <w:ind w:left="442" w:hanging="442" w:firstLineChars="0"/>
        <w:contextualSpacing/>
      </w:pPr>
      <w:r>
        <w:t>供应商之间商定部分供应商放弃参加采购活动或者放弃成交；</w:t>
      </w:r>
    </w:p>
    <w:p w14:paraId="2CA68EBD">
      <w:pPr>
        <w:pStyle w:val="70"/>
        <w:numPr>
          <w:ilvl w:val="0"/>
          <w:numId w:val="65"/>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详见资格性审查、符合性审查和磋商文件其他响应无效条款。</w:t>
      </w:r>
    </w:p>
    <w:p w14:paraId="2559B318">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7D386134">
      <w:pPr>
        <w:pStyle w:val="70"/>
        <w:numPr>
          <w:ilvl w:val="0"/>
          <w:numId w:val="66"/>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76F5FEA6">
      <w:pPr>
        <w:pStyle w:val="70"/>
        <w:numPr>
          <w:ilvl w:val="0"/>
          <w:numId w:val="67"/>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563722C2">
      <w:pPr>
        <w:pStyle w:val="70"/>
        <w:numPr>
          <w:ilvl w:val="0"/>
          <w:numId w:val="67"/>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0"/>
        <w:numPr>
          <w:ilvl w:val="0"/>
          <w:numId w:val="67"/>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w:t>
      </w:r>
      <w:r>
        <w:rPr>
          <w:rFonts w:ascii="宋体" w:hAnsi="宋体"/>
          <w:color w:val="auto"/>
        </w:rPr>
        <w:t>算</w:t>
      </w:r>
      <w:r>
        <w:rPr>
          <w:rFonts w:hint="eastAsia" w:ascii="宋体" w:hAnsi="宋体"/>
          <w:color w:val="auto"/>
        </w:rPr>
        <w:t>（或最高限价）</w:t>
      </w:r>
      <w:r>
        <w:rPr>
          <w:rFonts w:ascii="宋体" w:hAnsi="宋体"/>
          <w:color w:val="auto"/>
        </w:rPr>
        <w:t>的供</w:t>
      </w:r>
      <w:r>
        <w:rPr>
          <w:rFonts w:ascii="宋体" w:hAnsi="宋体"/>
        </w:rPr>
        <w:t>应商不足3家的；</w:t>
      </w:r>
    </w:p>
    <w:p w14:paraId="79CFF447">
      <w:pPr>
        <w:pStyle w:val="70"/>
        <w:numPr>
          <w:ilvl w:val="0"/>
          <w:numId w:val="67"/>
        </w:numPr>
        <w:snapToGrid w:val="0"/>
        <w:spacing w:line="360" w:lineRule="auto"/>
        <w:ind w:left="567" w:hanging="567" w:firstLineChars="0"/>
        <w:contextualSpacing/>
      </w:pPr>
      <w:r>
        <w:t>法律、法规以及磋商文件规定其他情形。</w:t>
      </w:r>
    </w:p>
    <w:p w14:paraId="39DB4BE4">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59"/>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68"/>
        </w:numPr>
        <w:snapToGrid w:val="0"/>
        <w:spacing w:line="360" w:lineRule="auto"/>
        <w:ind w:firstLineChars="0"/>
        <w:contextualSpacing/>
      </w:pPr>
      <w:r>
        <w:rPr>
          <w:rFonts w:hint="eastAsia"/>
        </w:rPr>
        <w:t>对报价的计算错误按以下原则修正：</w:t>
      </w:r>
    </w:p>
    <w:p w14:paraId="03CEC0A6">
      <w:pPr>
        <w:pStyle w:val="70"/>
        <w:numPr>
          <w:ilvl w:val="0"/>
          <w:numId w:val="69"/>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69"/>
        </w:numPr>
        <w:snapToGrid w:val="0"/>
        <w:spacing w:line="360" w:lineRule="auto"/>
        <w:ind w:left="709" w:hanging="709" w:firstLineChars="0"/>
        <w:contextualSpacing/>
      </w:pPr>
      <w:r>
        <w:t>大写金额和小写金额不一致的，以大写金额为准；</w:t>
      </w:r>
    </w:p>
    <w:p w14:paraId="7ED2C147">
      <w:pPr>
        <w:pStyle w:val="70"/>
        <w:numPr>
          <w:ilvl w:val="0"/>
          <w:numId w:val="69"/>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69"/>
        </w:numPr>
        <w:snapToGrid w:val="0"/>
        <w:spacing w:line="360" w:lineRule="auto"/>
        <w:ind w:left="709" w:hanging="709" w:firstLineChars="0"/>
        <w:contextualSpacing/>
        <w:rPr>
          <w:rFonts w:hint="eastAsia" w:ascii="宋体" w:hAnsi="宋体" w:eastAsia="宋体" w:cs="宋体"/>
        </w:rPr>
      </w:pPr>
      <w:r>
        <w:t>总价金额与按单价汇总金额不一致的，以单价金额计算结果为准。但是单价金额计算结果超过</w:t>
      </w:r>
      <w:r>
        <w:rPr>
          <w:rFonts w:hint="eastAsia" w:ascii="宋体" w:hAnsi="宋体" w:eastAsia="宋体" w:cs="宋体"/>
        </w:rPr>
        <w:t>预算价的，对其按无效响应处理；</w:t>
      </w:r>
    </w:p>
    <w:p w14:paraId="602752B4">
      <w:pPr>
        <w:snapToGrid w:val="0"/>
        <w:spacing w:line="360" w:lineRule="auto"/>
        <w:contextualSpacing/>
      </w:pPr>
      <w:r>
        <w:rPr>
          <w:rFonts w:hint="eastAsia" w:ascii="宋体" w:hAnsi="宋体" w:eastAsia="宋体" w:cs="宋体"/>
        </w:rPr>
        <w:t>注：同时出现2种以上不一</w:t>
      </w:r>
      <w:r>
        <w:rPr>
          <w:rFonts w:hint="eastAsia"/>
        </w:rPr>
        <w:t>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8"/>
        </w:numPr>
        <w:snapToGrid w:val="0"/>
        <w:spacing w:line="360" w:lineRule="auto"/>
        <w:ind w:left="442" w:hanging="442" w:firstLineChars="0"/>
        <w:contextualSpacing/>
        <w:rPr>
          <w:rFonts w:asciiTheme="minorEastAsia" w:hAnsiTheme="minorEastAsia"/>
          <w:b/>
          <w:bCs/>
          <w:szCs w:val="21"/>
        </w:rPr>
      </w:pPr>
      <w:r>
        <w:rPr>
          <w:b/>
          <w:bCs/>
        </w:rPr>
        <w:t>采购政策</w:t>
      </w:r>
    </w:p>
    <w:p w14:paraId="0A91B22A">
      <w:pPr>
        <w:pStyle w:val="70"/>
        <w:numPr>
          <w:ilvl w:val="1"/>
          <w:numId w:val="70"/>
        </w:numPr>
        <w:spacing w:line="360" w:lineRule="auto"/>
        <w:ind w:left="284" w:hanging="284" w:firstLineChars="0"/>
        <w:rPr>
          <w:rFonts w:asciiTheme="minorEastAsia" w:hAnsiTheme="minorEastAsia" w:eastAsiaTheme="minorEastAsia"/>
          <w:b/>
          <w:bCs/>
          <w:color w:val="auto"/>
          <w:szCs w:val="21"/>
        </w:rPr>
      </w:pPr>
      <w:r>
        <w:rPr>
          <w:rFonts w:hint="eastAsia" w:asciiTheme="minorEastAsia" w:hAnsiTheme="minorEastAsia" w:eastAsiaTheme="minorEastAsia"/>
          <w:b/>
          <w:bCs/>
          <w:szCs w:val="21"/>
        </w:rPr>
        <w:t>对小型或微型企业响应的扶</w:t>
      </w:r>
      <w:r>
        <w:rPr>
          <w:rFonts w:hint="eastAsia" w:asciiTheme="minorEastAsia" w:hAnsiTheme="minorEastAsia" w:eastAsiaTheme="minorEastAsia"/>
          <w:b/>
          <w:bCs/>
          <w:color w:val="auto"/>
          <w:szCs w:val="21"/>
        </w:rPr>
        <w:t>持</w:t>
      </w:r>
    </w:p>
    <w:p w14:paraId="0DDFEC2C">
      <w:pPr>
        <w:pStyle w:val="70"/>
        <w:numPr>
          <w:ilvl w:val="0"/>
          <w:numId w:val="71"/>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bCs/>
          <w:color w:val="auto"/>
          <w:szCs w:val="21"/>
          <w:lang w:val="en-US" w:eastAsia="zh-CN"/>
        </w:rPr>
        <w:t>参照</w:t>
      </w:r>
      <w:r>
        <w:rPr>
          <w:rFonts w:hint="eastAsia" w:asciiTheme="minorEastAsia" w:hAnsiTheme="minorEastAsia" w:eastAsiaTheme="minorEastAsia"/>
          <w:bCs/>
          <w:color w:val="auto"/>
          <w:szCs w:val="21"/>
        </w:rPr>
        <w:t>财政部、工业和信息化部制定《政府采购促进中小企业发展管理办法》的规定，对小微企业报价给予</w:t>
      </w:r>
      <w:r>
        <w:rPr>
          <w:rFonts w:asciiTheme="minorEastAsia" w:hAnsiTheme="minorEastAsia" w:eastAsiaTheme="minorEastAsia"/>
          <w:bCs/>
          <w:color w:val="auto"/>
          <w:szCs w:val="21"/>
        </w:rPr>
        <w:t>10</w:t>
      </w:r>
      <w:r>
        <w:rPr>
          <w:rFonts w:hint="eastAsia" w:asciiTheme="minorEastAsia" w:hAnsiTheme="minorEastAsia" w:eastAsiaTheme="minorEastAsia"/>
          <w:bCs/>
          <w:color w:val="auto"/>
          <w:szCs w:val="21"/>
        </w:rPr>
        <w:t>%的扣除，用扣除后的价格参与评审。参加采购活动的中小企业应当提供《中小企业声明函》。</w:t>
      </w:r>
      <w:r>
        <w:rPr>
          <w:rFonts w:hint="eastAsia" w:asciiTheme="minorEastAsia" w:hAnsiTheme="minorEastAsia" w:eastAsiaTheme="minorEastAsia" w:cstheme="minorBidi"/>
          <w:bCs/>
          <w:color w:val="auto"/>
          <w:szCs w:val="21"/>
        </w:rPr>
        <w:t>（详见磋商文件第六章响应文件格式）</w:t>
      </w:r>
    </w:p>
    <w:p w14:paraId="50F77A30">
      <w:pPr>
        <w:numPr>
          <w:ilvl w:val="1"/>
          <w:numId w:val="70"/>
        </w:numPr>
        <w:spacing w:line="360" w:lineRule="auto"/>
        <w:ind w:left="284" w:hanging="284"/>
        <w:rPr>
          <w:rFonts w:asciiTheme="minorEastAsia" w:hAnsiTheme="minorEastAsia" w:eastAsiaTheme="minorEastAsia" w:cstheme="minorBidi"/>
          <w:b/>
          <w:bCs/>
          <w:color w:val="auto"/>
          <w:szCs w:val="21"/>
        </w:rPr>
      </w:pPr>
      <w:r>
        <w:rPr>
          <w:rFonts w:hint="eastAsia" w:asciiTheme="minorEastAsia" w:hAnsiTheme="minorEastAsia" w:eastAsiaTheme="minorEastAsia" w:cstheme="minorBidi"/>
          <w:b/>
          <w:bCs/>
          <w:color w:val="auto"/>
          <w:szCs w:val="21"/>
        </w:rPr>
        <w:t>对监狱企业响应的扶持</w:t>
      </w:r>
    </w:p>
    <w:p w14:paraId="28CED969">
      <w:pPr>
        <w:pStyle w:val="70"/>
        <w:numPr>
          <w:ilvl w:val="0"/>
          <w:numId w:val="72"/>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239547E1">
      <w:pPr>
        <w:numPr>
          <w:ilvl w:val="1"/>
          <w:numId w:val="70"/>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59C4CA4B">
      <w:pPr>
        <w:pStyle w:val="70"/>
        <w:numPr>
          <w:ilvl w:val="0"/>
          <w:numId w:val="73"/>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w:t>
      </w:r>
      <w:r>
        <w:rPr>
          <w:rFonts w:asciiTheme="minorEastAsia" w:hAnsiTheme="minorEastAsia" w:eastAsiaTheme="minorEastAsia" w:cstheme="minorBidi"/>
          <w:bCs/>
          <w:color w:val="auto"/>
          <w:szCs w:val="21"/>
        </w:rPr>
        <w:t>惠，用扣除后的价格作为其参与评审的价格。参加采购活动的残疾人福利性单位应当提供《残疾人福利性单位声明函》</w:t>
      </w:r>
      <w:r>
        <w:rPr>
          <w:rFonts w:hint="eastAsia" w:asciiTheme="minorEastAsia" w:hAnsiTheme="minorEastAsia" w:eastAsiaTheme="minorEastAsia" w:cstheme="minorBidi"/>
          <w:bCs/>
          <w:color w:val="auto"/>
          <w:szCs w:val="21"/>
        </w:rPr>
        <w:t>。（详见磋商文件第六章响应文件格式）</w:t>
      </w:r>
    </w:p>
    <w:p w14:paraId="5F724764">
      <w:pPr>
        <w:numPr>
          <w:ilvl w:val="1"/>
          <w:numId w:val="70"/>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2311AFB9">
      <w:pPr>
        <w:numPr>
          <w:ilvl w:val="1"/>
          <w:numId w:val="70"/>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672534E6">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3BDB78F7">
      <w:pPr>
        <w:numPr>
          <w:ilvl w:val="1"/>
          <w:numId w:val="70"/>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51E6CBEE">
      <w:pPr>
        <w:numPr>
          <w:ilvl w:val="1"/>
          <w:numId w:val="70"/>
        </w:numPr>
        <w:spacing w:line="360" w:lineRule="auto"/>
        <w:rPr>
          <w:rFonts w:asciiTheme="minorEastAsia" w:hAnsiTheme="minorEastAsia" w:eastAsiaTheme="minorEastAsia" w:cstheme="minorBidi"/>
          <w:color w:val="auto"/>
        </w:rPr>
      </w:pPr>
      <w:r>
        <w:rPr>
          <w:rFonts w:hint="eastAsia" w:asciiTheme="minorEastAsia" w:hAnsiTheme="minorEastAsia" w:eastAsiaTheme="minorEastAsia" w:cstheme="minorBidi"/>
          <w:color w:val="auto"/>
        </w:rPr>
        <w:t>节能产品、环境标志产品价格扣除：</w:t>
      </w:r>
    </w:p>
    <w:p w14:paraId="38F579D8">
      <w:pPr>
        <w:pStyle w:val="70"/>
        <w:numPr>
          <w:ilvl w:val="0"/>
          <w:numId w:val="74"/>
        </w:numPr>
        <w:spacing w:line="360" w:lineRule="auto"/>
        <w:ind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7AA5DEBC">
      <w:pPr>
        <w:numPr>
          <w:ilvl w:val="0"/>
          <w:numId w:val="74"/>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5932D89E">
      <w:pPr>
        <w:numPr>
          <w:ilvl w:val="1"/>
          <w:numId w:val="70"/>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2FDC6472">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611E27F7">
      <w:pPr>
        <w:pStyle w:val="32"/>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p>
    <w:p w14:paraId="2F4613C0">
      <w:pPr>
        <w:numPr>
          <w:ilvl w:val="1"/>
          <w:numId w:val="70"/>
        </w:numPr>
        <w:spacing w:line="360" w:lineRule="auto"/>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评分项目</w:t>
            </w:r>
          </w:p>
        </w:tc>
        <w:tc>
          <w:tcPr>
            <w:tcW w:w="1082" w:type="pct"/>
            <w:vAlign w:val="center"/>
          </w:tcPr>
          <w:p w14:paraId="0D50A15D">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价格部分</w:t>
            </w:r>
          </w:p>
        </w:tc>
        <w:tc>
          <w:tcPr>
            <w:tcW w:w="1081" w:type="pct"/>
            <w:vAlign w:val="center"/>
          </w:tcPr>
          <w:p w14:paraId="694B29B3">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tc>
        <w:tc>
          <w:tcPr>
            <w:tcW w:w="1081" w:type="pct"/>
            <w:vAlign w:val="center"/>
          </w:tcPr>
          <w:p w14:paraId="038BABB8">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tc>
        <w:tc>
          <w:tcPr>
            <w:tcW w:w="780" w:type="pct"/>
            <w:vAlign w:val="center"/>
          </w:tcPr>
          <w:p w14:paraId="204776B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auto"/>
              </w:rPr>
              <w:t>权值</w:t>
            </w:r>
          </w:p>
        </w:tc>
        <w:tc>
          <w:tcPr>
            <w:tcW w:w="2011" w:type="dxa"/>
            <w:vAlign w:val="center"/>
          </w:tcPr>
          <w:p w14:paraId="1678F552">
            <w:pPr>
              <w:jc w:val="center"/>
              <w:rPr>
                <w:rFonts w:asciiTheme="minorEastAsia" w:hAnsiTheme="minorEastAsia" w:eastAsiaTheme="minorEastAsia"/>
                <w:color w:val="000000" w:themeColor="text1"/>
                <w14:textFill>
                  <w14:solidFill>
                    <w14:schemeClr w14:val="tx1"/>
                  </w14:solidFill>
                </w14:textFill>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2010" w:type="dxa"/>
            <w:vAlign w:val="center"/>
          </w:tcPr>
          <w:p w14:paraId="3968121F">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2010" w:type="dxa"/>
            <w:vAlign w:val="center"/>
          </w:tcPr>
          <w:p w14:paraId="688C061A">
            <w:pPr>
              <w:jc w:val="center"/>
              <w:rPr>
                <w:rFonts w:asciiTheme="minorEastAsia" w:hAnsiTheme="minorEastAsia" w:eastAsiaTheme="minorEastAsia"/>
                <w:i/>
                <w:color w:val="000000" w:themeColor="text1"/>
                <w:highlight w:val="red"/>
                <w14:textFill>
                  <w14:solidFill>
                    <w14:schemeClr w14:val="tx1"/>
                  </w14:solidFill>
                </w14:textFill>
              </w:rPr>
            </w:pPr>
            <w:r>
              <w:rPr>
                <w:rFonts w:hint="eastAsia" w:ascii="宋体" w:hAnsi="宋体" w:eastAsia="宋体"/>
                <w:color w:val="auto"/>
                <w:szCs w:val="21"/>
                <w:highlight w:val="none"/>
                <w:lang w:val="en-US" w:eastAsia="zh-CN"/>
              </w:rPr>
              <w:t>60</w:t>
            </w:r>
            <w:r>
              <w:rPr>
                <w:rFonts w:hint="eastAsia" w:ascii="宋体" w:hAnsi="宋体" w:eastAsia="宋体"/>
                <w:color w:val="auto"/>
                <w:szCs w:val="21"/>
                <w:highlight w:val="none"/>
              </w:rPr>
              <w:t>%</w:t>
            </w:r>
          </w:p>
        </w:tc>
        <w:tc>
          <w:tcPr>
            <w:tcW w:w="1450" w:type="dxa"/>
            <w:vAlign w:val="top"/>
          </w:tcPr>
          <w:p w14:paraId="5ED3014A">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w:t>
            </w:r>
          </w:p>
        </w:tc>
      </w:tr>
    </w:tbl>
    <w:p w14:paraId="7C8730FE">
      <w:pPr>
        <w:pStyle w:val="32"/>
        <w:numPr>
          <w:ilvl w:val="0"/>
          <w:numId w:val="75"/>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481DA8B5">
      <w:pPr>
        <w:pStyle w:val="74"/>
        <w:spacing w:line="360" w:lineRule="auto"/>
        <w:outlineLvl w:val="9"/>
        <w:rPr>
          <w:rFonts w:hint="default"/>
          <w:b/>
          <w:sz w:val="24"/>
        </w:rPr>
      </w:pPr>
    </w:p>
    <w:p w14:paraId="530094F9">
      <w:pPr>
        <w:pStyle w:val="70"/>
        <w:numPr>
          <w:ilvl w:val="0"/>
          <w:numId w:val="58"/>
        </w:numPr>
        <w:snapToGrid w:val="0"/>
        <w:spacing w:line="360" w:lineRule="auto"/>
        <w:ind w:left="442" w:hanging="442" w:firstLineChars="0"/>
        <w:contextualSpacing/>
      </w:pPr>
      <w:r>
        <w:rPr>
          <w:b/>
          <w:bCs/>
        </w:rPr>
        <w:t>评审程序</w:t>
      </w:r>
    </w:p>
    <w:p w14:paraId="585FF1BE">
      <w:pPr>
        <w:pStyle w:val="74"/>
        <w:numPr>
          <w:ilvl w:val="0"/>
          <w:numId w:val="76"/>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kern w:val="0"/>
                <w:szCs w:val="21"/>
                <w:lang w:eastAsia="zh-Hans"/>
              </w:rPr>
            </w:pP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kern w:val="0"/>
                <w:szCs w:val="21"/>
                <w:lang w:eastAsia="zh-Hans"/>
              </w:rPr>
            </w:pP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kern w:val="0"/>
                <w:szCs w:val="21"/>
                <w:lang w:eastAsia="zh-Hans"/>
              </w:rPr>
            </w:pPr>
            <w:r>
              <w:rPr>
                <w:rFonts w:hint="eastAsia" w:ascii="宋体" w:hAnsi="宋体"/>
                <w:bCs/>
                <w:kern w:val="0"/>
                <w:szCs w:val="21"/>
              </w:rPr>
              <w:t>在</w:t>
            </w:r>
            <w:r>
              <w:rPr>
                <w:rFonts w:hint="eastAsia" w:ascii="宋体" w:hAnsi="宋体"/>
                <w:bCs/>
                <w:kern w:val="0"/>
                <w:szCs w:val="21"/>
                <w:lang w:val="en-US" w:eastAsia="zh-CN"/>
              </w:rPr>
              <w:t>响应</w:t>
            </w:r>
            <w:r>
              <w:rPr>
                <w:rFonts w:hint="eastAsia" w:ascii="宋体" w:hAnsi="宋体"/>
                <w:bCs/>
                <w:kern w:val="0"/>
                <w:szCs w:val="21"/>
              </w:rPr>
              <w:t>文件中填报设备及专业技术能力情况或提供资格条件承诺函（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kern w:val="0"/>
                <w:szCs w:val="21"/>
                <w:lang w:eastAsia="zh-Hans"/>
              </w:rPr>
            </w:pP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555B40A4">
            <w:pPr>
              <w:widowControl/>
              <w:snapToGrid w:val="0"/>
              <w:spacing w:line="360" w:lineRule="auto"/>
              <w:contextualSpacing/>
              <w:rPr>
                <w:rFonts w:ascii="宋体" w:hAnsi="宋体"/>
                <w:kern w:val="0"/>
                <w:szCs w:val="21"/>
                <w:lang w:eastAsia="zh-Hans"/>
              </w:rPr>
            </w:pP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78372A">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6E91F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ascii="宋体" w:hAnsi="宋体"/>
                <w:kern w:val="0"/>
                <w:szCs w:val="21"/>
                <w:lang w:eastAsia="zh-Hans"/>
              </w:rPr>
            </w:pPr>
            <w:r>
              <w:rPr>
                <w:rFonts w:hint="eastAsia" w:ascii="宋体" w:hAnsi="宋体"/>
                <w:b w:val="0"/>
                <w:bCs/>
                <w:kern w:val="0"/>
                <w:szCs w:val="21"/>
                <w:lang w:val="en-US" w:eastAsia="zh-CN"/>
              </w:rPr>
              <w:t>无</w:t>
            </w:r>
            <w:r>
              <w:rPr>
                <w:rFonts w:hint="eastAsia" w:ascii="宋体" w:hAnsi="宋体"/>
                <w:b w:val="0"/>
                <w:bCs/>
                <w:kern w:val="0"/>
                <w:szCs w:val="21"/>
                <w:lang w:eastAsia="zh-CN"/>
              </w:rPr>
              <w:t>。</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keepNext w:val="0"/>
              <w:keepLines w:val="0"/>
              <w:pageBreakBefore w:val="0"/>
              <w:widowControl/>
              <w:kinsoku/>
              <w:wordWrap w:val="0"/>
              <w:overflowPunct/>
              <w:topLinePunct w:val="0"/>
              <w:autoSpaceDE/>
              <w:autoSpaceDN/>
              <w:bidi w:val="0"/>
              <w:adjustRightInd/>
              <w:snapToGrid w:val="0"/>
              <w:spacing w:line="360" w:lineRule="auto"/>
              <w:contextualSpacing/>
              <w:textAlignment w:val="auto"/>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p>
        </w:tc>
      </w:tr>
    </w:tbl>
    <w:p w14:paraId="4D66A1AE">
      <w:pPr>
        <w:pStyle w:val="74"/>
        <w:outlineLvl w:val="9"/>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9"/>
        <w:rPr>
          <w:rFonts w:hint="default"/>
          <w:b/>
          <w:sz w:val="24"/>
          <w:lang w:eastAsia="zh-CN"/>
        </w:rPr>
      </w:pPr>
    </w:p>
    <w:p w14:paraId="27319C77">
      <w:pPr>
        <w:pStyle w:val="74"/>
        <w:numPr>
          <w:ilvl w:val="0"/>
          <w:numId w:val="76"/>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78"/>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8"/>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78"/>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57E5F531">
      <w:pPr>
        <w:pStyle w:val="74"/>
        <w:numPr>
          <w:ilvl w:val="0"/>
          <w:numId w:val="78"/>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2BFC2C1F">
      <w:pPr>
        <w:pStyle w:val="74"/>
        <w:numPr>
          <w:ilvl w:val="0"/>
          <w:numId w:val="76"/>
        </w:numPr>
        <w:snapToGrid w:val="0"/>
        <w:spacing w:line="360" w:lineRule="auto"/>
        <w:ind w:left="284" w:hanging="284"/>
        <w:contextualSpacing/>
        <w:outlineLvl w:val="3"/>
        <w:rPr>
          <w:rFonts w:hint="default"/>
        </w:rPr>
      </w:pPr>
      <w:r>
        <w:rPr>
          <w:rFonts w:ascii="宋体" w:hAnsi="宋体" w:eastAsia="宋体"/>
          <w:b/>
          <w:sz w:val="21"/>
          <w:szCs w:val="21"/>
        </w:rPr>
        <w:t>磋商</w:t>
      </w:r>
    </w:p>
    <w:p w14:paraId="583D6D6C">
      <w:pPr>
        <w:pStyle w:val="74"/>
        <w:numPr>
          <w:ilvl w:val="0"/>
          <w:numId w:val="7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3AB354E">
      <w:pPr>
        <w:pStyle w:val="74"/>
        <w:numPr>
          <w:ilvl w:val="0"/>
          <w:numId w:val="7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770717C">
      <w:pPr>
        <w:pStyle w:val="74"/>
        <w:numPr>
          <w:ilvl w:val="0"/>
          <w:numId w:val="79"/>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6"/>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80"/>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1E3B6B75">
      <w:pPr>
        <w:pStyle w:val="74"/>
        <w:numPr>
          <w:ilvl w:val="0"/>
          <w:numId w:val="80"/>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0D9EFBE1">
      <w:pPr>
        <w:pStyle w:val="74"/>
        <w:numPr>
          <w:ilvl w:val="0"/>
          <w:numId w:val="80"/>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76"/>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183"/>
        <w:gridCol w:w="967"/>
        <w:gridCol w:w="6337"/>
      </w:tblGrid>
      <w:tr w14:paraId="0ECFD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30" w:type="pct"/>
            <w:vAlign w:val="center"/>
          </w:tcPr>
          <w:p w14:paraId="2DFFDA46">
            <w:pPr>
              <w:pStyle w:val="49"/>
              <w:spacing w:line="400" w:lineRule="exact"/>
              <w:ind w:firstLine="0" w:firstLineChars="0"/>
              <w:jc w:val="center"/>
              <w:rPr>
                <w:rFonts w:ascii="宋体" w:eastAsia="宋体"/>
                <w:b/>
                <w:color w:val="auto"/>
                <w:sz w:val="21"/>
                <w:szCs w:val="21"/>
                <w:highlight w:val="none"/>
              </w:rPr>
            </w:pPr>
            <w:bookmarkStart w:id="36" w:name="_Hlk169889554"/>
            <w:r>
              <w:rPr>
                <w:rFonts w:hint="eastAsia" w:ascii="宋体" w:eastAsia="宋体"/>
                <w:b/>
                <w:color w:val="auto"/>
                <w:sz w:val="21"/>
                <w:szCs w:val="21"/>
                <w:highlight w:val="none"/>
              </w:rPr>
              <w:t>序号</w:t>
            </w:r>
          </w:p>
        </w:tc>
        <w:tc>
          <w:tcPr>
            <w:tcW w:w="636" w:type="pct"/>
            <w:vAlign w:val="center"/>
          </w:tcPr>
          <w:p w14:paraId="77659EAF">
            <w:pPr>
              <w:pStyle w:val="4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评分内容</w:t>
            </w:r>
          </w:p>
        </w:tc>
        <w:tc>
          <w:tcPr>
            <w:tcW w:w="520" w:type="pct"/>
            <w:vAlign w:val="center"/>
          </w:tcPr>
          <w:p w14:paraId="6DE3A22D">
            <w:pPr>
              <w:pStyle w:val="4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分值</w:t>
            </w:r>
          </w:p>
        </w:tc>
        <w:tc>
          <w:tcPr>
            <w:tcW w:w="3412" w:type="pct"/>
            <w:vAlign w:val="center"/>
          </w:tcPr>
          <w:p w14:paraId="57C19958">
            <w:pPr>
              <w:pStyle w:val="4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评审标准</w:t>
            </w:r>
          </w:p>
        </w:tc>
      </w:tr>
      <w:tr w14:paraId="41252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5D475C7C">
            <w:pPr>
              <w:pStyle w:val="4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商务评审细则（</w:t>
            </w:r>
            <w:r>
              <w:rPr>
                <w:rFonts w:hint="eastAsia" w:ascii="宋体" w:eastAsia="宋体"/>
                <w:b/>
                <w:color w:val="auto"/>
                <w:sz w:val="21"/>
                <w:szCs w:val="21"/>
                <w:highlight w:val="none"/>
                <w:lang w:val="en-US" w:eastAsia="zh-CN"/>
              </w:rPr>
              <w:t>20</w:t>
            </w:r>
            <w:r>
              <w:rPr>
                <w:rFonts w:hint="eastAsia" w:ascii="宋体" w:eastAsia="宋体"/>
                <w:b/>
                <w:color w:val="auto"/>
                <w:sz w:val="21"/>
                <w:szCs w:val="21"/>
                <w:highlight w:val="none"/>
              </w:rPr>
              <w:t>分）</w:t>
            </w:r>
          </w:p>
        </w:tc>
      </w:tr>
      <w:tr w14:paraId="4D151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30" w:type="pct"/>
            <w:vAlign w:val="center"/>
          </w:tcPr>
          <w:p w14:paraId="6DE3BC5B">
            <w:pPr>
              <w:jc w:val="center"/>
              <w:rPr>
                <w:rFonts w:hint="eastAsia" w:ascii="宋体" w:hAnsi="宋体" w:eastAsia="宋体"/>
                <w:color w:val="auto"/>
                <w:szCs w:val="21"/>
                <w:highlight w:val="none"/>
                <w:lang w:eastAsia="zh-CN"/>
              </w:rPr>
            </w:pPr>
            <w:r>
              <w:rPr>
                <w:rFonts w:hint="eastAsia" w:ascii="宋体" w:hAnsi="宋体" w:eastAsia="宋体" w:cs="宋体"/>
                <w:color w:val="auto"/>
                <w:highlight w:val="none"/>
              </w:rPr>
              <w:t>1</w:t>
            </w:r>
          </w:p>
        </w:tc>
        <w:tc>
          <w:tcPr>
            <w:tcW w:w="636" w:type="pct"/>
            <w:vAlign w:val="center"/>
          </w:tcPr>
          <w:p w14:paraId="78C8CA68">
            <w:pPr>
              <w:jc w:val="center"/>
              <w:rPr>
                <w:rFonts w:ascii="宋体" w:hAnsi="宋体" w:eastAsia="宋体"/>
                <w:bCs/>
                <w:color w:val="auto"/>
                <w:szCs w:val="21"/>
                <w:highlight w:val="none"/>
              </w:rPr>
            </w:pPr>
            <w:r>
              <w:rPr>
                <w:rFonts w:hint="eastAsia" w:ascii="宋体" w:hAnsi="宋体" w:eastAsia="宋体" w:cs="宋体"/>
                <w:bCs/>
                <w:color w:val="auto"/>
                <w:highlight w:val="none"/>
              </w:rPr>
              <w:t>服务响应承诺</w:t>
            </w:r>
          </w:p>
        </w:tc>
        <w:tc>
          <w:tcPr>
            <w:tcW w:w="520" w:type="pct"/>
            <w:vAlign w:val="center"/>
          </w:tcPr>
          <w:p w14:paraId="7B344B21">
            <w:pPr>
              <w:jc w:val="center"/>
              <w:rPr>
                <w:rFonts w:ascii="宋体" w:hAnsi="宋体" w:eastAsia="宋体"/>
                <w:bCs/>
                <w:color w:val="auto"/>
                <w:szCs w:val="21"/>
                <w:highlight w:val="none"/>
              </w:rPr>
            </w:pPr>
            <w:r>
              <w:rPr>
                <w:rFonts w:hint="eastAsia" w:ascii="宋体" w:hAnsi="宋体" w:eastAsia="宋体" w:cs="宋体"/>
                <w:bCs/>
                <w:color w:val="auto"/>
                <w:highlight w:val="none"/>
              </w:rPr>
              <w:t>5分</w:t>
            </w:r>
          </w:p>
        </w:tc>
        <w:tc>
          <w:tcPr>
            <w:tcW w:w="3412" w:type="pct"/>
            <w:vAlign w:val="center"/>
          </w:tcPr>
          <w:p w14:paraId="63DE250E">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eastAsia="宋体" w:cs="宋体"/>
                <w:b/>
                <w:bCs/>
                <w:color w:val="auto"/>
                <w:highlight w:val="none"/>
                <w:lang w:eastAsia="zh-CN"/>
              </w:rPr>
              <w:t>供应商</w:t>
            </w:r>
            <w:r>
              <w:rPr>
                <w:rFonts w:hint="eastAsia" w:ascii="宋体" w:hAnsi="宋体" w:eastAsia="宋体" w:cs="宋体"/>
                <w:b/>
                <w:bCs/>
                <w:color w:val="auto"/>
                <w:highlight w:val="none"/>
              </w:rPr>
              <w:t>针对本项目提供的服务响应承诺进行评审：</w:t>
            </w:r>
          </w:p>
          <w:p w14:paraId="318FC47B">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承诺在接到采购人通知后2小时（含）内响应，3小时（含）内到达现场的，得5分；</w:t>
            </w:r>
          </w:p>
          <w:p w14:paraId="10326DAA">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承诺在接到采购人通知后2小时（含）内响应，3小时（不含）-6小时（含）内到达现场的，得3分；</w:t>
            </w:r>
          </w:p>
          <w:p w14:paraId="18DA4CA6">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承诺在接到采购人通知后2小时（含）内响应，6小时（不含）-9小时（含）内到达现场的，得1分；</w:t>
            </w:r>
          </w:p>
          <w:p w14:paraId="76F894FD">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承诺在接到采购人通知后2小时（含）内响应，9小时（不含）-12小时（含）内到达现场的，得0.5分；</w:t>
            </w:r>
          </w:p>
          <w:p w14:paraId="3F224F5E">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5、未提供对应承诺函或其他情形的，得0分。</w:t>
            </w:r>
          </w:p>
          <w:p w14:paraId="7009E15A">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b/>
                <w:bCs/>
                <w:color w:val="auto"/>
                <w:szCs w:val="21"/>
                <w:highlight w:val="none"/>
                <w:u w:val="single"/>
              </w:rPr>
            </w:pPr>
            <w:r>
              <w:rPr>
                <w:rFonts w:hint="eastAsia" w:ascii="宋体" w:hAnsi="宋体" w:eastAsia="宋体" w:cs="宋体"/>
                <w:b/>
                <w:bCs/>
                <w:color w:val="auto"/>
                <w:highlight w:val="none"/>
                <w:u w:val="single"/>
              </w:rPr>
              <w:t>注：须提供单独的服务响应承诺函并加盖</w:t>
            </w:r>
            <w:r>
              <w:rPr>
                <w:rFonts w:hint="eastAsia" w:ascii="宋体" w:hAnsi="宋体" w:eastAsia="宋体" w:cs="宋体"/>
                <w:b/>
                <w:bCs/>
                <w:color w:val="auto"/>
                <w:highlight w:val="none"/>
                <w:u w:val="single"/>
                <w:lang w:eastAsia="zh-CN"/>
              </w:rPr>
              <w:t>供应商</w:t>
            </w:r>
            <w:r>
              <w:rPr>
                <w:rFonts w:hint="eastAsia" w:ascii="宋体" w:hAnsi="宋体" w:eastAsia="宋体" w:cs="宋体"/>
                <w:b/>
                <w:bCs/>
                <w:color w:val="auto"/>
                <w:highlight w:val="none"/>
                <w:u w:val="single"/>
              </w:rPr>
              <w:t>公章。</w:t>
            </w:r>
          </w:p>
        </w:tc>
      </w:tr>
      <w:tr w14:paraId="35386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30" w:type="pct"/>
            <w:vAlign w:val="center"/>
          </w:tcPr>
          <w:p w14:paraId="0E32F4F0">
            <w:pPr>
              <w:jc w:val="center"/>
              <w:rPr>
                <w:rFonts w:hint="eastAsia" w:ascii="宋体" w:hAnsi="宋体" w:eastAsia="宋体"/>
                <w:color w:val="auto"/>
                <w:szCs w:val="21"/>
                <w:highlight w:val="none"/>
                <w:lang w:val="en-US" w:eastAsia="zh-CN"/>
              </w:rPr>
            </w:pPr>
            <w:r>
              <w:rPr>
                <w:rFonts w:hint="eastAsia" w:ascii="宋体" w:hAnsi="宋体" w:eastAsia="宋体" w:cs="宋体"/>
                <w:color w:val="auto"/>
                <w:highlight w:val="none"/>
              </w:rPr>
              <w:t>2</w:t>
            </w:r>
          </w:p>
        </w:tc>
        <w:tc>
          <w:tcPr>
            <w:tcW w:w="636" w:type="pct"/>
            <w:vAlign w:val="center"/>
          </w:tcPr>
          <w:p w14:paraId="5CDB0FD3">
            <w:pPr>
              <w:jc w:val="center"/>
              <w:rPr>
                <w:rFonts w:hint="eastAsia" w:ascii="宋体" w:hAnsi="宋体" w:eastAsia="宋体"/>
                <w:color w:val="auto"/>
                <w:szCs w:val="21"/>
                <w:highlight w:val="none"/>
              </w:rPr>
            </w:pPr>
            <w:r>
              <w:rPr>
                <w:rFonts w:hint="eastAsia" w:ascii="宋体" w:hAnsi="宋体" w:eastAsia="宋体" w:cs="宋体"/>
                <w:color w:val="auto"/>
                <w:highlight w:val="none"/>
              </w:rPr>
              <w:t>业绩情况</w:t>
            </w:r>
          </w:p>
        </w:tc>
        <w:tc>
          <w:tcPr>
            <w:tcW w:w="520" w:type="pct"/>
            <w:vAlign w:val="center"/>
          </w:tcPr>
          <w:p w14:paraId="0E1D6D2C">
            <w:pPr>
              <w:jc w:val="center"/>
              <w:rPr>
                <w:rFonts w:hint="eastAsia" w:ascii="宋体" w:hAnsi="宋体" w:eastAsia="宋体"/>
                <w:color w:val="auto"/>
                <w:szCs w:val="21"/>
                <w:highlight w:val="none"/>
                <w:lang w:val="en-US" w:eastAsia="zh-CN"/>
              </w:rPr>
            </w:pPr>
            <w:r>
              <w:rPr>
                <w:rFonts w:hint="eastAsia" w:ascii="宋体" w:hAnsi="宋体" w:eastAsia="宋体" w:cs="宋体"/>
                <w:color w:val="auto"/>
                <w:highlight w:val="none"/>
              </w:rPr>
              <w:t>12分</w:t>
            </w:r>
          </w:p>
        </w:tc>
        <w:tc>
          <w:tcPr>
            <w:tcW w:w="3412" w:type="pct"/>
            <w:vAlign w:val="center"/>
          </w:tcPr>
          <w:p w14:paraId="0735871B">
            <w:pPr>
              <w:keepNext w:val="0"/>
              <w:keepLines w:val="0"/>
              <w:pageBreakBefore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根据</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具有的彩色多普勒超声诊断仪类维修或保养类项目业绩进行评审，每提供一项得2分，本项最高得12分。</w:t>
            </w:r>
          </w:p>
          <w:p w14:paraId="060BDAFE">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color w:val="auto"/>
                <w:highlight w:val="none"/>
                <w:u w:val="single"/>
              </w:rPr>
            </w:pPr>
            <w:r>
              <w:rPr>
                <w:rFonts w:hint="eastAsia" w:ascii="宋体" w:hAnsi="宋体" w:eastAsia="宋体" w:cs="宋体"/>
                <w:b/>
                <w:color w:val="auto"/>
                <w:highlight w:val="none"/>
                <w:u w:val="single"/>
              </w:rPr>
              <w:t>注：须提供合同复印件加盖</w:t>
            </w:r>
            <w:r>
              <w:rPr>
                <w:rFonts w:hint="eastAsia" w:ascii="宋体" w:hAnsi="宋体" w:eastAsia="宋体" w:cs="宋体"/>
                <w:b/>
                <w:color w:val="auto"/>
                <w:highlight w:val="none"/>
                <w:u w:val="single"/>
                <w:lang w:eastAsia="zh-CN"/>
              </w:rPr>
              <w:t>供应商</w:t>
            </w:r>
            <w:r>
              <w:rPr>
                <w:rFonts w:hint="eastAsia" w:ascii="宋体" w:hAnsi="宋体" w:eastAsia="宋体" w:cs="宋体"/>
                <w:b/>
                <w:color w:val="auto"/>
                <w:highlight w:val="none"/>
                <w:u w:val="single"/>
              </w:rPr>
              <w:t>公章。</w:t>
            </w:r>
          </w:p>
        </w:tc>
      </w:tr>
      <w:tr w14:paraId="75A57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30" w:type="pct"/>
            <w:vAlign w:val="center"/>
          </w:tcPr>
          <w:p w14:paraId="47E37CC2">
            <w:pPr>
              <w:jc w:val="center"/>
              <w:rPr>
                <w:rFonts w:hint="eastAsia" w:ascii="宋体" w:hAnsi="宋体" w:eastAsia="宋体"/>
                <w:color w:val="auto"/>
                <w:szCs w:val="21"/>
                <w:highlight w:val="none"/>
                <w:lang w:eastAsia="zh-CN"/>
              </w:rPr>
            </w:pPr>
            <w:r>
              <w:rPr>
                <w:rFonts w:hint="eastAsia" w:ascii="宋体" w:hAnsi="宋体" w:eastAsia="宋体" w:cs="宋体"/>
                <w:color w:val="auto"/>
                <w:highlight w:val="none"/>
              </w:rPr>
              <w:t>3</w:t>
            </w:r>
          </w:p>
        </w:tc>
        <w:tc>
          <w:tcPr>
            <w:tcW w:w="636" w:type="pct"/>
            <w:vAlign w:val="center"/>
          </w:tcPr>
          <w:p w14:paraId="5536C74F">
            <w:pPr>
              <w:jc w:val="center"/>
              <w:rPr>
                <w:rFonts w:ascii="宋体" w:hAnsi="宋体" w:eastAsia="宋体"/>
                <w:color w:val="auto"/>
                <w:szCs w:val="21"/>
                <w:highlight w:val="none"/>
              </w:rPr>
            </w:pPr>
            <w:r>
              <w:rPr>
                <w:rFonts w:hint="eastAsia" w:ascii="宋体" w:hAnsi="宋体" w:eastAsia="宋体" w:cs="Times New Roman"/>
                <w:bCs/>
                <w:color w:val="auto"/>
                <w:szCs w:val="21"/>
                <w:highlight w:val="none"/>
                <w:lang w:bidi="ar"/>
              </w:rPr>
              <w:t>企业认证</w:t>
            </w:r>
          </w:p>
        </w:tc>
        <w:tc>
          <w:tcPr>
            <w:tcW w:w="520" w:type="pct"/>
            <w:vAlign w:val="center"/>
          </w:tcPr>
          <w:p w14:paraId="1D80496A">
            <w:pPr>
              <w:jc w:val="center"/>
              <w:rPr>
                <w:rFonts w:ascii="宋体" w:hAnsi="宋体" w:eastAsia="宋体"/>
                <w:color w:val="auto"/>
                <w:szCs w:val="21"/>
                <w:highlight w:val="none"/>
              </w:rPr>
            </w:pPr>
            <w:r>
              <w:rPr>
                <w:rFonts w:hint="eastAsia" w:ascii="宋体" w:hAnsi="宋体" w:eastAsia="宋体" w:cs="宋体"/>
                <w:color w:val="auto"/>
                <w:highlight w:val="none"/>
              </w:rPr>
              <w:t>3分</w:t>
            </w:r>
          </w:p>
        </w:tc>
        <w:tc>
          <w:tcPr>
            <w:tcW w:w="3412" w:type="pct"/>
            <w:vAlign w:val="center"/>
          </w:tcPr>
          <w:p w14:paraId="11E18AEF">
            <w:pPr>
              <w:keepNext w:val="0"/>
              <w:keepLines w:val="0"/>
              <w:pageBreakBefore w:val="0"/>
              <w:kinsoku/>
              <w:wordWrap/>
              <w:overflowPunct/>
              <w:topLinePunct w:val="0"/>
              <w:autoSpaceDE/>
              <w:autoSpaceDN/>
              <w:bidi w:val="0"/>
              <w:adjustRightInd/>
              <w:snapToGrid/>
              <w:spacing w:before="43" w:beforeLines="10" w:after="30" w:line="360" w:lineRule="auto"/>
              <w:textAlignment w:val="auto"/>
              <w:rPr>
                <w:rFonts w:ascii="宋体" w:hAnsi="宋体" w:eastAsia="宋体" w:cs="Times New Roman"/>
                <w:b/>
                <w:bCs w:val="0"/>
                <w:color w:val="auto"/>
                <w:szCs w:val="21"/>
                <w:highlight w:val="none"/>
              </w:rPr>
            </w:pPr>
            <w:r>
              <w:rPr>
                <w:rFonts w:hint="eastAsia" w:ascii="宋体" w:hAnsi="宋体" w:eastAsia="宋体" w:cs="Times New Roman"/>
                <w:b/>
                <w:bCs w:val="0"/>
                <w:color w:val="auto"/>
                <w:szCs w:val="21"/>
                <w:highlight w:val="none"/>
                <w:lang w:eastAsia="zh-CN" w:bidi="ar"/>
              </w:rPr>
              <w:t>供应商</w:t>
            </w:r>
            <w:r>
              <w:rPr>
                <w:rFonts w:hint="eastAsia" w:ascii="宋体" w:hAnsi="宋体" w:eastAsia="宋体" w:cs="Times New Roman"/>
                <w:b/>
                <w:bCs w:val="0"/>
                <w:color w:val="auto"/>
                <w:szCs w:val="21"/>
                <w:highlight w:val="none"/>
                <w:lang w:bidi="ar"/>
              </w:rPr>
              <w:t>具有由国家认证认可监督管理部门批准设立的认证机构颁发并在有效期内的证书，每提供一个得1分，最高得3分。</w:t>
            </w:r>
          </w:p>
          <w:p w14:paraId="061F35D9">
            <w:pPr>
              <w:keepNext w:val="0"/>
              <w:keepLines w:val="0"/>
              <w:pageBreakBefore w:val="0"/>
              <w:numPr>
                <w:ilvl w:val="0"/>
                <w:numId w:val="0"/>
              </w:numPr>
              <w:kinsoku/>
              <w:wordWrap/>
              <w:overflowPunct/>
              <w:topLinePunct w:val="0"/>
              <w:autoSpaceDE/>
              <w:autoSpaceDN/>
              <w:bidi w:val="0"/>
              <w:adjustRightInd/>
              <w:snapToGrid/>
              <w:spacing w:before="43" w:beforeLines="10" w:after="30" w:line="360" w:lineRule="auto"/>
              <w:ind w:leftChars="0"/>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lang w:val="en-US" w:eastAsia="zh-CN" w:bidi="ar"/>
              </w:rPr>
              <w:t>1、</w:t>
            </w:r>
            <w:r>
              <w:rPr>
                <w:rFonts w:hint="eastAsia" w:ascii="宋体" w:hAnsi="宋体" w:eastAsia="宋体" w:cs="Times New Roman"/>
                <w:bCs/>
                <w:color w:val="auto"/>
                <w:szCs w:val="21"/>
                <w:highlight w:val="none"/>
                <w:lang w:bidi="ar"/>
              </w:rPr>
              <w:t>质量管理体系认证证书；</w:t>
            </w:r>
          </w:p>
          <w:p w14:paraId="2D9C63B2">
            <w:pPr>
              <w:keepNext w:val="0"/>
              <w:keepLines w:val="0"/>
              <w:pageBreakBefore w:val="0"/>
              <w:numPr>
                <w:ilvl w:val="0"/>
                <w:numId w:val="0"/>
              </w:numPr>
              <w:kinsoku/>
              <w:wordWrap/>
              <w:overflowPunct/>
              <w:topLinePunct w:val="0"/>
              <w:autoSpaceDE/>
              <w:autoSpaceDN/>
              <w:bidi w:val="0"/>
              <w:adjustRightInd/>
              <w:snapToGrid/>
              <w:spacing w:before="43" w:beforeLines="10" w:after="30" w:line="360" w:lineRule="auto"/>
              <w:ind w:leftChars="0"/>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lang w:val="en-US" w:eastAsia="zh-CN" w:bidi="ar"/>
              </w:rPr>
              <w:t>2、</w:t>
            </w:r>
            <w:r>
              <w:rPr>
                <w:rFonts w:hint="eastAsia" w:ascii="宋体" w:hAnsi="宋体" w:eastAsia="宋体" w:cs="Times New Roman"/>
                <w:bCs/>
                <w:color w:val="auto"/>
                <w:szCs w:val="21"/>
                <w:highlight w:val="none"/>
                <w:lang w:bidi="ar"/>
              </w:rPr>
              <w:t>职业健康安全管理体系认证证书；</w:t>
            </w:r>
          </w:p>
          <w:p w14:paraId="5BE30C0D">
            <w:pPr>
              <w:keepNext w:val="0"/>
              <w:keepLines w:val="0"/>
              <w:pageBreakBefore w:val="0"/>
              <w:numPr>
                <w:ilvl w:val="0"/>
                <w:numId w:val="0"/>
              </w:numPr>
              <w:kinsoku/>
              <w:wordWrap/>
              <w:overflowPunct/>
              <w:topLinePunct w:val="0"/>
              <w:autoSpaceDE/>
              <w:autoSpaceDN/>
              <w:bidi w:val="0"/>
              <w:adjustRightInd/>
              <w:snapToGrid/>
              <w:spacing w:before="43" w:beforeLines="10" w:after="30" w:line="360" w:lineRule="auto"/>
              <w:ind w:leftChars="0"/>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lang w:val="en-US" w:eastAsia="zh-CN" w:bidi="ar"/>
              </w:rPr>
              <w:t>3、</w:t>
            </w:r>
            <w:r>
              <w:rPr>
                <w:rFonts w:hint="eastAsia" w:ascii="宋体" w:hAnsi="宋体" w:eastAsia="宋体" w:cs="Times New Roman"/>
                <w:bCs/>
                <w:color w:val="auto"/>
                <w:szCs w:val="21"/>
                <w:highlight w:val="none"/>
                <w:lang w:bidi="ar"/>
              </w:rPr>
              <w:t>环境管理体系认证证书。</w:t>
            </w:r>
          </w:p>
          <w:p w14:paraId="4C4670CF">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eastAsia="宋体"/>
                <w:b/>
                <w:color w:val="auto"/>
                <w:szCs w:val="21"/>
                <w:highlight w:val="none"/>
                <w:u w:val="single"/>
              </w:rPr>
            </w:pPr>
            <w:r>
              <w:rPr>
                <w:rFonts w:hint="eastAsia" w:ascii="宋体" w:hAnsi="宋体" w:eastAsia="宋体" w:cs="Times New Roman"/>
                <w:b/>
                <w:bCs/>
                <w:color w:val="auto"/>
                <w:szCs w:val="21"/>
                <w:highlight w:val="none"/>
                <w:u w:val="single"/>
                <w:lang w:bidi="ar"/>
              </w:rPr>
              <w:t>注：须提供有效证书复印件及国家认证认可监督管理委员会官网（http://www.cnca.gov.cn/）查询截图加盖</w:t>
            </w:r>
            <w:r>
              <w:rPr>
                <w:rFonts w:hint="eastAsia" w:ascii="宋体" w:hAnsi="宋体" w:eastAsia="宋体" w:cs="Times New Roman"/>
                <w:b/>
                <w:bCs/>
                <w:color w:val="auto"/>
                <w:szCs w:val="21"/>
                <w:highlight w:val="none"/>
                <w:u w:val="single"/>
                <w:lang w:eastAsia="zh-CN" w:bidi="ar"/>
              </w:rPr>
              <w:t>供应商</w:t>
            </w:r>
            <w:r>
              <w:rPr>
                <w:rFonts w:hint="eastAsia" w:ascii="宋体" w:hAnsi="宋体" w:eastAsia="宋体" w:cs="Times New Roman"/>
                <w:b/>
                <w:bCs/>
                <w:color w:val="auto"/>
                <w:szCs w:val="21"/>
                <w:highlight w:val="none"/>
                <w:u w:val="single"/>
                <w:lang w:bidi="ar"/>
              </w:rPr>
              <w:t>公章，不完整提供不得分。</w:t>
            </w:r>
          </w:p>
        </w:tc>
      </w:tr>
      <w:tr w14:paraId="79724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4BDB78EF">
            <w:pPr>
              <w:pStyle w:val="49"/>
              <w:spacing w:line="400" w:lineRule="exact"/>
              <w:ind w:firstLine="0" w:firstLineChars="0"/>
              <w:jc w:val="center"/>
              <w:rPr>
                <w:rFonts w:ascii="宋体" w:eastAsia="宋体"/>
                <w:color w:val="auto"/>
                <w:highlight w:val="none"/>
              </w:rPr>
            </w:pPr>
            <w:r>
              <w:rPr>
                <w:rFonts w:hint="eastAsia" w:ascii="宋体" w:eastAsia="宋体"/>
                <w:b/>
                <w:color w:val="auto"/>
                <w:sz w:val="21"/>
                <w:szCs w:val="21"/>
                <w:highlight w:val="none"/>
              </w:rPr>
              <w:t>技术评审细则（</w:t>
            </w:r>
            <w:r>
              <w:rPr>
                <w:rFonts w:hint="eastAsia" w:ascii="宋体" w:eastAsia="宋体"/>
                <w:b/>
                <w:color w:val="auto"/>
                <w:sz w:val="21"/>
                <w:szCs w:val="21"/>
                <w:highlight w:val="none"/>
                <w:lang w:val="en-US" w:eastAsia="zh-CN"/>
              </w:rPr>
              <w:t>60</w:t>
            </w:r>
            <w:r>
              <w:rPr>
                <w:rFonts w:hint="eastAsia" w:ascii="宋体" w:eastAsia="宋体"/>
                <w:b/>
                <w:color w:val="auto"/>
                <w:sz w:val="21"/>
                <w:szCs w:val="21"/>
                <w:highlight w:val="none"/>
              </w:rPr>
              <w:t>分）</w:t>
            </w:r>
          </w:p>
        </w:tc>
      </w:tr>
      <w:tr w14:paraId="10C92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30" w:type="pct"/>
            <w:vAlign w:val="center"/>
          </w:tcPr>
          <w:p w14:paraId="51441C28">
            <w:pPr>
              <w:jc w:val="center"/>
              <w:rPr>
                <w:rFonts w:ascii="宋体" w:hAnsi="宋体" w:eastAsia="宋体"/>
                <w:color w:val="auto"/>
                <w:szCs w:val="21"/>
                <w:highlight w:val="none"/>
              </w:rPr>
            </w:pPr>
            <w:r>
              <w:rPr>
                <w:rFonts w:hint="eastAsia" w:ascii="宋体" w:hAnsi="宋体" w:eastAsia="宋体" w:cs="宋体"/>
                <w:color w:val="auto"/>
                <w:highlight w:val="none"/>
              </w:rPr>
              <w:t>1</w:t>
            </w:r>
          </w:p>
        </w:tc>
        <w:tc>
          <w:tcPr>
            <w:tcW w:w="636" w:type="pct"/>
            <w:vAlign w:val="center"/>
          </w:tcPr>
          <w:p w14:paraId="1E8B7E48">
            <w:pPr>
              <w:jc w:val="center"/>
              <w:rPr>
                <w:rFonts w:hint="default" w:ascii="宋体" w:hAnsi="宋体" w:eastAsia="宋体"/>
                <w:color w:val="auto"/>
                <w:szCs w:val="21"/>
                <w:highlight w:val="none"/>
                <w:lang w:val="en-US" w:eastAsia="zh-CN"/>
              </w:rPr>
            </w:pPr>
            <w:r>
              <w:rPr>
                <w:rFonts w:hint="eastAsia" w:ascii="宋体" w:hAnsi="宋体" w:eastAsia="宋体" w:cs="宋体"/>
                <w:color w:val="auto"/>
                <w:highlight w:val="none"/>
              </w:rPr>
              <w:t>设备更新、升级服务方案</w:t>
            </w:r>
          </w:p>
        </w:tc>
        <w:tc>
          <w:tcPr>
            <w:tcW w:w="520" w:type="pct"/>
            <w:vAlign w:val="center"/>
          </w:tcPr>
          <w:p w14:paraId="014D63F2">
            <w:pPr>
              <w:jc w:val="center"/>
              <w:rPr>
                <w:rFonts w:ascii="宋体" w:hAnsi="宋体" w:eastAsia="宋体"/>
                <w:color w:val="auto"/>
                <w:szCs w:val="21"/>
                <w:highlight w:val="none"/>
              </w:rPr>
            </w:pPr>
            <w:r>
              <w:rPr>
                <w:rFonts w:hint="eastAsia" w:ascii="宋体" w:hAnsi="宋体" w:eastAsia="宋体" w:cs="宋体"/>
                <w:color w:val="auto"/>
                <w:highlight w:val="none"/>
              </w:rPr>
              <w:t>10分</w:t>
            </w:r>
          </w:p>
        </w:tc>
        <w:tc>
          <w:tcPr>
            <w:tcW w:w="3412" w:type="pct"/>
            <w:vAlign w:val="center"/>
          </w:tcPr>
          <w:p w14:paraId="419D300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eastAsia="宋体" w:cs="宋体"/>
                <w:b/>
                <w:bCs/>
                <w:color w:val="auto"/>
                <w:highlight w:val="none"/>
                <w:lang w:eastAsia="zh-CN"/>
              </w:rPr>
              <w:t>供应商</w:t>
            </w:r>
            <w:r>
              <w:rPr>
                <w:rFonts w:hint="eastAsia" w:ascii="宋体" w:hAnsi="宋体" w:eastAsia="宋体" w:cs="宋体"/>
                <w:b/>
                <w:bCs/>
                <w:color w:val="auto"/>
                <w:highlight w:val="none"/>
              </w:rPr>
              <w:t>针对本项目提供的设备更新、升级服务方案（包括但不限于：硬件升级方案、软件升级方案、技术检测方案等）进行评审：</w:t>
            </w:r>
          </w:p>
          <w:p w14:paraId="0799434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提供的硬件升级方案、软件升级方案详细全面、针对性强，技术检测方案符合设备原厂标准，提供的软、硬件功能及参数完全满足且优于本项目采购需求要求的，得10分；</w:t>
            </w:r>
          </w:p>
          <w:p w14:paraId="0299FF4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提供的硬件升级方案、软件升级方案完整、针对性较强，技术检测方案符合设备原厂标准，提供的软、硬件功能及参数符合本项目采购需求要求的，得7分；</w:t>
            </w:r>
          </w:p>
          <w:p w14:paraId="01F9840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提供的硬件升级方案、软件升级方案完整，技术检测方案符合设备原厂标准，提供的软、硬件功能及参数基本满足本项目采购需求要求的，得4分；</w:t>
            </w:r>
          </w:p>
          <w:p w14:paraId="69833BF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提供的硬件升级方案、软件升级方案不完整，提供的软、硬件功能及参数难以满足采购需求要求的，得1分；</w:t>
            </w:r>
          </w:p>
          <w:p w14:paraId="4D6845E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olor w:val="auto"/>
                <w:szCs w:val="21"/>
                <w:highlight w:val="none"/>
              </w:rPr>
            </w:pPr>
            <w:r>
              <w:rPr>
                <w:rFonts w:hint="eastAsia" w:ascii="宋体" w:hAnsi="宋体" w:eastAsia="宋体" w:cs="宋体"/>
                <w:color w:val="auto"/>
                <w:highlight w:val="none"/>
              </w:rPr>
              <w:t>5、未提供相关方案或其它情况的，得0分。</w:t>
            </w:r>
          </w:p>
        </w:tc>
      </w:tr>
      <w:tr w14:paraId="094AA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30" w:type="pct"/>
            <w:vAlign w:val="center"/>
          </w:tcPr>
          <w:p w14:paraId="0F8A7C7B">
            <w:pPr>
              <w:jc w:val="center"/>
              <w:rPr>
                <w:rFonts w:hint="eastAsia" w:ascii="宋体" w:hAnsi="宋体" w:eastAsia="宋体"/>
                <w:color w:val="auto"/>
                <w:szCs w:val="21"/>
                <w:highlight w:val="none"/>
                <w:lang w:val="en-US" w:eastAsia="zh-CN"/>
              </w:rPr>
            </w:pPr>
            <w:r>
              <w:rPr>
                <w:rFonts w:hint="eastAsia" w:ascii="宋体" w:hAnsi="宋体" w:eastAsia="宋体" w:cs="宋体"/>
                <w:color w:val="auto"/>
                <w:highlight w:val="none"/>
              </w:rPr>
              <w:t>2</w:t>
            </w:r>
          </w:p>
        </w:tc>
        <w:tc>
          <w:tcPr>
            <w:tcW w:w="636" w:type="pct"/>
            <w:vAlign w:val="center"/>
          </w:tcPr>
          <w:p w14:paraId="6675BCDD">
            <w:pPr>
              <w:jc w:val="center"/>
              <w:rPr>
                <w:rFonts w:hint="default" w:ascii="宋体" w:hAnsi="宋体" w:eastAsia="宋体"/>
                <w:bCs/>
                <w:color w:val="auto"/>
                <w:szCs w:val="21"/>
                <w:highlight w:val="none"/>
                <w:lang w:val="en-US" w:eastAsia="zh-CN"/>
              </w:rPr>
            </w:pPr>
            <w:r>
              <w:rPr>
                <w:rFonts w:hint="eastAsia" w:ascii="宋体" w:hAnsi="宋体" w:eastAsia="宋体" w:cs="宋体"/>
                <w:bCs/>
                <w:color w:val="auto"/>
                <w:highlight w:val="none"/>
              </w:rPr>
              <w:t>设备维修、保养方案</w:t>
            </w:r>
          </w:p>
        </w:tc>
        <w:tc>
          <w:tcPr>
            <w:tcW w:w="520" w:type="pct"/>
            <w:vAlign w:val="center"/>
          </w:tcPr>
          <w:p w14:paraId="52679828">
            <w:pPr>
              <w:jc w:val="center"/>
              <w:rPr>
                <w:rFonts w:ascii="宋体" w:hAnsi="宋体" w:eastAsia="宋体"/>
                <w:bCs/>
                <w:color w:val="auto"/>
                <w:szCs w:val="21"/>
                <w:highlight w:val="none"/>
              </w:rPr>
            </w:pPr>
            <w:r>
              <w:rPr>
                <w:rFonts w:hint="eastAsia" w:ascii="宋体" w:hAnsi="宋体" w:eastAsia="宋体" w:cs="宋体"/>
                <w:color w:val="auto"/>
                <w:highlight w:val="none"/>
              </w:rPr>
              <w:t>10分</w:t>
            </w:r>
          </w:p>
        </w:tc>
        <w:tc>
          <w:tcPr>
            <w:tcW w:w="3412" w:type="pct"/>
            <w:vAlign w:val="center"/>
          </w:tcPr>
          <w:p w14:paraId="5B73D5C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eastAsia="宋体" w:cs="宋体"/>
                <w:b/>
                <w:bCs/>
                <w:color w:val="auto"/>
                <w:highlight w:val="none"/>
                <w:lang w:eastAsia="zh-CN"/>
              </w:rPr>
              <w:t>供应商</w:t>
            </w:r>
            <w:r>
              <w:rPr>
                <w:rFonts w:hint="eastAsia" w:ascii="宋体" w:hAnsi="宋体" w:eastAsia="宋体" w:cs="宋体"/>
                <w:b/>
                <w:bCs/>
                <w:color w:val="auto"/>
                <w:highlight w:val="none"/>
              </w:rPr>
              <w:t>针对本项目提供的设备维修、保养方案（包括但不限于：维保服务计划、维保服务工作流程、设备管理方案等）进行评审：</w:t>
            </w:r>
          </w:p>
          <w:p w14:paraId="0C675CF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提供的维保服务计划科学且可行性强，维保服务工作流程完整、全面，与采购人设备及软件相适应，设备管理方案针对性强，完全满足且优于采购需求要求的，得10分；</w:t>
            </w:r>
          </w:p>
          <w:p w14:paraId="7D691C6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提供的维保服务计划可行性强，维保维服务工作流程完整、全面，设备管理方案针对性较强，符合采购需求要求的，得7分；</w:t>
            </w:r>
          </w:p>
          <w:p w14:paraId="3CA78B7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提供的维保服务计划具有可行性，维保服务工作流程基本完整，设备管理方案有一定针对性，基本满足采购需求要求的，得4分；</w:t>
            </w:r>
          </w:p>
          <w:p w14:paraId="01C645F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提供的维保服务计划不可行，维保服务工作流程一般，设备管理方案不具有针对性，难以满足采购需求要求的，得1分；</w:t>
            </w:r>
          </w:p>
          <w:p w14:paraId="589C003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kern w:val="0"/>
                <w:szCs w:val="21"/>
                <w:highlight w:val="none"/>
              </w:rPr>
            </w:pPr>
            <w:r>
              <w:rPr>
                <w:rFonts w:hint="eastAsia" w:ascii="宋体" w:hAnsi="宋体" w:eastAsia="宋体" w:cs="宋体"/>
                <w:color w:val="auto"/>
                <w:highlight w:val="none"/>
              </w:rPr>
              <w:t>5、未提供相关方案或其它情况的，得0分。</w:t>
            </w:r>
          </w:p>
        </w:tc>
      </w:tr>
      <w:tr w14:paraId="5847A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30" w:type="pct"/>
            <w:vAlign w:val="center"/>
          </w:tcPr>
          <w:p w14:paraId="6B061EE9">
            <w:pPr>
              <w:jc w:val="center"/>
              <w:rPr>
                <w:rFonts w:hint="eastAsia" w:ascii="宋体" w:hAnsi="宋体" w:eastAsia="宋体"/>
                <w:color w:val="auto"/>
                <w:szCs w:val="21"/>
                <w:highlight w:val="none"/>
                <w:lang w:val="en-US" w:eastAsia="zh-CN"/>
              </w:rPr>
            </w:pPr>
            <w:r>
              <w:rPr>
                <w:rFonts w:hint="eastAsia" w:ascii="宋体" w:hAnsi="宋体" w:eastAsia="宋体" w:cs="宋体"/>
                <w:color w:val="auto"/>
                <w:highlight w:val="none"/>
              </w:rPr>
              <w:t>3</w:t>
            </w:r>
          </w:p>
        </w:tc>
        <w:tc>
          <w:tcPr>
            <w:tcW w:w="636" w:type="pct"/>
            <w:vAlign w:val="center"/>
          </w:tcPr>
          <w:p w14:paraId="2BA1F50B">
            <w:pPr>
              <w:jc w:val="center"/>
              <w:rPr>
                <w:rFonts w:hint="default" w:ascii="宋体" w:hAnsi="宋体" w:eastAsia="宋体"/>
                <w:bCs/>
                <w:color w:val="auto"/>
                <w:szCs w:val="21"/>
                <w:highlight w:val="none"/>
                <w:lang w:val="en-US" w:eastAsia="zh-CN"/>
              </w:rPr>
            </w:pPr>
            <w:r>
              <w:rPr>
                <w:rFonts w:hint="eastAsia" w:ascii="宋体" w:hAnsi="宋体" w:eastAsia="宋体" w:cs="宋体"/>
                <w:bCs/>
                <w:color w:val="auto"/>
                <w:highlight w:val="none"/>
              </w:rPr>
              <w:t>拟投入服务人员及组织架构</w:t>
            </w:r>
          </w:p>
        </w:tc>
        <w:tc>
          <w:tcPr>
            <w:tcW w:w="520" w:type="pct"/>
            <w:vAlign w:val="center"/>
          </w:tcPr>
          <w:p w14:paraId="3C635D2D">
            <w:pPr>
              <w:jc w:val="center"/>
              <w:rPr>
                <w:rFonts w:ascii="宋体" w:hAnsi="宋体" w:eastAsia="宋体"/>
                <w:color w:val="auto"/>
                <w:szCs w:val="21"/>
                <w:highlight w:val="none"/>
              </w:rPr>
            </w:pPr>
            <w:r>
              <w:rPr>
                <w:rFonts w:hint="eastAsia" w:ascii="宋体" w:hAnsi="宋体" w:eastAsia="宋体" w:cs="宋体"/>
                <w:color w:val="auto"/>
                <w:highlight w:val="none"/>
              </w:rPr>
              <w:t>10分</w:t>
            </w:r>
          </w:p>
        </w:tc>
        <w:tc>
          <w:tcPr>
            <w:tcW w:w="3412" w:type="pct"/>
            <w:vAlign w:val="center"/>
          </w:tcPr>
          <w:p w14:paraId="4C59992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eastAsia="宋体" w:cs="宋体"/>
                <w:b/>
                <w:bCs/>
                <w:color w:val="auto"/>
                <w:highlight w:val="none"/>
                <w:lang w:eastAsia="zh-CN"/>
              </w:rPr>
              <w:t>供应商</w:t>
            </w:r>
            <w:r>
              <w:rPr>
                <w:rFonts w:hint="eastAsia" w:ascii="宋体" w:hAnsi="宋体" w:eastAsia="宋体" w:cs="宋体"/>
                <w:b/>
                <w:bCs/>
                <w:color w:val="auto"/>
                <w:highlight w:val="none"/>
              </w:rPr>
              <w:t>针对本项目提供的服务人员配置方案及组织架构（包括但不限于：服务人员项目经验、数量、岗位职责、团队组织架构等）进行评审：</w:t>
            </w:r>
          </w:p>
          <w:p w14:paraId="652622F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组织架构科学完善，服务人员配备充足且具有丰富的项目经验，针对本项目需求对服务人员岗位和职责进行了清晰明确的划分，能完全满足且优于采购需求要求的，得10分；</w:t>
            </w:r>
          </w:p>
          <w:p w14:paraId="462F376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组织架构完善，服务人员配备充足且具有一定的项目经验，对服务人员岗位和职责进行了较为明确的划分，能满足采购需求要求的，得7分；</w:t>
            </w:r>
          </w:p>
          <w:p w14:paraId="5E2464A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组织架构基本完善，服务人员配备充足，对服务岗位和职责有一定区分，基本能满足采购需求要求的，得4分；</w:t>
            </w:r>
          </w:p>
          <w:p w14:paraId="6FE6360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组织架构一般，服务人员配备不充足，难以满足采购需求要求的，得1分；</w:t>
            </w:r>
          </w:p>
          <w:p w14:paraId="1112F17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olor w:val="auto"/>
                <w:szCs w:val="21"/>
                <w:highlight w:val="none"/>
              </w:rPr>
            </w:pPr>
            <w:r>
              <w:rPr>
                <w:rFonts w:hint="eastAsia" w:ascii="宋体" w:hAnsi="宋体" w:eastAsia="宋体" w:cs="宋体"/>
                <w:color w:val="auto"/>
                <w:highlight w:val="none"/>
              </w:rPr>
              <w:t>5、未提供相关方案或其他情形的，得0分。</w:t>
            </w:r>
          </w:p>
        </w:tc>
      </w:tr>
      <w:tr w14:paraId="766A6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30" w:type="pct"/>
            <w:vAlign w:val="center"/>
          </w:tcPr>
          <w:p w14:paraId="53C11CED">
            <w:pPr>
              <w:jc w:val="center"/>
              <w:rPr>
                <w:rFonts w:hint="eastAsia" w:ascii="宋体" w:hAnsi="宋体" w:eastAsia="宋体"/>
                <w:color w:val="auto"/>
                <w:szCs w:val="21"/>
                <w:highlight w:val="none"/>
                <w:lang w:val="en-US" w:eastAsia="zh-CN"/>
              </w:rPr>
            </w:pPr>
            <w:r>
              <w:rPr>
                <w:rFonts w:hint="eastAsia" w:ascii="宋体" w:hAnsi="宋体" w:eastAsia="宋体" w:cs="宋体"/>
                <w:color w:val="auto"/>
                <w:highlight w:val="none"/>
              </w:rPr>
              <w:t>4</w:t>
            </w:r>
          </w:p>
        </w:tc>
        <w:tc>
          <w:tcPr>
            <w:tcW w:w="636" w:type="pct"/>
            <w:vAlign w:val="center"/>
          </w:tcPr>
          <w:p w14:paraId="677CB863">
            <w:pPr>
              <w:jc w:val="center"/>
              <w:rPr>
                <w:rFonts w:hint="default" w:ascii="宋体" w:hAnsi="宋体" w:eastAsia="宋体"/>
                <w:bCs/>
                <w:color w:val="auto"/>
                <w:szCs w:val="21"/>
                <w:highlight w:val="none"/>
                <w:lang w:val="en-US" w:eastAsia="zh-CN"/>
              </w:rPr>
            </w:pPr>
            <w:r>
              <w:rPr>
                <w:rFonts w:hint="eastAsia" w:ascii="宋体" w:hAnsi="宋体" w:eastAsia="宋体" w:cs="宋体"/>
                <w:bCs/>
                <w:color w:val="auto"/>
                <w:highlight w:val="none"/>
              </w:rPr>
              <w:t>培训方案</w:t>
            </w:r>
          </w:p>
        </w:tc>
        <w:tc>
          <w:tcPr>
            <w:tcW w:w="520" w:type="pct"/>
            <w:vAlign w:val="center"/>
          </w:tcPr>
          <w:p w14:paraId="5C574A1F">
            <w:pPr>
              <w:jc w:val="center"/>
              <w:rPr>
                <w:rFonts w:ascii="宋体" w:hAnsi="宋体" w:eastAsia="宋体"/>
                <w:color w:val="auto"/>
                <w:szCs w:val="21"/>
                <w:highlight w:val="none"/>
              </w:rPr>
            </w:pPr>
            <w:r>
              <w:rPr>
                <w:rFonts w:hint="eastAsia" w:ascii="宋体" w:hAnsi="宋体" w:eastAsia="宋体" w:cs="宋体"/>
                <w:color w:val="auto"/>
                <w:highlight w:val="none"/>
              </w:rPr>
              <w:t>10分</w:t>
            </w:r>
          </w:p>
        </w:tc>
        <w:tc>
          <w:tcPr>
            <w:tcW w:w="3412" w:type="pct"/>
            <w:vAlign w:val="center"/>
          </w:tcPr>
          <w:p w14:paraId="6AC9C25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eastAsia="宋体" w:cs="宋体"/>
                <w:b/>
                <w:bCs/>
                <w:color w:val="auto"/>
                <w:highlight w:val="none"/>
                <w:lang w:eastAsia="zh-CN"/>
              </w:rPr>
              <w:t>供应商</w:t>
            </w:r>
            <w:r>
              <w:rPr>
                <w:rFonts w:hint="eastAsia" w:ascii="宋体" w:hAnsi="宋体" w:eastAsia="宋体" w:cs="宋体"/>
                <w:b/>
                <w:bCs/>
                <w:color w:val="auto"/>
                <w:highlight w:val="none"/>
              </w:rPr>
              <w:t>针对本项目提供的培训方案（包括但不限于：服务人员培训经历、培训计划、培训内容等）进行评审：</w:t>
            </w:r>
          </w:p>
          <w:p w14:paraId="230E272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1、服务人员培训经历丰富，拟投入人员均具备相关厂商培训经验，</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自身培训计划安排合理、内容全面且完善，能完全满足且优于采购需求要求的，得10分；</w:t>
            </w:r>
          </w:p>
          <w:p w14:paraId="5C6B6FA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2、服务人员培训经历较为丰富，拟投入人员有一定相关厂商培训经验，</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自身培训计划安排较为合理、内容全面，能满足采购需求要求的，得7分；</w:t>
            </w:r>
          </w:p>
          <w:p w14:paraId="128CED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3、服务人员有部分培训经历，</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自身培训内容完整，基本能满足采购需求要求的，得4分；</w:t>
            </w:r>
          </w:p>
          <w:p w14:paraId="15B2DD6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4、服务人员未接受过相关培训，</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自身计划及培训内容简略，难以满足采购需求要求的，得1分；</w:t>
            </w:r>
          </w:p>
          <w:p w14:paraId="5E39252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olor w:val="auto"/>
                <w:szCs w:val="21"/>
                <w:highlight w:val="none"/>
              </w:rPr>
            </w:pPr>
            <w:r>
              <w:rPr>
                <w:rFonts w:hint="eastAsia" w:ascii="宋体" w:hAnsi="宋体" w:eastAsia="宋体" w:cs="宋体"/>
                <w:color w:val="auto"/>
                <w:highlight w:val="none"/>
              </w:rPr>
              <w:t>5、未提供相关方案或其他情形的，得0分。</w:t>
            </w:r>
          </w:p>
        </w:tc>
      </w:tr>
      <w:tr w14:paraId="75EFD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30" w:type="pct"/>
            <w:vAlign w:val="center"/>
          </w:tcPr>
          <w:p w14:paraId="6141CFE2">
            <w:pPr>
              <w:jc w:val="center"/>
              <w:rPr>
                <w:rFonts w:hint="eastAsia" w:ascii="宋体" w:hAnsi="宋体" w:eastAsia="宋体"/>
                <w:color w:val="auto"/>
                <w:szCs w:val="21"/>
                <w:highlight w:val="none"/>
                <w:lang w:val="en-US" w:eastAsia="zh-CN"/>
              </w:rPr>
            </w:pPr>
            <w:r>
              <w:rPr>
                <w:rFonts w:hint="eastAsia" w:ascii="宋体" w:hAnsi="宋体" w:eastAsia="宋体" w:cs="宋体"/>
                <w:color w:val="auto"/>
                <w:highlight w:val="none"/>
              </w:rPr>
              <w:t>5</w:t>
            </w:r>
          </w:p>
        </w:tc>
        <w:tc>
          <w:tcPr>
            <w:tcW w:w="636" w:type="pct"/>
            <w:vAlign w:val="center"/>
          </w:tcPr>
          <w:p w14:paraId="67C3B723">
            <w:pPr>
              <w:jc w:val="center"/>
              <w:rPr>
                <w:rFonts w:hint="default" w:ascii="宋体" w:hAnsi="宋体" w:eastAsia="宋体"/>
                <w:bCs/>
                <w:color w:val="auto"/>
                <w:szCs w:val="21"/>
                <w:highlight w:val="none"/>
                <w:lang w:val="en-US" w:eastAsia="zh-CN"/>
              </w:rPr>
            </w:pPr>
            <w:r>
              <w:rPr>
                <w:rFonts w:hint="eastAsia" w:ascii="宋体" w:hAnsi="宋体" w:eastAsia="宋体" w:cs="宋体"/>
                <w:bCs/>
                <w:color w:val="auto"/>
                <w:highlight w:val="none"/>
              </w:rPr>
              <w:t>规章制度</w:t>
            </w:r>
          </w:p>
        </w:tc>
        <w:tc>
          <w:tcPr>
            <w:tcW w:w="520" w:type="pct"/>
            <w:vAlign w:val="center"/>
          </w:tcPr>
          <w:p w14:paraId="7E8319E4">
            <w:pPr>
              <w:jc w:val="center"/>
              <w:rPr>
                <w:rFonts w:ascii="宋体" w:hAnsi="宋体" w:eastAsia="宋体"/>
                <w:color w:val="auto"/>
                <w:szCs w:val="21"/>
                <w:highlight w:val="none"/>
              </w:rPr>
            </w:pPr>
            <w:r>
              <w:rPr>
                <w:rFonts w:hint="eastAsia" w:ascii="宋体" w:hAnsi="宋体" w:eastAsia="宋体" w:cs="宋体"/>
                <w:color w:val="auto"/>
                <w:highlight w:val="none"/>
              </w:rPr>
              <w:t>10分</w:t>
            </w:r>
          </w:p>
        </w:tc>
        <w:tc>
          <w:tcPr>
            <w:tcW w:w="3412" w:type="pct"/>
            <w:vAlign w:val="center"/>
          </w:tcPr>
          <w:p w14:paraId="245F1E9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eastAsia="宋体" w:cs="宋体"/>
                <w:b/>
                <w:bCs/>
                <w:color w:val="auto"/>
                <w:highlight w:val="none"/>
                <w:lang w:eastAsia="zh-CN"/>
              </w:rPr>
              <w:t>供应商</w:t>
            </w:r>
            <w:r>
              <w:rPr>
                <w:rFonts w:hint="eastAsia" w:ascii="宋体" w:hAnsi="宋体" w:eastAsia="宋体" w:cs="宋体"/>
                <w:b/>
                <w:bCs/>
                <w:color w:val="auto"/>
                <w:highlight w:val="none"/>
              </w:rPr>
              <w:t>针对本项目提供的规章制度（包括但不限于：工作记录与台账制度、工作报告模板及内容、工作报告审批制度等）进行评审：</w:t>
            </w:r>
          </w:p>
          <w:p w14:paraId="41E8D8C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工作记录与台账制度完善有效，约定了明确的交接和登记时间，工作报告模板清晰明了、内容全面，工作报告产出审批严谨制度，能完全满足且优于采购需求要求的，得10分；</w:t>
            </w:r>
          </w:p>
          <w:p w14:paraId="37F9A5D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工作记录与台账制度完善，约定了较为明确的交接和登记时间，工作报告模板内容全面，工作报告产出审批制度较为可行，能满足采购需求要求的，得7分；</w:t>
            </w:r>
          </w:p>
          <w:p w14:paraId="6C5AB8B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工作记录与台账制度完整，约定了交接和登记时间，有提供工作报告模板，工作报告产出审批制度一般，基本能满足采购需求要求的，得4分；</w:t>
            </w:r>
          </w:p>
          <w:p w14:paraId="25871F4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工作记录与台账制度不完整，未明确交接和登记时间，工作报告模板简略，工作报告产出无审批及复合环节，难以满足采购需求要求的，得1分；</w:t>
            </w:r>
          </w:p>
          <w:p w14:paraId="760901B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olor w:val="auto"/>
                <w:szCs w:val="21"/>
                <w:highlight w:val="none"/>
              </w:rPr>
            </w:pPr>
            <w:r>
              <w:rPr>
                <w:rFonts w:hint="eastAsia" w:ascii="宋体" w:hAnsi="宋体" w:eastAsia="宋体" w:cs="宋体"/>
                <w:color w:val="auto"/>
                <w:highlight w:val="none"/>
              </w:rPr>
              <w:t>5、未提供相关方案或其他情形的，得0分。</w:t>
            </w:r>
          </w:p>
        </w:tc>
      </w:tr>
      <w:tr w14:paraId="7197D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30" w:type="pct"/>
            <w:vAlign w:val="center"/>
          </w:tcPr>
          <w:p w14:paraId="63835EE2">
            <w:pPr>
              <w:jc w:val="center"/>
              <w:rPr>
                <w:rFonts w:hint="eastAsia" w:ascii="宋体" w:hAnsi="宋体" w:eastAsia="宋体"/>
                <w:color w:val="auto"/>
                <w:szCs w:val="21"/>
                <w:highlight w:val="none"/>
                <w:lang w:val="en-US" w:eastAsia="zh-CN"/>
              </w:rPr>
            </w:pPr>
            <w:r>
              <w:rPr>
                <w:rFonts w:hint="eastAsia" w:ascii="宋体" w:hAnsi="宋体" w:eastAsia="宋体" w:cs="宋体"/>
                <w:color w:val="auto"/>
                <w:highlight w:val="none"/>
              </w:rPr>
              <w:t>6</w:t>
            </w:r>
          </w:p>
        </w:tc>
        <w:tc>
          <w:tcPr>
            <w:tcW w:w="636" w:type="pct"/>
            <w:vAlign w:val="center"/>
          </w:tcPr>
          <w:p w14:paraId="6B495ACC">
            <w:pPr>
              <w:jc w:val="center"/>
              <w:rPr>
                <w:rFonts w:hint="default" w:ascii="宋体" w:hAnsi="宋体" w:eastAsia="宋体"/>
                <w:bCs/>
                <w:color w:val="auto"/>
                <w:szCs w:val="21"/>
                <w:highlight w:val="none"/>
                <w:lang w:val="en-US" w:eastAsia="zh-CN"/>
              </w:rPr>
            </w:pPr>
            <w:r>
              <w:rPr>
                <w:rFonts w:hint="eastAsia" w:ascii="宋体" w:hAnsi="宋体" w:eastAsia="宋体" w:cs="宋体"/>
                <w:bCs/>
                <w:color w:val="auto"/>
                <w:highlight w:val="none"/>
              </w:rPr>
              <w:t>应急保障方案</w:t>
            </w:r>
          </w:p>
        </w:tc>
        <w:tc>
          <w:tcPr>
            <w:tcW w:w="520" w:type="pct"/>
            <w:vAlign w:val="center"/>
          </w:tcPr>
          <w:p w14:paraId="36665CB9">
            <w:pPr>
              <w:jc w:val="center"/>
              <w:rPr>
                <w:rFonts w:ascii="宋体" w:hAnsi="宋体" w:eastAsia="宋体"/>
                <w:color w:val="auto"/>
                <w:szCs w:val="21"/>
                <w:highlight w:val="none"/>
              </w:rPr>
            </w:pPr>
            <w:r>
              <w:rPr>
                <w:rFonts w:hint="eastAsia" w:ascii="宋体" w:hAnsi="宋体" w:eastAsia="宋体" w:cs="宋体"/>
                <w:color w:val="auto"/>
                <w:highlight w:val="none"/>
              </w:rPr>
              <w:t>10分</w:t>
            </w:r>
          </w:p>
        </w:tc>
        <w:tc>
          <w:tcPr>
            <w:tcW w:w="3412" w:type="pct"/>
            <w:vAlign w:val="center"/>
          </w:tcPr>
          <w:p w14:paraId="1D3F156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eastAsia="宋体" w:cs="宋体"/>
                <w:b/>
                <w:bCs/>
                <w:color w:val="auto"/>
                <w:highlight w:val="none"/>
                <w:lang w:eastAsia="zh-CN"/>
              </w:rPr>
              <w:t>供应商</w:t>
            </w:r>
            <w:r>
              <w:rPr>
                <w:rFonts w:hint="eastAsia" w:ascii="宋体" w:hAnsi="宋体" w:eastAsia="宋体" w:cs="宋体"/>
                <w:b/>
                <w:bCs/>
                <w:color w:val="auto"/>
                <w:highlight w:val="none"/>
              </w:rPr>
              <w:t>针对本项目提供的应急保障方案（包括但不限于：应急响应机制与人员安排、技术支撑能力、紧急事件预防及处置能力等）进行评审：</w:t>
            </w:r>
          </w:p>
          <w:p w14:paraId="6BDFCD3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针对本项目制定了严谨且充分的应急响应机制和人员安排方案，软、硬件技术支撑能力强，有一套高效可行的紧急事件预防及处置方案，能完全满足且优于采购需求要求的，得10分；</w:t>
            </w:r>
          </w:p>
          <w:p w14:paraId="5EC7FF9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针对本项目制定了充分的应急响应机制和人员安排方案，软、硬件技术支撑能力较强，有一套可行的紧急事件预防及处置方案，能满足采购需求要求的，得7分；</w:t>
            </w:r>
          </w:p>
          <w:p w14:paraId="4C385BC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制定了相应的应急响应机制和人员安排方案，软、硬件技术支撑能力一般，制定了部分紧急事件预防及处置方案，基本能满足采购需求要求的，得4分；</w:t>
            </w:r>
          </w:p>
          <w:p w14:paraId="5D8471D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的应急响应机制和人员安排方案简略，软、硬件技术支撑能力较差，紧急事件预防及处置方案不可行，难以满足采购需求要求的，得1分；</w:t>
            </w:r>
          </w:p>
          <w:p w14:paraId="0C9E8E8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olor w:val="auto"/>
                <w:szCs w:val="21"/>
                <w:highlight w:val="none"/>
              </w:rPr>
            </w:pPr>
            <w:r>
              <w:rPr>
                <w:rFonts w:hint="eastAsia" w:ascii="宋体" w:hAnsi="宋体" w:eastAsia="宋体" w:cs="宋体"/>
                <w:color w:val="auto"/>
                <w:highlight w:val="none"/>
              </w:rPr>
              <w:t>5、未提供相关方案或其他情形的，得0分。</w:t>
            </w:r>
          </w:p>
        </w:tc>
      </w:tr>
      <w:bookmarkEnd w:id="36"/>
    </w:tbl>
    <w:p w14:paraId="5A213517">
      <w:pPr>
        <w:pStyle w:val="74"/>
        <w:outlineLvl w:val="9"/>
        <w:rPr>
          <w:rFonts w:hint="default"/>
          <w:b/>
          <w:sz w:val="24"/>
        </w:rPr>
      </w:pPr>
    </w:p>
    <w:p w14:paraId="47738C6C">
      <w:pPr>
        <w:pStyle w:val="74"/>
        <w:numPr>
          <w:ilvl w:val="0"/>
          <w:numId w:val="76"/>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76"/>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81"/>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7A8ACE92">
      <w:pPr>
        <w:pStyle w:val="74"/>
        <w:numPr>
          <w:ilvl w:val="0"/>
          <w:numId w:val="81"/>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81"/>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81"/>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4FA71416">
      <w:pPr>
        <w:pStyle w:val="74"/>
        <w:numPr>
          <w:ilvl w:val="0"/>
          <w:numId w:val="81"/>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81"/>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428C2FDC">
      <w:pPr>
        <w:pStyle w:val="2"/>
        <w:keepNext w:val="0"/>
        <w:keepLines w:val="0"/>
        <w:pageBreakBefore/>
        <w:spacing w:after="240" w:line="360" w:lineRule="auto"/>
        <w:jc w:val="center"/>
        <w:rPr>
          <w:rFonts w:ascii="宋体" w:hAnsi="宋体"/>
          <w:sz w:val="36"/>
          <w:szCs w:val="36"/>
        </w:rPr>
      </w:pPr>
      <w:bookmarkStart w:id="37" w:name="_Toc169807544"/>
      <w:bookmarkStart w:id="38" w:name="_Toc169799783"/>
      <w:bookmarkStart w:id="39" w:name="_Toc6913"/>
      <w:bookmarkStart w:id="40" w:name="_Toc521951136"/>
      <w:bookmarkStart w:id="41" w:name="_Toc405313956"/>
      <w:bookmarkStart w:id="42" w:name="_Toc391627752"/>
      <w:r>
        <w:rPr>
          <w:rFonts w:asciiTheme="minorEastAsia" w:hAnsiTheme="minorEastAsia" w:eastAsiaTheme="minorEastAsia"/>
          <w:spacing w:val="20"/>
          <w:sz w:val="32"/>
          <w:szCs w:val="32"/>
        </w:rPr>
        <w:t>第五章 合同文本</w:t>
      </w:r>
      <w:bookmarkEnd w:id="37"/>
      <w:bookmarkEnd w:id="38"/>
      <w:bookmarkEnd w:id="39"/>
    </w:p>
    <w:bookmarkEnd w:id="40"/>
    <w:bookmarkEnd w:id="41"/>
    <w:bookmarkEnd w:id="42"/>
    <w:p w14:paraId="7854F0AE">
      <w:pPr>
        <w:keepNext w:val="0"/>
        <w:keepLines w:val="0"/>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bookmarkStart w:id="43" w:name="_Toc169799784"/>
      <w:bookmarkStart w:id="44" w:name="_Toc169807545"/>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single"/>
        </w:rPr>
        <w:t xml:space="preserve">东莞市莞城医院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single"/>
        </w:rPr>
        <w:t xml:space="preserve"> </w:t>
      </w:r>
    </w:p>
    <w:p w14:paraId="6DA243B6">
      <w:pPr>
        <w:keepNext w:val="0"/>
        <w:keepLines w:val="0"/>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乙方（</w:t>
      </w:r>
      <w:r>
        <w:rPr>
          <w:rFonts w:hint="eastAsia" w:ascii="宋体" w:hAnsi="宋体" w:eastAsia="宋体"/>
          <w:color w:val="auto"/>
          <w:szCs w:val="21"/>
          <w:highlight w:val="none"/>
          <w:lang w:val="en-US" w:eastAsia="zh-CN"/>
        </w:rPr>
        <w:t>成交</w:t>
      </w:r>
      <w:r>
        <w:rPr>
          <w:rFonts w:hint="eastAsia" w:ascii="宋体" w:hAnsi="宋体" w:eastAsia="宋体"/>
          <w:color w:val="auto"/>
          <w:szCs w:val="21"/>
          <w:highlight w:val="none"/>
        </w:rPr>
        <w:t>人）：</w:t>
      </w:r>
      <w:r>
        <w:rPr>
          <w:rFonts w:hint="eastAsia" w:ascii="宋体" w:hAnsi="宋体" w:eastAsia="宋体"/>
          <w:color w:val="auto"/>
          <w:szCs w:val="21"/>
          <w:highlight w:val="none"/>
          <w:u w:val="single"/>
        </w:rPr>
        <w:t xml:space="preserve">                        </w:t>
      </w:r>
    </w:p>
    <w:p w14:paraId="050C8ABE">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eastAsia="宋体"/>
          <w:color w:val="auto"/>
          <w:szCs w:val="21"/>
          <w:highlight w:val="none"/>
        </w:rPr>
      </w:pPr>
      <w:r>
        <w:rPr>
          <w:rFonts w:hint="eastAsia" w:ascii="宋体" w:hAnsi="宋体" w:eastAsia="宋体" w:cs="Times New Roman"/>
          <w:color w:val="auto"/>
          <w:szCs w:val="21"/>
          <w:highlight w:val="none"/>
        </w:rPr>
        <w:t>根据</w:t>
      </w:r>
      <w:bookmarkStart w:id="45" w:name="_Hlk90988984"/>
      <w:r>
        <w:rPr>
          <w:rFonts w:hint="eastAsia" w:ascii="宋体" w:hAnsi="宋体" w:eastAsia="宋体" w:cs="Times New Roman"/>
          <w:color w:val="auto"/>
          <w:szCs w:val="21"/>
          <w:highlight w:val="none"/>
        </w:rPr>
        <w:t>《中华人民共和国民法典</w:t>
      </w:r>
      <w:bookmarkEnd w:id="45"/>
      <w:r>
        <w:rPr>
          <w:rFonts w:hint="eastAsia" w:ascii="宋体" w:hAnsi="宋体" w:eastAsia="宋体" w:cs="Times New Roman"/>
          <w:color w:val="auto"/>
          <w:szCs w:val="21"/>
          <w:highlight w:val="none"/>
        </w:rPr>
        <w:t>》及</w:t>
      </w:r>
      <w:r>
        <w:rPr>
          <w:rFonts w:hint="eastAsia" w:ascii="宋体" w:hAnsi="宋体" w:eastAsia="宋体" w:cs="Times New Roman"/>
          <w:color w:val="auto"/>
          <w:szCs w:val="21"/>
          <w:highlight w:val="none"/>
          <w:lang w:val="en-US" w:eastAsia="zh-CN"/>
        </w:rPr>
        <w:t>磋商</w:t>
      </w:r>
      <w:r>
        <w:rPr>
          <w:rFonts w:hint="eastAsia" w:ascii="宋体" w:hAnsi="宋体" w:eastAsia="宋体" w:cs="Times New Roman"/>
          <w:color w:val="auto"/>
          <w:szCs w:val="21"/>
          <w:highlight w:val="none"/>
        </w:rPr>
        <w:t>文件、</w:t>
      </w:r>
      <w:r>
        <w:rPr>
          <w:rFonts w:hint="eastAsia" w:ascii="宋体" w:hAnsi="宋体" w:eastAsia="宋体" w:cs="Times New Roman"/>
          <w:color w:val="auto"/>
          <w:szCs w:val="21"/>
          <w:highlight w:val="none"/>
          <w:lang w:val="en-US" w:eastAsia="zh-CN"/>
        </w:rPr>
        <w:t>成交</w:t>
      </w:r>
      <w:r>
        <w:rPr>
          <w:rFonts w:hint="eastAsia" w:ascii="宋体" w:hAnsi="宋体" w:eastAsia="宋体" w:cs="Times New Roman"/>
          <w:color w:val="auto"/>
          <w:szCs w:val="21"/>
          <w:highlight w:val="none"/>
        </w:rPr>
        <w:t>通知书等相关资料的要求，经双方协商一致，签订本合同，共同遵守如下条款</w:t>
      </w:r>
      <w:r>
        <w:rPr>
          <w:rFonts w:hint="eastAsia" w:ascii="宋体" w:hAnsi="宋体" w:eastAsia="宋体"/>
          <w:color w:val="auto"/>
          <w:szCs w:val="21"/>
          <w:highlight w:val="none"/>
        </w:rPr>
        <w:t>。</w:t>
      </w:r>
    </w:p>
    <w:p w14:paraId="4D33449C">
      <w:pPr>
        <w:pStyle w:val="70"/>
        <w:keepNext w:val="0"/>
        <w:keepLines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42DBE73E">
      <w:pPr>
        <w:pStyle w:val="70"/>
        <w:keepNext w:val="0"/>
        <w:keepLines w:val="0"/>
        <w:pageBreakBefore w:val="0"/>
        <w:widowControl w:val="0"/>
        <w:numPr>
          <w:ilvl w:val="0"/>
          <w:numId w:val="83"/>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rPr>
        <w:t>东莞市莞城医院GE VoIuson E8超声诊断仪维保服务项目</w:t>
      </w:r>
    </w:p>
    <w:p w14:paraId="094315CF">
      <w:pPr>
        <w:pStyle w:val="70"/>
        <w:keepNext w:val="0"/>
        <w:keepLines w:val="0"/>
        <w:pageBreakBefore w:val="0"/>
        <w:widowControl w:val="0"/>
        <w:numPr>
          <w:ilvl w:val="0"/>
          <w:numId w:val="83"/>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rPr>
        <w:t>ZHDGZC2025049</w:t>
      </w:r>
    </w:p>
    <w:p w14:paraId="6DA86955">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项目概况</w:t>
      </w:r>
    </w:p>
    <w:p w14:paraId="70DDD87D">
      <w:pPr>
        <w:pStyle w:val="70"/>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项目概况：</w:t>
      </w:r>
      <w:r>
        <w:rPr>
          <w:rFonts w:hint="eastAsia" w:ascii="宋体" w:hAnsi="宋体" w:eastAsia="宋体"/>
          <w:color w:val="auto"/>
          <w:szCs w:val="21"/>
          <w:highlight w:val="none"/>
          <w:u w:val="single"/>
        </w:rPr>
        <w:t>本项目为东莞市莞城医院GE VoIuson E8超声诊断仪维保服务项目，本项目须对设备的关键硬件及软件进行升级处理，从而提升超声设备的性能和检查效益，同时延长机器的使用寿命。</w:t>
      </w:r>
      <w:r>
        <w:rPr>
          <w:rFonts w:hint="eastAsia" w:ascii="宋体" w:hAnsi="宋体" w:eastAsia="宋体"/>
          <w:color w:val="auto"/>
          <w:szCs w:val="21"/>
          <w:highlight w:val="none"/>
          <w:u w:val="single"/>
          <w:lang w:val="en-US" w:eastAsia="zh-CN"/>
        </w:rPr>
        <w:t>乙方</w:t>
      </w:r>
      <w:r>
        <w:rPr>
          <w:rFonts w:hint="eastAsia" w:ascii="宋体" w:hAnsi="宋体" w:eastAsia="宋体"/>
          <w:color w:val="auto"/>
          <w:szCs w:val="21"/>
          <w:highlight w:val="none"/>
          <w:u w:val="single"/>
        </w:rPr>
        <w:t>需根据本项目采购内容及要求，提供相应的服务。</w:t>
      </w:r>
    </w:p>
    <w:p w14:paraId="09C721EF">
      <w:pPr>
        <w:pStyle w:val="70"/>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single"/>
        </w:rPr>
      </w:pPr>
      <w:r>
        <w:rPr>
          <w:rFonts w:hint="eastAsia" w:ascii="宋体" w:hAnsi="宋体" w:eastAsia="宋体"/>
          <w:color w:val="auto"/>
          <w:szCs w:val="21"/>
          <w:highlight w:val="none"/>
        </w:rPr>
        <w:t>服务范围及内容：</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1064"/>
        <w:gridCol w:w="1876"/>
        <w:gridCol w:w="1131"/>
        <w:gridCol w:w="2172"/>
        <w:gridCol w:w="2172"/>
      </w:tblGrid>
      <w:tr w14:paraId="4186E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7" w:type="pct"/>
            <w:vAlign w:val="center"/>
          </w:tcPr>
          <w:p w14:paraId="7F3BF4D6">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573" w:type="pct"/>
            <w:vAlign w:val="center"/>
          </w:tcPr>
          <w:p w14:paraId="735E0E09">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品牌</w:t>
            </w:r>
          </w:p>
        </w:tc>
        <w:tc>
          <w:tcPr>
            <w:tcW w:w="1010" w:type="pct"/>
            <w:vAlign w:val="center"/>
          </w:tcPr>
          <w:p w14:paraId="55C62627">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型号</w:t>
            </w:r>
          </w:p>
        </w:tc>
        <w:tc>
          <w:tcPr>
            <w:tcW w:w="609" w:type="pct"/>
            <w:vAlign w:val="center"/>
          </w:tcPr>
          <w:p w14:paraId="5DCCFA41">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数量</w:t>
            </w:r>
          </w:p>
        </w:tc>
        <w:tc>
          <w:tcPr>
            <w:tcW w:w="1169" w:type="pct"/>
            <w:vAlign w:val="center"/>
          </w:tcPr>
          <w:p w14:paraId="0342534A">
            <w:pPr>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单位</w:t>
            </w:r>
          </w:p>
        </w:tc>
        <w:tc>
          <w:tcPr>
            <w:tcW w:w="1169" w:type="pct"/>
            <w:vAlign w:val="center"/>
          </w:tcPr>
          <w:p w14:paraId="63D7DAC8">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主机产品编号</w:t>
            </w:r>
          </w:p>
        </w:tc>
      </w:tr>
      <w:tr w14:paraId="1704F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67" w:type="pct"/>
            <w:vAlign w:val="center"/>
          </w:tcPr>
          <w:p w14:paraId="28213A61">
            <w:pPr>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1</w:t>
            </w:r>
          </w:p>
        </w:tc>
        <w:tc>
          <w:tcPr>
            <w:tcW w:w="573" w:type="pct"/>
            <w:vAlign w:val="center"/>
          </w:tcPr>
          <w:p w14:paraId="46F1CCF6">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GE</w:t>
            </w:r>
          </w:p>
        </w:tc>
        <w:tc>
          <w:tcPr>
            <w:tcW w:w="1010" w:type="pct"/>
            <w:vAlign w:val="center"/>
          </w:tcPr>
          <w:p w14:paraId="7E13B831">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Voluson E8</w:t>
            </w:r>
          </w:p>
        </w:tc>
        <w:tc>
          <w:tcPr>
            <w:tcW w:w="609" w:type="pct"/>
            <w:vAlign w:val="center"/>
          </w:tcPr>
          <w:p w14:paraId="5A056031">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169" w:type="pct"/>
            <w:vAlign w:val="center"/>
          </w:tcPr>
          <w:p w14:paraId="6095669B">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台</w:t>
            </w:r>
          </w:p>
        </w:tc>
        <w:tc>
          <w:tcPr>
            <w:tcW w:w="1169" w:type="pct"/>
            <w:vAlign w:val="center"/>
          </w:tcPr>
          <w:p w14:paraId="01AB6855">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082437161886</w:t>
            </w:r>
          </w:p>
        </w:tc>
      </w:tr>
    </w:tbl>
    <w:p w14:paraId="6135B8C4">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ascii="宋体" w:hAnsi="宋体" w:eastAsia="宋体"/>
          <w:color w:val="auto"/>
          <w:szCs w:val="21"/>
          <w:highlight w:val="none"/>
          <w:u w:val="single"/>
        </w:rPr>
      </w:pPr>
      <w:r>
        <w:rPr>
          <w:rFonts w:hint="eastAsia" w:ascii="宋体" w:hAnsi="宋体" w:eastAsia="宋体"/>
          <w:b w:val="0"/>
          <w:bCs w:val="0"/>
          <w:color w:val="auto"/>
          <w:szCs w:val="21"/>
          <w:highlight w:val="none"/>
          <w:lang w:val="en-US" w:eastAsia="zh-CN"/>
        </w:rPr>
        <w:t>注：</w:t>
      </w:r>
      <w:r>
        <w:rPr>
          <w:rFonts w:hint="eastAsia" w:ascii="宋体" w:hAnsi="宋体" w:eastAsia="宋体" w:cs="宋体"/>
          <w:color w:val="auto"/>
          <w:highlight w:val="none"/>
          <w:lang w:eastAsia="zh-CN"/>
        </w:rPr>
        <w:t>乙方</w:t>
      </w:r>
      <w:r>
        <w:rPr>
          <w:rFonts w:hint="eastAsia" w:ascii="宋体" w:hAnsi="宋体" w:eastAsia="宋体" w:cs="宋体"/>
          <w:color w:val="auto"/>
          <w:highlight w:val="none"/>
        </w:rPr>
        <w:t>须提供1台GE彩超设备更新、升级服务，包括硬件升级和软件升级，将设备由原来的BT15版本升级至BT20版本，含所有人工及系统安全性软、硬件升级服务，升级后应保证设备达到设备原厂家合格标准并符合相关国家标准、行业标准和地方标准；更新、升级完成后由</w:t>
      </w:r>
      <w:r>
        <w:rPr>
          <w:rFonts w:hint="eastAsia" w:ascii="宋体" w:hAnsi="宋体" w:eastAsia="宋体" w:cs="宋体"/>
          <w:color w:val="auto"/>
          <w:highlight w:val="none"/>
          <w:lang w:eastAsia="zh-CN"/>
        </w:rPr>
        <w:t>乙方</w:t>
      </w:r>
      <w:r>
        <w:rPr>
          <w:rFonts w:hint="eastAsia" w:ascii="宋体" w:hAnsi="宋体" w:eastAsia="宋体" w:cs="宋体"/>
          <w:color w:val="auto"/>
          <w:highlight w:val="none"/>
        </w:rPr>
        <w:t>提供不少于4次/年的保养服务，更新、升级及维修、保养所涉及零配件、耗材均由</w:t>
      </w:r>
      <w:r>
        <w:rPr>
          <w:rFonts w:hint="eastAsia" w:ascii="宋体" w:hAnsi="宋体" w:eastAsia="宋体" w:cs="宋体"/>
          <w:color w:val="auto"/>
          <w:highlight w:val="none"/>
          <w:lang w:eastAsia="zh-CN"/>
        </w:rPr>
        <w:t>乙方</w:t>
      </w:r>
      <w:r>
        <w:rPr>
          <w:rFonts w:hint="eastAsia" w:ascii="宋体" w:hAnsi="宋体" w:eastAsia="宋体" w:cs="宋体"/>
          <w:color w:val="auto"/>
          <w:highlight w:val="none"/>
        </w:rPr>
        <w:t>负责，更换的零配件必须是原厂的零配件；设备的维修保养依照原厂的标准执行，</w:t>
      </w:r>
      <w:r>
        <w:rPr>
          <w:rFonts w:hint="eastAsia" w:ascii="宋体" w:hAnsi="宋体" w:eastAsia="宋体" w:cs="宋体"/>
          <w:color w:val="auto"/>
          <w:highlight w:val="none"/>
          <w:lang w:eastAsia="zh-CN"/>
        </w:rPr>
        <w:t>乙方</w:t>
      </w:r>
      <w:r>
        <w:rPr>
          <w:rFonts w:hint="eastAsia" w:ascii="宋体" w:hAnsi="宋体" w:eastAsia="宋体" w:cs="宋体"/>
          <w:color w:val="auto"/>
          <w:highlight w:val="none"/>
        </w:rPr>
        <w:t>须保证设备处于最佳运行状态，并在每次更新、升级、维修及保养后向</w:t>
      </w:r>
      <w:r>
        <w:rPr>
          <w:rFonts w:hint="eastAsia" w:ascii="宋体" w:hAnsi="宋体" w:eastAsia="宋体" w:cs="宋体"/>
          <w:color w:val="auto"/>
          <w:highlight w:val="none"/>
          <w:lang w:eastAsia="zh-CN"/>
        </w:rPr>
        <w:t>甲方</w:t>
      </w:r>
      <w:r>
        <w:rPr>
          <w:rFonts w:hint="eastAsia" w:ascii="宋体" w:hAnsi="宋体" w:eastAsia="宋体" w:cs="宋体"/>
          <w:color w:val="auto"/>
          <w:highlight w:val="none"/>
        </w:rPr>
        <w:t>出具相应报告。</w:t>
      </w:r>
    </w:p>
    <w:p w14:paraId="376D7E4E">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总体要求</w:t>
      </w:r>
    </w:p>
    <w:p w14:paraId="7E933DD0">
      <w:pPr>
        <w:pStyle w:val="70"/>
        <w:keepNext w:val="0"/>
        <w:keepLines w:val="0"/>
        <w:pageBreakBefore w:val="0"/>
        <w:widowControl w:val="0"/>
        <w:numPr>
          <w:ilvl w:val="0"/>
          <w:numId w:val="85"/>
        </w:numPr>
        <w:kinsoku/>
        <w:wordWrap/>
        <w:overflowPunct/>
        <w:topLinePunct w:val="0"/>
        <w:autoSpaceDE w:val="0"/>
        <w:autoSpaceDN w:val="0"/>
        <w:bidi w:val="0"/>
        <w:adjustRightInd w:val="0"/>
        <w:snapToGrid w:val="0"/>
        <w:spacing w:line="360" w:lineRule="auto"/>
        <w:ind w:firstLineChars="0"/>
        <w:jc w:val="left"/>
        <w:textAlignment w:val="auto"/>
        <w:rPr>
          <w:rFonts w:ascii="宋体" w:hAnsi="宋体" w:eastAsia="宋体"/>
          <w:color w:val="auto"/>
          <w:szCs w:val="21"/>
          <w:highlight w:val="none"/>
        </w:rPr>
      </w:pPr>
      <w:r>
        <w:rPr>
          <w:rFonts w:hint="eastAsia" w:ascii="宋体" w:hAnsi="宋体" w:eastAsia="宋体"/>
          <w:color w:val="auto"/>
          <w:szCs w:val="21"/>
          <w:highlight w:val="none"/>
        </w:rPr>
        <w:t>甲方权利和义务</w:t>
      </w:r>
    </w:p>
    <w:p w14:paraId="71B75FB4">
      <w:pPr>
        <w:pStyle w:val="70"/>
        <w:keepNext w:val="0"/>
        <w:keepLines w:val="0"/>
        <w:pageBreakBefore w:val="0"/>
        <w:widowControl w:val="0"/>
        <w:numPr>
          <w:ilvl w:val="0"/>
          <w:numId w:val="86"/>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甲方有权随时检查乙方的服务履行情况，并向乙方提出修改。</w:t>
      </w:r>
    </w:p>
    <w:p w14:paraId="22DF6212">
      <w:pPr>
        <w:pStyle w:val="70"/>
        <w:keepNext w:val="0"/>
        <w:keepLines w:val="0"/>
        <w:pageBreakBefore w:val="0"/>
        <w:widowControl w:val="0"/>
        <w:numPr>
          <w:ilvl w:val="0"/>
          <w:numId w:val="86"/>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当发生服务违约时，则甲方有权按约定在支付乙方合同款项中进行扣款。</w:t>
      </w:r>
    </w:p>
    <w:p w14:paraId="6EC212BF">
      <w:pPr>
        <w:pStyle w:val="70"/>
        <w:keepNext w:val="0"/>
        <w:keepLines w:val="0"/>
        <w:pageBreakBefore w:val="0"/>
        <w:widowControl w:val="0"/>
        <w:numPr>
          <w:ilvl w:val="0"/>
          <w:numId w:val="86"/>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在乙方提供服务时，如对甲方的设备造成了损坏，甲方有权要求乙方赔偿。</w:t>
      </w:r>
    </w:p>
    <w:p w14:paraId="26560ACC">
      <w:pPr>
        <w:pStyle w:val="70"/>
        <w:keepNext w:val="0"/>
        <w:keepLines w:val="0"/>
        <w:pageBreakBefore w:val="0"/>
        <w:widowControl w:val="0"/>
        <w:numPr>
          <w:ilvl w:val="0"/>
          <w:numId w:val="86"/>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甲方应按合同规定向乙方支付服务费用。</w:t>
      </w:r>
    </w:p>
    <w:p w14:paraId="4DE8ECAE">
      <w:pPr>
        <w:pStyle w:val="70"/>
        <w:keepNext w:val="0"/>
        <w:keepLines w:val="0"/>
        <w:pageBreakBefore w:val="0"/>
        <w:widowControl w:val="0"/>
        <w:numPr>
          <w:ilvl w:val="0"/>
          <w:numId w:val="85"/>
        </w:numPr>
        <w:kinsoku/>
        <w:wordWrap/>
        <w:overflowPunct/>
        <w:topLinePunct w:val="0"/>
        <w:autoSpaceDE w:val="0"/>
        <w:autoSpaceDN w:val="0"/>
        <w:bidi w:val="0"/>
        <w:adjustRightInd w:val="0"/>
        <w:snapToGrid w:val="0"/>
        <w:spacing w:line="360" w:lineRule="auto"/>
        <w:ind w:firstLineChars="0"/>
        <w:jc w:val="left"/>
        <w:textAlignment w:val="auto"/>
        <w:rPr>
          <w:rFonts w:ascii="宋体" w:hAnsi="宋体" w:eastAsia="宋体"/>
          <w:color w:val="auto"/>
          <w:szCs w:val="21"/>
          <w:highlight w:val="none"/>
        </w:rPr>
      </w:pPr>
      <w:r>
        <w:rPr>
          <w:rFonts w:hint="eastAsia" w:ascii="宋体" w:hAnsi="宋体" w:eastAsia="宋体"/>
          <w:color w:val="auto"/>
          <w:szCs w:val="21"/>
          <w:highlight w:val="none"/>
        </w:rPr>
        <w:t>乙方权利和义务</w:t>
      </w:r>
    </w:p>
    <w:p w14:paraId="7BCCAE5E">
      <w:pPr>
        <w:pStyle w:val="70"/>
        <w:keepNext w:val="0"/>
        <w:keepLines w:val="0"/>
        <w:pageBreakBefore w:val="0"/>
        <w:widowControl w:val="0"/>
        <w:numPr>
          <w:ilvl w:val="0"/>
          <w:numId w:val="87"/>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乙方应按招标文件的要求和投标文件的承诺进行服务，发生任何服务的变更均须向甲方提出交书面报审报告</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经甲方书面确认后方可变更</w:t>
      </w:r>
      <w:r>
        <w:rPr>
          <w:rFonts w:hint="eastAsia" w:ascii="宋体" w:hAnsi="宋体" w:eastAsia="宋体"/>
          <w:color w:val="auto"/>
          <w:szCs w:val="21"/>
          <w:highlight w:val="none"/>
        </w:rPr>
        <w:t>。</w:t>
      </w:r>
    </w:p>
    <w:p w14:paraId="764A4036">
      <w:pPr>
        <w:pStyle w:val="70"/>
        <w:keepNext w:val="0"/>
        <w:keepLines w:val="0"/>
        <w:pageBreakBefore w:val="0"/>
        <w:widowControl w:val="0"/>
        <w:numPr>
          <w:ilvl w:val="0"/>
          <w:numId w:val="87"/>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乙方有权要求甲方按时支付服务费用</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如甲方不按时支付乙方有权要求甲方支付滞纳金</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但服务费</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支付应以符合财政局的相关规定为前提。</w:t>
      </w:r>
    </w:p>
    <w:p w14:paraId="198E3F65">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价格</w:t>
      </w:r>
    </w:p>
    <w:p w14:paraId="0122CF33">
      <w:pPr>
        <w:pStyle w:val="70"/>
        <w:keepNext w:val="0"/>
        <w:keepLines w:val="0"/>
        <w:pageBreakBefore w:val="0"/>
        <w:widowControl w:val="0"/>
        <w:numPr>
          <w:ilvl w:val="0"/>
          <w:numId w:val="88"/>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合同总价：大写：人民币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元整（小写：￥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p>
    <w:p w14:paraId="2F739246">
      <w:pPr>
        <w:pStyle w:val="70"/>
        <w:keepNext w:val="0"/>
        <w:keepLines w:val="0"/>
        <w:pageBreakBefore w:val="0"/>
        <w:widowControl w:val="0"/>
        <w:numPr>
          <w:ilvl w:val="0"/>
          <w:numId w:val="88"/>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本合同价为固定不变价。</w:t>
      </w:r>
      <w:r>
        <w:rPr>
          <w:rFonts w:hint="eastAsia" w:ascii="宋体" w:hAnsi="宋体" w:eastAsia="宋体"/>
          <w:color w:val="auto"/>
          <w:szCs w:val="21"/>
          <w:highlight w:val="none"/>
          <w:lang w:val="en-US" w:eastAsia="zh-CN"/>
        </w:rPr>
        <w:t>合同总价</w:t>
      </w:r>
      <w:r>
        <w:rPr>
          <w:rFonts w:hint="eastAsia" w:ascii="宋体" w:hAnsi="宋体" w:eastAsia="宋体"/>
          <w:color w:val="auto"/>
          <w:szCs w:val="21"/>
          <w:highlight w:val="none"/>
        </w:rPr>
        <w:t>包含</w:t>
      </w:r>
      <w:r>
        <w:rPr>
          <w:rFonts w:hint="eastAsia" w:ascii="宋体" w:hAnsi="宋体" w:eastAsia="宋体"/>
          <w:color w:val="auto"/>
          <w:szCs w:val="21"/>
          <w:highlight w:val="none"/>
          <w:lang w:val="en-US" w:eastAsia="zh-CN"/>
        </w:rPr>
        <w:t>本合同</w:t>
      </w:r>
      <w:r>
        <w:rPr>
          <w:rFonts w:hint="eastAsia" w:ascii="宋体" w:hAnsi="宋体" w:eastAsia="宋体"/>
          <w:color w:val="auto"/>
          <w:szCs w:val="21"/>
          <w:highlight w:val="none"/>
        </w:rPr>
        <w:t>要求的全部服务内容所需的所有费用，包括但不限于：设备更新升级、软件维护升级、保养耗材、备件更换、人工费、技术检测费、技术支持、售后服务、应向中华人民共和国政府缴纳的增值税和其他税等全部税费、保险、以及履行合同所需的费用、所有风险、责任等其他一切隐含及不可预见的费用。</w:t>
      </w:r>
    </w:p>
    <w:p w14:paraId="3699898C">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服务时间及地点：</w:t>
      </w:r>
    </w:p>
    <w:p w14:paraId="49524546">
      <w:pPr>
        <w:pStyle w:val="70"/>
        <w:keepNext w:val="0"/>
        <w:keepLines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服务期：自合同签订之日起至GE VoIuson E8超声诊断仪更新、升级完成并经甲方验收合格后3年；</w:t>
      </w:r>
    </w:p>
    <w:p w14:paraId="204CDBD7">
      <w:pPr>
        <w:pStyle w:val="70"/>
        <w:keepNext w:val="0"/>
        <w:keepLines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更新、升级服务时间：自合同签订之日起20天内完成GE VoIuson E8超声诊断仪更新、升级并经甲方验收合格；</w:t>
      </w:r>
    </w:p>
    <w:p w14:paraId="49E082FC">
      <w:pPr>
        <w:pStyle w:val="70"/>
        <w:keepNext w:val="0"/>
        <w:keepLines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维保服务时间：自GE VoIuson E8超声诊断仪更新、升级完成并经甲方验收合格之日起3年；</w:t>
      </w:r>
    </w:p>
    <w:p w14:paraId="19954267">
      <w:pPr>
        <w:pStyle w:val="70"/>
        <w:keepNext w:val="0"/>
        <w:keepLines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服务地点：东莞市莞城街道或</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指定地点。</w:t>
      </w:r>
    </w:p>
    <w:p w14:paraId="7FBF4A7D">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付款</w:t>
      </w:r>
    </w:p>
    <w:p w14:paraId="3A040A73">
      <w:pPr>
        <w:pStyle w:val="70"/>
        <w:keepNext w:val="0"/>
        <w:keepLines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第一期，支付比例：合同价总额65%。乙方完成GE VoIuson E8超声诊断仪更新、升级并经甲方验收合格，且自验收合格之日起乙方提供本项目约定的维保服务满1年，乙方可向甲方递交请款资料，申请支付第1年度服务费用，甲方在收到乙方合格请款资料后30个工作日内根据乙方第1年度维护保养质量考核情况，按约定扣减后支付对应服务费用；</w:t>
      </w:r>
    </w:p>
    <w:p w14:paraId="68DD4D87">
      <w:pPr>
        <w:pStyle w:val="70"/>
        <w:keepNext w:val="0"/>
        <w:keepLines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第二期，支付比例：合同价总额25%。乙方提供本项目约定的维保服务满2年，乙方可向甲方递交请款资料，申请支付第2年度服务费用，甲方在收到乙方合格请款资料后30个工作日内根据乙方第2年度维护保养质量考核情况，按约定扣减后支付对应服务费用；</w:t>
      </w:r>
    </w:p>
    <w:p w14:paraId="4DC87A70">
      <w:pPr>
        <w:pStyle w:val="70"/>
        <w:keepNext w:val="0"/>
        <w:keepLines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第三期，支付比例：合同价总额10%。乙方提供本项目约定的维保服务满3年，乙方可向甲方递交请款资料，申请支付第3年度服务费用，甲方在收到乙方合格请款资料后30个工作日内根据乙方第3年度维护保养质量考核情况，按约定扣减后支付对应服务费用。</w:t>
      </w:r>
    </w:p>
    <w:p w14:paraId="413B06ED">
      <w:pPr>
        <w:pStyle w:val="70"/>
        <w:keepNext w:val="0"/>
        <w:keepLines w:val="0"/>
        <w:pageBreakBefore w:val="0"/>
        <w:widowControl w:val="0"/>
        <w:numPr>
          <w:ilvl w:val="0"/>
          <w:numId w:val="90"/>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根据现行税法规定对乙方或其雇员征收的与本合同有关的一切税费均应由乙方负担。</w:t>
      </w:r>
    </w:p>
    <w:p w14:paraId="26743E09">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632" w:leftChars="0" w:hanging="632" w:hangingChars="300"/>
        <w:contextualSpacing/>
        <w:textAlignment w:val="auto"/>
        <w:rPr>
          <w:rFonts w:hint="eastAsia" w:ascii="宋体" w:hAnsi="宋体" w:eastAsia="宋体"/>
          <w:b/>
          <w:bCs/>
          <w:iCs/>
          <w:color w:val="auto"/>
          <w:szCs w:val="21"/>
          <w:highlight w:val="none"/>
          <w:lang w:val="en-US" w:eastAsia="zh-CN"/>
        </w:rPr>
      </w:pPr>
      <w:r>
        <w:rPr>
          <w:rFonts w:hint="eastAsia" w:ascii="宋体" w:hAnsi="宋体" w:eastAsia="宋体"/>
          <w:b/>
          <w:bCs/>
          <w:iCs/>
          <w:color w:val="auto"/>
          <w:szCs w:val="21"/>
          <w:highlight w:val="none"/>
          <w:lang w:val="en-US" w:eastAsia="zh-CN"/>
        </w:rPr>
        <w:t>注：1.请款资料是指：①请款申请函；②GE VoIuson E8超声诊断仪更新、升级验收合格报告；③《维护保养质量考核表》；④等额、合规的增值税发票；</w:t>
      </w:r>
    </w:p>
    <w:p w14:paraId="01AC0EB2">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62" w:leftChars="220"/>
        <w:contextualSpacing/>
        <w:textAlignment w:val="auto"/>
        <w:rPr>
          <w:rFonts w:ascii="宋体" w:hAnsi="宋体" w:eastAsia="宋体"/>
          <w:color w:val="auto"/>
          <w:szCs w:val="21"/>
          <w:highlight w:val="none"/>
        </w:rPr>
      </w:pPr>
      <w:r>
        <w:rPr>
          <w:rFonts w:hint="eastAsia" w:ascii="宋体" w:hAnsi="宋体" w:eastAsia="宋体"/>
          <w:b/>
          <w:bCs/>
          <w:iCs/>
          <w:color w:val="auto"/>
          <w:szCs w:val="21"/>
          <w:highlight w:val="none"/>
          <w:lang w:val="en-US" w:eastAsia="zh-CN"/>
        </w:rPr>
        <w:t>2.本项目考核方法及服务费用扣减方式详见采购需求《维护保养质量考核表》相关内容。</w:t>
      </w:r>
    </w:p>
    <w:p w14:paraId="5DE30EEE">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更新、升级服务内容及要求</w:t>
      </w:r>
    </w:p>
    <w:p w14:paraId="57F30D32">
      <w:pPr>
        <w:pStyle w:val="70"/>
        <w:keepNext w:val="0"/>
        <w:keepLines w:val="0"/>
        <w:pageBreakBefore w:val="0"/>
        <w:widowControl w:val="0"/>
        <w:numPr>
          <w:ilvl w:val="0"/>
          <w:numId w:val="9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硬件模块升级要求</w:t>
      </w:r>
    </w:p>
    <w:p w14:paraId="1E63DD78">
      <w:pPr>
        <w:pStyle w:val="70"/>
        <w:numPr>
          <w:ilvl w:val="0"/>
          <w:numId w:val="92"/>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新增一个激活的探头接口，避免探头插拔麻烦，提升工作效率，三探头接口升级为四探头接口，须支持冰晶探头，二维冰晶探头：腹部：C1-6-D；C2-9-D；心脏：M5Sc-D；三维容积高端探头：RM7C、eM6C G2（仅E10），提高检查速度，操作更简捷，充分发挥设备效能。</w:t>
      </w:r>
    </w:p>
    <w:p w14:paraId="20ECE985">
      <w:pPr>
        <w:pStyle w:val="70"/>
        <w:numPr>
          <w:ilvl w:val="0"/>
          <w:numId w:val="92"/>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更换新的前端发射模块（包括接口板和通道板），升级全新智能化前端，提升超声信号发射/接收的精确度和效率；</w:t>
      </w:r>
    </w:p>
    <w:p w14:paraId="37A7B5FE">
      <w:pPr>
        <w:pStyle w:val="70"/>
        <w:numPr>
          <w:ilvl w:val="0"/>
          <w:numId w:val="92"/>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更换新的后端处理器，后端升级适应智能超声平台，优化分析数据。提升设备的图像分辨率，延长生命周期；</w:t>
      </w:r>
    </w:p>
    <w:p w14:paraId="3103A01B">
      <w:pPr>
        <w:pStyle w:val="70"/>
        <w:numPr>
          <w:ilvl w:val="0"/>
          <w:numId w:val="92"/>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更换新的主电源板，电压输出更稳定，降低电网波动导致的故障率；</w:t>
      </w:r>
    </w:p>
    <w:p w14:paraId="79065232">
      <w:pPr>
        <w:pStyle w:val="70"/>
        <w:numPr>
          <w:ilvl w:val="0"/>
          <w:numId w:val="92"/>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更换新的显卡，更加逼真地显示R-Flow、 HD live、3D打印等立体显示效果，助力医生更容易观察容积结构；</w:t>
      </w:r>
    </w:p>
    <w:p w14:paraId="354738F4">
      <w:pPr>
        <w:pStyle w:val="70"/>
        <w:numPr>
          <w:ilvl w:val="0"/>
          <w:numId w:val="92"/>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系统硬盘更新为：≥64GB SSD系统硬盘，和≥1TB HDD内部存储硬盘，同时系统更新为双硬盘架构，主机操作系统以及各种功能搭载用独立的≥64GB SSD，内部病人信息存储单独用一个系统内置硬盘，互相不影响；</w:t>
      </w:r>
    </w:p>
    <w:p w14:paraId="42CCE597">
      <w:pPr>
        <w:pStyle w:val="70"/>
        <w:numPr>
          <w:ilvl w:val="0"/>
          <w:numId w:val="92"/>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扩展输出板更新，增加设备接收发射容量，能够处理更多的数据，提高设备性能和整体效益；</w:t>
      </w:r>
    </w:p>
    <w:p w14:paraId="26101337">
      <w:pPr>
        <w:pStyle w:val="70"/>
        <w:numPr>
          <w:ilvl w:val="0"/>
          <w:numId w:val="92"/>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更新、升级后设备需支持一键输出全景3D打印。</w:t>
      </w:r>
    </w:p>
    <w:p w14:paraId="69CA3408">
      <w:pPr>
        <w:pStyle w:val="70"/>
        <w:keepNext w:val="0"/>
        <w:keepLines w:val="0"/>
        <w:pageBreakBefore w:val="0"/>
        <w:widowControl w:val="0"/>
        <w:numPr>
          <w:ilvl w:val="0"/>
          <w:numId w:val="9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软件模块升级要求</w:t>
      </w:r>
    </w:p>
    <w:p w14:paraId="414B9FF0">
      <w:pPr>
        <w:pStyle w:val="70"/>
        <w:widowControl/>
        <w:numPr>
          <w:ilvl w:val="0"/>
          <w:numId w:val="9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提供煊彩成像技术HD live Flow Silhouette，全新的血流血管容积显示模式，在煊流技术的基础上，增加血流/血管的透明轮廓剪影模式；通过减少透明度增强轮廓，可以突出边界的显示；通过增加透明度和轮廓，可以用于观察深部组织的结构；</w:t>
      </w:r>
    </w:p>
    <w:p w14:paraId="483100F1">
      <w:pPr>
        <w:pStyle w:val="70"/>
        <w:widowControl/>
        <w:numPr>
          <w:ilvl w:val="0"/>
          <w:numId w:val="9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提供煊动成像技术HD Live Studio，对容积数据进行多个点光源的照射，光源数量从单个到三个不等；每一个光源包括三种类型的、可选择—平行光源、点状光源、遮罩光源。平行光源可调节空间位置，点光源可调节空间位置和距离，遮罩光源可调节空间位置、距离、入射角度和旋转方向；</w:t>
      </w:r>
    </w:p>
    <w:p w14:paraId="01C793EC">
      <w:pPr>
        <w:pStyle w:val="70"/>
        <w:widowControl/>
        <w:numPr>
          <w:ilvl w:val="0"/>
          <w:numId w:val="9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提供胎儿颅脑自动测量分析软件Auto CNS，使用AI技术支持的软件功能，基于深度学习算法的胎儿颅脑自动分析，提升胎儿 CNS诊断的准确率、成功率及可重复性；</w:t>
      </w:r>
    </w:p>
    <w:p w14:paraId="1B571901">
      <w:pPr>
        <w:pStyle w:val="70"/>
        <w:widowControl/>
        <w:numPr>
          <w:ilvl w:val="0"/>
          <w:numId w:val="9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新增一组高分辨率谐波、新增一组高穿透力谐波，增加成像的轴向和横向分辨率，提高组织的边界识别，更好的评估组织之间的区别。增加穿透力，减少伪像，为困难条件患者扫查设计的谐波频率调节条件；</w:t>
      </w:r>
    </w:p>
    <w:p w14:paraId="509352F8">
      <w:pPr>
        <w:pStyle w:val="70"/>
        <w:widowControl/>
        <w:numPr>
          <w:ilvl w:val="0"/>
          <w:numId w:val="9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胎心四维成像eSTIC，大幅度提升成像帧频，最高可达：800+帧/秒；</w:t>
      </w:r>
    </w:p>
    <w:p w14:paraId="499A309D">
      <w:pPr>
        <w:pStyle w:val="70"/>
        <w:widowControl/>
        <w:numPr>
          <w:ilvl w:val="0"/>
          <w:numId w:val="93"/>
        </w:numPr>
        <w:snapToGrid w:val="0"/>
        <w:spacing w:line="360" w:lineRule="auto"/>
        <w:ind w:left="425" w:leftChars="0" w:hanging="425"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新增窦卵泡监测技术SonoAVC antral，快速、实时、精确，半自动计数窦卵泡的数量。</w:t>
      </w:r>
    </w:p>
    <w:p w14:paraId="0E75153E">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维保服务内容及要求</w:t>
      </w:r>
    </w:p>
    <w:p w14:paraId="6744F9F4">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合同期内除因</w:t>
      </w:r>
      <w:r>
        <w:rPr>
          <w:rFonts w:hint="eastAsia" w:ascii="宋体" w:hAnsi="宋体" w:eastAsia="宋体"/>
          <w:b w:val="0"/>
          <w:bCs w:val="0"/>
          <w:color w:val="auto"/>
          <w:szCs w:val="21"/>
          <w:highlight w:val="none"/>
          <w:u w:val="none"/>
          <w:lang w:eastAsia="zh-CN"/>
        </w:rPr>
        <w:t>甲方</w:t>
      </w:r>
      <w:r>
        <w:rPr>
          <w:rFonts w:hint="eastAsia" w:ascii="宋体" w:hAnsi="宋体" w:eastAsia="宋体"/>
          <w:b w:val="0"/>
          <w:bCs w:val="0"/>
          <w:color w:val="auto"/>
          <w:szCs w:val="21"/>
          <w:highlight w:val="none"/>
          <w:u w:val="none"/>
        </w:rPr>
        <w:t>影响外，</w:t>
      </w: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必须确保设备的开机率≥95％（按全年365天计算），即每年停机不超过18天；每超过1天，延长本项目合同维保服务期2天；未履行维修义务或履行义务未符合要求的，</w:t>
      </w:r>
      <w:r>
        <w:rPr>
          <w:rFonts w:hint="eastAsia" w:ascii="宋体" w:hAnsi="宋体" w:eastAsia="宋体"/>
          <w:b w:val="0"/>
          <w:bCs w:val="0"/>
          <w:color w:val="auto"/>
          <w:szCs w:val="21"/>
          <w:highlight w:val="none"/>
          <w:u w:val="none"/>
          <w:lang w:eastAsia="zh-CN"/>
        </w:rPr>
        <w:t>甲方</w:t>
      </w:r>
      <w:r>
        <w:rPr>
          <w:rFonts w:hint="eastAsia" w:ascii="宋体" w:hAnsi="宋体" w:eastAsia="宋体"/>
          <w:b w:val="0"/>
          <w:bCs w:val="0"/>
          <w:color w:val="auto"/>
          <w:szCs w:val="21"/>
          <w:highlight w:val="none"/>
          <w:u w:val="none"/>
        </w:rPr>
        <w:t>有权聘请第三方公司维修，维修费用（包括零配件更换费用等所有费用）均由</w:t>
      </w: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承担。</w:t>
      </w:r>
    </w:p>
    <w:p w14:paraId="64B2E0B9">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须能合法获得、完整使用有效的原厂高级故障诊断维修钥匙</w:t>
      </w:r>
      <w:r>
        <w:rPr>
          <w:rFonts w:hint="eastAsia" w:ascii="宋体" w:hAnsi="宋体" w:eastAsia="宋体"/>
          <w:b w:val="0"/>
          <w:bCs w:val="0"/>
          <w:color w:val="auto"/>
          <w:szCs w:val="21"/>
          <w:highlight w:val="none"/>
          <w:u w:val="none"/>
          <w:lang w:eastAsia="zh-CN"/>
        </w:rPr>
        <w:t>（</w:t>
      </w:r>
      <w:r>
        <w:rPr>
          <w:rFonts w:hint="eastAsia" w:ascii="宋体" w:hAnsi="宋体" w:eastAsia="宋体"/>
          <w:b w:val="0"/>
          <w:bCs w:val="0"/>
          <w:color w:val="auto"/>
          <w:szCs w:val="21"/>
          <w:highlight w:val="none"/>
          <w:u w:val="none"/>
        </w:rPr>
        <w:t>Service Key</w:t>
      </w:r>
      <w:r>
        <w:rPr>
          <w:rFonts w:hint="eastAsia" w:ascii="宋体" w:hAnsi="宋体" w:eastAsia="宋体"/>
          <w:b w:val="0"/>
          <w:bCs w:val="0"/>
          <w:color w:val="auto"/>
          <w:szCs w:val="21"/>
          <w:highlight w:val="none"/>
          <w:u w:val="none"/>
          <w:lang w:eastAsia="zh-CN"/>
        </w:rPr>
        <w:t>）</w:t>
      </w:r>
      <w:r>
        <w:rPr>
          <w:rFonts w:hint="eastAsia" w:ascii="宋体" w:hAnsi="宋体" w:eastAsia="宋体"/>
          <w:b w:val="0"/>
          <w:bCs w:val="0"/>
          <w:color w:val="auto"/>
          <w:szCs w:val="21"/>
          <w:highlight w:val="none"/>
          <w:u w:val="none"/>
        </w:rPr>
        <w:t>，以保障在设备故障时能及时诊断故障原因，制定维修计划，保障设备开机率。</w:t>
      </w:r>
    </w:p>
    <w:p w14:paraId="33A1CDCD">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需针对本项目实际情况对服务人员开展相关服务内容、标准的培训工作，通过科学的培训计划和内容确保相关服务人员能够为</w:t>
      </w:r>
      <w:r>
        <w:rPr>
          <w:rFonts w:hint="eastAsia" w:ascii="宋体" w:hAnsi="宋体" w:eastAsia="宋体"/>
          <w:b w:val="0"/>
          <w:bCs w:val="0"/>
          <w:color w:val="auto"/>
          <w:szCs w:val="21"/>
          <w:highlight w:val="none"/>
          <w:u w:val="none"/>
          <w:lang w:eastAsia="zh-CN"/>
        </w:rPr>
        <w:t>甲方</w:t>
      </w:r>
      <w:r>
        <w:rPr>
          <w:rFonts w:hint="eastAsia" w:ascii="宋体" w:hAnsi="宋体" w:eastAsia="宋体"/>
          <w:b w:val="0"/>
          <w:bCs w:val="0"/>
          <w:color w:val="auto"/>
          <w:szCs w:val="21"/>
          <w:highlight w:val="none"/>
          <w:u w:val="none"/>
        </w:rPr>
        <w:t>提供产品服务专业支持。</w:t>
      </w:r>
    </w:p>
    <w:p w14:paraId="2AB1E953">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客户服务专线：</w:t>
      </w: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具备全年7×24小时开通的并有专人接听的免费客服热线电话，为</w:t>
      </w:r>
      <w:r>
        <w:rPr>
          <w:rFonts w:hint="eastAsia" w:ascii="宋体" w:hAnsi="宋体" w:eastAsia="宋体"/>
          <w:b w:val="0"/>
          <w:bCs w:val="0"/>
          <w:color w:val="auto"/>
          <w:szCs w:val="21"/>
          <w:highlight w:val="none"/>
          <w:u w:val="none"/>
          <w:lang w:eastAsia="zh-CN"/>
        </w:rPr>
        <w:t>甲方</w:t>
      </w:r>
      <w:r>
        <w:rPr>
          <w:rFonts w:hint="eastAsia" w:ascii="宋体" w:hAnsi="宋体" w:eastAsia="宋体"/>
          <w:b w:val="0"/>
          <w:bCs w:val="0"/>
          <w:color w:val="auto"/>
          <w:szCs w:val="21"/>
          <w:highlight w:val="none"/>
          <w:u w:val="none"/>
        </w:rPr>
        <w:t>快速诊断和技术支持服务。</w:t>
      </w:r>
    </w:p>
    <w:p w14:paraId="71CE1281">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在接到</w:t>
      </w:r>
      <w:r>
        <w:rPr>
          <w:rFonts w:hint="eastAsia" w:ascii="宋体" w:hAnsi="宋体" w:eastAsia="宋体"/>
          <w:b w:val="0"/>
          <w:bCs w:val="0"/>
          <w:color w:val="auto"/>
          <w:szCs w:val="21"/>
          <w:highlight w:val="none"/>
          <w:u w:val="none"/>
          <w:lang w:eastAsia="zh-CN"/>
        </w:rPr>
        <w:t>甲方</w:t>
      </w:r>
      <w:r>
        <w:rPr>
          <w:rFonts w:hint="eastAsia" w:ascii="宋体" w:hAnsi="宋体" w:eastAsia="宋体"/>
          <w:b w:val="0"/>
          <w:bCs w:val="0"/>
          <w:color w:val="auto"/>
          <w:szCs w:val="21"/>
          <w:highlight w:val="none"/>
          <w:u w:val="none"/>
        </w:rPr>
        <w:t>报修电话后2小时内响应，12小时内到达</w:t>
      </w:r>
      <w:r>
        <w:rPr>
          <w:rFonts w:hint="eastAsia" w:ascii="宋体" w:hAnsi="宋体" w:eastAsia="宋体"/>
          <w:b w:val="0"/>
          <w:bCs w:val="0"/>
          <w:color w:val="auto"/>
          <w:szCs w:val="21"/>
          <w:highlight w:val="none"/>
          <w:u w:val="none"/>
          <w:lang w:eastAsia="zh-CN"/>
        </w:rPr>
        <w:t>甲方</w:t>
      </w:r>
      <w:r>
        <w:rPr>
          <w:rFonts w:hint="eastAsia" w:ascii="宋体" w:hAnsi="宋体" w:eastAsia="宋体"/>
          <w:b w:val="0"/>
          <w:bCs w:val="0"/>
          <w:color w:val="auto"/>
          <w:szCs w:val="21"/>
          <w:highlight w:val="none"/>
          <w:u w:val="none"/>
        </w:rPr>
        <w:t>指定地点进行检修并及时提供相关的维修解决方案，48小时内保障设备恢复正常使用。</w:t>
      </w:r>
    </w:p>
    <w:p w14:paraId="404F113F">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服务期内提供无限次人工响应服务，每季度不少于一次保养，</w:t>
      </w: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维保服务应制定相应的计划、工作流程和设备管理方案，严格按照计划执行，每次上门维修后提供维修报告，每年度有年度报告。</w:t>
      </w:r>
    </w:p>
    <w:p w14:paraId="4C60385F">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应针对本项目内容建立相应的工作台账制度，对服务流程中涉及的台账、工作报告等内容有明确模板支撑，向</w:t>
      </w:r>
      <w:r>
        <w:rPr>
          <w:rFonts w:hint="eastAsia" w:ascii="宋体" w:hAnsi="宋体" w:eastAsia="宋体"/>
          <w:b w:val="0"/>
          <w:bCs w:val="0"/>
          <w:color w:val="auto"/>
          <w:szCs w:val="21"/>
          <w:highlight w:val="none"/>
          <w:u w:val="none"/>
          <w:lang w:eastAsia="zh-CN"/>
        </w:rPr>
        <w:t>甲方</w:t>
      </w:r>
      <w:r>
        <w:rPr>
          <w:rFonts w:hint="eastAsia" w:ascii="宋体" w:hAnsi="宋体" w:eastAsia="宋体"/>
          <w:b w:val="0"/>
          <w:bCs w:val="0"/>
          <w:color w:val="auto"/>
          <w:szCs w:val="21"/>
          <w:highlight w:val="none"/>
          <w:u w:val="none"/>
        </w:rPr>
        <w:t>提交的工作报告需经过严谨的内部审核机制。</w:t>
      </w:r>
    </w:p>
    <w:p w14:paraId="3DB1B049">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服务范围内，</w:t>
      </w: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所提供的零配件必须是同一型号原生产厂家配件，必须是符合国家有关质量安全标准的合格产品，必须是符合机器的品质标准的合格产品，保证不会对设备质量或图像产生不良影响。</w:t>
      </w: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需提供的维修所需配件可接受向设备原生产厂家查询验证、设备原生产厂家出具的零配件来源证明、第三方单位检测、不定期抽检等方式检测验证，如为二手或经非法、非正常渠道来源备件，</w:t>
      </w:r>
      <w:r>
        <w:rPr>
          <w:rFonts w:hint="eastAsia" w:ascii="宋体" w:hAnsi="宋体" w:eastAsia="宋体"/>
          <w:b w:val="0"/>
          <w:bCs w:val="0"/>
          <w:color w:val="auto"/>
          <w:szCs w:val="21"/>
          <w:highlight w:val="none"/>
          <w:u w:val="none"/>
          <w:lang w:eastAsia="zh-CN"/>
        </w:rPr>
        <w:t>甲方</w:t>
      </w:r>
      <w:r>
        <w:rPr>
          <w:rFonts w:hint="eastAsia" w:ascii="宋体" w:hAnsi="宋体" w:eastAsia="宋体"/>
          <w:b w:val="0"/>
          <w:bCs w:val="0"/>
          <w:color w:val="auto"/>
          <w:szCs w:val="21"/>
          <w:highlight w:val="none"/>
          <w:u w:val="none"/>
        </w:rPr>
        <w:t>有权不支付合同款项，并按相关规定对</w:t>
      </w: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进行处罚；如因二手或经非法、非正常渠道来源备件给</w:t>
      </w:r>
      <w:r>
        <w:rPr>
          <w:rFonts w:hint="eastAsia" w:ascii="宋体" w:hAnsi="宋体" w:eastAsia="宋体"/>
          <w:b w:val="0"/>
          <w:bCs w:val="0"/>
          <w:color w:val="auto"/>
          <w:szCs w:val="21"/>
          <w:highlight w:val="none"/>
          <w:u w:val="none"/>
          <w:lang w:eastAsia="zh-CN"/>
        </w:rPr>
        <w:t>甲方</w:t>
      </w:r>
      <w:r>
        <w:rPr>
          <w:rFonts w:hint="eastAsia" w:ascii="宋体" w:hAnsi="宋体" w:eastAsia="宋体"/>
          <w:b w:val="0"/>
          <w:bCs w:val="0"/>
          <w:color w:val="auto"/>
          <w:szCs w:val="21"/>
          <w:highlight w:val="none"/>
          <w:u w:val="none"/>
        </w:rPr>
        <w:t>带来其他经济损失（如上级监管单位处罚等），</w:t>
      </w: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则需承担相关赔偿及责任。</w:t>
      </w:r>
    </w:p>
    <w:p w14:paraId="68E274F1">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服务团队要求：</w:t>
      </w: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应为项目配备服务人员≥3名，其中项目负责人：1人，应具有生物医学工程或医工相关专业本科或以上学历，同时具有医疗器械初级或以上职称；配备服务人员（除项目负责人），至少1名医学影像技术或临床医学相关专业大专或以上学历，作为本项目临床培训支持人员。</w:t>
      </w:r>
    </w:p>
    <w:p w14:paraId="0A916444">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拟投入服务人员应具备相关项目经验和专业背景，服务团队内部应有清晰的岗位和职责划分，组织架构合理、沟通顺畅高效、协作紧密。</w:t>
      </w:r>
    </w:p>
    <w:p w14:paraId="670D678D">
      <w:pPr>
        <w:pStyle w:val="70"/>
        <w:keepNext w:val="0"/>
        <w:keepLines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b w:val="0"/>
          <w:bCs w:val="0"/>
          <w:color w:val="auto"/>
          <w:szCs w:val="21"/>
          <w:highlight w:val="none"/>
          <w:u w:val="none"/>
        </w:rPr>
      </w:pPr>
      <w:r>
        <w:rPr>
          <w:rFonts w:hint="eastAsia" w:ascii="宋体" w:hAnsi="宋体" w:eastAsia="宋体"/>
          <w:b w:val="0"/>
          <w:bCs w:val="0"/>
          <w:color w:val="auto"/>
          <w:szCs w:val="21"/>
          <w:highlight w:val="none"/>
          <w:u w:val="none"/>
        </w:rPr>
        <w:t>面对本项目履约过程中可能出现的紧急情况，</w:t>
      </w:r>
      <w:r>
        <w:rPr>
          <w:rFonts w:hint="eastAsia" w:ascii="宋体" w:hAnsi="宋体" w:eastAsia="宋体"/>
          <w:b w:val="0"/>
          <w:bCs w:val="0"/>
          <w:color w:val="auto"/>
          <w:szCs w:val="21"/>
          <w:highlight w:val="none"/>
          <w:u w:val="none"/>
          <w:lang w:eastAsia="zh-CN"/>
        </w:rPr>
        <w:t>乙方</w:t>
      </w:r>
      <w:r>
        <w:rPr>
          <w:rFonts w:hint="eastAsia" w:ascii="宋体" w:hAnsi="宋体" w:eastAsia="宋体"/>
          <w:b w:val="0"/>
          <w:bCs w:val="0"/>
          <w:color w:val="auto"/>
          <w:szCs w:val="21"/>
          <w:highlight w:val="none"/>
          <w:u w:val="none"/>
        </w:rPr>
        <w:t>有一套预防和应对处置措施，应急响应机制迅速完备，应急服务人员数量和技术能力充沛，能够有效应对履约中的各种突发状况。</w:t>
      </w:r>
    </w:p>
    <w:p w14:paraId="7A053D0A">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《维护保养质量考核表》</w:t>
      </w:r>
    </w:p>
    <w:tbl>
      <w:tblPr>
        <w:tblStyle w:val="2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88"/>
        <w:gridCol w:w="1617"/>
        <w:gridCol w:w="5475"/>
        <w:gridCol w:w="999"/>
        <w:gridCol w:w="503"/>
      </w:tblGrid>
      <w:tr w14:paraId="3D794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768592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highlight w:val="none"/>
              </w:rPr>
            </w:pPr>
            <w:r>
              <w:rPr>
                <w:rFonts w:hint="eastAsia" w:ascii="宋体" w:hAnsi="宋体" w:eastAsia="宋体" w:cs="宋体"/>
                <w:b/>
                <w:bCs/>
                <w:color w:val="auto"/>
                <w:highlight w:val="none"/>
              </w:rPr>
              <w:t>序号</w:t>
            </w:r>
          </w:p>
        </w:tc>
        <w:tc>
          <w:tcPr>
            <w:tcW w:w="871" w:type="pct"/>
            <w:tcBorders>
              <w:top w:val="single" w:color="000000" w:sz="4" w:space="0"/>
              <w:left w:val="single" w:color="000000" w:sz="4" w:space="0"/>
              <w:bottom w:val="single" w:color="000000" w:sz="4" w:space="0"/>
              <w:right w:val="single" w:color="000000" w:sz="4" w:space="0"/>
            </w:tcBorders>
            <w:vAlign w:val="center"/>
          </w:tcPr>
          <w:p w14:paraId="08DA79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highlight w:val="none"/>
              </w:rPr>
            </w:pPr>
            <w:r>
              <w:rPr>
                <w:rFonts w:hint="eastAsia" w:ascii="宋体" w:hAnsi="宋体" w:eastAsia="宋体" w:cs="宋体"/>
                <w:b/>
                <w:bCs/>
                <w:color w:val="auto"/>
                <w:highlight w:val="none"/>
              </w:rPr>
              <w:t>考核内容</w:t>
            </w:r>
          </w:p>
        </w:tc>
        <w:tc>
          <w:tcPr>
            <w:tcW w:w="2949" w:type="pct"/>
            <w:tcBorders>
              <w:top w:val="single" w:color="000000" w:sz="4" w:space="0"/>
              <w:left w:val="single" w:color="000000" w:sz="4" w:space="0"/>
              <w:bottom w:val="single" w:color="000000" w:sz="4" w:space="0"/>
              <w:right w:val="single" w:color="000000" w:sz="4" w:space="0"/>
            </w:tcBorders>
            <w:vAlign w:val="center"/>
          </w:tcPr>
          <w:p w14:paraId="790A09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highlight w:val="none"/>
              </w:rPr>
            </w:pPr>
            <w:r>
              <w:rPr>
                <w:rFonts w:hint="eastAsia" w:ascii="宋体" w:hAnsi="宋体" w:eastAsia="宋体" w:cs="宋体"/>
                <w:b/>
                <w:bCs/>
                <w:color w:val="auto"/>
                <w:highlight w:val="none"/>
              </w:rPr>
              <w:t>考核标准</w:t>
            </w:r>
          </w:p>
        </w:tc>
        <w:tc>
          <w:tcPr>
            <w:tcW w:w="538" w:type="pct"/>
            <w:tcBorders>
              <w:top w:val="single" w:color="000000" w:sz="4" w:space="0"/>
              <w:left w:val="single" w:color="000000" w:sz="4" w:space="0"/>
              <w:bottom w:val="single" w:color="000000" w:sz="4" w:space="0"/>
              <w:right w:val="single" w:color="000000" w:sz="4" w:space="0"/>
            </w:tcBorders>
            <w:vAlign w:val="center"/>
          </w:tcPr>
          <w:p w14:paraId="659DF3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highlight w:val="none"/>
              </w:rPr>
            </w:pPr>
            <w:r>
              <w:rPr>
                <w:rFonts w:hint="eastAsia" w:ascii="宋体" w:hAnsi="宋体" w:eastAsia="宋体" w:cs="宋体"/>
                <w:b/>
                <w:bCs/>
                <w:color w:val="auto"/>
                <w:highlight w:val="none"/>
              </w:rPr>
              <w:t>满分值</w:t>
            </w:r>
          </w:p>
        </w:tc>
        <w:tc>
          <w:tcPr>
            <w:tcW w:w="268" w:type="pct"/>
            <w:tcBorders>
              <w:top w:val="single" w:color="000000" w:sz="4" w:space="0"/>
              <w:left w:val="single" w:color="000000" w:sz="4" w:space="0"/>
              <w:bottom w:val="single" w:color="000000" w:sz="4" w:space="0"/>
              <w:right w:val="single" w:color="000000" w:sz="4" w:space="0"/>
            </w:tcBorders>
            <w:vAlign w:val="center"/>
          </w:tcPr>
          <w:p w14:paraId="02D0A8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highlight w:val="none"/>
              </w:rPr>
            </w:pPr>
            <w:r>
              <w:rPr>
                <w:rFonts w:hint="eastAsia" w:ascii="宋体" w:hAnsi="宋体" w:eastAsia="宋体" w:cs="宋体"/>
                <w:b/>
                <w:bCs/>
                <w:color w:val="auto"/>
                <w:highlight w:val="none"/>
              </w:rPr>
              <w:t>备注</w:t>
            </w:r>
          </w:p>
        </w:tc>
      </w:tr>
      <w:tr w14:paraId="6DEDBA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21E428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1</w:t>
            </w:r>
          </w:p>
        </w:tc>
        <w:tc>
          <w:tcPr>
            <w:tcW w:w="871" w:type="pct"/>
            <w:tcBorders>
              <w:top w:val="single" w:color="000000" w:sz="4" w:space="0"/>
              <w:left w:val="single" w:color="000000" w:sz="4" w:space="0"/>
              <w:bottom w:val="single" w:color="000000" w:sz="4" w:space="0"/>
              <w:right w:val="single" w:color="000000" w:sz="4" w:space="0"/>
            </w:tcBorders>
            <w:vAlign w:val="center"/>
          </w:tcPr>
          <w:p w14:paraId="324181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维修质量</w:t>
            </w:r>
          </w:p>
        </w:tc>
        <w:tc>
          <w:tcPr>
            <w:tcW w:w="2949" w:type="pct"/>
            <w:tcBorders>
              <w:top w:val="single" w:color="000000" w:sz="4" w:space="0"/>
              <w:left w:val="single" w:color="000000" w:sz="4" w:space="0"/>
              <w:bottom w:val="single" w:color="000000" w:sz="4" w:space="0"/>
              <w:right w:val="single" w:color="000000" w:sz="4" w:space="0"/>
            </w:tcBorders>
          </w:tcPr>
          <w:p w14:paraId="5C4DACFA">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若出现以下情况，出现一次扣2分，此项分扣完为止：</w:t>
            </w:r>
          </w:p>
          <w:p w14:paraId="776AADB6">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1、一个月内，同一设备同一故障返修两次或以上的；</w:t>
            </w:r>
          </w:p>
          <w:p w14:paraId="3E637EB2">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2、设备维修效果不佳，影响临床科室正常使用的，被投诉的。</w:t>
            </w:r>
          </w:p>
        </w:tc>
        <w:tc>
          <w:tcPr>
            <w:tcW w:w="538" w:type="pct"/>
            <w:tcBorders>
              <w:top w:val="single" w:color="000000" w:sz="4" w:space="0"/>
              <w:left w:val="single" w:color="000000" w:sz="4" w:space="0"/>
              <w:bottom w:val="single" w:color="000000" w:sz="4" w:space="0"/>
              <w:right w:val="single" w:color="000000" w:sz="4" w:space="0"/>
            </w:tcBorders>
            <w:vAlign w:val="center"/>
          </w:tcPr>
          <w:p w14:paraId="78C6E9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20分</w:t>
            </w:r>
          </w:p>
        </w:tc>
        <w:tc>
          <w:tcPr>
            <w:tcW w:w="268" w:type="pct"/>
            <w:tcBorders>
              <w:top w:val="single" w:color="000000" w:sz="4" w:space="0"/>
              <w:left w:val="single" w:color="000000" w:sz="4" w:space="0"/>
              <w:bottom w:val="single" w:color="000000" w:sz="4" w:space="0"/>
              <w:right w:val="single" w:color="000000" w:sz="4" w:space="0"/>
            </w:tcBorders>
          </w:tcPr>
          <w:p w14:paraId="5CF7269A">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36A5A3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18E098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2</w:t>
            </w:r>
          </w:p>
        </w:tc>
        <w:tc>
          <w:tcPr>
            <w:tcW w:w="871" w:type="pct"/>
            <w:tcBorders>
              <w:top w:val="single" w:color="000000" w:sz="4" w:space="0"/>
              <w:left w:val="single" w:color="000000" w:sz="4" w:space="0"/>
              <w:bottom w:val="single" w:color="000000" w:sz="4" w:space="0"/>
              <w:right w:val="single" w:color="000000" w:sz="4" w:space="0"/>
            </w:tcBorders>
            <w:vAlign w:val="center"/>
          </w:tcPr>
          <w:p w14:paraId="5D763D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设备开机情况</w:t>
            </w:r>
          </w:p>
        </w:tc>
        <w:tc>
          <w:tcPr>
            <w:tcW w:w="2949" w:type="pct"/>
            <w:tcBorders>
              <w:top w:val="single" w:color="000000" w:sz="4" w:space="0"/>
              <w:left w:val="single" w:color="000000" w:sz="4" w:space="0"/>
              <w:bottom w:val="single" w:color="000000" w:sz="4" w:space="0"/>
              <w:right w:val="single" w:color="000000" w:sz="4" w:space="0"/>
            </w:tcBorders>
          </w:tcPr>
          <w:p w14:paraId="28D37276">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因设备故障未能及时修复，造成停机超过12小时的，每出现1次扣4分，此项分扣完为止。</w:t>
            </w:r>
          </w:p>
        </w:tc>
        <w:tc>
          <w:tcPr>
            <w:tcW w:w="538" w:type="pct"/>
            <w:tcBorders>
              <w:top w:val="single" w:color="000000" w:sz="4" w:space="0"/>
              <w:left w:val="single" w:color="000000" w:sz="4" w:space="0"/>
              <w:bottom w:val="single" w:color="000000" w:sz="4" w:space="0"/>
              <w:right w:val="single" w:color="000000" w:sz="4" w:space="0"/>
            </w:tcBorders>
            <w:vAlign w:val="center"/>
          </w:tcPr>
          <w:p w14:paraId="43039AC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20分</w:t>
            </w:r>
          </w:p>
        </w:tc>
        <w:tc>
          <w:tcPr>
            <w:tcW w:w="268" w:type="pct"/>
            <w:tcBorders>
              <w:top w:val="single" w:color="000000" w:sz="4" w:space="0"/>
              <w:left w:val="single" w:color="000000" w:sz="4" w:space="0"/>
              <w:bottom w:val="single" w:color="000000" w:sz="4" w:space="0"/>
              <w:right w:val="single" w:color="000000" w:sz="4" w:space="0"/>
            </w:tcBorders>
          </w:tcPr>
          <w:p w14:paraId="513675E8">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102AF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6AD6B88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3</w:t>
            </w:r>
          </w:p>
        </w:tc>
        <w:tc>
          <w:tcPr>
            <w:tcW w:w="871" w:type="pct"/>
            <w:tcBorders>
              <w:top w:val="single" w:color="000000" w:sz="4" w:space="0"/>
              <w:left w:val="single" w:color="000000" w:sz="4" w:space="0"/>
              <w:bottom w:val="single" w:color="000000" w:sz="4" w:space="0"/>
              <w:right w:val="single" w:color="000000" w:sz="4" w:space="0"/>
            </w:tcBorders>
            <w:vAlign w:val="center"/>
          </w:tcPr>
          <w:p w14:paraId="038AF5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设备质量控制情况</w:t>
            </w:r>
          </w:p>
        </w:tc>
        <w:tc>
          <w:tcPr>
            <w:tcW w:w="2949" w:type="pct"/>
            <w:tcBorders>
              <w:top w:val="single" w:color="000000" w:sz="4" w:space="0"/>
              <w:left w:val="single" w:color="000000" w:sz="4" w:space="0"/>
              <w:bottom w:val="single" w:color="000000" w:sz="4" w:space="0"/>
              <w:right w:val="single" w:color="000000" w:sz="4" w:space="0"/>
            </w:tcBorders>
          </w:tcPr>
          <w:p w14:paraId="261CEDA4">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设备在进行医用计量器具检定时，未能通过相关专业计量检测机构得检测合格，每出现一台扣10分，此项分扣完为止。</w:t>
            </w:r>
          </w:p>
        </w:tc>
        <w:tc>
          <w:tcPr>
            <w:tcW w:w="538" w:type="pct"/>
            <w:tcBorders>
              <w:top w:val="single" w:color="000000" w:sz="4" w:space="0"/>
              <w:left w:val="single" w:color="000000" w:sz="4" w:space="0"/>
              <w:bottom w:val="single" w:color="000000" w:sz="4" w:space="0"/>
              <w:right w:val="single" w:color="000000" w:sz="4" w:space="0"/>
            </w:tcBorders>
            <w:vAlign w:val="center"/>
          </w:tcPr>
          <w:p w14:paraId="2FABFE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20分</w:t>
            </w:r>
          </w:p>
        </w:tc>
        <w:tc>
          <w:tcPr>
            <w:tcW w:w="268" w:type="pct"/>
            <w:tcBorders>
              <w:top w:val="single" w:color="000000" w:sz="4" w:space="0"/>
              <w:left w:val="single" w:color="000000" w:sz="4" w:space="0"/>
              <w:bottom w:val="single" w:color="000000" w:sz="4" w:space="0"/>
              <w:right w:val="single" w:color="000000" w:sz="4" w:space="0"/>
            </w:tcBorders>
          </w:tcPr>
          <w:p w14:paraId="6FA79F46">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22568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44C4A1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4</w:t>
            </w:r>
          </w:p>
        </w:tc>
        <w:tc>
          <w:tcPr>
            <w:tcW w:w="871" w:type="pct"/>
            <w:tcBorders>
              <w:top w:val="single" w:color="000000" w:sz="4" w:space="0"/>
              <w:left w:val="single" w:color="000000" w:sz="4" w:space="0"/>
              <w:bottom w:val="single" w:color="000000" w:sz="4" w:space="0"/>
              <w:right w:val="single" w:color="000000" w:sz="4" w:space="0"/>
            </w:tcBorders>
            <w:vAlign w:val="center"/>
          </w:tcPr>
          <w:p w14:paraId="240B98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服务态度</w:t>
            </w:r>
          </w:p>
        </w:tc>
        <w:tc>
          <w:tcPr>
            <w:tcW w:w="2949" w:type="pct"/>
            <w:tcBorders>
              <w:top w:val="single" w:color="000000" w:sz="4" w:space="0"/>
              <w:left w:val="single" w:color="000000" w:sz="4" w:space="0"/>
              <w:bottom w:val="single" w:color="000000" w:sz="4" w:space="0"/>
              <w:right w:val="single" w:color="000000" w:sz="4" w:space="0"/>
            </w:tcBorders>
          </w:tcPr>
          <w:p w14:paraId="6D6EAD54">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服务态度差，与科室发生争执，被科室投诉的，每次扣2分，此项分扣完为止。</w:t>
            </w:r>
          </w:p>
        </w:tc>
        <w:tc>
          <w:tcPr>
            <w:tcW w:w="538" w:type="pct"/>
            <w:tcBorders>
              <w:top w:val="single" w:color="000000" w:sz="4" w:space="0"/>
              <w:left w:val="single" w:color="000000" w:sz="4" w:space="0"/>
              <w:bottom w:val="single" w:color="000000" w:sz="4" w:space="0"/>
              <w:right w:val="single" w:color="000000" w:sz="4" w:space="0"/>
            </w:tcBorders>
            <w:vAlign w:val="center"/>
          </w:tcPr>
          <w:p w14:paraId="21B83E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10分</w:t>
            </w:r>
          </w:p>
        </w:tc>
        <w:tc>
          <w:tcPr>
            <w:tcW w:w="268" w:type="pct"/>
            <w:tcBorders>
              <w:top w:val="single" w:color="000000" w:sz="4" w:space="0"/>
              <w:left w:val="single" w:color="000000" w:sz="4" w:space="0"/>
              <w:bottom w:val="single" w:color="000000" w:sz="4" w:space="0"/>
              <w:right w:val="single" w:color="000000" w:sz="4" w:space="0"/>
            </w:tcBorders>
          </w:tcPr>
          <w:p w14:paraId="450D76CA">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212CB9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428D47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5</w:t>
            </w:r>
          </w:p>
        </w:tc>
        <w:tc>
          <w:tcPr>
            <w:tcW w:w="871" w:type="pct"/>
            <w:tcBorders>
              <w:top w:val="single" w:color="000000" w:sz="4" w:space="0"/>
              <w:left w:val="single" w:color="000000" w:sz="4" w:space="0"/>
              <w:bottom w:val="single" w:color="000000" w:sz="4" w:space="0"/>
              <w:right w:val="single" w:color="000000" w:sz="4" w:space="0"/>
            </w:tcBorders>
            <w:vAlign w:val="center"/>
          </w:tcPr>
          <w:p w14:paraId="049D3E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维保计划执行性</w:t>
            </w:r>
          </w:p>
        </w:tc>
        <w:tc>
          <w:tcPr>
            <w:tcW w:w="2949" w:type="pct"/>
            <w:tcBorders>
              <w:top w:val="single" w:color="000000" w:sz="4" w:space="0"/>
              <w:left w:val="single" w:color="000000" w:sz="4" w:space="0"/>
              <w:bottom w:val="single" w:color="000000" w:sz="4" w:space="0"/>
              <w:right w:val="single" w:color="000000" w:sz="4" w:space="0"/>
            </w:tcBorders>
          </w:tcPr>
          <w:p w14:paraId="51331C06">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按计划对维保设备提供年度灵活的定期检查和保养计划（1年4次以上），在计划实施前要跟科室做好沟通，保证检查和保养计划在科室配合下进行，不影响临床科室的正常工作；设备保养后须有科室人员签名的完整记录；未按维保计划执行的，单台设备每次扣</w:t>
            </w:r>
            <w:r>
              <w:rPr>
                <w:rFonts w:ascii="宋体" w:hAnsi="宋体" w:eastAsia="宋体" w:cs="宋体"/>
                <w:color w:val="auto"/>
                <w:highlight w:val="none"/>
              </w:rPr>
              <w:t>5</w:t>
            </w:r>
            <w:r>
              <w:rPr>
                <w:rFonts w:hint="eastAsia" w:ascii="宋体" w:hAnsi="宋体" w:eastAsia="宋体" w:cs="宋体"/>
                <w:color w:val="auto"/>
                <w:highlight w:val="none"/>
              </w:rPr>
              <w:t>分，此项分扣完为止。</w:t>
            </w:r>
          </w:p>
        </w:tc>
        <w:tc>
          <w:tcPr>
            <w:tcW w:w="538" w:type="pct"/>
            <w:tcBorders>
              <w:top w:val="single" w:color="000000" w:sz="4" w:space="0"/>
              <w:left w:val="single" w:color="000000" w:sz="4" w:space="0"/>
              <w:bottom w:val="single" w:color="000000" w:sz="4" w:space="0"/>
              <w:right w:val="single" w:color="000000" w:sz="4" w:space="0"/>
            </w:tcBorders>
            <w:vAlign w:val="center"/>
          </w:tcPr>
          <w:p w14:paraId="22C2D3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10分</w:t>
            </w:r>
          </w:p>
        </w:tc>
        <w:tc>
          <w:tcPr>
            <w:tcW w:w="268" w:type="pct"/>
            <w:tcBorders>
              <w:top w:val="single" w:color="000000" w:sz="4" w:space="0"/>
              <w:left w:val="single" w:color="000000" w:sz="4" w:space="0"/>
              <w:bottom w:val="single" w:color="000000" w:sz="4" w:space="0"/>
              <w:right w:val="single" w:color="000000" w:sz="4" w:space="0"/>
            </w:tcBorders>
          </w:tcPr>
          <w:p w14:paraId="35FB9651">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43A69C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71" w:type="pct"/>
            <w:tcBorders>
              <w:top w:val="single" w:color="000000" w:sz="4" w:space="0"/>
              <w:left w:val="single" w:color="000000" w:sz="4" w:space="0"/>
              <w:bottom w:val="single" w:color="000000" w:sz="4" w:space="0"/>
              <w:right w:val="single" w:color="000000" w:sz="4" w:space="0"/>
            </w:tcBorders>
            <w:vAlign w:val="center"/>
          </w:tcPr>
          <w:p w14:paraId="1CE1AC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6</w:t>
            </w:r>
          </w:p>
        </w:tc>
        <w:tc>
          <w:tcPr>
            <w:tcW w:w="871" w:type="pct"/>
            <w:tcBorders>
              <w:top w:val="single" w:color="000000" w:sz="4" w:space="0"/>
              <w:left w:val="single" w:color="000000" w:sz="4" w:space="0"/>
              <w:bottom w:val="single" w:color="000000" w:sz="4" w:space="0"/>
              <w:right w:val="single" w:color="000000" w:sz="4" w:space="0"/>
            </w:tcBorders>
            <w:vAlign w:val="center"/>
          </w:tcPr>
          <w:p w14:paraId="732E97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维修保养记录</w:t>
            </w:r>
          </w:p>
        </w:tc>
        <w:tc>
          <w:tcPr>
            <w:tcW w:w="2949" w:type="pct"/>
            <w:tcBorders>
              <w:top w:val="single" w:color="000000" w:sz="4" w:space="0"/>
              <w:left w:val="single" w:color="000000" w:sz="4" w:space="0"/>
              <w:bottom w:val="single" w:color="000000" w:sz="4" w:space="0"/>
              <w:right w:val="single" w:color="000000" w:sz="4" w:space="0"/>
            </w:tcBorders>
          </w:tcPr>
          <w:p w14:paraId="523AE3AF">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lang w:eastAsia="zh-CN"/>
              </w:rPr>
              <w:t>乙方</w:t>
            </w:r>
            <w:r>
              <w:rPr>
                <w:rFonts w:hint="eastAsia" w:ascii="宋体" w:hAnsi="宋体" w:eastAsia="宋体" w:cs="宋体"/>
                <w:color w:val="auto"/>
                <w:highlight w:val="none"/>
              </w:rPr>
              <w:t>每次维修保养后，需做好记录备案，如发现缺少一次扣</w:t>
            </w:r>
            <w:r>
              <w:rPr>
                <w:rFonts w:ascii="宋体" w:hAnsi="宋体" w:eastAsia="宋体" w:cs="宋体"/>
                <w:color w:val="auto"/>
                <w:highlight w:val="none"/>
              </w:rPr>
              <w:t>5</w:t>
            </w:r>
            <w:r>
              <w:rPr>
                <w:rFonts w:hint="eastAsia" w:ascii="宋体" w:hAnsi="宋体" w:eastAsia="宋体" w:cs="宋体"/>
                <w:color w:val="auto"/>
                <w:highlight w:val="none"/>
              </w:rPr>
              <w:t>分，此项分扣完为止。</w:t>
            </w:r>
          </w:p>
        </w:tc>
        <w:tc>
          <w:tcPr>
            <w:tcW w:w="538" w:type="pct"/>
            <w:tcBorders>
              <w:top w:val="single" w:color="000000" w:sz="4" w:space="0"/>
              <w:left w:val="single" w:color="000000" w:sz="4" w:space="0"/>
              <w:bottom w:val="single" w:color="000000" w:sz="4" w:space="0"/>
              <w:right w:val="single" w:color="000000" w:sz="4" w:space="0"/>
            </w:tcBorders>
            <w:vAlign w:val="center"/>
          </w:tcPr>
          <w:p w14:paraId="18EDAD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highlight w:val="none"/>
              </w:rPr>
            </w:pPr>
            <w:r>
              <w:rPr>
                <w:rFonts w:hint="eastAsia" w:ascii="宋体" w:hAnsi="宋体" w:eastAsia="宋体" w:cs="宋体"/>
                <w:color w:val="auto"/>
                <w:highlight w:val="none"/>
              </w:rPr>
              <w:t>20分</w:t>
            </w:r>
          </w:p>
        </w:tc>
        <w:tc>
          <w:tcPr>
            <w:tcW w:w="268" w:type="pct"/>
            <w:tcBorders>
              <w:top w:val="single" w:color="000000" w:sz="4" w:space="0"/>
              <w:left w:val="single" w:color="000000" w:sz="4" w:space="0"/>
              <w:bottom w:val="single" w:color="000000" w:sz="4" w:space="0"/>
              <w:right w:val="single" w:color="000000" w:sz="4" w:space="0"/>
            </w:tcBorders>
          </w:tcPr>
          <w:p w14:paraId="34DF5BEC">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p>
        </w:tc>
      </w:tr>
      <w:tr w14:paraId="665647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4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tcPr>
          <w:p w14:paraId="00F3AD77">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注：</w:t>
            </w:r>
          </w:p>
          <w:p w14:paraId="7F94215A">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1、维护保养质量考核表作为双方结算服务费依据，</w:t>
            </w:r>
            <w:r>
              <w:rPr>
                <w:rFonts w:hint="eastAsia" w:ascii="宋体" w:hAnsi="宋体" w:eastAsia="宋体" w:cs="宋体"/>
                <w:color w:val="auto"/>
                <w:highlight w:val="none"/>
                <w:lang w:eastAsia="zh-CN"/>
              </w:rPr>
              <w:t>乙方</w:t>
            </w:r>
            <w:r>
              <w:rPr>
                <w:rFonts w:hint="eastAsia" w:ascii="宋体" w:hAnsi="宋体" w:eastAsia="宋体" w:cs="宋体"/>
                <w:color w:val="auto"/>
                <w:highlight w:val="none"/>
              </w:rPr>
              <w:t>服务每满3个月为1个考核周期，</w:t>
            </w:r>
            <w:r>
              <w:rPr>
                <w:rFonts w:hint="eastAsia" w:ascii="宋体" w:hAnsi="宋体" w:eastAsia="宋体" w:cs="宋体"/>
                <w:color w:val="auto"/>
                <w:highlight w:val="none"/>
                <w:lang w:eastAsia="zh-CN"/>
              </w:rPr>
              <w:t>甲方</w:t>
            </w:r>
            <w:r>
              <w:rPr>
                <w:rFonts w:hint="eastAsia" w:ascii="宋体" w:hAnsi="宋体" w:eastAsia="宋体" w:cs="宋体"/>
                <w:color w:val="auto"/>
                <w:highlight w:val="none"/>
              </w:rPr>
              <w:t>每个考核周期内对</w:t>
            </w:r>
            <w:r>
              <w:rPr>
                <w:rFonts w:hint="eastAsia" w:ascii="宋体" w:hAnsi="宋体" w:eastAsia="宋体" w:cs="宋体"/>
                <w:color w:val="auto"/>
                <w:highlight w:val="none"/>
                <w:lang w:eastAsia="zh-CN"/>
              </w:rPr>
              <w:t>乙方</w:t>
            </w:r>
            <w:r>
              <w:rPr>
                <w:rFonts w:hint="eastAsia" w:ascii="宋体" w:hAnsi="宋体" w:eastAsia="宋体" w:cs="宋体"/>
                <w:color w:val="auto"/>
                <w:highlight w:val="none"/>
              </w:rPr>
              <w:t>进行不少于1次考核，并在</w:t>
            </w:r>
            <w:r>
              <w:rPr>
                <w:rFonts w:hint="eastAsia" w:ascii="宋体" w:hAnsi="宋体" w:eastAsia="宋体" w:cs="宋体"/>
                <w:color w:val="auto"/>
                <w:highlight w:val="none"/>
                <w:lang w:eastAsia="zh-CN"/>
              </w:rPr>
              <w:t>乙方</w:t>
            </w:r>
            <w:r>
              <w:rPr>
                <w:rFonts w:hint="eastAsia" w:ascii="宋体" w:hAnsi="宋体" w:eastAsia="宋体" w:cs="宋体"/>
                <w:color w:val="auto"/>
                <w:highlight w:val="none"/>
              </w:rPr>
              <w:t>开具当期服务费发票前完成考核。</w:t>
            </w:r>
            <w:r>
              <w:rPr>
                <w:rFonts w:hint="eastAsia" w:ascii="宋体" w:hAnsi="宋体" w:eastAsia="宋体" w:cs="宋体"/>
                <w:color w:val="auto"/>
                <w:highlight w:val="none"/>
                <w:lang w:eastAsia="zh-CN"/>
              </w:rPr>
              <w:t>乙方</w:t>
            </w:r>
            <w:r>
              <w:rPr>
                <w:rFonts w:hint="eastAsia" w:ascii="宋体" w:hAnsi="宋体" w:eastAsia="宋体" w:cs="宋体"/>
                <w:color w:val="auto"/>
                <w:highlight w:val="none"/>
              </w:rPr>
              <w:t>须根据考核得分情况，从当期服务费中扣除扣罚金额后开具相应金额发票。</w:t>
            </w:r>
          </w:p>
          <w:p w14:paraId="751BC1C3">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2、本考核表考核分满分为100分，扣罚标准如下：</w:t>
            </w:r>
          </w:p>
          <w:p w14:paraId="1EC76EC6">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（1）考核得分均≥80分为合格，考核当期的维保服务费按全额支付；</w:t>
            </w:r>
          </w:p>
          <w:p w14:paraId="7A24FBDB">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highlight w:val="none"/>
              </w:rPr>
            </w:pPr>
            <w:r>
              <w:rPr>
                <w:rFonts w:hint="eastAsia" w:ascii="宋体" w:hAnsi="宋体" w:eastAsia="宋体" w:cs="宋体"/>
                <w:color w:val="auto"/>
                <w:highlight w:val="none"/>
              </w:rPr>
              <w:t>（2）考核得分出现＜80分情形的为不合格，同1个考核周期内出现1次考核不合格的扣除考核当期服务费的20%；同1个考核周内累计2次或服务期内累计3次考核不合格的扣除考核当期服务费的50%，</w:t>
            </w:r>
            <w:r>
              <w:rPr>
                <w:rFonts w:hint="eastAsia" w:ascii="宋体" w:hAnsi="宋体" w:eastAsia="宋体" w:cs="宋体"/>
                <w:color w:val="auto"/>
                <w:highlight w:val="none"/>
                <w:lang w:eastAsia="zh-CN"/>
              </w:rPr>
              <w:t>甲方</w:t>
            </w:r>
            <w:r>
              <w:rPr>
                <w:rFonts w:hint="eastAsia" w:ascii="宋体" w:hAnsi="宋体" w:eastAsia="宋体" w:cs="宋体"/>
                <w:color w:val="auto"/>
                <w:highlight w:val="none"/>
              </w:rPr>
              <w:t>并有权解除合同。</w:t>
            </w:r>
          </w:p>
        </w:tc>
      </w:tr>
    </w:tbl>
    <w:p w14:paraId="0C7FEB96">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验收要求</w:t>
      </w:r>
    </w:p>
    <w:p w14:paraId="3881F335">
      <w:pPr>
        <w:pStyle w:val="70"/>
        <w:keepNext w:val="0"/>
        <w:keepLines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完成本项目指定设备的更新、升级服务后可向甲方提交验收申请，甲方在收到乙方验收申请后7个工作日内组织验收工作；验收通过的，由甲方出具对应的验收合格报告，验收不通过的，乙方须无条件返工直至验收通过为止；更新、升级后的设备须达到设备原厂合格标准并符合相关国家标准、行业标准和地方标准；</w:t>
      </w:r>
    </w:p>
    <w:p w14:paraId="6AF248DD">
      <w:pPr>
        <w:pStyle w:val="70"/>
        <w:keepNext w:val="0"/>
        <w:keepLines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服务每满3个月为1服务周期，每个服务周期满后的7个工作日内，甲方相关科室将对乙方该服务周期的维保服务质量进行考核，考核标准详见《维护保养质量考核表》。乙方应根据设备实际情况提供维修和保养等服务，应保证设备达到设备原厂合格标准并符合相关国家标准、行业标准和地方标准。</w:t>
      </w:r>
    </w:p>
    <w:p w14:paraId="108585A5">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分包与转包</w:t>
      </w:r>
    </w:p>
    <w:p w14:paraId="6D64D2B8">
      <w:pPr>
        <w:pStyle w:val="70"/>
        <w:keepNext w:val="0"/>
        <w:keepLines w:val="0"/>
        <w:pageBreakBefore w:val="0"/>
        <w:widowControl w:val="0"/>
        <w:numPr>
          <w:ilvl w:val="0"/>
          <w:numId w:val="96"/>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严禁转包，未经甲方书面同意不得分包</w:t>
      </w:r>
    </w:p>
    <w:p w14:paraId="4FF4DD7F">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违约责任</w:t>
      </w:r>
    </w:p>
    <w:p w14:paraId="7FE22654">
      <w:pPr>
        <w:pStyle w:val="38"/>
        <w:keepNext w:val="0"/>
        <w:keepLines w:val="0"/>
        <w:pageBreakBefore w:val="0"/>
        <w:widowControl w:val="0"/>
        <w:numPr>
          <w:ilvl w:val="0"/>
          <w:numId w:val="97"/>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p>
    <w:p w14:paraId="21E55283">
      <w:pPr>
        <w:pStyle w:val="38"/>
        <w:keepNext w:val="0"/>
        <w:keepLines w:val="0"/>
        <w:pageBreakBefore w:val="0"/>
        <w:widowControl w:val="0"/>
        <w:numPr>
          <w:ilvl w:val="0"/>
          <w:numId w:val="97"/>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s="Times New Roman"/>
          <w:color w:val="auto"/>
          <w:szCs w:val="21"/>
          <w:highlight w:val="none"/>
          <w:u w:val="single"/>
        </w:rPr>
        <w:t xml:space="preserve"> 3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的数额向甲方支付违约金；逾期15天或以上的，甲方有权终止合同，要求乙方一次性支付合同总金额</w:t>
      </w:r>
      <w:r>
        <w:rPr>
          <w:rFonts w:hint="eastAsia" w:ascii="宋体" w:hAnsi="宋体"/>
          <w:color w:val="auto"/>
          <w:szCs w:val="21"/>
          <w:highlight w:val="none"/>
          <w:u w:val="single"/>
        </w:rPr>
        <w:t xml:space="preserve"> 20 %</w:t>
      </w:r>
      <w:r>
        <w:rPr>
          <w:rFonts w:hint="eastAsia" w:ascii="宋体" w:hAnsi="宋体"/>
          <w:color w:val="auto"/>
          <w:szCs w:val="21"/>
          <w:highlight w:val="none"/>
        </w:rPr>
        <w:t>违约金，并且给甲方造成的经济损失由乙方承担赔偿责任。</w:t>
      </w:r>
    </w:p>
    <w:p w14:paraId="759B37F0">
      <w:pPr>
        <w:pStyle w:val="38"/>
        <w:keepNext w:val="0"/>
        <w:keepLines w:val="0"/>
        <w:pageBreakBefore w:val="0"/>
        <w:widowControl w:val="0"/>
        <w:numPr>
          <w:ilvl w:val="0"/>
          <w:numId w:val="97"/>
        </w:numPr>
        <w:tabs>
          <w:tab w:val="left" w:pos="840"/>
        </w:tabs>
        <w:kinsoku/>
        <w:wordWrap/>
        <w:overflowPunct/>
        <w:topLinePunct w:val="0"/>
        <w:bidi w:val="0"/>
        <w:snapToGrid w:val="0"/>
        <w:spacing w:line="360" w:lineRule="auto"/>
        <w:ind w:firstLineChars="0"/>
        <w:textAlignment w:val="auto"/>
        <w:rPr>
          <w:rFonts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p>
    <w:p w14:paraId="5EBDF5E9">
      <w:pPr>
        <w:pStyle w:val="38"/>
        <w:keepNext w:val="0"/>
        <w:keepLines w:val="0"/>
        <w:pageBreakBefore w:val="0"/>
        <w:widowControl w:val="0"/>
        <w:numPr>
          <w:ilvl w:val="0"/>
          <w:numId w:val="97"/>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甲方有权从未支付的款项中直接扣除乙方的违约金，不足的部分由乙方另行补足。</w:t>
      </w:r>
    </w:p>
    <w:p w14:paraId="388FD213">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争议的解决办法</w:t>
      </w:r>
    </w:p>
    <w:p w14:paraId="007AE1FF">
      <w:pPr>
        <w:keepNext w:val="0"/>
        <w:keepLines w:val="0"/>
        <w:pageBreakBefore w:val="0"/>
        <w:widowControl w:val="0"/>
        <w:numPr>
          <w:ilvl w:val="0"/>
          <w:numId w:val="98"/>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凡与本合同有关而引起的一切争议，甲乙双方应首先通过友好协商解决，如经协商后仍不能达成协议时，任何一方可以向</w:t>
      </w:r>
      <w:r>
        <w:rPr>
          <w:rFonts w:hint="eastAsia" w:ascii="宋体" w:hAnsi="宋体" w:eastAsia="宋体" w:cs="Times New Roman"/>
          <w:color w:val="auto"/>
          <w:szCs w:val="21"/>
          <w:highlight w:val="none"/>
          <w:lang w:val="en-US" w:eastAsia="zh-CN"/>
        </w:rPr>
        <w:t>甲方所在地</w:t>
      </w:r>
      <w:r>
        <w:rPr>
          <w:rFonts w:hint="eastAsia" w:ascii="宋体" w:hAnsi="宋体" w:eastAsia="宋体" w:cs="Times New Roman"/>
          <w:color w:val="auto"/>
          <w:szCs w:val="21"/>
          <w:highlight w:val="none"/>
        </w:rPr>
        <w:t>法院提出诉讼。</w:t>
      </w:r>
    </w:p>
    <w:p w14:paraId="028D9918">
      <w:pPr>
        <w:keepNext w:val="0"/>
        <w:keepLines w:val="0"/>
        <w:pageBreakBefore w:val="0"/>
        <w:widowControl w:val="0"/>
        <w:numPr>
          <w:ilvl w:val="0"/>
          <w:numId w:val="98"/>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0D36CE6C">
      <w:pPr>
        <w:keepNext w:val="0"/>
        <w:keepLines w:val="0"/>
        <w:pageBreakBefore w:val="0"/>
        <w:widowControl w:val="0"/>
        <w:numPr>
          <w:ilvl w:val="0"/>
          <w:numId w:val="98"/>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0A99CF3F">
      <w:pPr>
        <w:pStyle w:val="70"/>
        <w:keepNext w:val="0"/>
        <w:keepLines w:val="0"/>
        <w:pageBreakBefore w:val="0"/>
        <w:widowControl w:val="0"/>
        <w:numPr>
          <w:ilvl w:val="0"/>
          <w:numId w:val="82"/>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不可抗力</w:t>
      </w:r>
    </w:p>
    <w:p w14:paraId="49B059E6">
      <w:pPr>
        <w:keepNext w:val="0"/>
        <w:keepLines w:val="0"/>
        <w:pageBreakBefore w:val="0"/>
        <w:widowControl w:val="0"/>
        <w:numPr>
          <w:ilvl w:val="0"/>
          <w:numId w:val="99"/>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keepNext w:val="0"/>
        <w:keepLines w:val="0"/>
        <w:pageBreakBefore w:val="0"/>
        <w:widowControl w:val="0"/>
        <w:numPr>
          <w:ilvl w:val="0"/>
          <w:numId w:val="99"/>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70"/>
        <w:keepNext w:val="0"/>
        <w:keepLines w:val="0"/>
        <w:pageBreakBefore w:val="0"/>
        <w:widowControl w:val="0"/>
        <w:numPr>
          <w:ilvl w:val="0"/>
          <w:numId w:val="82"/>
        </w:numPr>
        <w:tabs>
          <w:tab w:val="left" w:pos="567"/>
        </w:tabs>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合同生效</w:t>
      </w:r>
    </w:p>
    <w:p w14:paraId="08401146">
      <w:pPr>
        <w:pStyle w:val="70"/>
        <w:keepNext w:val="0"/>
        <w:keepLines w:val="0"/>
        <w:pageBreakBefore w:val="0"/>
        <w:widowControl w:val="0"/>
        <w:numPr>
          <w:ilvl w:val="0"/>
          <w:numId w:val="100"/>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本合同由双方法定代表人或委托代理人签字盖章后立即生效，具有同等法律效力；</w:t>
      </w:r>
    </w:p>
    <w:p w14:paraId="1CE35990">
      <w:pPr>
        <w:pStyle w:val="70"/>
        <w:keepNext w:val="0"/>
        <w:keepLines w:val="0"/>
        <w:pageBreakBefore w:val="0"/>
        <w:widowControl w:val="0"/>
        <w:numPr>
          <w:ilvl w:val="0"/>
          <w:numId w:val="100"/>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本合同一式</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份，其中甲方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份、乙方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份，采购代理机构</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份（须在合同签订之日起5个工作日内递交）</w:t>
      </w:r>
    </w:p>
    <w:p w14:paraId="58EFA674">
      <w:pPr>
        <w:pStyle w:val="70"/>
        <w:keepNext w:val="0"/>
        <w:keepLines w:val="0"/>
        <w:pageBreakBefore w:val="0"/>
        <w:widowControl w:val="0"/>
        <w:numPr>
          <w:ilvl w:val="0"/>
          <w:numId w:val="82"/>
        </w:numPr>
        <w:tabs>
          <w:tab w:val="left" w:pos="567"/>
        </w:tabs>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其它</w:t>
      </w:r>
    </w:p>
    <w:p w14:paraId="7CD1925E">
      <w:pPr>
        <w:pStyle w:val="70"/>
        <w:keepNext w:val="0"/>
        <w:keepLines w:val="0"/>
        <w:pageBreakBefore w:val="0"/>
        <w:widowControl w:val="0"/>
        <w:numPr>
          <w:ilvl w:val="0"/>
          <w:numId w:val="10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本合同未尽事宜，双方可签订补充合同，补充合同与所有附件均为合同的有效组成部分，与本合同具有同等法律效力；</w:t>
      </w:r>
    </w:p>
    <w:p w14:paraId="0EE92560">
      <w:pPr>
        <w:pStyle w:val="70"/>
        <w:keepNext w:val="0"/>
        <w:keepLines w:val="0"/>
        <w:pageBreakBefore w:val="0"/>
        <w:widowControl w:val="0"/>
        <w:numPr>
          <w:ilvl w:val="0"/>
          <w:numId w:val="10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14B85DB">
      <w:pPr>
        <w:pStyle w:val="70"/>
        <w:keepNext w:val="0"/>
        <w:keepLines w:val="0"/>
        <w:pageBreakBefore w:val="0"/>
        <w:widowControl w:val="0"/>
        <w:numPr>
          <w:ilvl w:val="0"/>
          <w:numId w:val="10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本合同合计</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页A4纸张，缺页之合同为无效合同。</w:t>
      </w:r>
    </w:p>
    <w:p w14:paraId="695ADBF4">
      <w:pPr>
        <w:rPr>
          <w:rFonts w:ascii="宋体" w:hAnsi="宋体" w:eastAsia="宋体"/>
          <w:color w:val="auto"/>
          <w:szCs w:val="21"/>
          <w:highlight w:val="none"/>
        </w:rPr>
      </w:pPr>
    </w:p>
    <w:p w14:paraId="5DB4FEB9">
      <w:pPr>
        <w:rPr>
          <w:rFonts w:ascii="宋体" w:hAnsi="宋体" w:eastAsia="宋体"/>
          <w:color w:val="auto"/>
          <w:szCs w:val="21"/>
          <w:highlight w:val="none"/>
        </w:rPr>
      </w:pPr>
    </w:p>
    <w:p w14:paraId="039CEC4E">
      <w:pPr>
        <w:rPr>
          <w:rFonts w:ascii="宋体" w:hAnsi="宋体" w:eastAsia="宋体"/>
          <w:color w:val="auto"/>
          <w:szCs w:val="21"/>
          <w:highlight w:val="none"/>
        </w:rPr>
      </w:pPr>
    </w:p>
    <w:tbl>
      <w:tblPr>
        <w:tblStyle w:val="2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8DD213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25C6E01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69401703">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878389F">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3B614B20">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6CC75BE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212B9EE4">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1652828">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4F12B076">
      <w:pPr>
        <w:rPr>
          <w:rFonts w:ascii="宋体" w:hAnsi="宋体" w:eastAsia="宋体"/>
          <w:color w:val="auto"/>
          <w:szCs w:val="21"/>
          <w:highlight w:val="none"/>
        </w:rPr>
      </w:pPr>
    </w:p>
    <w:p w14:paraId="68A3D5F7">
      <w:pPr>
        <w:pStyle w:val="2"/>
        <w:keepNext w:val="0"/>
        <w:keepLines w:val="0"/>
        <w:pageBreakBefore/>
        <w:spacing w:after="240" w:line="360" w:lineRule="auto"/>
        <w:jc w:val="center"/>
        <w:rPr>
          <w:kern w:val="0"/>
          <w:sz w:val="20"/>
          <w:szCs w:val="20"/>
          <w:lang w:eastAsia="zh-Hans"/>
        </w:rPr>
      </w:pPr>
      <w:bookmarkStart w:id="46" w:name="_Toc5581"/>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3"/>
      <w:bookmarkEnd w:id="44"/>
      <w:bookmarkEnd w:id="46"/>
    </w:p>
    <w:p w14:paraId="70545053">
      <w:pPr>
        <w:widowControl/>
        <w:jc w:val="left"/>
        <w:rPr>
          <w:kern w:val="0"/>
          <w:sz w:val="20"/>
          <w:szCs w:val="20"/>
          <w:lang w:eastAsia="zh-Hans"/>
        </w:rPr>
      </w:pPr>
    </w:p>
    <w:p w14:paraId="6D9A7A0F">
      <w:pPr>
        <w:spacing w:before="468" w:beforeLines="150"/>
        <w:jc w:val="center"/>
        <w:rPr>
          <w:rFonts w:ascii="宋体" w:hAnsi="宋体"/>
          <w:b/>
          <w:bCs/>
          <w:sz w:val="80"/>
          <w:szCs w:val="80"/>
        </w:rPr>
      </w:pPr>
      <w:bookmarkStart w:id="47" w:name="_Toc169799785"/>
      <w:bookmarkStart w:id="48" w:name="_Hlk170195764"/>
      <w:r>
        <w:rPr>
          <w:rFonts w:hint="eastAsia" w:ascii="宋体" w:hAnsi="宋体"/>
          <w:b/>
          <w:bCs/>
          <w:sz w:val="80"/>
          <w:szCs w:val="80"/>
        </w:rPr>
        <w:t>东莞市莞城医院GE VoIuson E8超声诊断仪维保服务项目</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47"/>
    </w:p>
    <w:p w14:paraId="50B3A474">
      <w:pPr>
        <w:spacing w:after="1560" w:afterLines="500"/>
        <w:jc w:val="center"/>
        <w:rPr>
          <w:rFonts w:ascii="宋体" w:hAnsi="宋体"/>
          <w:b/>
          <w:bCs/>
        </w:rPr>
      </w:pPr>
      <w:bookmarkStart w:id="49" w:name="_Toc169799786"/>
      <w:r>
        <w:rPr>
          <w:rFonts w:ascii="宋体" w:hAnsi="宋体"/>
          <w:b/>
          <w:bCs/>
          <w:sz w:val="44"/>
          <w:szCs w:val="48"/>
        </w:rPr>
        <w:t>（正本/副本）</w:t>
      </w:r>
      <w:bookmarkEnd w:id="49"/>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2497" w:beforeLines="800" w:line="360" w:lineRule="auto"/>
        <w:ind w:firstLine="1558" w:firstLineChars="485"/>
        <w:jc w:val="left"/>
        <w:textAlignment w:val="auto"/>
        <w:outlineLvl w:val="9"/>
        <w:rPr>
          <w:rFonts w:ascii="宋体" w:hAnsi="宋体"/>
          <w:kern w:val="0"/>
          <w:sz w:val="32"/>
          <w:szCs w:val="32"/>
        </w:rPr>
      </w:pPr>
      <w:r>
        <w:rPr>
          <w:rFonts w:ascii="宋体" w:hAnsi="宋体"/>
          <w:b/>
          <w:kern w:val="0"/>
          <w:sz w:val="32"/>
          <w:szCs w:val="32"/>
          <w:lang w:eastAsia="zh-Hans"/>
        </w:rPr>
        <w:t>项目编号：</w:t>
      </w:r>
      <w:r>
        <w:rPr>
          <w:rFonts w:hint="eastAsia" w:ascii="宋体" w:hAnsi="宋体"/>
          <w:b/>
          <w:kern w:val="0"/>
          <w:sz w:val="32"/>
          <w:szCs w:val="32"/>
        </w:rPr>
        <w:t>ZHDGZC2025049</w:t>
      </w:r>
    </w:p>
    <w:p w14:paraId="4AC7C517">
      <w:pPr>
        <w:widowControl/>
        <w:spacing w:line="360" w:lineRule="auto"/>
        <w:ind w:firstLine="1558" w:firstLineChars="485"/>
        <w:jc w:val="left"/>
        <w:outlineLvl w:val="9"/>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9"/>
        <w:rPr>
          <w:kern w:val="0"/>
          <w:sz w:val="20"/>
          <w:szCs w:val="20"/>
          <w:lang w:eastAsia="zh-Hans"/>
        </w:rPr>
      </w:pPr>
      <w:r>
        <w:rPr>
          <w:rFonts w:ascii="宋体" w:hAnsi="宋体"/>
          <w:b/>
          <w:kern w:val="0"/>
          <w:sz w:val="32"/>
          <w:szCs w:val="32"/>
          <w:lang w:eastAsia="zh-Hans"/>
        </w:rPr>
        <w:t xml:space="preserve"> 年 月 日</w:t>
      </w:r>
    </w:p>
    <w:bookmarkEnd w:id="48"/>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4D12B96">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响应承诺</w:t>
      </w:r>
      <w:r>
        <w:rPr>
          <w:kern w:val="0"/>
          <w:szCs w:val="21"/>
          <w:lang w:eastAsia="zh-Hans"/>
        </w:rPr>
        <w:t>函</w:t>
      </w:r>
    </w:p>
    <w:p w14:paraId="0781EDCA">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首次报价表</w:t>
      </w:r>
    </w:p>
    <w:p w14:paraId="0092BFB5">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lang w:eastAsia="zh-Hans"/>
        </w:rPr>
        <w:t>中小企业声明函</w:t>
      </w:r>
    </w:p>
    <w:p w14:paraId="18D13542">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color w:val="auto"/>
          <w:kern w:val="0"/>
          <w:szCs w:val="21"/>
          <w:lang w:eastAsia="zh-Hans"/>
        </w:rPr>
        <w:t>监狱企业</w:t>
      </w:r>
    </w:p>
    <w:p w14:paraId="2CF4E8CA">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color w:val="auto"/>
          <w:kern w:val="0"/>
          <w:szCs w:val="21"/>
          <w:lang w:eastAsia="zh-Hans"/>
        </w:rPr>
        <w:t>残疾人福利性单位声明函</w:t>
      </w:r>
    </w:p>
    <w:p w14:paraId="4A935B1F">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color w:val="auto"/>
          <w:kern w:val="0"/>
          <w:szCs w:val="21"/>
          <w:lang w:eastAsia="zh-Hans"/>
        </w:rPr>
        <w:t>政策适用性说明</w:t>
      </w:r>
    </w:p>
    <w:p w14:paraId="45E0E053">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color w:val="auto"/>
          <w:kern w:val="0"/>
          <w:szCs w:val="21"/>
          <w:lang w:eastAsia="zh-Hans"/>
        </w:rPr>
        <w:t>法定代表人证明书</w:t>
      </w:r>
    </w:p>
    <w:p w14:paraId="5F0A9EE7">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color w:val="auto"/>
          <w:kern w:val="0"/>
          <w:szCs w:val="21"/>
          <w:lang w:eastAsia="zh-Hans"/>
        </w:rPr>
        <w:t>法定代表人授权</w:t>
      </w:r>
      <w:r>
        <w:rPr>
          <w:rFonts w:hint="eastAsia"/>
          <w:color w:val="auto"/>
          <w:kern w:val="0"/>
          <w:szCs w:val="21"/>
          <w:lang w:eastAsia="zh-Hans"/>
        </w:rPr>
        <w:t>委托</w:t>
      </w:r>
      <w:r>
        <w:rPr>
          <w:color w:val="auto"/>
          <w:kern w:val="0"/>
          <w:szCs w:val="21"/>
          <w:lang w:eastAsia="zh-Hans"/>
        </w:rPr>
        <w:t>书</w:t>
      </w:r>
    </w:p>
    <w:p w14:paraId="5E81537C">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rPr>
        <w:t>资格条件承诺函</w:t>
      </w:r>
    </w:p>
    <w:p w14:paraId="226C9F8E">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color w:val="auto"/>
          <w:kern w:val="0"/>
          <w:szCs w:val="21"/>
          <w:lang w:eastAsia="zh-Hans"/>
        </w:rPr>
        <w:t>提供具有独立承担民事责任的能力的证明材料</w:t>
      </w:r>
    </w:p>
    <w:p w14:paraId="3C31C674">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拟投入本项目设备情况表</w:t>
      </w:r>
    </w:p>
    <w:p w14:paraId="5C972F00">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lang w:eastAsia="zh-Hans"/>
        </w:rPr>
        <w:t>项目技术服务人员情况表</w:t>
      </w:r>
    </w:p>
    <w:p w14:paraId="2EF2EB31">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项目负责人简历表</w:t>
      </w:r>
    </w:p>
    <w:p w14:paraId="383588A0">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供应商业绩情况表</w:t>
      </w:r>
    </w:p>
    <w:p w14:paraId="78C72316">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技术和服务要求响应表</w:t>
      </w:r>
    </w:p>
    <w:p w14:paraId="0A99EF58">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商务条件响应表</w:t>
      </w:r>
    </w:p>
    <w:p w14:paraId="082762C3">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lang w:eastAsia="zh-Hans"/>
        </w:rPr>
      </w:pPr>
      <w:r>
        <w:rPr>
          <w:rFonts w:hint="eastAsia"/>
          <w:color w:val="auto"/>
          <w:kern w:val="0"/>
          <w:szCs w:val="21"/>
          <w:lang w:eastAsia="zh-Hans"/>
        </w:rPr>
        <w:t>★号条款响应表</w:t>
      </w:r>
    </w:p>
    <w:p w14:paraId="4E7FA942">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各类证明材料</w:t>
      </w:r>
    </w:p>
    <w:p w14:paraId="128D1BDA">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lang w:eastAsia="zh-Hans"/>
        </w:rPr>
        <w:t>采购代理服务费支付承诺书</w:t>
      </w:r>
    </w:p>
    <w:p w14:paraId="4A7229A0">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询问函、质疑函、投诉书格式</w:t>
      </w:r>
    </w:p>
    <w:p w14:paraId="41AC0ED3">
      <w:pPr>
        <w:keepNext w:val="0"/>
        <w:keepLines w:val="0"/>
        <w:pageBreakBefore w:val="0"/>
        <w:widowControl/>
        <w:numPr>
          <w:ilvl w:val="0"/>
          <w:numId w:val="102"/>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0"/>
          <w:szCs w:val="20"/>
          <w:lang w:eastAsia="zh-Hans"/>
        </w:rPr>
      </w:pPr>
      <w:r>
        <w:rPr>
          <w:rFonts w:hint="eastAsia"/>
          <w:color w:val="auto"/>
          <w:kern w:val="0"/>
          <w:szCs w:val="21"/>
          <w:lang w:eastAsia="zh-Hans"/>
        </w:rPr>
        <w:t>设备更新、升级服务方案、设备维修、保养方案、拟投入服务人员及组织架构、培训方案、规章制度、应急保障方案等</w:t>
      </w:r>
    </w:p>
    <w:p w14:paraId="00C19504">
      <w:pPr>
        <w:widowControl/>
        <w:jc w:val="left"/>
        <w:rPr>
          <w:kern w:val="0"/>
          <w:sz w:val="20"/>
          <w:szCs w:val="20"/>
        </w:rPr>
      </w:pPr>
    </w:p>
    <w:p w14:paraId="1D7E5E32">
      <w:pPr>
        <w:widowControl/>
        <w:jc w:val="left"/>
        <w:rPr>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0" w:name="_Hlk169787866"/>
      <w:r>
        <w:rPr>
          <w:rFonts w:ascii="宋体" w:hAnsi="宋体"/>
          <w:b/>
          <w:bCs/>
          <w:sz w:val="24"/>
          <w:szCs w:val="24"/>
        </w:rPr>
        <w:t>详细评审</w:t>
      </w:r>
      <w:r>
        <w:rPr>
          <w:rFonts w:hint="eastAsia" w:ascii="宋体" w:hAnsi="宋体"/>
          <w:b/>
          <w:bCs/>
          <w:sz w:val="24"/>
          <w:szCs w:val="24"/>
        </w:rPr>
        <w:t>索引表</w:t>
      </w:r>
      <w:bookmarkEnd w:id="50"/>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1" w:name="_Toc169799787"/>
      <w:r>
        <w:rPr>
          <w:rFonts w:ascii="宋体" w:hAnsi="宋体"/>
          <w:b/>
          <w:bCs/>
          <w:sz w:val="24"/>
          <w:szCs w:val="28"/>
        </w:rPr>
        <w:t>格式一：</w:t>
      </w:r>
      <w:bookmarkEnd w:id="51"/>
    </w:p>
    <w:p w14:paraId="794FF9FD">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0C364A96">
      <w:pPr>
        <w:widowControl/>
        <w:spacing w:after="156" w:afterLines="50"/>
        <w:jc w:val="left"/>
        <w:rPr>
          <w:b/>
          <w:bCs/>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19D810B8">
      <w:pPr>
        <w:widowControl/>
        <w:snapToGrid w:val="0"/>
        <w:spacing w:line="360" w:lineRule="auto"/>
        <w:ind w:firstLine="200"/>
        <w:contextualSpacing/>
        <w:jc w:val="left"/>
        <w:rPr>
          <w:kern w:val="0"/>
          <w:szCs w:val="21"/>
          <w:lang w:eastAsia="zh-Hans"/>
        </w:rPr>
      </w:pPr>
      <w:r>
        <w:rPr>
          <w:kern w:val="0"/>
          <w:szCs w:val="21"/>
          <w:lang w:eastAsia="zh-Hans"/>
        </w:rPr>
        <w:t>你方组织的</w:t>
      </w:r>
      <w:r>
        <w:rPr>
          <w:rFonts w:hint="eastAsia"/>
          <w:kern w:val="0"/>
          <w:szCs w:val="21"/>
          <w:u w:val="single"/>
        </w:rPr>
        <w:t xml:space="preserve">    （项目名称）       </w:t>
      </w:r>
      <w:r>
        <w:rPr>
          <w:kern w:val="0"/>
          <w:szCs w:val="21"/>
          <w:lang w:eastAsia="zh-Hans"/>
        </w:rPr>
        <w:t>的</w:t>
      </w:r>
      <w:r>
        <w:rPr>
          <w:rFonts w:hint="eastAsia"/>
          <w:kern w:val="0"/>
          <w:szCs w:val="21"/>
          <w:lang w:eastAsia="zh-Hans"/>
        </w:rPr>
        <w:t>竞争性磋商（</w:t>
      </w:r>
      <w:r>
        <w:rPr>
          <w:kern w:val="0"/>
          <w:szCs w:val="21"/>
          <w:lang w:eastAsia="zh-Hans"/>
        </w:rPr>
        <w:t>项目编号为：</w:t>
      </w:r>
      <w:r>
        <w:rPr>
          <w:rFonts w:hint="eastAsia"/>
          <w:kern w:val="0"/>
          <w:szCs w:val="21"/>
          <w:u w:val="single"/>
        </w:rPr>
        <w:t xml:space="preserve">               </w:t>
      </w:r>
      <w:r>
        <w:rPr>
          <w:rFonts w:hint="eastAsia"/>
          <w:kern w:val="0"/>
          <w:szCs w:val="21"/>
        </w:rPr>
        <w:t>）</w:t>
      </w:r>
      <w:r>
        <w:rPr>
          <w:kern w:val="0"/>
          <w:szCs w:val="21"/>
          <w:lang w:eastAsia="zh-Hans"/>
        </w:rPr>
        <w:t>，我方愿参与</w:t>
      </w:r>
      <w:r>
        <w:rPr>
          <w:rFonts w:hint="eastAsia"/>
          <w:kern w:val="0"/>
          <w:szCs w:val="21"/>
          <w:lang w:eastAsia="zh-Hans"/>
        </w:rPr>
        <w:t>响应</w:t>
      </w:r>
      <w:r>
        <w:rPr>
          <w:kern w:val="0"/>
          <w:szCs w:val="21"/>
          <w:lang w:eastAsia="zh-Hans"/>
        </w:rPr>
        <w:t>。</w:t>
      </w:r>
    </w:p>
    <w:p w14:paraId="11062D7A">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我方确认收到贵方提供的</w:t>
      </w:r>
      <w:r>
        <w:rPr>
          <w:rFonts w:hint="eastAsia" w:ascii="宋体" w:hAnsi="宋体"/>
          <w:kern w:val="0"/>
          <w:szCs w:val="21"/>
          <w:u w:val="single"/>
        </w:rPr>
        <w:t xml:space="preserve">      （项目名称）        </w:t>
      </w:r>
      <w:r>
        <w:rPr>
          <w:rFonts w:ascii="宋体" w:hAnsi="宋体"/>
          <w:kern w:val="0"/>
          <w:szCs w:val="21"/>
          <w:lang w:eastAsia="zh-Hans"/>
        </w:rPr>
        <w:t>的</w:t>
      </w:r>
      <w:r>
        <w:rPr>
          <w:rFonts w:hint="eastAsia" w:ascii="宋体" w:hAnsi="宋体"/>
          <w:kern w:val="0"/>
          <w:szCs w:val="21"/>
          <w:lang w:eastAsia="zh-Hans"/>
        </w:rPr>
        <w:t>磋商文件</w:t>
      </w:r>
      <w:r>
        <w:rPr>
          <w:rFonts w:ascii="宋体" w:hAnsi="宋体"/>
          <w:kern w:val="0"/>
          <w:szCs w:val="21"/>
          <w:lang w:eastAsia="zh-Hans"/>
        </w:rPr>
        <w:t>的全部内容。</w:t>
      </w:r>
    </w:p>
    <w:p w14:paraId="350B518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我方在参与</w:t>
      </w:r>
      <w:r>
        <w:t>响应</w:t>
      </w:r>
      <w:r>
        <w:rPr>
          <w:rFonts w:ascii="宋体" w:hAnsi="宋体"/>
          <w:kern w:val="0"/>
          <w:szCs w:val="21"/>
          <w:lang w:eastAsia="zh-Hans"/>
        </w:rPr>
        <w:t>前已详细研究了</w:t>
      </w:r>
      <w:r>
        <w:rPr>
          <w:rFonts w:hint="eastAsia" w:ascii="宋体" w:hAnsi="宋体"/>
          <w:kern w:val="0"/>
          <w:szCs w:val="21"/>
          <w:lang w:eastAsia="zh-Hans"/>
        </w:rPr>
        <w:t>磋商文件</w:t>
      </w:r>
      <w:r>
        <w:rPr>
          <w:rFonts w:ascii="宋体" w:hAnsi="宋体"/>
          <w:kern w:val="0"/>
          <w:szCs w:val="21"/>
          <w:lang w:eastAsia="zh-Hans"/>
        </w:rPr>
        <w:t>的所有内容，包括澄清、修改文件（如果有）和所有已提供的参考资料以及有关附件，我方完全明白并认为此</w:t>
      </w:r>
      <w:r>
        <w:rPr>
          <w:rFonts w:hint="eastAsia" w:ascii="宋体" w:hAnsi="宋体"/>
          <w:kern w:val="0"/>
          <w:szCs w:val="21"/>
          <w:lang w:eastAsia="zh-Hans"/>
        </w:rPr>
        <w:t>磋商文件</w:t>
      </w:r>
      <w:r>
        <w:rPr>
          <w:rFonts w:ascii="宋体" w:hAnsi="宋体"/>
          <w:kern w:val="0"/>
          <w:szCs w:val="21"/>
          <w:lang w:eastAsia="zh-Hans"/>
        </w:rPr>
        <w:t>没有倾向性，也不存在排斥潜在供应商的内容，我方同意</w:t>
      </w:r>
      <w:r>
        <w:rPr>
          <w:rFonts w:hint="eastAsia" w:ascii="宋体" w:hAnsi="宋体"/>
          <w:kern w:val="0"/>
          <w:szCs w:val="21"/>
          <w:lang w:eastAsia="zh-Hans"/>
        </w:rPr>
        <w:t>磋商文件</w:t>
      </w:r>
      <w:r>
        <w:rPr>
          <w:rFonts w:ascii="宋体" w:hAnsi="宋体"/>
          <w:kern w:val="0"/>
          <w:szCs w:val="21"/>
          <w:lang w:eastAsia="zh-Hans"/>
        </w:rPr>
        <w:t>的相关条款，放弃对</w:t>
      </w:r>
      <w:r>
        <w:rPr>
          <w:rFonts w:hint="eastAsia" w:ascii="宋体" w:hAnsi="宋体"/>
          <w:kern w:val="0"/>
          <w:szCs w:val="21"/>
          <w:lang w:eastAsia="zh-Hans"/>
        </w:rPr>
        <w:t>磋商文件</w:t>
      </w:r>
      <w:r>
        <w:rPr>
          <w:rFonts w:ascii="宋体" w:hAnsi="宋体"/>
          <w:kern w:val="0"/>
          <w:szCs w:val="21"/>
          <w:lang w:eastAsia="zh-Hans"/>
        </w:rPr>
        <w:t>提出误解和质疑的一切权力。</w:t>
      </w:r>
    </w:p>
    <w:p w14:paraId="0E426D7A">
      <w:pPr>
        <w:widowControl/>
        <w:snapToGrid w:val="0"/>
        <w:spacing w:line="360" w:lineRule="auto"/>
        <w:contextualSpacing/>
        <w:jc w:val="left"/>
        <w:rPr>
          <w:kern w:val="0"/>
          <w:sz w:val="20"/>
          <w:szCs w:val="20"/>
          <w:lang w:eastAsia="zh-Hans"/>
        </w:rPr>
      </w:pPr>
      <w:r>
        <w:rPr>
          <w:rFonts w:hint="eastAsia" w:ascii="宋体" w:hAnsi="宋体"/>
          <w:kern w:val="0"/>
          <w:szCs w:val="21"/>
          <w:u w:val="single"/>
        </w:rPr>
        <w:t xml:space="preserve">     </w:t>
      </w:r>
      <w:r>
        <w:rPr>
          <w:rFonts w:ascii="宋体" w:hAnsi="宋体"/>
          <w:kern w:val="0"/>
          <w:szCs w:val="21"/>
          <w:u w:val="single"/>
          <w:lang w:eastAsia="zh-Hans"/>
        </w:rPr>
        <w:t>(</w:t>
      </w:r>
      <w:r>
        <w:rPr>
          <w:rFonts w:hint="eastAsia" w:ascii="宋体" w:hAnsi="宋体"/>
          <w:kern w:val="0"/>
          <w:szCs w:val="21"/>
          <w:u w:val="single"/>
          <w:lang w:eastAsia="zh-Hans"/>
        </w:rPr>
        <w:t>供应商名称</w:t>
      </w:r>
      <w:r>
        <w:rPr>
          <w:rFonts w:ascii="宋体" w:hAnsi="宋体"/>
          <w:kern w:val="0"/>
          <w:szCs w:val="21"/>
          <w:u w:val="single"/>
          <w:lang w:eastAsia="zh-Hans"/>
        </w:rPr>
        <w:t>)</w:t>
      </w:r>
      <w:r>
        <w:rPr>
          <w:rFonts w:hint="eastAsia" w:ascii="宋体" w:hAnsi="宋体"/>
          <w:kern w:val="0"/>
          <w:szCs w:val="21"/>
          <w:u w:val="single"/>
        </w:rPr>
        <w:t xml:space="preserve">           </w:t>
      </w:r>
      <w:r>
        <w:rPr>
          <w:rFonts w:ascii="宋体" w:hAnsi="宋体"/>
          <w:kern w:val="0"/>
          <w:szCs w:val="21"/>
          <w:lang w:eastAsia="zh-Hans"/>
        </w:rPr>
        <w:t>作为</w:t>
      </w:r>
      <w:r>
        <w:rPr>
          <w:rFonts w:hint="eastAsia" w:ascii="宋体" w:hAnsi="宋体"/>
          <w:kern w:val="0"/>
          <w:szCs w:val="21"/>
          <w:lang w:eastAsia="zh-Hans"/>
        </w:rPr>
        <w:t>供应商</w:t>
      </w:r>
      <w:r>
        <w:rPr>
          <w:rFonts w:ascii="宋体" w:hAnsi="宋体"/>
          <w:kern w:val="0"/>
          <w:szCs w:val="21"/>
          <w:lang w:eastAsia="zh-Hans"/>
        </w:rPr>
        <w:t>正式授权</w:t>
      </w:r>
      <w:r>
        <w:rPr>
          <w:rFonts w:hint="eastAsia" w:ascii="宋体" w:hAnsi="宋体"/>
          <w:kern w:val="0"/>
          <w:szCs w:val="21"/>
          <w:u w:val="single"/>
        </w:rPr>
        <w:t xml:space="preserve">     </w:t>
      </w:r>
      <w:r>
        <w:rPr>
          <w:rFonts w:ascii="宋体" w:hAnsi="宋体"/>
          <w:kern w:val="0"/>
          <w:szCs w:val="21"/>
          <w:u w:val="single"/>
          <w:lang w:eastAsia="zh-Hans"/>
        </w:rPr>
        <w:t>(授权代表全名,职务)</w:t>
      </w:r>
      <w:r>
        <w:rPr>
          <w:rFonts w:hint="eastAsia" w:ascii="宋体" w:hAnsi="宋体"/>
          <w:kern w:val="0"/>
          <w:szCs w:val="21"/>
          <w:u w:val="single"/>
        </w:rPr>
        <w:t xml:space="preserve">      </w:t>
      </w:r>
      <w:r>
        <w:rPr>
          <w:rFonts w:ascii="宋体" w:hAnsi="宋体"/>
          <w:kern w:val="0"/>
          <w:szCs w:val="21"/>
          <w:lang w:eastAsia="zh-Hans"/>
        </w:rPr>
        <w:t>代表我方全权处理有关本</w:t>
      </w:r>
      <w:r>
        <w:rPr>
          <w:rFonts w:hint="eastAsia" w:ascii="宋体" w:hAnsi="宋体"/>
          <w:kern w:val="0"/>
          <w:szCs w:val="21"/>
          <w:lang w:eastAsia="zh-Hans"/>
        </w:rPr>
        <w:t>响应</w:t>
      </w:r>
      <w:r>
        <w:rPr>
          <w:rFonts w:ascii="宋体" w:hAnsi="宋体"/>
          <w:kern w:val="0"/>
          <w:szCs w:val="21"/>
          <w:lang w:eastAsia="zh-Hans"/>
        </w:rPr>
        <w:t>的一切事宜。</w:t>
      </w:r>
    </w:p>
    <w:p w14:paraId="256E89DC">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我方已完全明白</w:t>
      </w:r>
      <w:r>
        <w:rPr>
          <w:rFonts w:hint="eastAsia" w:ascii="宋体" w:hAnsi="宋体"/>
          <w:kern w:val="0"/>
          <w:szCs w:val="21"/>
          <w:lang w:eastAsia="zh-Hans"/>
        </w:rPr>
        <w:t>磋商文件</w:t>
      </w:r>
      <w:r>
        <w:rPr>
          <w:rFonts w:ascii="宋体" w:hAnsi="宋体"/>
          <w:kern w:val="0"/>
          <w:szCs w:val="21"/>
          <w:lang w:eastAsia="zh-Hans"/>
        </w:rPr>
        <w:t>的所有条款要求，并申明如下：</w:t>
      </w:r>
    </w:p>
    <w:p w14:paraId="73CAE7E0">
      <w:pPr>
        <w:pStyle w:val="74"/>
        <w:snapToGrid w:val="0"/>
        <w:spacing w:line="360" w:lineRule="auto"/>
        <w:ind w:firstLine="210" w:firstLineChars="100"/>
        <w:contextualSpacing/>
        <w:rPr>
          <w:rFonts w:hint="default"/>
          <w:sz w:val="21"/>
          <w:szCs w:val="21"/>
        </w:rPr>
      </w:pPr>
      <w:r>
        <w:rPr>
          <w:rFonts w:ascii="宋体" w:hAnsi="宋体" w:eastAsia="宋体" w:cs="Times New Roman"/>
          <w:sz w:val="21"/>
          <w:szCs w:val="21"/>
        </w:rPr>
        <w:t>（一）</w:t>
      </w:r>
      <w:r>
        <w:rPr>
          <w:sz w:val="21"/>
          <w:szCs w:val="21"/>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（二）本</w:t>
      </w:r>
      <w:r>
        <w:rPr>
          <w:rFonts w:hint="eastAsia" w:ascii="宋体" w:hAnsi="宋体"/>
          <w:kern w:val="0"/>
          <w:szCs w:val="21"/>
          <w:lang w:eastAsia="zh-Hans"/>
        </w:rPr>
        <w:t>响应</w:t>
      </w:r>
      <w:r>
        <w:rPr>
          <w:rFonts w:ascii="宋体" w:hAnsi="宋体"/>
          <w:kern w:val="0"/>
          <w:szCs w:val="21"/>
          <w:lang w:eastAsia="zh-Hans"/>
        </w:rPr>
        <w:t>文件的有效期为从提交响应文件的截止之日起90日历天。如</w:t>
      </w:r>
      <w:r>
        <w:rPr>
          <w:rFonts w:hint="eastAsia" w:ascii="宋体" w:hAnsi="宋体"/>
          <w:kern w:val="0"/>
          <w:szCs w:val="21"/>
          <w:lang w:eastAsia="zh-Hans"/>
        </w:rPr>
        <w:t>成交</w:t>
      </w:r>
      <w:r>
        <w:rPr>
          <w:rFonts w:ascii="宋体" w:hAnsi="宋体"/>
          <w:kern w:val="0"/>
          <w:szCs w:val="21"/>
          <w:lang w:eastAsia="zh-Hans"/>
        </w:rPr>
        <w:t>，有效期将延至合同终止日为止。在此提交的资格证明文件均至</w:t>
      </w:r>
      <w:r>
        <w:rPr>
          <w:rFonts w:hint="eastAsia" w:ascii="宋体" w:hAnsi="宋体"/>
          <w:kern w:val="0"/>
          <w:szCs w:val="21"/>
          <w:lang w:eastAsia="zh-Hans"/>
        </w:rPr>
        <w:t>响应</w:t>
      </w:r>
      <w:r>
        <w:rPr>
          <w:rFonts w:ascii="宋体" w:hAnsi="宋体"/>
          <w:kern w:val="0"/>
          <w:szCs w:val="21"/>
          <w:lang w:eastAsia="zh-Hans"/>
        </w:rPr>
        <w:t>截止日有效，如有在</w:t>
      </w:r>
      <w:r>
        <w:rPr>
          <w:rFonts w:hint="eastAsia" w:ascii="宋体" w:hAnsi="宋体"/>
          <w:kern w:val="0"/>
          <w:szCs w:val="21"/>
          <w:lang w:eastAsia="zh-Hans"/>
        </w:rPr>
        <w:t>响应</w:t>
      </w:r>
      <w:r>
        <w:rPr>
          <w:rFonts w:ascii="宋体" w:hAnsi="宋体"/>
          <w:kern w:val="0"/>
          <w:szCs w:val="21"/>
          <w:lang w:eastAsia="zh-Hans"/>
        </w:rPr>
        <w:t>有效期内失效的，我方承诺在</w:t>
      </w:r>
      <w:r>
        <w:rPr>
          <w:rFonts w:hint="eastAsia" w:ascii="宋体" w:hAnsi="宋体"/>
          <w:kern w:val="0"/>
          <w:szCs w:val="21"/>
          <w:lang w:eastAsia="zh-Hans"/>
        </w:rPr>
        <w:t>成交</w:t>
      </w:r>
      <w:r>
        <w:rPr>
          <w:rFonts w:ascii="宋体" w:hAnsi="宋体"/>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（三）</w:t>
      </w:r>
      <w:r>
        <w:rPr>
          <w:rFonts w:hint="eastAsia" w:ascii="宋体" w:hAnsi="宋体"/>
          <w:kern w:val="0"/>
          <w:szCs w:val="21"/>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（五）</w:t>
      </w:r>
      <w:r>
        <w:rPr>
          <w:rFonts w:hint="eastAsia" w:ascii="宋体" w:hAnsi="宋体"/>
          <w:kern w:val="0"/>
          <w:szCs w:val="21"/>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FF0000"/>
          <w:kern w:val="0"/>
          <w:szCs w:val="21"/>
        </w:rPr>
      </w:pPr>
      <w:r>
        <w:rPr>
          <w:rFonts w:ascii="宋体" w:hAnsi="宋体"/>
          <w:kern w:val="0"/>
          <w:szCs w:val="21"/>
          <w:lang w:eastAsia="zh-Hans"/>
        </w:rPr>
        <w:t>（六）我方如果</w:t>
      </w:r>
      <w:r>
        <w:rPr>
          <w:rFonts w:hint="eastAsia" w:ascii="宋体" w:hAnsi="宋体"/>
          <w:kern w:val="0"/>
          <w:szCs w:val="21"/>
          <w:lang w:eastAsia="zh-Hans"/>
        </w:rPr>
        <w:t>成交</w:t>
      </w:r>
      <w:r>
        <w:rPr>
          <w:rFonts w:ascii="宋体" w:hAnsi="宋体"/>
          <w:kern w:val="0"/>
          <w:szCs w:val="21"/>
          <w:lang w:eastAsia="zh-Hans"/>
        </w:rPr>
        <w:t>，</w:t>
      </w:r>
      <w:r>
        <w:rPr>
          <w:rFonts w:hint="eastAsia" w:ascii="宋体" w:hAnsi="宋体"/>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（七）我方作为法律、财务和运作上独立于采购人、采购代理机构的</w:t>
      </w:r>
      <w:r>
        <w:rPr>
          <w:rFonts w:hint="eastAsia" w:ascii="宋体" w:hAnsi="宋体"/>
          <w:kern w:val="0"/>
          <w:szCs w:val="21"/>
          <w:lang w:eastAsia="zh-Hans"/>
        </w:rPr>
        <w:t>供应商</w:t>
      </w:r>
      <w:r>
        <w:rPr>
          <w:rFonts w:ascii="宋体" w:hAnsi="宋体"/>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kern w:val="0"/>
          <w:szCs w:val="21"/>
          <w:lang w:eastAsia="zh-Hans"/>
        </w:rPr>
        <w:t>（八）</w:t>
      </w:r>
      <w:r>
        <w:rPr>
          <w:rFonts w:hint="eastAsia" w:ascii="宋体" w:hAnsi="宋体"/>
          <w:kern w:val="0"/>
          <w:szCs w:val="21"/>
          <w:lang w:eastAsia="zh-Hans"/>
        </w:rPr>
        <w:t>我方磋商报价已包含应向知识产权所有权人支付的所有相关税费，并保证采购人在中国使</w:t>
      </w:r>
      <w:r>
        <w:rPr>
          <w:rFonts w:hint="eastAsia" w:ascii="宋体" w:hAnsi="宋体"/>
          <w:color w:val="auto"/>
          <w:kern w:val="0"/>
          <w:szCs w:val="21"/>
          <w:lang w:eastAsia="zh-Hans"/>
        </w:rPr>
        <w:t>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color w:val="auto"/>
          <w:kern w:val="0"/>
          <w:szCs w:val="21"/>
          <w:lang w:eastAsia="zh-Hans"/>
        </w:rPr>
      </w:pPr>
      <w:r>
        <w:rPr>
          <w:rFonts w:hint="eastAsia" w:ascii="宋体" w:hAnsi="宋体"/>
          <w:color w:val="auto"/>
          <w:kern w:val="0"/>
          <w:szCs w:val="21"/>
          <w:lang w:eastAsia="zh-Hans"/>
        </w:rPr>
        <w:t>（十一）</w:t>
      </w:r>
      <w:r>
        <w:rPr>
          <w:rFonts w:ascii="宋体" w:hAnsi="宋体"/>
          <w:color w:val="auto"/>
          <w:kern w:val="0"/>
          <w:szCs w:val="21"/>
          <w:lang w:eastAsia="zh-Hans"/>
        </w:rPr>
        <w:t>所有与本</w:t>
      </w:r>
      <w:r>
        <w:rPr>
          <w:rFonts w:hint="eastAsia" w:ascii="宋体" w:hAnsi="宋体"/>
          <w:color w:val="auto"/>
          <w:kern w:val="0"/>
          <w:szCs w:val="21"/>
          <w:lang w:eastAsia="zh-Hans"/>
        </w:rPr>
        <w:t>磋商</w:t>
      </w:r>
      <w:r>
        <w:rPr>
          <w:rFonts w:ascii="宋体" w:hAnsi="宋体"/>
          <w:color w:val="auto"/>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邮政编码：</w:t>
      </w:r>
      <w:r>
        <w:rPr>
          <w:rFonts w:hint="eastAsia" w:ascii="宋体" w:hAnsi="宋体"/>
          <w:color w:val="auto"/>
          <w:kern w:val="0"/>
          <w:szCs w:val="21"/>
          <w:u w:val="single"/>
        </w:rPr>
        <w:t xml:space="preserve">                         </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2" w:name="_Toc169799788"/>
      <w:r>
        <w:rPr>
          <w:rFonts w:ascii="宋体" w:hAnsi="宋体"/>
          <w:b/>
          <w:bCs/>
          <w:sz w:val="24"/>
          <w:szCs w:val="28"/>
        </w:rPr>
        <w:t>格式二：</w:t>
      </w:r>
      <w:bookmarkEnd w:id="52"/>
    </w:p>
    <w:p w14:paraId="299FD221">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734D1107">
      <w:pPr>
        <w:widowControl/>
        <w:snapToGrid w:val="0"/>
        <w:spacing w:line="360" w:lineRule="auto"/>
        <w:contextualSpacing/>
        <w:jc w:val="left"/>
        <w:rPr>
          <w:kern w:val="0"/>
          <w:szCs w:val="21"/>
          <w:lang w:eastAsia="zh-Hans"/>
        </w:rPr>
      </w:pPr>
      <w:r>
        <w:rPr>
          <w:kern w:val="0"/>
          <w:szCs w:val="21"/>
          <w:lang w:eastAsia="zh-Hans"/>
        </w:rPr>
        <w:t>项目编号：</w:t>
      </w:r>
    </w:p>
    <w:p w14:paraId="6E933FF6">
      <w:pPr>
        <w:widowControl/>
        <w:snapToGrid w:val="0"/>
        <w:spacing w:line="360" w:lineRule="auto"/>
        <w:contextualSpacing/>
        <w:jc w:val="left"/>
        <w:rPr>
          <w:kern w:val="0"/>
          <w:szCs w:val="21"/>
          <w:lang w:eastAsia="zh-Hans"/>
        </w:rPr>
      </w:pPr>
      <w:r>
        <w:rPr>
          <w:kern w:val="0"/>
          <w:szCs w:val="21"/>
          <w:lang w:eastAsia="zh-Hans"/>
        </w:rPr>
        <w:t>项目名称：</w:t>
      </w:r>
    </w:p>
    <w:p w14:paraId="2209BB7A">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tbl>
      <w:tblPr>
        <w:tblStyle w:val="2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54411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7EE548CF">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3D272A8E">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22985F15">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4A8465C5">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备注</w:t>
            </w:r>
          </w:p>
        </w:tc>
      </w:tr>
      <w:tr w14:paraId="029E3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06128F8">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0A6D8A4A">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275EE458">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大写：</w:t>
            </w:r>
            <w:r>
              <w:rPr>
                <w:rFonts w:ascii="宋体" w:hAnsi="宋体"/>
                <w:color w:val="000000" w:themeColor="text1"/>
                <w:szCs w:val="21"/>
                <w:u w:val="single"/>
                <w14:textFill>
                  <w14:solidFill>
                    <w14:schemeClr w14:val="tx1"/>
                  </w14:solidFill>
                </w14:textFill>
              </w:rPr>
              <w:t xml:space="preserve">                    </w:t>
            </w:r>
          </w:p>
          <w:p w14:paraId="7E6AC4EE">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小写：</w:t>
            </w:r>
            <w:r>
              <w:rPr>
                <w:rFonts w:ascii="宋体" w:hAnsi="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6111CACE">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r>
    </w:tbl>
    <w:p w14:paraId="0C0E711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p>
    <w:p w14:paraId="76395718">
      <w:pPr>
        <w:pStyle w:val="70"/>
        <w:keepNext w:val="0"/>
        <w:keepLines w:val="0"/>
        <w:pageBreakBefore w:val="0"/>
        <w:widowControl w:val="0"/>
        <w:numPr>
          <w:ilvl w:val="0"/>
          <w:numId w:val="103"/>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价栏须用文字和数字两种方式表示投标总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最多保留两位小数</w:t>
      </w:r>
      <w:r>
        <w:rPr>
          <w:rFonts w:hint="eastAsia" w:ascii="宋体" w:hAnsi="宋体" w:eastAsia="宋体" w:cs="宋体"/>
          <w:color w:val="auto"/>
          <w:sz w:val="21"/>
          <w:szCs w:val="21"/>
          <w:highlight w:val="none"/>
          <w:lang w:eastAsia="zh-CN"/>
        </w:rPr>
        <w:t>；</w:t>
      </w:r>
    </w:p>
    <w:p w14:paraId="246CB22B">
      <w:pPr>
        <w:pStyle w:val="70"/>
        <w:keepNext w:val="0"/>
        <w:keepLines w:val="0"/>
        <w:pageBreakBefore w:val="0"/>
        <w:widowControl w:val="0"/>
        <w:numPr>
          <w:ilvl w:val="0"/>
          <w:numId w:val="103"/>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kern w:val="0"/>
          <w:szCs w:val="21"/>
          <w:highlight w:val="none"/>
        </w:rPr>
      </w:pPr>
      <w:r>
        <w:rPr>
          <w:rFonts w:hint="eastAsia" w:ascii="宋体" w:hAnsi="宋体" w:eastAsia="宋体" w:cs="宋体"/>
          <w:color w:val="auto"/>
          <w:sz w:val="21"/>
          <w:szCs w:val="21"/>
          <w:highlight w:val="none"/>
        </w:rPr>
        <w:t>大写金额和小写金额不一致的，以大写金额为准</w:t>
      </w:r>
      <w:r>
        <w:rPr>
          <w:rFonts w:hint="eastAsia" w:ascii="宋体" w:hAnsi="宋体" w:eastAsia="宋体" w:cs="宋体"/>
          <w:color w:val="auto"/>
          <w:sz w:val="21"/>
          <w:szCs w:val="21"/>
          <w:highlight w:val="none"/>
          <w:lang w:eastAsia="zh-CN"/>
        </w:rPr>
        <w:t>。</w:t>
      </w:r>
    </w:p>
    <w:p w14:paraId="7A9AE317">
      <w:pPr>
        <w:widowControl/>
        <w:snapToGrid w:val="0"/>
        <w:spacing w:line="360" w:lineRule="auto"/>
        <w:contextualSpacing/>
        <w:jc w:val="left"/>
        <w:rPr>
          <w:kern w:val="0"/>
          <w:szCs w:val="21"/>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222732F9">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AD0793D">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F2486F">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14:paraId="791DD63B">
      <w:pPr>
        <w:widowControl/>
        <w:snapToGrid w:val="0"/>
        <w:spacing w:line="360" w:lineRule="auto"/>
        <w:contextualSpacing/>
        <w:jc w:val="left"/>
        <w:rPr>
          <w:kern w:val="0"/>
          <w:sz w:val="20"/>
          <w:szCs w:val="20"/>
          <w:lang w:eastAsia="zh-Hans"/>
        </w:rPr>
      </w:pPr>
    </w:p>
    <w:p w14:paraId="08B07E56">
      <w:pPr>
        <w:widowControl/>
        <w:jc w:val="left"/>
        <w:rPr>
          <w:kern w:val="0"/>
          <w:sz w:val="20"/>
          <w:szCs w:val="20"/>
          <w:lang w:eastAsia="zh-Hans"/>
        </w:rPr>
      </w:pPr>
    </w:p>
    <w:p w14:paraId="13835997">
      <w:pPr>
        <w:pageBreakBefore/>
        <w:rPr>
          <w:rFonts w:ascii="宋体" w:hAnsi="宋体"/>
          <w:kern w:val="0"/>
          <w:szCs w:val="21"/>
          <w:lang w:eastAsia="zh-Hans"/>
        </w:rPr>
      </w:pPr>
      <w:bookmarkStart w:id="53" w:name="_Toc169799790"/>
      <w:r>
        <w:rPr>
          <w:rFonts w:ascii="宋体" w:hAnsi="宋体"/>
          <w:b/>
          <w:bCs/>
          <w:sz w:val="24"/>
          <w:szCs w:val="28"/>
        </w:rPr>
        <w:t>格式</w:t>
      </w:r>
      <w:r>
        <w:rPr>
          <w:rFonts w:hint="eastAsia" w:ascii="宋体" w:hAnsi="宋体"/>
          <w:b/>
          <w:bCs/>
          <w:sz w:val="24"/>
          <w:szCs w:val="28"/>
          <w:lang w:eastAsia="zh-CN"/>
        </w:rPr>
        <w:t>三</w:t>
      </w:r>
      <w:r>
        <w:rPr>
          <w:rFonts w:ascii="宋体" w:hAnsi="宋体"/>
          <w:b/>
          <w:bCs/>
          <w:sz w:val="24"/>
          <w:szCs w:val="28"/>
        </w:rPr>
        <w:t>：</w:t>
      </w:r>
      <w:bookmarkEnd w:id="53"/>
    </w:p>
    <w:p w14:paraId="3110C1C2">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6C825438">
      <w:pPr>
        <w:widowControl/>
        <w:jc w:val="left"/>
        <w:rPr>
          <w:rFonts w:ascii="宋体" w:hAnsi="宋体"/>
          <w:kern w:val="0"/>
          <w:szCs w:val="21"/>
          <w:lang w:eastAsia="zh-Hans"/>
        </w:rPr>
      </w:pPr>
    </w:p>
    <w:p w14:paraId="5EE5C866">
      <w:pPr>
        <w:keepNext w:val="0"/>
        <w:keepLines w:val="0"/>
        <w:pageBreakBefore w:val="0"/>
        <w:widowControl/>
        <w:kinsoku/>
        <w:wordWrap/>
        <w:overflowPunct/>
        <w:topLinePunct w:val="0"/>
        <w:autoSpaceDE/>
        <w:autoSpaceDN/>
        <w:bidi w:val="0"/>
        <w:adjustRightInd/>
        <w:snapToGrid/>
        <w:jc w:val="left"/>
        <w:textAlignment w:val="auto"/>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7D2734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64069E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54" w:name="_Toc169799791"/>
      <w:r>
        <w:rPr>
          <w:rFonts w:ascii="宋体" w:hAnsi="宋体"/>
          <w:b/>
          <w:bCs/>
          <w:sz w:val="24"/>
          <w:szCs w:val="28"/>
        </w:rPr>
        <w:t>格式</w:t>
      </w:r>
      <w:r>
        <w:rPr>
          <w:rFonts w:hint="eastAsia" w:ascii="宋体" w:hAnsi="宋体"/>
          <w:b/>
          <w:bCs/>
          <w:sz w:val="24"/>
          <w:szCs w:val="28"/>
          <w:lang w:eastAsia="zh-CN"/>
        </w:rPr>
        <w:t>四</w:t>
      </w:r>
      <w:r>
        <w:rPr>
          <w:rFonts w:ascii="宋体" w:hAnsi="宋体"/>
          <w:b/>
          <w:bCs/>
          <w:sz w:val="24"/>
          <w:szCs w:val="28"/>
        </w:rPr>
        <w:t>：</w:t>
      </w:r>
      <w:bookmarkEnd w:id="54"/>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widowControl/>
        <w:spacing w:line="360" w:lineRule="auto"/>
        <w:jc w:val="left"/>
        <w:rPr>
          <w:rFonts w:ascii="宋体" w:hAnsi="宋体"/>
          <w:kern w:val="0"/>
          <w:szCs w:val="21"/>
          <w:lang w:eastAsia="zh-Hans"/>
        </w:rPr>
      </w:pPr>
    </w:p>
    <w:p w14:paraId="3BFB1100">
      <w:pPr>
        <w:keepNext w:val="0"/>
        <w:keepLines/>
        <w:pageBreakBefore/>
        <w:widowControl w:val="0"/>
        <w:kinsoku/>
        <w:wordWrap/>
        <w:overflowPunct/>
        <w:topLinePunct w:val="0"/>
        <w:autoSpaceDE/>
        <w:autoSpaceDN/>
        <w:bidi w:val="0"/>
        <w:adjustRightInd/>
        <w:snapToGrid/>
        <w:spacing w:before="468" w:beforeLines="150" w:line="360" w:lineRule="auto"/>
        <w:textAlignment w:val="auto"/>
        <w:rPr>
          <w:rFonts w:ascii="宋体" w:hAnsi="宋体"/>
          <w:kern w:val="0"/>
          <w:szCs w:val="21"/>
          <w:lang w:eastAsia="zh-Hans"/>
        </w:rPr>
      </w:pPr>
      <w:bookmarkStart w:id="55" w:name="_Toc169799792"/>
      <w:r>
        <w:rPr>
          <w:rFonts w:ascii="宋体" w:hAnsi="宋体"/>
          <w:b/>
          <w:bCs/>
          <w:sz w:val="24"/>
          <w:szCs w:val="28"/>
        </w:rPr>
        <w:t>格式</w:t>
      </w:r>
      <w:r>
        <w:rPr>
          <w:rFonts w:hint="eastAsia" w:ascii="宋体" w:hAnsi="宋体"/>
          <w:b/>
          <w:bCs/>
          <w:sz w:val="24"/>
          <w:szCs w:val="28"/>
          <w:lang w:eastAsia="zh-CN"/>
        </w:rPr>
        <w:t>五</w:t>
      </w:r>
      <w:r>
        <w:rPr>
          <w:rFonts w:ascii="宋体" w:hAnsi="宋体"/>
          <w:b/>
          <w:bCs/>
          <w:sz w:val="24"/>
          <w:szCs w:val="28"/>
        </w:rPr>
        <w:t>：</w:t>
      </w:r>
      <w:bookmarkEnd w:id="55"/>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56" w:name="_Toc169799793"/>
      <w:r>
        <w:rPr>
          <w:rFonts w:ascii="宋体" w:hAnsi="宋体"/>
          <w:b/>
          <w:bCs/>
          <w:sz w:val="24"/>
          <w:szCs w:val="28"/>
        </w:rPr>
        <w:t>格式</w:t>
      </w:r>
      <w:r>
        <w:rPr>
          <w:rFonts w:hint="eastAsia" w:ascii="宋体" w:hAnsi="宋体"/>
          <w:b/>
          <w:bCs/>
          <w:sz w:val="24"/>
          <w:szCs w:val="28"/>
          <w:lang w:val="en-US" w:eastAsia="zh-CN"/>
        </w:rPr>
        <w:t>六</w:t>
      </w:r>
      <w:r>
        <w:rPr>
          <w:rFonts w:ascii="宋体" w:hAnsi="宋体"/>
          <w:b/>
          <w:bCs/>
          <w:sz w:val="24"/>
          <w:szCs w:val="28"/>
        </w:rPr>
        <w:t>：</w:t>
      </w:r>
      <w:bookmarkEnd w:id="56"/>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751E5578">
      <w:pPr>
        <w:widowControl/>
        <w:snapToGrid w:val="0"/>
        <w:spacing w:line="360" w:lineRule="auto"/>
        <w:contextualSpacing/>
        <w:jc w:val="left"/>
        <w:rPr>
          <w:kern w:val="0"/>
          <w:sz w:val="20"/>
          <w:szCs w:val="20"/>
        </w:rPr>
      </w:pPr>
    </w:p>
    <w:p w14:paraId="27C1C0C6">
      <w:pPr>
        <w:pageBreakBefore/>
        <w:rPr>
          <w:kern w:val="0"/>
          <w:sz w:val="20"/>
          <w:szCs w:val="20"/>
          <w:lang w:eastAsia="zh-Hans"/>
        </w:rPr>
      </w:pPr>
      <w:bookmarkStart w:id="57" w:name="_Toc169799795"/>
      <w:r>
        <w:rPr>
          <w:rFonts w:ascii="宋体" w:hAnsi="宋体"/>
          <w:b/>
          <w:bCs/>
          <w:sz w:val="24"/>
          <w:szCs w:val="28"/>
        </w:rPr>
        <w:t>格式</w:t>
      </w:r>
      <w:r>
        <w:rPr>
          <w:rFonts w:hint="eastAsia" w:ascii="宋体" w:hAnsi="宋体"/>
          <w:b/>
          <w:bCs/>
          <w:sz w:val="24"/>
          <w:szCs w:val="28"/>
          <w:lang w:val="en-US" w:eastAsia="zh-CN"/>
        </w:rPr>
        <w:t>七</w:t>
      </w:r>
      <w:r>
        <w:rPr>
          <w:rFonts w:ascii="宋体" w:hAnsi="宋体"/>
          <w:b/>
          <w:bCs/>
          <w:sz w:val="24"/>
          <w:szCs w:val="28"/>
        </w:rPr>
        <w:t>：</w:t>
      </w:r>
      <w:bookmarkEnd w:id="57"/>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58" w:name="_Toc169799796"/>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58"/>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707E34B6">
      <w:pPr>
        <w:pStyle w:val="74"/>
        <w:ind w:right="1890" w:firstLine="640"/>
        <w:jc w:val="center"/>
        <w:rPr>
          <w:rFonts w:hint="default"/>
        </w:rPr>
      </w:pPr>
    </w:p>
    <w:p w14:paraId="34B92EE4">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九</w:t>
      </w:r>
      <w:r>
        <w:rPr>
          <w:rFonts w:hint="eastAsia" w:ascii="宋体" w:hAnsi="宋体"/>
          <w:b/>
          <w:bCs/>
          <w:sz w:val="24"/>
          <w:szCs w:val="28"/>
        </w:rPr>
        <w:t>：</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631A2B26">
      <w:pPr>
        <w:pStyle w:val="70"/>
        <w:widowControl/>
        <w:numPr>
          <w:ilvl w:val="0"/>
          <w:numId w:val="104"/>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104"/>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104"/>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104"/>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104"/>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104"/>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4A8F9C03">
      <w:pPr>
        <w:pStyle w:val="70"/>
        <w:widowControl/>
        <w:numPr>
          <w:ilvl w:val="0"/>
          <w:numId w:val="104"/>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59" w:name="_Toc169799798"/>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59"/>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eastAsia="zh-CN"/>
        </w:rPr>
        <w:t>三</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0" w:name="_Toc169799799"/>
      <w:r>
        <w:rPr>
          <w:rFonts w:ascii="宋体" w:hAnsi="宋体"/>
          <w:b/>
          <w:bCs/>
          <w:sz w:val="24"/>
          <w:szCs w:val="28"/>
        </w:rPr>
        <w:t>格式十</w:t>
      </w:r>
      <w:r>
        <w:rPr>
          <w:rFonts w:hint="eastAsia" w:ascii="宋体" w:hAnsi="宋体"/>
          <w:b/>
          <w:bCs/>
          <w:sz w:val="24"/>
          <w:szCs w:val="28"/>
          <w:lang w:eastAsia="zh-CN"/>
        </w:rPr>
        <w:t>四</w:t>
      </w:r>
      <w:r>
        <w:rPr>
          <w:rFonts w:ascii="宋体" w:hAnsi="宋体"/>
          <w:b/>
          <w:bCs/>
          <w:sz w:val="24"/>
          <w:szCs w:val="28"/>
        </w:rPr>
        <w:t>：</w:t>
      </w:r>
      <w:bookmarkEnd w:id="60"/>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1" w:name="_Toc169799800"/>
      <w:r>
        <w:rPr>
          <w:rFonts w:ascii="宋体" w:hAnsi="宋体"/>
          <w:b/>
          <w:bCs/>
          <w:sz w:val="24"/>
          <w:szCs w:val="28"/>
        </w:rPr>
        <w:t>格式十</w:t>
      </w:r>
      <w:r>
        <w:rPr>
          <w:rFonts w:hint="eastAsia" w:ascii="宋体" w:hAnsi="宋体"/>
          <w:b/>
          <w:bCs/>
          <w:sz w:val="24"/>
          <w:szCs w:val="28"/>
          <w:lang w:val="en-US" w:eastAsia="zh-CN"/>
        </w:rPr>
        <w:t>五</w:t>
      </w:r>
      <w:r>
        <w:rPr>
          <w:rFonts w:ascii="宋体" w:hAnsi="宋体"/>
          <w:b/>
          <w:bCs/>
          <w:sz w:val="24"/>
          <w:szCs w:val="28"/>
        </w:rPr>
        <w:t>：</w:t>
      </w:r>
      <w:bookmarkEnd w:id="61"/>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2" w:name="_Hlk169717981"/>
      <w:r>
        <w:rPr>
          <w:rFonts w:ascii="宋体" w:hAnsi="宋体"/>
          <w:kern w:val="0"/>
          <w:szCs w:val="21"/>
          <w:lang w:eastAsia="zh-Hans"/>
        </w:rPr>
        <w:t>“备注”</w:t>
      </w:r>
      <w:bookmarkEnd w:id="62"/>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3" w:name="_Toc169799801"/>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3"/>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64" w:name="_Toc169799802"/>
      <w:r>
        <w:rPr>
          <w:rFonts w:ascii="宋体" w:hAnsi="宋体"/>
          <w:b/>
          <w:bCs/>
          <w:sz w:val="24"/>
          <w:szCs w:val="28"/>
        </w:rPr>
        <w:br w:type="page"/>
      </w:r>
    </w:p>
    <w:p w14:paraId="28126855">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十七</w:t>
      </w:r>
      <w:r>
        <w:rPr>
          <w:rFonts w:ascii="宋体" w:hAnsi="宋体"/>
          <w:b/>
          <w:bCs/>
          <w:sz w:val="24"/>
          <w:szCs w:val="28"/>
        </w:rPr>
        <w:t>：</w:t>
      </w:r>
    </w:p>
    <w:p w14:paraId="6BD3F591">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rPr>
            </w:pPr>
            <w:r>
              <w:rPr>
                <w:rFonts w:hint="eastAsia" w:ascii="宋体" w:hAnsi="宋体" w:eastAsia="宋体" w:cs="宋体"/>
                <w:b/>
                <w:bCs/>
              </w:rPr>
              <w:t>供应商响应内容</w:t>
            </w:r>
          </w:p>
        </w:tc>
        <w:tc>
          <w:tcPr>
            <w:tcW w:w="1081" w:type="pct"/>
            <w:shd w:val="clear" w:color="auto" w:fill="auto"/>
            <w:vAlign w:val="center"/>
          </w:tcPr>
          <w:p w14:paraId="1A5FAFD4">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63E9209F">
            <w:pPr>
              <w:spacing w:line="360" w:lineRule="auto"/>
              <w:jc w:val="center"/>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5D9F3E3E">
            <w:pPr>
              <w:spacing w:line="360" w:lineRule="auto"/>
              <w:rPr>
                <w:rFonts w:hint="eastAsia" w:ascii="宋体" w:hAnsi="宋体" w:eastAsia="宋体" w:cs="宋体"/>
              </w:rPr>
            </w:pPr>
          </w:p>
        </w:tc>
        <w:tc>
          <w:tcPr>
            <w:tcW w:w="1081" w:type="pct"/>
            <w:shd w:val="clear" w:color="auto" w:fill="auto"/>
          </w:tcPr>
          <w:p w14:paraId="4123AC16">
            <w:pPr>
              <w:spacing w:line="360" w:lineRule="auto"/>
              <w:rPr>
                <w:rFonts w:hint="eastAsia" w:ascii="宋体" w:hAnsi="宋体" w:eastAsia="宋体" w:cs="宋体"/>
              </w:rPr>
            </w:pPr>
          </w:p>
        </w:tc>
        <w:tc>
          <w:tcPr>
            <w:tcW w:w="1081" w:type="pct"/>
            <w:shd w:val="clear" w:color="auto" w:fill="auto"/>
          </w:tcPr>
          <w:p w14:paraId="108DA07C">
            <w:pPr>
              <w:spacing w:line="360" w:lineRule="auto"/>
              <w:rPr>
                <w:rFonts w:hint="eastAsia" w:ascii="宋体" w:hAnsi="宋体" w:eastAsia="宋体" w:cs="宋体"/>
              </w:rPr>
            </w:pPr>
          </w:p>
        </w:tc>
        <w:tc>
          <w:tcPr>
            <w:tcW w:w="697" w:type="pct"/>
            <w:shd w:val="clear" w:color="auto" w:fill="auto"/>
          </w:tcPr>
          <w:p w14:paraId="24527C61">
            <w:pPr>
              <w:spacing w:line="360" w:lineRule="auto"/>
              <w:rPr>
                <w:rFonts w:hint="eastAsia" w:ascii="宋体" w:hAnsi="宋体" w:eastAsia="宋体" w:cs="宋体"/>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45E2FBF3">
            <w:pPr>
              <w:spacing w:line="360" w:lineRule="auto"/>
              <w:rPr>
                <w:rFonts w:hint="eastAsia" w:ascii="宋体" w:hAnsi="宋体" w:eastAsia="宋体" w:cs="宋体"/>
              </w:rPr>
            </w:pPr>
          </w:p>
        </w:tc>
        <w:tc>
          <w:tcPr>
            <w:tcW w:w="1081" w:type="pct"/>
            <w:shd w:val="clear" w:color="auto" w:fill="auto"/>
          </w:tcPr>
          <w:p w14:paraId="2FE87EF5">
            <w:pPr>
              <w:spacing w:line="360" w:lineRule="auto"/>
              <w:rPr>
                <w:rFonts w:hint="eastAsia" w:ascii="宋体" w:hAnsi="宋体" w:eastAsia="宋体" w:cs="宋体"/>
              </w:rPr>
            </w:pPr>
          </w:p>
        </w:tc>
        <w:tc>
          <w:tcPr>
            <w:tcW w:w="1081" w:type="pct"/>
            <w:shd w:val="clear" w:color="auto" w:fill="auto"/>
          </w:tcPr>
          <w:p w14:paraId="055B4324">
            <w:pPr>
              <w:spacing w:line="360" w:lineRule="auto"/>
              <w:rPr>
                <w:rFonts w:hint="eastAsia" w:ascii="宋体" w:hAnsi="宋体" w:eastAsia="宋体" w:cs="宋体"/>
              </w:rPr>
            </w:pPr>
          </w:p>
        </w:tc>
        <w:tc>
          <w:tcPr>
            <w:tcW w:w="697" w:type="pct"/>
            <w:shd w:val="clear" w:color="auto" w:fill="auto"/>
          </w:tcPr>
          <w:p w14:paraId="192B7028">
            <w:pPr>
              <w:spacing w:line="360" w:lineRule="auto"/>
              <w:rPr>
                <w:rFonts w:hint="eastAsia" w:ascii="宋体" w:hAnsi="宋体" w:eastAsia="宋体" w:cs="宋体"/>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7799DAFE">
            <w:pPr>
              <w:spacing w:line="360" w:lineRule="auto"/>
              <w:rPr>
                <w:rFonts w:hint="eastAsia" w:ascii="宋体" w:hAnsi="宋体" w:eastAsia="宋体" w:cs="宋体"/>
              </w:rPr>
            </w:pPr>
          </w:p>
        </w:tc>
        <w:tc>
          <w:tcPr>
            <w:tcW w:w="1081" w:type="pct"/>
            <w:shd w:val="clear" w:color="auto" w:fill="auto"/>
          </w:tcPr>
          <w:p w14:paraId="64733E94">
            <w:pPr>
              <w:spacing w:line="360" w:lineRule="auto"/>
              <w:rPr>
                <w:rFonts w:hint="eastAsia" w:ascii="宋体" w:hAnsi="宋体" w:eastAsia="宋体" w:cs="宋体"/>
              </w:rPr>
            </w:pPr>
          </w:p>
        </w:tc>
        <w:tc>
          <w:tcPr>
            <w:tcW w:w="1081" w:type="pct"/>
            <w:shd w:val="clear" w:color="auto" w:fill="auto"/>
          </w:tcPr>
          <w:p w14:paraId="34349ACB">
            <w:pPr>
              <w:spacing w:line="360" w:lineRule="auto"/>
              <w:rPr>
                <w:rFonts w:hint="eastAsia" w:ascii="宋体" w:hAnsi="宋体" w:eastAsia="宋体" w:cs="宋体"/>
              </w:rPr>
            </w:pPr>
          </w:p>
        </w:tc>
        <w:tc>
          <w:tcPr>
            <w:tcW w:w="697" w:type="pct"/>
            <w:shd w:val="clear" w:color="auto" w:fill="auto"/>
          </w:tcPr>
          <w:p w14:paraId="61232E38">
            <w:pPr>
              <w:spacing w:line="360" w:lineRule="auto"/>
              <w:rPr>
                <w:rFonts w:hint="eastAsia" w:ascii="宋体" w:hAnsi="宋体" w:eastAsia="宋体" w:cs="宋体"/>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7BA9582E">
            <w:pPr>
              <w:spacing w:line="360" w:lineRule="auto"/>
              <w:rPr>
                <w:rFonts w:hint="eastAsia" w:ascii="宋体" w:hAnsi="宋体" w:eastAsia="宋体" w:cs="宋体"/>
              </w:rPr>
            </w:pPr>
          </w:p>
        </w:tc>
        <w:tc>
          <w:tcPr>
            <w:tcW w:w="1081" w:type="pct"/>
            <w:shd w:val="clear" w:color="auto" w:fill="auto"/>
          </w:tcPr>
          <w:p w14:paraId="2AA8E109">
            <w:pPr>
              <w:spacing w:line="360" w:lineRule="auto"/>
              <w:rPr>
                <w:rFonts w:hint="eastAsia" w:ascii="宋体" w:hAnsi="宋体" w:eastAsia="宋体" w:cs="宋体"/>
              </w:rPr>
            </w:pPr>
          </w:p>
        </w:tc>
        <w:tc>
          <w:tcPr>
            <w:tcW w:w="1081" w:type="pct"/>
            <w:shd w:val="clear" w:color="auto" w:fill="auto"/>
          </w:tcPr>
          <w:p w14:paraId="2BCDE7B8">
            <w:pPr>
              <w:spacing w:line="360" w:lineRule="auto"/>
              <w:rPr>
                <w:rFonts w:hint="eastAsia" w:ascii="宋体" w:hAnsi="宋体" w:eastAsia="宋体" w:cs="宋体"/>
              </w:rPr>
            </w:pPr>
          </w:p>
        </w:tc>
        <w:tc>
          <w:tcPr>
            <w:tcW w:w="697" w:type="pct"/>
            <w:shd w:val="clear" w:color="auto" w:fill="auto"/>
          </w:tcPr>
          <w:p w14:paraId="153F4255">
            <w:pPr>
              <w:spacing w:line="360" w:lineRule="auto"/>
              <w:rPr>
                <w:rFonts w:hint="eastAsia" w:ascii="宋体" w:hAnsi="宋体" w:eastAsia="宋体" w:cs="宋体"/>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0A32603C">
            <w:pPr>
              <w:spacing w:line="360" w:lineRule="auto"/>
              <w:rPr>
                <w:rFonts w:hint="eastAsia" w:ascii="宋体" w:hAnsi="宋体" w:eastAsia="宋体" w:cs="宋体"/>
              </w:rPr>
            </w:pPr>
          </w:p>
        </w:tc>
        <w:tc>
          <w:tcPr>
            <w:tcW w:w="1081" w:type="pct"/>
            <w:shd w:val="clear" w:color="auto" w:fill="auto"/>
          </w:tcPr>
          <w:p w14:paraId="49A28968">
            <w:pPr>
              <w:spacing w:line="360" w:lineRule="auto"/>
              <w:rPr>
                <w:rFonts w:hint="eastAsia" w:ascii="宋体" w:hAnsi="宋体" w:eastAsia="宋体" w:cs="宋体"/>
              </w:rPr>
            </w:pPr>
          </w:p>
        </w:tc>
        <w:tc>
          <w:tcPr>
            <w:tcW w:w="1081" w:type="pct"/>
            <w:shd w:val="clear" w:color="auto" w:fill="auto"/>
          </w:tcPr>
          <w:p w14:paraId="7B7E29AD">
            <w:pPr>
              <w:spacing w:line="360" w:lineRule="auto"/>
              <w:rPr>
                <w:rFonts w:hint="eastAsia" w:ascii="宋体" w:hAnsi="宋体" w:eastAsia="宋体" w:cs="宋体"/>
              </w:rPr>
            </w:pPr>
          </w:p>
        </w:tc>
        <w:tc>
          <w:tcPr>
            <w:tcW w:w="697" w:type="pct"/>
            <w:shd w:val="clear" w:color="auto" w:fill="auto"/>
          </w:tcPr>
          <w:p w14:paraId="3211DC51">
            <w:pPr>
              <w:spacing w:line="360" w:lineRule="auto"/>
              <w:rPr>
                <w:rFonts w:hint="eastAsia" w:ascii="宋体" w:hAnsi="宋体" w:eastAsia="宋体" w:cs="宋体"/>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cs="宋体"/>
          <w:lang w:val="en-US" w:eastAsia="zh-CN"/>
        </w:rPr>
        <w:t>说</w:t>
      </w:r>
      <w:r>
        <w:rPr>
          <w:rFonts w:hint="eastAsia" w:ascii="宋体" w:hAnsi="宋体" w:eastAsia="宋体" w:cs="宋体"/>
        </w:rPr>
        <w:t>明：</w:t>
      </w:r>
    </w:p>
    <w:p w14:paraId="3D2E69C9">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响应供应商必须对应磋商文件</w:t>
      </w:r>
      <w:r>
        <w:rPr>
          <w:rFonts w:hint="eastAsia" w:ascii="宋体" w:hAnsi="宋体" w:eastAsia="宋体" w:cs="宋体"/>
          <w:b/>
          <w:bCs/>
        </w:rPr>
        <w:t>“采购需求”</w:t>
      </w:r>
      <w:r>
        <w:rPr>
          <w:rFonts w:hint="eastAsia" w:ascii="宋体" w:hAnsi="宋体" w:eastAsia="宋体" w:cs="宋体"/>
        </w:rPr>
        <w:t>中的实质性条款(即★号条款)逐条应答并按要求填写表格；</w:t>
      </w:r>
    </w:p>
    <w:p w14:paraId="389D079B">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rPr>
        <w:t>若磋商文件</w:t>
      </w:r>
      <w:r>
        <w:rPr>
          <w:rFonts w:hint="eastAsia" w:ascii="宋体" w:hAnsi="宋体" w:eastAsia="宋体" w:cs="宋体"/>
          <w:b/>
          <w:bCs/>
        </w:rPr>
        <w:t>“采购需求”</w:t>
      </w:r>
      <w:r>
        <w:rPr>
          <w:rFonts w:hint="eastAsia" w:ascii="宋体" w:hAnsi="宋体" w:eastAsia="宋体" w:cs="宋体"/>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szCs w:val="21"/>
        </w:rPr>
      </w:pPr>
    </w:p>
    <w:p w14:paraId="6BAF9114">
      <w:pPr>
        <w:spacing w:line="360" w:lineRule="auto"/>
        <w:rPr>
          <w:rFonts w:hint="eastAsia" w:ascii="宋体" w:hAnsi="宋体" w:eastAsia="宋体" w:cs="宋体"/>
          <w:szCs w:val="21"/>
        </w:rPr>
      </w:pPr>
    </w:p>
    <w:p w14:paraId="495DA4AD">
      <w:pPr>
        <w:spacing w:line="360" w:lineRule="auto"/>
        <w:rPr>
          <w:rFonts w:hint="eastAsia" w:ascii="宋体" w:hAnsi="宋体" w:eastAsia="宋体" w:cs="宋体"/>
          <w:szCs w:val="21"/>
        </w:rPr>
      </w:pPr>
    </w:p>
    <w:p w14:paraId="54F599DC">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F673520">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7413BD1A">
      <w:pPr>
        <w:rPr>
          <w:rFonts w:hint="eastAsia" w:ascii="宋体" w:hAnsi="宋体" w:eastAsia="宋体" w:cs="宋体"/>
          <w:b/>
          <w:bCs/>
          <w:sz w:val="24"/>
          <w:szCs w:val="28"/>
        </w:rPr>
      </w:pPr>
      <w:r>
        <w:rPr>
          <w:rFonts w:hint="eastAsia" w:ascii="宋体" w:hAnsi="宋体" w:eastAsia="宋体" w:cs="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bookmarkEnd w:id="64"/>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65" w:name="_Toc169799803"/>
      <w:r>
        <w:rPr>
          <w:rFonts w:ascii="宋体" w:hAnsi="宋体"/>
          <w:b/>
          <w:bCs/>
          <w:sz w:val="24"/>
          <w:szCs w:val="28"/>
        </w:rPr>
        <w:t>格式十</w:t>
      </w:r>
      <w:r>
        <w:rPr>
          <w:rFonts w:hint="eastAsia" w:ascii="宋体" w:hAnsi="宋体"/>
          <w:b/>
          <w:bCs/>
          <w:sz w:val="24"/>
          <w:szCs w:val="28"/>
          <w:lang w:val="en-US" w:eastAsia="zh-CN"/>
        </w:rPr>
        <w:t>九</w:t>
      </w:r>
      <w:r>
        <w:rPr>
          <w:rFonts w:ascii="宋体" w:hAnsi="宋体"/>
          <w:b/>
          <w:bCs/>
          <w:sz w:val="24"/>
          <w:szCs w:val="28"/>
        </w:rPr>
        <w:t>：</w:t>
      </w:r>
      <w:bookmarkEnd w:id="65"/>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66" w:name="_Toc169799804"/>
      <w:r>
        <w:rPr>
          <w:rFonts w:ascii="宋体" w:hAnsi="宋体"/>
          <w:b/>
          <w:bCs/>
          <w:sz w:val="24"/>
          <w:szCs w:val="28"/>
        </w:rPr>
        <w:t>格式二十：</w:t>
      </w:r>
      <w:bookmarkEnd w:id="66"/>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67"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67"/>
    <w:p w14:paraId="1D9AC70A">
      <w:pPr>
        <w:pageBreakBefore/>
        <w:rPr>
          <w:kern w:val="0"/>
          <w:sz w:val="20"/>
          <w:szCs w:val="20"/>
          <w:lang w:eastAsia="zh-Hans"/>
        </w:rPr>
      </w:pPr>
      <w:bookmarkStart w:id="68" w:name="_Toc169799806"/>
      <w:r>
        <w:rPr>
          <w:rFonts w:ascii="宋体" w:hAnsi="宋体"/>
          <w:b/>
          <w:bCs/>
          <w:sz w:val="24"/>
          <w:szCs w:val="28"/>
        </w:rPr>
        <w:t>格式二十</w:t>
      </w:r>
      <w:r>
        <w:rPr>
          <w:rFonts w:hint="eastAsia" w:ascii="宋体" w:hAnsi="宋体"/>
          <w:b/>
          <w:bCs/>
          <w:sz w:val="24"/>
          <w:szCs w:val="28"/>
          <w:lang w:eastAsia="zh-CN"/>
        </w:rPr>
        <w:t>一</w:t>
      </w:r>
      <w:r>
        <w:rPr>
          <w:rFonts w:ascii="宋体" w:hAnsi="宋体"/>
          <w:b/>
          <w:bCs/>
          <w:sz w:val="24"/>
          <w:szCs w:val="28"/>
        </w:rPr>
        <w:t>：</w:t>
      </w:r>
      <w:bookmarkEnd w:id="68"/>
    </w:p>
    <w:p w14:paraId="55D289B9">
      <w:pPr>
        <w:widowControl/>
        <w:jc w:val="left"/>
        <w:rPr>
          <w:kern w:val="0"/>
          <w:sz w:val="20"/>
          <w:szCs w:val="20"/>
          <w:lang w:eastAsia="zh-Hans"/>
        </w:rPr>
      </w:pPr>
      <w:r>
        <w:rPr>
          <w:kern w:val="0"/>
          <w:sz w:val="20"/>
          <w:szCs w:val="20"/>
          <w:lang w:eastAsia="zh-Hans"/>
        </w:rPr>
        <w:t>（以下格式文件由供应商根据需要选用）</w:t>
      </w:r>
    </w:p>
    <w:p w14:paraId="17F68D9F">
      <w:pPr>
        <w:spacing w:line="360" w:lineRule="auto"/>
        <w:rPr>
          <w:rFonts w:asciiTheme="minorEastAsia" w:hAnsiTheme="minorEastAsia" w:eastAsiaTheme="minorEastAsia"/>
          <w:color w:val="auto"/>
        </w:rPr>
      </w:pPr>
      <w:r>
        <w:rPr>
          <w:rFonts w:hint="eastAsia"/>
          <w:color w:val="auto"/>
          <w:sz w:val="20"/>
          <w:szCs w:val="20"/>
          <w:lang w:eastAsia="zh-Hans"/>
        </w:rPr>
        <w:t>设备更新、升级服务方案、设备维修、保养方案、拟投入服务人员及组织架构、培训方案、规章制度、应急保障方案内容和格式自拟。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6379AE"/>
    <w:multiLevelType w:val="singleLevel"/>
    <w:tmpl w:val="A96379AE"/>
    <w:lvl w:ilvl="0" w:tentative="0">
      <w:start w:val="1"/>
      <w:numFmt w:val="decimal"/>
      <w:lvlText w:val="(%1)"/>
      <w:lvlJc w:val="left"/>
      <w:pPr>
        <w:ind w:left="425" w:hanging="425"/>
      </w:pPr>
      <w:rPr>
        <w:rFonts w:hint="default"/>
      </w:rPr>
    </w:lvl>
  </w:abstractNum>
  <w:abstractNum w:abstractNumId="1">
    <w:nsid w:val="C096A343"/>
    <w:multiLevelType w:val="singleLevel"/>
    <w:tmpl w:val="C096A343"/>
    <w:lvl w:ilvl="0" w:tentative="0">
      <w:start w:val="1"/>
      <w:numFmt w:val="decimal"/>
      <w:lvlText w:val="(%1)"/>
      <w:lvlJc w:val="left"/>
      <w:pPr>
        <w:ind w:left="425" w:hanging="425"/>
      </w:pPr>
      <w:rPr>
        <w:rFonts w:hint="default"/>
      </w:rPr>
    </w:lvl>
  </w:abstractNum>
  <w:abstractNum w:abstractNumId="2">
    <w:nsid w:val="D97F4C08"/>
    <w:multiLevelType w:val="multilevel"/>
    <w:tmpl w:val="D97F4C0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E3250B12"/>
    <w:multiLevelType w:val="singleLevel"/>
    <w:tmpl w:val="E3250B12"/>
    <w:lvl w:ilvl="0" w:tentative="0">
      <w:start w:val="1"/>
      <w:numFmt w:val="decimal"/>
      <w:lvlText w:val="(%1)"/>
      <w:lvlJc w:val="left"/>
      <w:pPr>
        <w:ind w:left="425" w:hanging="425"/>
      </w:pPr>
      <w:rPr>
        <w:rFonts w:hint="default"/>
      </w:rPr>
    </w:lvl>
  </w:abstractNum>
  <w:abstractNum w:abstractNumId="4">
    <w:nsid w:val="EE81F4D7"/>
    <w:multiLevelType w:val="multilevel"/>
    <w:tmpl w:val="EE81F4D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5A41600"/>
    <w:multiLevelType w:val="multilevel"/>
    <w:tmpl w:val="05A41600"/>
    <w:lvl w:ilvl="0" w:tentative="0">
      <w:start w:val="1"/>
      <w:numFmt w:val="chineseCountingThousand"/>
      <w:lvlText w:val="(%1)"/>
      <w:lvlJc w:val="left"/>
      <w:pPr>
        <w:ind w:left="420" w:hanging="420"/>
      </w:pPr>
      <w:rPr>
        <w:rFonts w:hint="eastAsia"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8C00F4E"/>
    <w:multiLevelType w:val="multilevel"/>
    <w:tmpl w:val="08C00F4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29">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10A32315"/>
    <w:multiLevelType w:val="multilevel"/>
    <w:tmpl w:val="10A3231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1">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018BA43"/>
    <w:multiLevelType w:val="multilevel"/>
    <w:tmpl w:val="3018BA4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3C225A8"/>
    <w:multiLevelType w:val="multilevel"/>
    <w:tmpl w:val="33C225A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0">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4F787E3F"/>
    <w:multiLevelType w:val="multilevel"/>
    <w:tmpl w:val="4F787E3F"/>
    <w:lvl w:ilvl="0" w:tentative="0">
      <w:start w:val="1"/>
      <w:numFmt w:val="decimal"/>
      <w:lvlText w:val="%1."/>
      <w:lvlJc w:val="left"/>
      <w:pPr>
        <w:ind w:left="420" w:hanging="420"/>
      </w:pPr>
      <w:rPr>
        <w:rFonts w:hint="default" w:ascii="宋体" w:hAnsi="宋体" w:eastAsia="宋体" w:cs="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7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6">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7">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6B18755"/>
    <w:multiLevelType w:val="singleLevel"/>
    <w:tmpl w:val="66B18755"/>
    <w:lvl w:ilvl="0" w:tentative="0">
      <w:start w:val="1"/>
      <w:numFmt w:val="decimal"/>
      <w:lvlText w:val="(%1)"/>
      <w:lvlJc w:val="left"/>
      <w:pPr>
        <w:ind w:left="425" w:hanging="425"/>
      </w:pPr>
      <w:rPr>
        <w:rFonts w:hint="default"/>
      </w:rPr>
    </w:lvl>
  </w:abstractNum>
  <w:abstractNum w:abstractNumId="86">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6C85A479"/>
    <w:multiLevelType w:val="multilevel"/>
    <w:tmpl w:val="6C85A47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3"/>
  </w:num>
  <w:num w:numId="2">
    <w:abstractNumId w:val="29"/>
  </w:num>
  <w:num w:numId="3">
    <w:abstractNumId w:val="49"/>
  </w:num>
  <w:num w:numId="4">
    <w:abstractNumId w:val="48"/>
  </w:num>
  <w:num w:numId="5">
    <w:abstractNumId w:val="25"/>
  </w:num>
  <w:num w:numId="6">
    <w:abstractNumId w:val="102"/>
  </w:num>
  <w:num w:numId="7">
    <w:abstractNumId w:val="77"/>
  </w:num>
  <w:num w:numId="8">
    <w:abstractNumId w:val="101"/>
  </w:num>
  <w:num w:numId="9">
    <w:abstractNumId w:val="17"/>
  </w:num>
  <w:num w:numId="10">
    <w:abstractNumId w:val="42"/>
  </w:num>
  <w:num w:numId="11">
    <w:abstractNumId w:val="47"/>
  </w:num>
  <w:num w:numId="12">
    <w:abstractNumId w:val="21"/>
  </w:num>
  <w:num w:numId="13">
    <w:abstractNumId w:val="39"/>
  </w:num>
  <w:num w:numId="14">
    <w:abstractNumId w:val="19"/>
  </w:num>
  <w:num w:numId="15">
    <w:abstractNumId w:val="1"/>
  </w:num>
  <w:num w:numId="16">
    <w:abstractNumId w:val="0"/>
  </w:num>
  <w:num w:numId="17">
    <w:abstractNumId w:val="30"/>
  </w:num>
  <w:num w:numId="18">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2"/>
  </w:num>
  <w:num w:numId="20">
    <w:abstractNumId w:val="36"/>
  </w:num>
  <w:num w:numId="21">
    <w:abstractNumId w:val="18"/>
  </w:num>
  <w:num w:numId="22">
    <w:abstractNumId w:val="22"/>
  </w:num>
  <w:num w:numId="23">
    <w:abstractNumId w:val="20"/>
  </w:num>
  <w:num w:numId="24">
    <w:abstractNumId w:val="103"/>
  </w:num>
  <w:num w:numId="25">
    <w:abstractNumId w:val="31"/>
  </w:num>
  <w:num w:numId="26">
    <w:abstractNumId w:val="54"/>
  </w:num>
  <w:num w:numId="27">
    <w:abstractNumId w:val="55"/>
  </w:num>
  <w:num w:numId="28">
    <w:abstractNumId w:val="23"/>
  </w:num>
  <w:num w:numId="29">
    <w:abstractNumId w:val="96"/>
  </w:num>
  <w:num w:numId="30">
    <w:abstractNumId w:val="24"/>
  </w:num>
  <w:num w:numId="31">
    <w:abstractNumId w:val="13"/>
  </w:num>
  <w:num w:numId="32">
    <w:abstractNumId w:val="97"/>
  </w:num>
  <w:num w:numId="33">
    <w:abstractNumId w:val="79"/>
  </w:num>
  <w:num w:numId="34">
    <w:abstractNumId w:val="35"/>
  </w:num>
  <w:num w:numId="35">
    <w:abstractNumId w:val="50"/>
  </w:num>
  <w:num w:numId="36">
    <w:abstractNumId w:val="34"/>
  </w:num>
  <w:num w:numId="37">
    <w:abstractNumId w:val="69"/>
  </w:num>
  <w:num w:numId="38">
    <w:abstractNumId w:val="91"/>
  </w:num>
  <w:num w:numId="39">
    <w:abstractNumId w:val="60"/>
  </w:num>
  <w:num w:numId="40">
    <w:abstractNumId w:val="98"/>
  </w:num>
  <w:num w:numId="41">
    <w:abstractNumId w:val="82"/>
  </w:num>
  <w:num w:numId="42">
    <w:abstractNumId w:val="70"/>
  </w:num>
  <w:num w:numId="43">
    <w:abstractNumId w:val="46"/>
  </w:num>
  <w:num w:numId="44">
    <w:abstractNumId w:val="16"/>
  </w:num>
  <w:num w:numId="45">
    <w:abstractNumId w:val="37"/>
  </w:num>
  <w:num w:numId="46">
    <w:abstractNumId w:val="64"/>
  </w:num>
  <w:num w:numId="47">
    <w:abstractNumId w:val="81"/>
  </w:num>
  <w:num w:numId="48">
    <w:abstractNumId w:val="68"/>
  </w:num>
  <w:num w:numId="49">
    <w:abstractNumId w:val="92"/>
  </w:num>
  <w:num w:numId="50">
    <w:abstractNumId w:val="43"/>
  </w:num>
  <w:num w:numId="51">
    <w:abstractNumId w:val="94"/>
  </w:num>
  <w:num w:numId="52">
    <w:abstractNumId w:val="41"/>
  </w:num>
  <w:num w:numId="53">
    <w:abstractNumId w:val="88"/>
  </w:num>
  <w:num w:numId="54">
    <w:abstractNumId w:val="65"/>
  </w:num>
  <w:num w:numId="55">
    <w:abstractNumId w:val="72"/>
  </w:num>
  <w:num w:numId="56">
    <w:abstractNumId w:val="52"/>
  </w:num>
  <w:num w:numId="57">
    <w:abstractNumId w:val="15"/>
  </w:num>
  <w:num w:numId="58">
    <w:abstractNumId w:val="27"/>
  </w:num>
  <w:num w:numId="59">
    <w:abstractNumId w:val="61"/>
  </w:num>
  <w:num w:numId="60">
    <w:abstractNumId w:val="83"/>
  </w:num>
  <w:num w:numId="61">
    <w:abstractNumId w:val="78"/>
  </w:num>
  <w:num w:numId="62">
    <w:abstractNumId w:val="59"/>
  </w:num>
  <w:num w:numId="63">
    <w:abstractNumId w:val="75"/>
  </w:num>
  <w:num w:numId="64">
    <w:abstractNumId w:val="38"/>
  </w:num>
  <w:num w:numId="65">
    <w:abstractNumId w:val="100"/>
  </w:num>
  <w:num w:numId="66">
    <w:abstractNumId w:val="14"/>
  </w:num>
  <w:num w:numId="67">
    <w:abstractNumId w:val="84"/>
  </w:num>
  <w:num w:numId="68">
    <w:abstractNumId w:val="67"/>
  </w:num>
  <w:num w:numId="69">
    <w:abstractNumId w:val="63"/>
  </w:num>
  <w:num w:numId="70">
    <w:abstractNumId w:val="40"/>
  </w:num>
  <w:num w:numId="71">
    <w:abstractNumId w:val="26"/>
  </w:num>
  <w:num w:numId="72">
    <w:abstractNumId w:val="74"/>
  </w:num>
  <w:num w:numId="73">
    <w:abstractNumId w:val="56"/>
  </w:num>
  <w:num w:numId="74">
    <w:abstractNumId w:val="80"/>
  </w:num>
  <w:num w:numId="75">
    <w:abstractNumId w:val="76"/>
  </w:num>
  <w:num w:numId="76">
    <w:abstractNumId w:val="32"/>
  </w:num>
  <w:num w:numId="77">
    <w:abstractNumId w:val="99"/>
  </w:num>
  <w:num w:numId="78">
    <w:abstractNumId w:val="93"/>
  </w:num>
  <w:num w:numId="79">
    <w:abstractNumId w:val="44"/>
  </w:num>
  <w:num w:numId="80">
    <w:abstractNumId w:val="33"/>
  </w:num>
  <w:num w:numId="81">
    <w:abstractNumId w:val="86"/>
  </w:num>
  <w:num w:numId="82">
    <w:abstractNumId w:val="8"/>
  </w:num>
  <w:num w:numId="83">
    <w:abstractNumId w:val="6"/>
  </w:num>
  <w:num w:numId="84">
    <w:abstractNumId w:val="12"/>
  </w:num>
  <w:num w:numId="85">
    <w:abstractNumId w:val="66"/>
  </w:num>
  <w:num w:numId="86">
    <w:abstractNumId w:val="90"/>
  </w:num>
  <w:num w:numId="87">
    <w:abstractNumId w:val="73"/>
  </w:num>
  <w:num w:numId="88">
    <w:abstractNumId w:val="5"/>
  </w:num>
  <w:num w:numId="89">
    <w:abstractNumId w:val="7"/>
  </w:num>
  <w:num w:numId="90">
    <w:abstractNumId w:val="2"/>
  </w:num>
  <w:num w:numId="91">
    <w:abstractNumId w:val="95"/>
  </w:num>
  <w:num w:numId="92">
    <w:abstractNumId w:val="3"/>
  </w:num>
  <w:num w:numId="93">
    <w:abstractNumId w:val="85"/>
  </w:num>
  <w:num w:numId="94">
    <w:abstractNumId w:val="51"/>
  </w:num>
  <w:num w:numId="95">
    <w:abstractNumId w:val="11"/>
  </w:num>
  <w:num w:numId="96">
    <w:abstractNumId w:val="4"/>
  </w:num>
  <w:num w:numId="97">
    <w:abstractNumId w:val="45"/>
  </w:num>
  <w:num w:numId="98">
    <w:abstractNumId w:val="58"/>
  </w:num>
  <w:num w:numId="99">
    <w:abstractNumId w:val="89"/>
  </w:num>
  <w:num w:numId="100">
    <w:abstractNumId w:val="9"/>
  </w:num>
  <w:num w:numId="101">
    <w:abstractNumId w:val="10"/>
  </w:num>
  <w:num w:numId="102">
    <w:abstractNumId w:val="28"/>
  </w:num>
  <w:num w:numId="103">
    <w:abstractNumId w:val="87"/>
  </w:num>
  <w:num w:numId="104">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5E1E"/>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33B6E7D"/>
    <w:rsid w:val="033D6862"/>
    <w:rsid w:val="04C36F72"/>
    <w:rsid w:val="05212394"/>
    <w:rsid w:val="06930D7E"/>
    <w:rsid w:val="06EE4206"/>
    <w:rsid w:val="09EA0C98"/>
    <w:rsid w:val="0A487D42"/>
    <w:rsid w:val="0A8E51BD"/>
    <w:rsid w:val="0A8F242E"/>
    <w:rsid w:val="0AB56615"/>
    <w:rsid w:val="10071369"/>
    <w:rsid w:val="11647A4F"/>
    <w:rsid w:val="119613BE"/>
    <w:rsid w:val="11B928CB"/>
    <w:rsid w:val="16797F90"/>
    <w:rsid w:val="16B70B6C"/>
    <w:rsid w:val="170711AC"/>
    <w:rsid w:val="17D77582"/>
    <w:rsid w:val="18976EEF"/>
    <w:rsid w:val="192C2DF4"/>
    <w:rsid w:val="19780C73"/>
    <w:rsid w:val="19930995"/>
    <w:rsid w:val="1B1A33C4"/>
    <w:rsid w:val="1BE0460E"/>
    <w:rsid w:val="1C224F89"/>
    <w:rsid w:val="1D69418F"/>
    <w:rsid w:val="1E0C16EA"/>
    <w:rsid w:val="21A14137"/>
    <w:rsid w:val="230010F2"/>
    <w:rsid w:val="237154E5"/>
    <w:rsid w:val="23EE3640"/>
    <w:rsid w:val="256577EB"/>
    <w:rsid w:val="26542CAA"/>
    <w:rsid w:val="27D52D46"/>
    <w:rsid w:val="27F009E7"/>
    <w:rsid w:val="284D6B87"/>
    <w:rsid w:val="28812CD5"/>
    <w:rsid w:val="2AE91872"/>
    <w:rsid w:val="2DB87198"/>
    <w:rsid w:val="2F0D53F4"/>
    <w:rsid w:val="312564F4"/>
    <w:rsid w:val="314F3970"/>
    <w:rsid w:val="33581EED"/>
    <w:rsid w:val="3BB50897"/>
    <w:rsid w:val="3DCC7B36"/>
    <w:rsid w:val="3E3D0FF4"/>
    <w:rsid w:val="3FB36478"/>
    <w:rsid w:val="406250BB"/>
    <w:rsid w:val="418412D1"/>
    <w:rsid w:val="42033710"/>
    <w:rsid w:val="4245123D"/>
    <w:rsid w:val="43760FB2"/>
    <w:rsid w:val="43D761B4"/>
    <w:rsid w:val="448F7DDB"/>
    <w:rsid w:val="44CE379F"/>
    <w:rsid w:val="45B95404"/>
    <w:rsid w:val="47B60184"/>
    <w:rsid w:val="47CC42DC"/>
    <w:rsid w:val="49144A8D"/>
    <w:rsid w:val="497E0E3E"/>
    <w:rsid w:val="49A4496C"/>
    <w:rsid w:val="49DE0F52"/>
    <w:rsid w:val="4A56349A"/>
    <w:rsid w:val="4C045886"/>
    <w:rsid w:val="4C8147A2"/>
    <w:rsid w:val="4D2C2C5D"/>
    <w:rsid w:val="4D6F0072"/>
    <w:rsid w:val="4D8331E2"/>
    <w:rsid w:val="4D9E773D"/>
    <w:rsid w:val="4EB726FD"/>
    <w:rsid w:val="4F0A5FD9"/>
    <w:rsid w:val="4F0F079A"/>
    <w:rsid w:val="4F2A1CC8"/>
    <w:rsid w:val="506D728C"/>
    <w:rsid w:val="51532BB1"/>
    <w:rsid w:val="51965659"/>
    <w:rsid w:val="51DC359D"/>
    <w:rsid w:val="52012A35"/>
    <w:rsid w:val="56FA5424"/>
    <w:rsid w:val="58841449"/>
    <w:rsid w:val="5C1A041F"/>
    <w:rsid w:val="5F2462A5"/>
    <w:rsid w:val="627956E9"/>
    <w:rsid w:val="638C48B6"/>
    <w:rsid w:val="63AB4186"/>
    <w:rsid w:val="63FA333D"/>
    <w:rsid w:val="6A082C8B"/>
    <w:rsid w:val="6A0C16F7"/>
    <w:rsid w:val="6B642A5C"/>
    <w:rsid w:val="6D0448B3"/>
    <w:rsid w:val="6D927D32"/>
    <w:rsid w:val="6F1A6664"/>
    <w:rsid w:val="6FBF9311"/>
    <w:rsid w:val="70114CEC"/>
    <w:rsid w:val="738A200A"/>
    <w:rsid w:val="73D47729"/>
    <w:rsid w:val="74A94712"/>
    <w:rsid w:val="75EB1BC8"/>
    <w:rsid w:val="75F554C5"/>
    <w:rsid w:val="778E7BEF"/>
    <w:rsid w:val="779F016E"/>
    <w:rsid w:val="77C912FA"/>
    <w:rsid w:val="780D4FB8"/>
    <w:rsid w:val="787A7F08"/>
    <w:rsid w:val="79570BE0"/>
    <w:rsid w:val="7B2745E3"/>
    <w:rsid w:val="7C5F1143"/>
    <w:rsid w:val="7E875C37"/>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68</Pages>
  <Words>6092</Words>
  <Characters>6643</Characters>
  <Lines>370</Lines>
  <Paragraphs>104</Paragraphs>
  <TotalTime>0</TotalTime>
  <ScaleCrop>false</ScaleCrop>
  <LinksUpToDate>false</LinksUpToDate>
  <CharactersWithSpaces>6777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WPS_1583285465</cp:lastModifiedBy>
  <cp:lastPrinted>2019-08-12T07:35:00Z</cp:lastPrinted>
  <dcterms:modified xsi:type="dcterms:W3CDTF">2025-07-01T10:29:53Z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5FB7159D75BF48D69E79FAE1CDD8DB7B_12</vt:lpwstr>
  </property>
  <property fmtid="{D5CDD505-2E9C-101B-9397-08002B2CF9AE}" pid="4" name="KSOTemplateDocerSaveRecord">
    <vt:lpwstr>eyJoZGlkIjoiZmRhMmFmYjM3OWE4N2ViMTFmMDk1NGM5ZGE2M2MzZDciLCJ1c2VySWQiOiI4ODQ5MTAzMjQifQ==</vt:lpwstr>
  </property>
</Properties>
</file>