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21"/>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ZHDGZC2025038</w:t>
      </w:r>
    </w:p>
    <w:p w14:paraId="68612354">
      <w:pPr>
        <w:pStyle w:val="21"/>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鸦片战争博物馆2025—2026年业务系统运行维护及网络安全维护服务项目</w:t>
      </w:r>
    </w:p>
    <w:p w14:paraId="71953F7B">
      <w:pPr>
        <w:pStyle w:val="21"/>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鸦片战争博物馆</w:t>
      </w:r>
    </w:p>
    <w:p w14:paraId="05B13617">
      <w:pPr>
        <w:pStyle w:val="21"/>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06A32D39">
          <w:pPr>
            <w:pStyle w:val="35"/>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3971E772">
          <w:pPr>
            <w:pStyle w:val="12"/>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_Toc28243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lang w:eastAsia="zh-Hans"/>
            </w:rPr>
            <w:t>第一章</w:t>
          </w:r>
          <w:r>
            <w:rPr>
              <w:rFonts w:hint="eastAsia" w:ascii="宋体" w:hAnsi="宋体" w:eastAsia="宋体" w:cs="宋体"/>
              <w:color w:val="auto"/>
              <w:kern w:val="0"/>
              <w:sz w:val="24"/>
              <w:szCs w:val="24"/>
              <w:highlight w:val="none"/>
            </w:rPr>
            <w:t xml:space="preserve"> </w:t>
          </w:r>
          <w:r>
            <w:rPr>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_Toc28243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7BC8B46">
          <w:pPr>
            <w:pStyle w:val="12"/>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_Toc26805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_Toc26805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59325D7">
          <w:pPr>
            <w:pStyle w:val="12"/>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_Toc31121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_Toc31121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02330B65">
          <w:pPr>
            <w:pStyle w:val="12"/>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_Toc12896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_Toc12896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0DECCFF1">
          <w:pPr>
            <w:pStyle w:val="12"/>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_Toc17273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_Toc17273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56F736F1">
          <w:pPr>
            <w:pStyle w:val="12"/>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_Toc9360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_Toc9360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ascii="宋体" w:hAnsi="宋体" w:eastAsia="宋体" w:cs="宋体"/>
              <w:color w:val="auto"/>
              <w:sz w:val="24"/>
              <w:szCs w:val="24"/>
              <w:highlight w:val="none"/>
              <w:lang w:val="zh-CN"/>
            </w:rPr>
            <w:fldChar w:fldCharType="end"/>
          </w:r>
          <w:bookmarkStart w:id="0" w:name="_Toc169799778"/>
        </w:p>
      </w:sdtContent>
    </w:sdt>
    <w:p w14:paraId="3FDBEE04">
      <w:pPr>
        <w:pageBreakBefore/>
        <w:jc w:val="center"/>
        <w:outlineLvl w:val="1"/>
        <w:rPr>
          <w:rFonts w:ascii="Calibri" w:hAnsi="Calibri" w:eastAsia="宋体" w:cs="Times New Roman"/>
          <w:color w:val="auto"/>
          <w:kern w:val="0"/>
          <w:sz w:val="20"/>
          <w:szCs w:val="20"/>
          <w:highlight w:val="none"/>
          <w:lang w:eastAsia="zh-Hans"/>
        </w:rPr>
      </w:pPr>
      <w:bookmarkStart w:id="1" w:name="_Toc28243"/>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lang w:eastAsia="zh-CN"/>
        </w:rPr>
        <w:t>鸦片战争博物馆2025—2026年业务系统运行维护及网络安全维护服务项目</w:t>
      </w:r>
      <w:r>
        <w:rPr>
          <w:rFonts w:ascii="宋体" w:hAnsi="宋体" w:eastAsia="宋体" w:cs="Times New Roman"/>
          <w:color w:val="auto"/>
          <w:kern w:val="0"/>
          <w:szCs w:val="21"/>
          <w:highlight w:val="none"/>
          <w:lang w:eastAsia="zh-Hans"/>
        </w:rPr>
        <w:t>的潜在投标人应在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u w:val="single"/>
          <w:lang w:val="en-US" w:eastAsia="zh-CN"/>
        </w:rPr>
        <w:t>07</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u w:val="single"/>
          <w:lang w:val="en-US" w:eastAsia="zh-CN"/>
        </w:rPr>
        <w:t>23</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u w:val="single"/>
          <w:lang w:val="en-US" w:eastAsia="zh-CN"/>
        </w:rPr>
        <w:t>14</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分（北京时间）前递交投标文件。</w:t>
      </w:r>
    </w:p>
    <w:p w14:paraId="038A673F">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6FA7A10B">
      <w:pPr>
        <w:pStyle w:val="27"/>
        <w:widowControl/>
        <w:numPr>
          <w:ilvl w:val="0"/>
          <w:numId w:val="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7F91CC8D">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项目编号：ZHDGZC2025038</w:t>
      </w:r>
    </w:p>
    <w:p w14:paraId="0CDA15F1">
      <w:pPr>
        <w:widowControl/>
        <w:jc w:val="left"/>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CN"/>
        </w:rPr>
        <w:t>鸦片战争博物馆2025—2026年业务系统运行维护及网络安全维护服务项目</w:t>
      </w:r>
    </w:p>
    <w:p w14:paraId="7DC223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1BD8488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493,900.00元</w:t>
      </w:r>
    </w:p>
    <w:p w14:paraId="53624B76">
      <w:pPr>
        <w:pStyle w:val="27"/>
        <w:widowControl/>
        <w:numPr>
          <w:ilvl w:val="0"/>
          <w:numId w:val="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hint="eastAsia" w:ascii="宋体" w:hAnsi="宋体" w:eastAsia="宋体" w:cs="Times New Roman"/>
          <w:b/>
          <w:color w:val="auto"/>
          <w:kern w:val="0"/>
          <w:szCs w:val="21"/>
          <w:highlight w:val="none"/>
          <w:lang w:eastAsia="zh-CN"/>
        </w:rPr>
        <w:t>：</w:t>
      </w: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3054"/>
        <w:gridCol w:w="1582"/>
        <w:gridCol w:w="704"/>
        <w:gridCol w:w="659"/>
        <w:gridCol w:w="2568"/>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384" w:type="pct"/>
            <w:vAlign w:val="center"/>
          </w:tcPr>
          <w:p w14:paraId="427A8EC7">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645" w:type="pct"/>
            <w:vAlign w:val="center"/>
          </w:tcPr>
          <w:p w14:paraId="72C4323F">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852" w:type="pct"/>
            <w:vAlign w:val="center"/>
          </w:tcPr>
          <w:p w14:paraId="6BC87F70">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预算金额（元）</w:t>
            </w:r>
          </w:p>
        </w:tc>
        <w:tc>
          <w:tcPr>
            <w:tcW w:w="379" w:type="pct"/>
            <w:vAlign w:val="center"/>
          </w:tcPr>
          <w:p w14:paraId="05CDE2E7">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数量</w:t>
            </w:r>
          </w:p>
        </w:tc>
        <w:tc>
          <w:tcPr>
            <w:tcW w:w="355" w:type="pct"/>
            <w:vAlign w:val="center"/>
          </w:tcPr>
          <w:p w14:paraId="3DD5745A">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单位</w:t>
            </w:r>
          </w:p>
        </w:tc>
        <w:tc>
          <w:tcPr>
            <w:tcW w:w="1383" w:type="pct"/>
            <w:vAlign w:val="center"/>
          </w:tcPr>
          <w:p w14:paraId="46866B18">
            <w:pPr>
              <w:widowControl/>
              <w:jc w:val="center"/>
              <w:rPr>
                <w:rFonts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384" w:type="pct"/>
            <w:vAlign w:val="center"/>
          </w:tcPr>
          <w:p w14:paraId="6DC1FBC2">
            <w:pPr>
              <w:widowControl/>
              <w:jc w:val="center"/>
              <w:rPr>
                <w:rFonts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645" w:type="pct"/>
            <w:vAlign w:val="center"/>
          </w:tcPr>
          <w:p w14:paraId="45E441AE">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lang w:eastAsia="zh-Hans"/>
              </w:rPr>
              <w:t>鸦片战争博物馆2025—2026年业务系统运行维护及网络安全维护服务项目</w:t>
            </w:r>
          </w:p>
        </w:tc>
        <w:tc>
          <w:tcPr>
            <w:tcW w:w="852" w:type="pct"/>
            <w:vAlign w:val="center"/>
          </w:tcPr>
          <w:p w14:paraId="60B881F5">
            <w:pPr>
              <w:widowControl/>
              <w:jc w:val="center"/>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eastAsia="zh-Hans"/>
              </w:rPr>
              <w:t>493,900.00</w:t>
            </w:r>
          </w:p>
        </w:tc>
        <w:tc>
          <w:tcPr>
            <w:tcW w:w="379" w:type="pct"/>
            <w:vAlign w:val="center"/>
          </w:tcPr>
          <w:p w14:paraId="215E745D">
            <w:pPr>
              <w:widowControl/>
              <w:jc w:val="center"/>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w:t>
            </w:r>
          </w:p>
        </w:tc>
        <w:tc>
          <w:tcPr>
            <w:tcW w:w="355" w:type="pct"/>
            <w:vAlign w:val="center"/>
          </w:tcPr>
          <w:p w14:paraId="0D05EEAD">
            <w:pPr>
              <w:widowControl/>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项</w:t>
            </w:r>
          </w:p>
        </w:tc>
        <w:tc>
          <w:tcPr>
            <w:tcW w:w="1383" w:type="pct"/>
            <w:vAlign w:val="center"/>
          </w:tcPr>
          <w:p w14:paraId="3FA2DDE4">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2C908FC7">
      <w:pPr>
        <w:widowControl/>
        <w:jc w:val="left"/>
        <w:rPr>
          <w:rFonts w:hint="default" w:ascii="Calibri" w:hAnsi="Calibri" w:eastAsia="宋体" w:cs="Times New Roman"/>
          <w:color w:val="auto"/>
          <w:kern w:val="0"/>
          <w:sz w:val="20"/>
          <w:szCs w:val="20"/>
          <w:highlight w:val="none"/>
          <w:lang w:val="en-US" w:eastAsia="zh-CN"/>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val="en-US" w:eastAsia="zh-CN"/>
        </w:rPr>
        <w:t>自合同签订之日起1年（拟自2025年10月1日起至2026年9月30日止）。</w:t>
      </w:r>
    </w:p>
    <w:p w14:paraId="1ED4D63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不接受</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联合体投标。</w:t>
      </w:r>
    </w:p>
    <w:p w14:paraId="40E89C6F">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1F2245C">
      <w:pPr>
        <w:pStyle w:val="27"/>
        <w:widowControl/>
        <w:numPr>
          <w:ilvl w:val="0"/>
          <w:numId w:val="3"/>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1C87821">
      <w:pPr>
        <w:pStyle w:val="27"/>
        <w:keepNext w:val="0"/>
        <w:keepLines w:val="0"/>
        <w:pageBreakBefore w:val="0"/>
        <w:widowControl w:val="0"/>
        <w:numPr>
          <w:ilvl w:val="0"/>
          <w:numId w:val="4"/>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lang w:eastAsia="zh-CN"/>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7"/>
        <w:keepNext w:val="0"/>
        <w:keepLines w:val="0"/>
        <w:pageBreakBefore w:val="0"/>
        <w:widowControl w:val="0"/>
        <w:numPr>
          <w:ilvl w:val="0"/>
          <w:numId w:val="4"/>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9231421">
      <w:pPr>
        <w:pStyle w:val="27"/>
        <w:keepNext w:val="0"/>
        <w:keepLines w:val="0"/>
        <w:pageBreakBefore w:val="0"/>
        <w:widowControl w:val="0"/>
        <w:numPr>
          <w:ilvl w:val="0"/>
          <w:numId w:val="4"/>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在投标文件中填报设备及专业技术能力情况或提供资格条件承诺函（详见投标文件格式）。</w:t>
      </w:r>
    </w:p>
    <w:p w14:paraId="0C98F864">
      <w:pPr>
        <w:pStyle w:val="27"/>
        <w:keepNext w:val="0"/>
        <w:keepLines w:val="0"/>
        <w:pageBreakBefore w:val="0"/>
        <w:widowControl w:val="0"/>
        <w:numPr>
          <w:ilvl w:val="0"/>
          <w:numId w:val="4"/>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DDDE317">
      <w:pPr>
        <w:pStyle w:val="27"/>
        <w:keepNext w:val="0"/>
        <w:keepLines w:val="0"/>
        <w:pageBreakBefore w:val="0"/>
        <w:widowControl w:val="0"/>
        <w:numPr>
          <w:ilvl w:val="0"/>
          <w:numId w:val="4"/>
        </w:numPr>
        <w:kinsoku/>
        <w:wordWrap/>
        <w:overflowPunct/>
        <w:topLinePunct w:val="0"/>
        <w:autoSpaceDE/>
        <w:autoSpaceDN/>
        <w:bidi w:val="0"/>
        <w:adjustRightInd/>
        <w:snapToGrid/>
        <w:ind w:left="442" w:hanging="442"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169E291">
      <w:pPr>
        <w:pStyle w:val="27"/>
        <w:widowControl/>
        <w:numPr>
          <w:ilvl w:val="0"/>
          <w:numId w:val="3"/>
        </w:numPr>
        <w:ind w:firstLineChars="0"/>
        <w:jc w:val="left"/>
        <w:outlineLvl w:val="3"/>
        <w:rPr>
          <w:rFonts w:ascii="Calibri" w:hAnsi="Calibri" w:eastAsia="宋体" w:cs="Times New Roman"/>
          <w:b w:val="0"/>
          <w:bCs/>
          <w:color w:val="auto"/>
          <w:kern w:val="0"/>
          <w:szCs w:val="21"/>
          <w:highlight w:val="none"/>
        </w:rPr>
      </w:pPr>
      <w:bookmarkStart w:id="4" w:name="_Hlk169874618"/>
      <w:r>
        <w:rPr>
          <w:rFonts w:ascii="Calibri" w:hAnsi="Calibri" w:eastAsia="宋体" w:cs="Times New Roman"/>
          <w:b/>
          <w:bCs w:val="0"/>
          <w:color w:val="auto"/>
          <w:kern w:val="0"/>
          <w:szCs w:val="21"/>
          <w:highlight w:val="none"/>
          <w:lang w:eastAsia="zh-Hans"/>
        </w:rPr>
        <w:t>落实政府采购政策需满足的资格要求：</w:t>
      </w:r>
      <w:r>
        <w:rPr>
          <w:rFonts w:hint="eastAsia" w:ascii="Calibri" w:hAnsi="Calibri" w:eastAsia="宋体" w:cs="Times New Roman"/>
          <w:b w:val="0"/>
          <w:bCs/>
          <w:color w:val="auto"/>
          <w:kern w:val="0"/>
          <w:szCs w:val="21"/>
          <w:highlight w:val="none"/>
          <w:lang w:val="en-US" w:eastAsia="zh-CN"/>
        </w:rPr>
        <w:t>无</w:t>
      </w:r>
      <w:r>
        <w:rPr>
          <w:rFonts w:hint="eastAsia" w:ascii="Calibri" w:hAnsi="Calibri" w:eastAsia="宋体" w:cs="Times New Roman"/>
          <w:b w:val="0"/>
          <w:bCs/>
          <w:color w:val="auto"/>
          <w:kern w:val="0"/>
          <w:szCs w:val="21"/>
          <w:highlight w:val="none"/>
          <w:lang w:eastAsia="zh-CN"/>
        </w:rPr>
        <w:t>。</w:t>
      </w:r>
    </w:p>
    <w:p w14:paraId="7D350B23">
      <w:pPr>
        <w:pStyle w:val="27"/>
        <w:widowControl/>
        <w:numPr>
          <w:ilvl w:val="0"/>
          <w:numId w:val="3"/>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8E4E1BC">
      <w:pPr>
        <w:pStyle w:val="27"/>
        <w:keepNext w:val="0"/>
        <w:keepLines w:val="0"/>
        <w:pageBreakBefore w:val="0"/>
        <w:widowControl/>
        <w:numPr>
          <w:ilvl w:val="0"/>
          <w:numId w:val="5"/>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7"/>
        <w:widowControl/>
        <w:numPr>
          <w:ilvl w:val="0"/>
          <w:numId w:val="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color w:val="auto"/>
          <w:kern w:val="0"/>
          <w:szCs w:val="21"/>
          <w:highlight w:val="none"/>
        </w:rPr>
        <w:t>提供资格条件承诺函（详见投标文件格式）。</w:t>
      </w:r>
    </w:p>
    <w:bookmarkEnd w:id="3"/>
    <w:bookmarkEnd w:id="4"/>
    <w:p w14:paraId="51ED73A6">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E969CEA">
      <w:pPr>
        <w:pStyle w:val="21"/>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kern w:val="0"/>
          <w:sz w:val="21"/>
          <w:szCs w:val="21"/>
          <w:highlight w:val="none"/>
          <w:u w:val="single"/>
          <w:lang w:val="en-US" w:eastAsia="zh-CN"/>
        </w:rPr>
        <w:t>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u w:val="single"/>
          <w:lang w:val="en-US" w:eastAsia="zh-CN"/>
        </w:rPr>
        <w:t>07</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u w:val="single"/>
          <w:lang w:val="en-US" w:eastAsia="zh-CN"/>
        </w:rPr>
        <w:t>02</w:t>
      </w:r>
      <w:r>
        <w:rPr>
          <w:rFonts w:ascii="宋体" w:hAnsi="宋体" w:eastAsia="宋体" w:cs="Times New Roman"/>
          <w:color w:val="auto"/>
          <w:kern w:val="0"/>
          <w:sz w:val="21"/>
          <w:szCs w:val="21"/>
          <w:highlight w:val="none"/>
          <w:lang w:eastAsia="zh-Hans"/>
        </w:rPr>
        <w:t>日</w:t>
      </w:r>
      <w:r>
        <w:rPr>
          <w:rFonts w:ascii="宋体" w:hAnsi="宋体" w:eastAsia="宋体" w:cs="Times New Roman"/>
          <w:color w:val="auto"/>
          <w:sz w:val="21"/>
          <w:szCs w:val="21"/>
          <w:highlight w:val="none"/>
          <w:lang w:eastAsia="zh-CN"/>
        </w:rPr>
        <w:t>至</w:t>
      </w:r>
      <w:r>
        <w:rPr>
          <w:rFonts w:hint="eastAsia" w:ascii="宋体" w:hAnsi="宋体" w:eastAsia="宋体" w:cs="Times New Roman"/>
          <w:color w:val="auto"/>
          <w:kern w:val="0"/>
          <w:sz w:val="21"/>
          <w:szCs w:val="21"/>
          <w:highlight w:val="none"/>
          <w:u w:val="single"/>
          <w:lang w:val="en-US" w:eastAsia="zh-CN"/>
        </w:rPr>
        <w:t>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u w:val="single"/>
          <w:lang w:val="en-US" w:eastAsia="zh-CN"/>
        </w:rPr>
        <w:t>07</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u w:val="single"/>
          <w:lang w:val="en-US" w:eastAsia="zh-CN"/>
        </w:rPr>
        <w:t>09</w:t>
      </w:r>
      <w:r>
        <w:rPr>
          <w:rFonts w:ascii="宋体" w:hAnsi="宋体" w:eastAsia="宋体" w:cs="Times New Roman"/>
          <w:color w:val="auto"/>
          <w:kern w:val="0"/>
          <w:sz w:val="21"/>
          <w:szCs w:val="21"/>
          <w:highlight w:val="none"/>
          <w:lang w:eastAsia="zh-Hans"/>
        </w:rPr>
        <w:t>日</w:t>
      </w:r>
      <w:r>
        <w:rPr>
          <w:rFonts w:ascii="宋体" w:hAnsi="宋体" w:eastAsia="宋体" w:cs="Times New Roman"/>
          <w:color w:val="auto"/>
          <w:sz w:val="21"/>
          <w:szCs w:val="21"/>
          <w:highlight w:val="none"/>
          <w:lang w:eastAsia="zh-CN"/>
        </w:rPr>
        <w:t>，每天上午9</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00至12</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00，下午14</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30至17</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30。（北京时间，法定节假日除外）</w:t>
      </w:r>
    </w:p>
    <w:p w14:paraId="36BBA40B">
      <w:pPr>
        <w:pStyle w:val="21"/>
        <w:keepNext w:val="0"/>
        <w:keepLines w:val="0"/>
        <w:pageBreakBefore w:val="0"/>
        <w:widowControl/>
        <w:kinsoku/>
        <w:wordWrap/>
        <w:overflowPunct/>
        <w:topLinePunct w:val="0"/>
        <w:autoSpaceDE/>
        <w:autoSpaceDN/>
        <w:bidi w:val="0"/>
        <w:adjustRightInd/>
        <w:snapToGrid/>
        <w:ind w:left="945" w:leftChars="200" w:hanging="525" w:hangingChars="25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r>
        <w:rPr>
          <w:rFonts w:ascii="宋体" w:hAnsi="宋体" w:eastAsia="宋体" w:cs="Times New Roman"/>
          <w:color w:val="auto"/>
          <w:sz w:val="21"/>
          <w:szCs w:val="21"/>
          <w:highlight w:val="none"/>
        </w:rPr>
        <w:t>或微信搜索公众号“广东智汇城市招标采购有限公司”。</w:t>
      </w:r>
    </w:p>
    <w:p w14:paraId="50D49FD9">
      <w:pPr>
        <w:pStyle w:val="21"/>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001837DA">
      <w:pPr>
        <w:pStyle w:val="21"/>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C2345BE">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0374F8F">
      <w:pPr>
        <w:pStyle w:val="21"/>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时间：</w:t>
      </w:r>
      <w:r>
        <w:rPr>
          <w:rFonts w:hint="eastAsia" w:ascii="宋体" w:hAnsi="宋体" w:eastAsia="宋体" w:cs="Times New Roman"/>
          <w:color w:val="auto"/>
          <w:kern w:val="0"/>
          <w:sz w:val="21"/>
          <w:szCs w:val="21"/>
          <w:highlight w:val="none"/>
          <w:u w:val="single"/>
          <w:lang w:val="en-US" w:eastAsia="zh-CN"/>
        </w:rPr>
        <w:t>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u w:val="single"/>
          <w:lang w:val="en-US" w:eastAsia="zh-CN"/>
        </w:rPr>
        <w:t>07</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u w:val="single"/>
          <w:lang w:val="en-US" w:eastAsia="zh-CN"/>
        </w:rPr>
        <w:t>23</w:t>
      </w:r>
      <w:r>
        <w:rPr>
          <w:rFonts w:ascii="宋体" w:hAnsi="宋体" w:eastAsia="宋体" w:cs="Times New Roman"/>
          <w:color w:val="auto"/>
          <w:kern w:val="0"/>
          <w:sz w:val="21"/>
          <w:szCs w:val="21"/>
          <w:highlight w:val="none"/>
          <w:lang w:eastAsia="zh-Hans"/>
        </w:rPr>
        <w:t>日</w:t>
      </w:r>
      <w:r>
        <w:rPr>
          <w:rFonts w:hint="eastAsia" w:ascii="宋体" w:hAnsi="宋体" w:eastAsia="宋体" w:cs="Times New Roman"/>
          <w:color w:val="auto"/>
          <w:kern w:val="0"/>
          <w:sz w:val="21"/>
          <w:szCs w:val="21"/>
          <w:highlight w:val="none"/>
          <w:u w:val="single"/>
          <w:lang w:val="en-US" w:eastAsia="zh-CN"/>
        </w:rPr>
        <w:t>14</w:t>
      </w:r>
      <w:r>
        <w:rPr>
          <w:rFonts w:ascii="宋体" w:hAnsi="宋体" w:eastAsia="宋体" w:cs="Times New Roman"/>
          <w:color w:val="auto"/>
          <w:kern w:val="0"/>
          <w:sz w:val="21"/>
          <w:szCs w:val="21"/>
          <w:highlight w:val="none"/>
          <w:lang w:eastAsia="zh-Hans"/>
        </w:rPr>
        <w:t>点</w:t>
      </w:r>
      <w:r>
        <w:rPr>
          <w:rFonts w:hint="eastAsia" w:ascii="宋体" w:hAnsi="宋体" w:eastAsia="宋体" w:cs="Times New Roman"/>
          <w:color w:val="auto"/>
          <w:kern w:val="0"/>
          <w:sz w:val="21"/>
          <w:szCs w:val="21"/>
          <w:highlight w:val="none"/>
          <w:u w:val="single"/>
          <w:lang w:val="en-US" w:eastAsia="zh-CN"/>
        </w:rPr>
        <w:t>30</w:t>
      </w:r>
      <w:r>
        <w:rPr>
          <w:rFonts w:ascii="宋体" w:hAnsi="宋体" w:eastAsia="宋体" w:cs="Times New Roman"/>
          <w:color w:val="auto"/>
          <w:kern w:val="0"/>
          <w:sz w:val="21"/>
          <w:szCs w:val="21"/>
          <w:highlight w:val="none"/>
          <w:lang w:eastAsia="zh-Hans"/>
        </w:rPr>
        <w:t>分</w:t>
      </w:r>
      <w:r>
        <w:rPr>
          <w:rFonts w:ascii="宋体" w:hAnsi="宋体" w:eastAsia="宋体" w:cs="Times New Roman"/>
          <w:color w:val="auto"/>
          <w:sz w:val="21"/>
          <w:szCs w:val="21"/>
          <w:highlight w:val="none"/>
        </w:rPr>
        <w:t>（北京时间）（自招标文件开始发出之日起至投标人提交投标文件截止之日止，不得少于20日）</w:t>
      </w:r>
    </w:p>
    <w:p w14:paraId="54F3F7A4">
      <w:pPr>
        <w:pStyle w:val="21"/>
        <w:keepNext w:val="0"/>
        <w:keepLines w:val="0"/>
        <w:pageBreakBefore w:val="0"/>
        <w:widowControl/>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p>
    <w:p w14:paraId="2E702E7D">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0B43812">
      <w:pPr>
        <w:pStyle w:val="21"/>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3CD7C908">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61A159E2">
      <w:pPr>
        <w:pStyle w:val="21"/>
        <w:numPr>
          <w:ilvl w:val="0"/>
          <w:numId w:val="6"/>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1"/>
        <w:numPr>
          <w:ilvl w:val="0"/>
          <w:numId w:val="6"/>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软件和信息技术服务业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33DAD7C9">
      <w:pPr>
        <w:pStyle w:val="21"/>
        <w:numPr>
          <w:ilvl w:val="0"/>
          <w:numId w:val="6"/>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06FC1B2B">
      <w:pPr>
        <w:pStyle w:val="21"/>
        <w:keepNext w:val="0"/>
        <w:keepLines w:val="0"/>
        <w:pageBreakBefore w:val="0"/>
        <w:widowControl/>
        <w:kinsoku/>
        <w:wordWrap/>
        <w:overflowPunct/>
        <w:topLinePunct w:val="0"/>
        <w:autoSpaceDE/>
        <w:autoSpaceDN/>
        <w:bidi w:val="0"/>
        <w:adjustRightInd/>
        <w:snapToGrid/>
        <w:ind w:left="0" w:leftChars="0" w:firstLine="420" w:firstLineChars="200"/>
        <w:textAlignment w:val="auto"/>
        <w:rPr>
          <w:rFonts w:hint="default" w:ascii="宋体" w:hAnsi="宋体" w:eastAsia="宋体" w:cs="Times New Roman"/>
          <w:color w:val="auto"/>
          <w:spacing w:val="0"/>
          <w:sz w:val="21"/>
          <w:szCs w:val="21"/>
          <w:highlight w:val="none"/>
          <w:lang w:eastAsia="zh-CN"/>
        </w:rPr>
      </w:pPr>
      <w:r>
        <w:rPr>
          <w:rFonts w:ascii="宋体" w:hAnsi="宋体" w:eastAsia="宋体" w:cs="Times New Roman"/>
          <w:color w:val="auto"/>
          <w:spacing w:val="0"/>
          <w:sz w:val="21"/>
          <w:szCs w:val="21"/>
          <w:highlight w:val="none"/>
        </w:rPr>
        <w:t>中国采购与招标网（https://zbdt.chinabidding.cn/）、广东智汇城市招标采购有限公司网站(http://www.gdzhcity.com/)</w:t>
      </w:r>
    </w:p>
    <w:p w14:paraId="5E1239F4">
      <w:pPr>
        <w:pStyle w:val="21"/>
        <w:numPr>
          <w:ilvl w:val="0"/>
          <w:numId w:val="6"/>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21"/>
        <w:numPr>
          <w:ilvl w:val="0"/>
          <w:numId w:val="6"/>
        </w:numPr>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 邮箱：zhcity_gd@163.com</w:t>
      </w:r>
    </w:p>
    <w:p w14:paraId="2B464B6F">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42C8994C">
      <w:pPr>
        <w:pStyle w:val="21"/>
        <w:numPr>
          <w:ilvl w:val="0"/>
          <w:numId w:val="7"/>
        </w:numPr>
        <w:ind w:left="284" w:hanging="284"/>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24ADC663">
      <w:pPr>
        <w:pStyle w:val="21"/>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w:t>
      </w:r>
      <w:r>
        <w:rPr>
          <w:rFonts w:hint="eastAsia" w:ascii="宋体" w:hAnsi="宋体" w:eastAsia="宋体" w:cs="Times New Roman"/>
          <w:color w:val="auto"/>
          <w:sz w:val="21"/>
          <w:szCs w:val="21"/>
          <w:highlight w:val="none"/>
        </w:rPr>
        <w:t>鸦片战争博物馆</w:t>
      </w:r>
    </w:p>
    <w:p w14:paraId="39A08C45">
      <w:pPr>
        <w:pStyle w:val="21"/>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东莞市虎门镇解放路113号</w:t>
      </w:r>
    </w:p>
    <w:p w14:paraId="5F3217C5">
      <w:pPr>
        <w:pStyle w:val="21"/>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rPr>
        <w:t>李先生 0769-85044916</w:t>
      </w:r>
    </w:p>
    <w:p w14:paraId="1FC6BF34">
      <w:pPr>
        <w:pStyle w:val="21"/>
        <w:numPr>
          <w:ilvl w:val="0"/>
          <w:numId w:val="7"/>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50DD56BE">
      <w:pPr>
        <w:pStyle w:val="21"/>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称：广东智汇城市招标采购有限公司</w:t>
      </w:r>
    </w:p>
    <w:p w14:paraId="14C2828B">
      <w:pPr>
        <w:pStyle w:val="21"/>
        <w:ind w:firstLine="283" w:firstLineChars="135"/>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东莞市南城街道雅园产业园区路5号1栋1楼</w:t>
      </w:r>
    </w:p>
    <w:p w14:paraId="0D7C2C9D">
      <w:pPr>
        <w:pStyle w:val="21"/>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6FC82D38">
      <w:pPr>
        <w:pStyle w:val="21"/>
        <w:numPr>
          <w:ilvl w:val="0"/>
          <w:numId w:val="7"/>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6D7BA14C">
      <w:pPr>
        <w:pStyle w:val="21"/>
        <w:ind w:firstLine="283" w:firstLineChars="135"/>
        <w:rPr>
          <w:rFonts w:hint="eastAsia"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陈子菱</w:t>
      </w:r>
    </w:p>
    <w:p w14:paraId="3AE7C670">
      <w:pPr>
        <w:pStyle w:val="21"/>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话：</w:t>
      </w:r>
      <w:bookmarkEnd w:id="5"/>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68B48AD4">
      <w:pPr>
        <w:pStyle w:val="21"/>
        <w:jc w:val="right"/>
        <w:rPr>
          <w:rFonts w:hint="default"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发布人：广东智汇城市招</w:t>
      </w:r>
      <w:bookmarkStart w:id="62" w:name="_GoBack"/>
      <w:bookmarkEnd w:id="62"/>
      <w:r>
        <w:rPr>
          <w:rFonts w:ascii="宋体" w:hAnsi="宋体" w:eastAsia="宋体" w:cs="Times New Roman"/>
          <w:b/>
          <w:bCs/>
          <w:color w:val="auto"/>
          <w:sz w:val="21"/>
          <w:szCs w:val="21"/>
          <w:highlight w:val="none"/>
        </w:rPr>
        <w:t>标采购有限公司</w:t>
      </w:r>
    </w:p>
    <w:p w14:paraId="54322AE1">
      <w:pPr>
        <w:pStyle w:val="21"/>
        <w:jc w:val="right"/>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07</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02</w:t>
      </w:r>
      <w:r>
        <w:rPr>
          <w:rFonts w:ascii="宋体" w:hAnsi="宋体" w:eastAsia="宋体" w:cs="Times New Roman"/>
          <w:b/>
          <w:bCs/>
          <w:color w:val="auto"/>
          <w:sz w:val="21"/>
          <w:szCs w:val="21"/>
          <w:highlight w:val="none"/>
        </w:rPr>
        <w:t>日</w:t>
      </w:r>
    </w:p>
    <w:p w14:paraId="12526B28">
      <w:pPr>
        <w:pageBreakBefore/>
        <w:jc w:val="center"/>
        <w:outlineLvl w:val="1"/>
        <w:rPr>
          <w:rFonts w:ascii="宋体" w:hAnsi="宋体" w:eastAsia="宋体" w:cs="Times New Roman"/>
          <w:color w:val="auto"/>
          <w:kern w:val="0"/>
          <w:sz w:val="20"/>
          <w:szCs w:val="20"/>
          <w:highlight w:val="none"/>
        </w:rPr>
      </w:pPr>
      <w:bookmarkStart w:id="6" w:name="_Toc169799779"/>
      <w:bookmarkStart w:id="7" w:name="_Toc26805"/>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7BB2AB82">
      <w:pPr>
        <w:snapToGrid w:val="0"/>
        <w:spacing w:line="360" w:lineRule="auto"/>
        <w:contextualSpacing/>
        <w:rPr>
          <w:rFonts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5B114659">
      <w:pPr>
        <w:pStyle w:val="27"/>
        <w:numPr>
          <w:ilvl w:val="0"/>
          <w:numId w:val="8"/>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标有“▲”符号的内容为采购需求重点技术参数，若未能响应，则在评标过程中根据评审内容作扣分处理。</w:t>
      </w:r>
    </w:p>
    <w:p w14:paraId="40C49EFF">
      <w:pPr>
        <w:pStyle w:val="27"/>
        <w:numPr>
          <w:ilvl w:val="0"/>
          <w:numId w:val="8"/>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color w:val="auto"/>
          <w:highlight w:val="none"/>
        </w:rPr>
      </w:pPr>
    </w:p>
    <w:p w14:paraId="52146E3C">
      <w:pPr>
        <w:pStyle w:val="27"/>
        <w:numPr>
          <w:ilvl w:val="0"/>
          <w:numId w:val="9"/>
        </w:numPr>
        <w:snapToGrid w:val="0"/>
        <w:spacing w:line="360" w:lineRule="auto"/>
        <w:ind w:left="442" w:hanging="442" w:firstLineChars="0"/>
        <w:contextualSpacing/>
        <w:rPr>
          <w:color w:val="auto"/>
          <w:highlight w:val="none"/>
        </w:rPr>
      </w:pPr>
      <w:r>
        <w:rPr>
          <w:rFonts w:ascii="宋体" w:hAnsi="宋体" w:eastAsia="宋体"/>
          <w:b/>
          <w:bCs/>
          <w:color w:val="auto"/>
          <w:highlight w:val="none"/>
        </w:rPr>
        <w:t>项目概况</w:t>
      </w:r>
    </w:p>
    <w:p w14:paraId="5DF58C03">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lang w:eastAsia="zh-CN"/>
        </w:rPr>
      </w:pPr>
      <w:r>
        <w:rPr>
          <w:rFonts w:hint="eastAsia" w:ascii="宋体" w:hAnsi="宋体" w:eastAsia="宋体"/>
          <w:b w:val="0"/>
          <w:bCs/>
          <w:color w:val="auto"/>
          <w:szCs w:val="21"/>
          <w:highlight w:val="none"/>
        </w:rPr>
        <w:t>随着鸦片战争博物馆信息化程度不断</w:t>
      </w:r>
      <w:r>
        <w:rPr>
          <w:rFonts w:hint="eastAsia" w:ascii="宋体" w:hAnsi="宋体" w:eastAsia="宋体"/>
          <w:b w:val="0"/>
          <w:bCs/>
          <w:color w:val="auto"/>
          <w:szCs w:val="21"/>
          <w:highlight w:val="none"/>
          <w:lang w:val="en-US" w:eastAsia="zh-CN"/>
        </w:rPr>
        <w:t>提高</w:t>
      </w:r>
      <w:r>
        <w:rPr>
          <w:rFonts w:hint="eastAsia" w:ascii="宋体" w:hAnsi="宋体" w:eastAsia="宋体"/>
          <w:b w:val="0"/>
          <w:bCs/>
          <w:color w:val="auto"/>
          <w:szCs w:val="21"/>
          <w:highlight w:val="none"/>
        </w:rPr>
        <w:t>，各种系统和专业办公设备的大量</w:t>
      </w:r>
      <w:r>
        <w:rPr>
          <w:rFonts w:hint="eastAsia" w:ascii="宋体" w:hAnsi="宋体" w:eastAsia="宋体"/>
          <w:b w:val="0"/>
          <w:bCs/>
          <w:color w:val="auto"/>
          <w:szCs w:val="21"/>
          <w:highlight w:val="none"/>
          <w:lang w:val="en-US" w:eastAsia="zh-CN"/>
        </w:rPr>
        <w:t>投入</w:t>
      </w:r>
      <w:r>
        <w:rPr>
          <w:rFonts w:hint="eastAsia" w:ascii="宋体" w:hAnsi="宋体" w:eastAsia="宋体"/>
          <w:b w:val="0"/>
          <w:bCs/>
          <w:color w:val="auto"/>
          <w:szCs w:val="21"/>
          <w:highlight w:val="none"/>
        </w:rPr>
        <w:t>使用，随之产生的各项维护工作也</w:t>
      </w:r>
      <w:r>
        <w:rPr>
          <w:rFonts w:hint="eastAsia" w:ascii="宋体" w:hAnsi="宋体" w:eastAsia="宋体"/>
          <w:b w:val="0"/>
          <w:bCs/>
          <w:color w:val="auto"/>
          <w:szCs w:val="21"/>
          <w:highlight w:val="none"/>
          <w:lang w:val="en-US" w:eastAsia="zh-CN"/>
        </w:rPr>
        <w:t>越</w:t>
      </w:r>
      <w:r>
        <w:rPr>
          <w:rFonts w:hint="eastAsia" w:ascii="宋体" w:hAnsi="宋体" w:eastAsia="宋体"/>
          <w:b w:val="0"/>
          <w:bCs/>
          <w:color w:val="auto"/>
          <w:szCs w:val="21"/>
          <w:highlight w:val="none"/>
        </w:rPr>
        <w:t>来越多，系统架构、运行环境、用户状况</w:t>
      </w:r>
      <w:r>
        <w:rPr>
          <w:rFonts w:hint="eastAsia" w:ascii="宋体" w:hAnsi="宋体" w:eastAsia="宋体"/>
          <w:b w:val="0"/>
          <w:bCs/>
          <w:color w:val="auto"/>
          <w:szCs w:val="21"/>
          <w:highlight w:val="none"/>
          <w:lang w:val="en-US" w:eastAsia="zh-CN"/>
        </w:rPr>
        <w:t>等</w:t>
      </w:r>
      <w:r>
        <w:rPr>
          <w:rFonts w:hint="eastAsia" w:ascii="宋体" w:hAnsi="宋体" w:eastAsia="宋体"/>
          <w:b w:val="0"/>
          <w:bCs/>
          <w:color w:val="auto"/>
          <w:szCs w:val="21"/>
          <w:highlight w:val="none"/>
        </w:rPr>
        <w:t>所需要维护</w:t>
      </w:r>
      <w:r>
        <w:rPr>
          <w:rFonts w:hint="eastAsia" w:ascii="宋体" w:hAnsi="宋体" w:eastAsia="宋体"/>
          <w:b w:val="0"/>
          <w:bCs/>
          <w:color w:val="auto"/>
          <w:szCs w:val="21"/>
          <w:highlight w:val="none"/>
          <w:lang w:val="en-US" w:eastAsia="zh-CN"/>
        </w:rPr>
        <w:t>的内容</w:t>
      </w:r>
      <w:r>
        <w:rPr>
          <w:rFonts w:hint="eastAsia" w:ascii="宋体" w:hAnsi="宋体" w:eastAsia="宋体"/>
          <w:b w:val="0"/>
          <w:bCs/>
          <w:color w:val="auto"/>
          <w:szCs w:val="21"/>
          <w:highlight w:val="none"/>
        </w:rPr>
        <w:t>也越来越复杂，鸦片战争博物馆迫切需要一个技术力量雄厚、对各个系统充分了解的专业</w:t>
      </w:r>
      <w:r>
        <w:rPr>
          <w:rFonts w:hint="eastAsia" w:ascii="宋体" w:hAnsi="宋体" w:eastAsia="宋体"/>
          <w:b w:val="0"/>
          <w:bCs/>
          <w:color w:val="auto"/>
          <w:szCs w:val="21"/>
          <w:highlight w:val="none"/>
          <w:lang w:val="en-US" w:eastAsia="zh-CN"/>
        </w:rPr>
        <w:t>供应商</w:t>
      </w:r>
      <w:r>
        <w:rPr>
          <w:rFonts w:hint="eastAsia" w:ascii="宋体" w:hAnsi="宋体" w:eastAsia="宋体"/>
          <w:b w:val="0"/>
          <w:bCs/>
          <w:color w:val="auto"/>
          <w:szCs w:val="21"/>
          <w:highlight w:val="none"/>
        </w:rPr>
        <w:t>来处理各种复杂的</w:t>
      </w:r>
      <w:r>
        <w:rPr>
          <w:rFonts w:hint="eastAsia" w:ascii="宋体" w:hAnsi="宋体" w:eastAsia="宋体"/>
          <w:b w:val="0"/>
          <w:bCs/>
          <w:color w:val="auto"/>
          <w:szCs w:val="21"/>
          <w:highlight w:val="none"/>
          <w:lang w:val="en-US" w:eastAsia="zh-CN"/>
        </w:rPr>
        <w:t>运维</w:t>
      </w:r>
      <w:r>
        <w:rPr>
          <w:rFonts w:hint="eastAsia" w:ascii="宋体" w:hAnsi="宋体" w:eastAsia="宋体"/>
          <w:b w:val="0"/>
          <w:bCs/>
          <w:color w:val="auto"/>
          <w:szCs w:val="21"/>
          <w:highlight w:val="none"/>
        </w:rPr>
        <w:t>工作，以保障办公业务的正常、有序进行。为保障系统</w:t>
      </w:r>
      <w:r>
        <w:rPr>
          <w:rFonts w:hint="eastAsia" w:ascii="宋体" w:hAnsi="宋体" w:eastAsia="宋体"/>
          <w:b w:val="0"/>
          <w:bCs/>
          <w:color w:val="auto"/>
          <w:szCs w:val="21"/>
          <w:highlight w:val="none"/>
          <w:lang w:val="en-US" w:eastAsia="zh-CN"/>
        </w:rPr>
        <w:t>的</w:t>
      </w:r>
      <w:r>
        <w:rPr>
          <w:rFonts w:hint="eastAsia" w:ascii="宋体" w:hAnsi="宋体" w:eastAsia="宋体"/>
          <w:b w:val="0"/>
          <w:bCs/>
          <w:color w:val="auto"/>
          <w:szCs w:val="21"/>
          <w:highlight w:val="none"/>
        </w:rPr>
        <w:t>正常运行和管理工作</w:t>
      </w:r>
      <w:r>
        <w:rPr>
          <w:rFonts w:hint="eastAsia" w:ascii="宋体" w:hAnsi="宋体" w:eastAsia="宋体"/>
          <w:b w:val="0"/>
          <w:bCs/>
          <w:color w:val="auto"/>
          <w:szCs w:val="21"/>
          <w:highlight w:val="none"/>
          <w:lang w:val="en-US" w:eastAsia="zh-CN"/>
        </w:rPr>
        <w:t>的</w:t>
      </w:r>
      <w:r>
        <w:rPr>
          <w:rFonts w:hint="eastAsia" w:ascii="宋体" w:hAnsi="宋体" w:eastAsia="宋体"/>
          <w:b w:val="0"/>
          <w:bCs/>
          <w:color w:val="auto"/>
          <w:szCs w:val="21"/>
          <w:highlight w:val="none"/>
        </w:rPr>
        <w:t>正常开展，必须进行系统日常维护，及时排除系统运行过程中的故障</w:t>
      </w:r>
      <w:r>
        <w:rPr>
          <w:rFonts w:hint="eastAsia" w:ascii="宋体" w:hAnsi="宋体" w:eastAsia="宋体"/>
          <w:b w:val="0"/>
          <w:bCs/>
          <w:color w:val="auto"/>
          <w:szCs w:val="21"/>
          <w:highlight w:val="none"/>
          <w:lang w:eastAsia="zh-CN"/>
        </w:rPr>
        <w:t>。</w:t>
      </w:r>
    </w:p>
    <w:p w14:paraId="55AA70D2">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rPr>
      </w:pPr>
      <w:r>
        <w:rPr>
          <w:rFonts w:hint="eastAsia" w:ascii="宋体" w:hAnsi="宋体" w:eastAsia="宋体"/>
          <w:b w:val="0"/>
          <w:bCs/>
          <w:color w:val="auto"/>
          <w:szCs w:val="21"/>
          <w:highlight w:val="none"/>
        </w:rPr>
        <w:t>随着《网络安全法》《数据安全法》《个人信息保护法》以及</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rPr>
        <w:t>网络安全法和网络安全等级保护2.0</w:t>
      </w:r>
      <w:r>
        <w:rPr>
          <w:rFonts w:hint="eastAsia" w:ascii="宋体" w:hAnsi="宋体" w:eastAsia="宋体"/>
          <w:b w:val="0"/>
          <w:bCs/>
          <w:color w:val="auto"/>
          <w:szCs w:val="21"/>
          <w:highlight w:val="none"/>
          <w:lang w:eastAsia="zh-CN"/>
        </w:rPr>
        <w:t>》</w:t>
      </w:r>
      <w:r>
        <w:rPr>
          <w:rFonts w:hint="eastAsia" w:ascii="宋体" w:hAnsi="宋体" w:eastAsia="宋体"/>
          <w:b w:val="0"/>
          <w:bCs/>
          <w:color w:val="auto"/>
          <w:szCs w:val="21"/>
          <w:highlight w:val="none"/>
        </w:rPr>
        <w:t>等法规标准的实施，国家对网络安全的监管越来越严。同时，我馆信息化的快速发展也给网络安全带来了新的挑战，勒索病毒、数据泄露等网络安全风险越来越多，我馆面临的网络安全形势不容乐观。</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eastAsia="宋体"/>
          <w:b w:val="0"/>
          <w:bCs/>
          <w:color w:val="auto"/>
          <w:szCs w:val="21"/>
          <w:highlight w:val="none"/>
        </w:rPr>
      </w:pPr>
      <w:r>
        <w:rPr>
          <w:rFonts w:hint="eastAsia" w:ascii="宋体" w:hAnsi="宋体" w:eastAsia="宋体"/>
          <w:b w:val="0"/>
          <w:bCs/>
          <w:color w:val="auto"/>
          <w:szCs w:val="21"/>
          <w:highlight w:val="none"/>
        </w:rPr>
        <w:t>鸦片战争博物馆</w:t>
      </w:r>
      <w:r>
        <w:rPr>
          <w:rFonts w:hint="eastAsia" w:ascii="宋体" w:hAnsi="宋体" w:eastAsia="宋体"/>
          <w:b w:val="0"/>
          <w:bCs/>
          <w:color w:val="auto"/>
          <w:szCs w:val="21"/>
          <w:highlight w:val="none"/>
          <w:lang w:val="en-US" w:eastAsia="zh-CN"/>
        </w:rPr>
        <w:t>如今</w:t>
      </w:r>
      <w:r>
        <w:rPr>
          <w:rFonts w:hint="eastAsia" w:ascii="宋体" w:hAnsi="宋体" w:eastAsia="宋体"/>
          <w:b w:val="0"/>
          <w:bCs/>
          <w:color w:val="auto"/>
          <w:szCs w:val="21"/>
          <w:highlight w:val="none"/>
        </w:rPr>
        <w:t>各系统</w:t>
      </w:r>
      <w:r>
        <w:rPr>
          <w:rFonts w:hint="eastAsia" w:ascii="宋体" w:hAnsi="宋体" w:eastAsia="宋体"/>
          <w:b w:val="0"/>
          <w:bCs/>
          <w:color w:val="auto"/>
          <w:szCs w:val="21"/>
          <w:highlight w:val="none"/>
          <w:lang w:val="en-US" w:eastAsia="zh-CN"/>
        </w:rPr>
        <w:t>已</w:t>
      </w:r>
      <w:r>
        <w:rPr>
          <w:rFonts w:hint="eastAsia" w:ascii="宋体" w:hAnsi="宋体" w:eastAsia="宋体"/>
          <w:b w:val="0"/>
          <w:bCs/>
          <w:color w:val="auto"/>
          <w:szCs w:val="21"/>
          <w:highlight w:val="none"/>
        </w:rPr>
        <w:t>进入有偿维护阶段，现通过公开</w:t>
      </w:r>
      <w:r>
        <w:rPr>
          <w:rFonts w:hint="eastAsia" w:ascii="宋体" w:hAnsi="宋体" w:eastAsia="宋体"/>
          <w:b w:val="0"/>
          <w:bCs/>
          <w:color w:val="auto"/>
          <w:szCs w:val="21"/>
          <w:highlight w:val="none"/>
          <w:lang w:val="en-US" w:eastAsia="zh-CN"/>
        </w:rPr>
        <w:t>招标</w:t>
      </w:r>
      <w:r>
        <w:rPr>
          <w:rFonts w:hint="eastAsia" w:ascii="宋体" w:hAnsi="宋体" w:eastAsia="宋体"/>
          <w:b w:val="0"/>
          <w:bCs/>
          <w:color w:val="auto"/>
          <w:szCs w:val="21"/>
          <w:highlight w:val="none"/>
        </w:rPr>
        <w:t>方式选择</w:t>
      </w:r>
      <w:r>
        <w:rPr>
          <w:rFonts w:hint="eastAsia" w:ascii="宋体" w:hAnsi="宋体" w:eastAsia="宋体"/>
          <w:b w:val="0"/>
          <w:bCs/>
          <w:color w:val="auto"/>
          <w:szCs w:val="21"/>
          <w:highlight w:val="none"/>
          <w:lang w:val="en-US" w:eastAsia="zh-CN"/>
        </w:rPr>
        <w:t>1家</w:t>
      </w:r>
      <w:r>
        <w:rPr>
          <w:rFonts w:hint="eastAsia" w:ascii="宋体" w:hAnsi="宋体" w:eastAsia="宋体"/>
          <w:b w:val="0"/>
          <w:bCs/>
          <w:color w:val="auto"/>
          <w:szCs w:val="21"/>
          <w:highlight w:val="none"/>
        </w:rPr>
        <w:t>合适的服务供应商完成各系统的日常保障、运行维护、升级完善及相关技术支持等服务工作。</w:t>
      </w:r>
    </w:p>
    <w:p w14:paraId="74D5C637">
      <w:pPr>
        <w:pStyle w:val="27"/>
        <w:numPr>
          <w:ilvl w:val="0"/>
          <w:numId w:val="9"/>
        </w:numPr>
        <w:snapToGrid w:val="0"/>
        <w:spacing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采购标的</w:t>
      </w:r>
    </w:p>
    <w:p w14:paraId="482224B1">
      <w:pPr>
        <w:pStyle w:val="27"/>
        <w:numPr>
          <w:ilvl w:val="0"/>
          <w:numId w:val="10"/>
        </w:numPr>
        <w:snapToGrid w:val="0"/>
        <w:spacing w:line="360" w:lineRule="auto"/>
        <w:ind w:firstLineChars="0"/>
        <w:contextualSpacing/>
        <w:rPr>
          <w:rFonts w:ascii="宋体" w:hAnsi="宋体" w:eastAsia="宋体"/>
          <w:bCs/>
          <w:color w:val="auto"/>
          <w:szCs w:val="21"/>
          <w:highlight w:val="none"/>
        </w:rPr>
      </w:pPr>
      <w:r>
        <w:rPr>
          <w:rFonts w:ascii="宋体" w:hAnsi="宋体" w:eastAsia="宋体"/>
          <w:bCs/>
          <w:color w:val="auto"/>
          <w:szCs w:val="21"/>
          <w:highlight w:val="none"/>
        </w:rPr>
        <w:t>采购标的</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4208"/>
        <w:gridCol w:w="946"/>
        <w:gridCol w:w="972"/>
        <w:gridCol w:w="2337"/>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443" w:type="pct"/>
            <w:vAlign w:val="center"/>
          </w:tcPr>
          <w:p w14:paraId="60E665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2265" w:type="pct"/>
            <w:vAlign w:val="center"/>
          </w:tcPr>
          <w:p w14:paraId="01DA739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509" w:type="pct"/>
            <w:vAlign w:val="center"/>
          </w:tcPr>
          <w:p w14:paraId="3490E6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523" w:type="pct"/>
            <w:vAlign w:val="center"/>
          </w:tcPr>
          <w:p w14:paraId="35D979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258" w:type="pct"/>
            <w:vAlign w:val="center"/>
          </w:tcPr>
          <w:p w14:paraId="73122C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443" w:type="pct"/>
            <w:vAlign w:val="center"/>
          </w:tcPr>
          <w:p w14:paraId="56467E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
                <w:bCs w:val="0"/>
                <w:color w:val="auto"/>
                <w:szCs w:val="21"/>
                <w:highlight w:val="none"/>
                <w:lang w:val="en-US" w:eastAsia="zh-CN"/>
              </w:rPr>
              <w:t>1</w:t>
            </w:r>
          </w:p>
        </w:tc>
        <w:tc>
          <w:tcPr>
            <w:tcW w:w="2265" w:type="pct"/>
            <w:vAlign w:val="center"/>
          </w:tcPr>
          <w:p w14:paraId="69742D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color w:val="auto"/>
                <w:szCs w:val="21"/>
                <w:highlight w:val="none"/>
              </w:rPr>
            </w:pPr>
            <w:r>
              <w:rPr>
                <w:rFonts w:hint="eastAsia" w:ascii="宋体" w:hAnsi="宋体" w:eastAsia="宋体" w:cs="Times New Roman"/>
                <w:color w:val="auto"/>
                <w:kern w:val="0"/>
                <w:szCs w:val="21"/>
                <w:highlight w:val="none"/>
                <w:lang w:eastAsia="zh-Hans"/>
              </w:rPr>
              <w:t>鸦片战争博物馆2025—2026年业务系统运行维护及网络安全维护服务项目</w:t>
            </w:r>
          </w:p>
        </w:tc>
        <w:tc>
          <w:tcPr>
            <w:tcW w:w="509" w:type="pct"/>
            <w:vAlign w:val="center"/>
          </w:tcPr>
          <w:p w14:paraId="28F886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523" w:type="pct"/>
            <w:vAlign w:val="center"/>
          </w:tcPr>
          <w:p w14:paraId="613B9B7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1258" w:type="pct"/>
            <w:vAlign w:val="center"/>
          </w:tcPr>
          <w:p w14:paraId="46C79F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color w:val="auto"/>
                <w:szCs w:val="21"/>
                <w:highlight w:val="none"/>
              </w:rPr>
            </w:pPr>
            <w:r>
              <w:rPr>
                <w:rFonts w:hint="eastAsia" w:ascii="宋体" w:hAnsi="宋体" w:eastAsia="宋体" w:cs="Times New Roman"/>
                <w:color w:val="auto"/>
                <w:sz w:val="21"/>
                <w:szCs w:val="21"/>
                <w:highlight w:val="none"/>
                <w:u w:val="none"/>
                <w:lang w:eastAsia="zh-CN"/>
              </w:rPr>
              <w:t>软件和信息技术服务业</w:t>
            </w:r>
          </w:p>
        </w:tc>
      </w:tr>
    </w:tbl>
    <w:p w14:paraId="6804A152">
      <w:pPr>
        <w:pStyle w:val="27"/>
        <w:numPr>
          <w:ilvl w:val="0"/>
          <w:numId w:val="9"/>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14ADC81E">
      <w:pPr>
        <w:pStyle w:val="27"/>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服务时间</w:t>
      </w:r>
      <w:r>
        <w:rPr>
          <w:rFonts w:hint="eastAsia" w:ascii="宋体" w:hAnsi="宋体" w:eastAsia="宋体"/>
          <w:iCs/>
          <w:color w:val="auto"/>
          <w:szCs w:val="21"/>
          <w:highlight w:val="none"/>
          <w:lang w:eastAsia="zh-CN"/>
        </w:rPr>
        <w:t>：自合同签订之日起1年（拟自2025年10月1日起至2026年9月30日止）。</w:t>
      </w:r>
    </w:p>
    <w:p w14:paraId="69E2EE01">
      <w:pPr>
        <w:pStyle w:val="27"/>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服务地点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东莞市虎门镇或采购人指定地点。</w:t>
      </w:r>
    </w:p>
    <w:p w14:paraId="41D184AA">
      <w:pPr>
        <w:pStyle w:val="27"/>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付款方式</w:t>
      </w:r>
      <w:r>
        <w:rPr>
          <w:rFonts w:hint="eastAsia" w:ascii="宋体" w:hAnsi="宋体" w:eastAsia="宋体"/>
          <w:iCs/>
          <w:color w:val="auto"/>
          <w:szCs w:val="21"/>
          <w:highlight w:val="none"/>
          <w:lang w:eastAsia="zh-CN"/>
        </w:rPr>
        <w:t>：</w:t>
      </w:r>
    </w:p>
    <w:p w14:paraId="7C5284B8">
      <w:pPr>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Times New Roman"/>
          <w:iCs/>
          <w:color w:val="auto"/>
          <w:szCs w:val="21"/>
          <w:highlight w:val="none"/>
          <w:lang w:val="en-US" w:eastAsia="zh-CN"/>
        </w:rPr>
      </w:pPr>
      <w:r>
        <w:rPr>
          <w:rFonts w:hint="eastAsia" w:ascii="宋体" w:hAnsi="宋体" w:eastAsia="宋体" w:cs="Times New Roman"/>
          <w:iCs/>
          <w:color w:val="auto"/>
          <w:szCs w:val="21"/>
          <w:highlight w:val="none"/>
          <w:lang w:val="en-US" w:eastAsia="zh-CN"/>
        </w:rPr>
        <w:t>服务费按月结算，每月10日前中标人根据经采购人确认的上月服务质量考核得分情况，凭按约定扣减后的服务费金额开具的等额合规发票及本项目合同向采购人请款，采购人收到合格请款资料后10个工作日内支付上月服务费；</w:t>
      </w:r>
    </w:p>
    <w:p w14:paraId="0E381D6B">
      <w:pPr>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Times New Roman"/>
          <w:iCs/>
          <w:color w:val="auto"/>
          <w:szCs w:val="21"/>
          <w:highlight w:val="none"/>
          <w:lang w:val="en-US" w:eastAsia="zh-CN"/>
        </w:rPr>
      </w:pPr>
      <w:r>
        <w:rPr>
          <w:rFonts w:hint="eastAsia" w:ascii="宋体" w:hAnsi="宋体" w:eastAsia="宋体" w:cs="Times New Roman"/>
          <w:iCs/>
          <w:color w:val="auto"/>
          <w:szCs w:val="21"/>
          <w:highlight w:val="none"/>
          <w:lang w:val="en-US" w:eastAsia="zh-CN"/>
        </w:rPr>
        <w:t>中标人所提供的请款资料中收款方、发票的销售方、合同乙方均必须与中标人名称一致，若因中标人迟延提供请款材料或请款材料不合格导致采购人未在如上时间内付款的，采购人不构成违约，并不承担任何相关责任。</w:t>
      </w:r>
    </w:p>
    <w:p w14:paraId="1DDB419B">
      <w:pPr>
        <w:pStyle w:val="27"/>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报价说明：</w:t>
      </w:r>
    </w:p>
    <w:p w14:paraId="5B64F419">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hint="eastAsia" w:ascii="宋体" w:hAnsi="宋体" w:eastAsia="宋体" w:cs="Times New Roman"/>
          <w:iCs/>
          <w:color w:val="auto"/>
          <w:szCs w:val="21"/>
          <w:highlight w:val="none"/>
          <w:lang w:val="en-US" w:eastAsia="zh-CN"/>
        </w:rPr>
        <w:t>投标人</w:t>
      </w:r>
      <w:r>
        <w:rPr>
          <w:rFonts w:hint="eastAsia" w:ascii="宋体" w:hAnsi="宋体" w:eastAsia="宋体"/>
          <w:iCs/>
          <w:color w:val="auto"/>
          <w:szCs w:val="21"/>
          <w:highlight w:val="none"/>
          <w:lang w:val="en-US" w:eastAsia="zh-CN"/>
        </w:rPr>
        <w:t>投标</w:t>
      </w:r>
      <w:r>
        <w:rPr>
          <w:rFonts w:hint="eastAsia" w:ascii="宋体" w:hAnsi="宋体" w:eastAsia="宋体"/>
          <w:iCs/>
          <w:color w:val="auto"/>
          <w:szCs w:val="21"/>
          <w:highlight w:val="none"/>
        </w:rPr>
        <w:t>报价应包含税费、设备费、专利费、人工费（包括工资、奖金、津贴补贴、节假日加班和日常加班加点工资、特殊情况下支付的工资等）、软件租赁（使用）费、社保费（包括医疗、失业、养老、生育、工伤）、公积金、住宿费、利润、办公经费、应急保障费、合同实施过程中的应预见、不可预见费用等完成合同规定责任和义务、达到合同目的的一切费用。</w:t>
      </w:r>
    </w:p>
    <w:p w14:paraId="1D01A1C1">
      <w:pPr>
        <w:pStyle w:val="27"/>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验收要求</w:t>
      </w:r>
    </w:p>
    <w:p w14:paraId="0F13ED49">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hint="eastAsia" w:ascii="宋体" w:hAnsi="宋体" w:eastAsia="宋体"/>
          <w:iCs/>
          <w:color w:val="auto"/>
          <w:szCs w:val="21"/>
          <w:highlight w:val="none"/>
        </w:rPr>
        <w:t>服务期内，</w:t>
      </w:r>
      <w:r>
        <w:rPr>
          <w:rFonts w:hint="eastAsia" w:ascii="宋体" w:hAnsi="宋体" w:eastAsia="宋体"/>
          <w:iCs/>
          <w:color w:val="auto"/>
          <w:szCs w:val="21"/>
          <w:highlight w:val="none"/>
          <w:lang w:val="en-US" w:eastAsia="zh-CN"/>
        </w:rPr>
        <w:t>每月</w:t>
      </w:r>
      <w:r>
        <w:rPr>
          <w:rFonts w:hint="eastAsia" w:ascii="宋体" w:hAnsi="宋体" w:eastAsia="宋体"/>
          <w:iCs/>
          <w:color w:val="auto"/>
          <w:szCs w:val="21"/>
          <w:highlight w:val="none"/>
        </w:rPr>
        <w:t>10日</w:t>
      </w:r>
      <w:r>
        <w:rPr>
          <w:rFonts w:hint="eastAsia" w:ascii="宋体" w:hAnsi="宋体" w:eastAsia="宋体"/>
          <w:iCs/>
          <w:color w:val="auto"/>
          <w:szCs w:val="21"/>
          <w:highlight w:val="none"/>
          <w:lang w:val="en-US" w:eastAsia="zh-CN"/>
        </w:rPr>
        <w:t>前</w:t>
      </w:r>
      <w:r>
        <w:rPr>
          <w:rFonts w:hint="eastAsia" w:ascii="宋体" w:hAnsi="宋体" w:eastAsia="宋体"/>
          <w:iCs/>
          <w:color w:val="auto"/>
          <w:szCs w:val="21"/>
          <w:highlight w:val="none"/>
        </w:rPr>
        <w:t>，由采购人对</w:t>
      </w:r>
      <w:r>
        <w:rPr>
          <w:rFonts w:hint="eastAsia" w:ascii="宋体" w:hAnsi="宋体" w:eastAsia="宋体"/>
          <w:iCs/>
          <w:color w:val="auto"/>
          <w:szCs w:val="21"/>
          <w:highlight w:val="none"/>
          <w:lang w:val="en-US" w:eastAsia="zh-CN"/>
        </w:rPr>
        <w:t>中标人</w:t>
      </w:r>
      <w:r>
        <w:rPr>
          <w:rFonts w:hint="eastAsia" w:ascii="宋体" w:hAnsi="宋体" w:eastAsia="宋体"/>
          <w:iCs/>
          <w:color w:val="auto"/>
          <w:szCs w:val="21"/>
          <w:highlight w:val="none"/>
        </w:rPr>
        <w:t>上月运维工作进行月度</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，由采购人指定</w:t>
      </w:r>
      <w:r>
        <w:rPr>
          <w:rFonts w:hint="eastAsia" w:ascii="宋体" w:hAnsi="宋体" w:eastAsia="宋体"/>
          <w:iCs/>
          <w:color w:val="auto"/>
          <w:szCs w:val="21"/>
          <w:highlight w:val="none"/>
          <w:lang w:val="en-US" w:eastAsia="zh-CN"/>
        </w:rPr>
        <w:t>负责人</w:t>
      </w:r>
      <w:r>
        <w:rPr>
          <w:rFonts w:hint="eastAsia" w:ascii="宋体" w:hAnsi="宋体" w:eastAsia="宋体"/>
          <w:iCs/>
          <w:color w:val="auto"/>
          <w:szCs w:val="21"/>
          <w:highlight w:val="none"/>
        </w:rPr>
        <w:t>组成月度</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团队，对每月的运维工作进行阶段性</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内容</w:t>
      </w:r>
      <w:r>
        <w:rPr>
          <w:rFonts w:hint="eastAsia" w:ascii="宋体" w:hAnsi="宋体" w:eastAsia="宋体"/>
          <w:iCs/>
          <w:color w:val="auto"/>
          <w:szCs w:val="21"/>
          <w:highlight w:val="none"/>
          <w:lang w:val="en-US" w:eastAsia="zh-CN"/>
        </w:rPr>
        <w:t>详见《服务质量考核表》</w:t>
      </w:r>
      <w:r>
        <w:rPr>
          <w:rFonts w:hint="eastAsia" w:ascii="宋体" w:hAnsi="宋体" w:eastAsia="宋体"/>
          <w:iCs/>
          <w:color w:val="auto"/>
          <w:szCs w:val="21"/>
          <w:highlight w:val="none"/>
        </w:rPr>
        <w:t>。</w:t>
      </w:r>
    </w:p>
    <w:p w14:paraId="62A71971">
      <w:pPr>
        <w:pStyle w:val="27"/>
        <w:numPr>
          <w:ilvl w:val="0"/>
          <w:numId w:val="9"/>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3F87E3F6">
      <w:pPr>
        <w:pStyle w:val="27"/>
        <w:numPr>
          <w:ilvl w:val="0"/>
          <w:numId w:val="13"/>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业务系统运行维护</w:t>
      </w:r>
    </w:p>
    <w:p w14:paraId="5B411B06">
      <w:pPr>
        <w:pStyle w:val="27"/>
        <w:numPr>
          <w:ilvl w:val="0"/>
          <w:numId w:val="14"/>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鸦片战争博物馆业务系统现状</w:t>
      </w:r>
      <w:r>
        <w:rPr>
          <w:rFonts w:hint="eastAsia" w:ascii="宋体" w:hAnsi="宋体" w:eastAsia="宋体"/>
          <w:b/>
          <w:bCs/>
          <w:color w:val="auto"/>
          <w:szCs w:val="21"/>
          <w:highlight w:val="none"/>
          <w:lang w:val="en-US" w:eastAsia="zh-CN"/>
        </w:rPr>
        <w:t>简介</w:t>
      </w:r>
    </w:p>
    <w:p w14:paraId="6079E2D7">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官方网站：为观众提供展览活动信息发布、展览展示、学术研究等服务。</w:t>
      </w:r>
    </w:p>
    <w:p w14:paraId="375FEE25">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博物馆业务系统：为博物馆员工提供通知公告、收文办理、发文办理、公务接待、公务出差、展览审核、设备报修、公章申请、考勤管理、采购管理、会务管理等服务。</w:t>
      </w:r>
    </w:p>
    <w:p w14:paraId="415B54A9">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万维博通智慧档案管理系统：提供档案登记、扫描、查询及文书档案管理、特殊载体管理、专门档案管理等服务功能。</w:t>
      </w:r>
    </w:p>
    <w:p w14:paraId="307B9E7D">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藏品管理系统：按照国家最新标准规范，基于藏品业务管理流程，实现藏品征集、鉴定、账目管理等全流程管理功能，推动藏品管理规范化、科学化、信息化。系统支持藏品全生命周期管理与业务协同，建立完整藏品档案，提升管理效率与共享利用水平，为馆内各部门提供支持。</w:t>
      </w:r>
    </w:p>
    <w:p w14:paraId="1A92EC48">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票务系统：为游客提供票务预约、检票及数据管理等服务。本系统主要面向票房自助取票机终端操作者、检票员等票房工作人员，提供门票票类管理、会员卡管理、管理卡管理、团体管理等功能。</w:t>
      </w:r>
    </w:p>
    <w:p w14:paraId="43D32902">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知识驿站系统：旨在为鸦片战争展览提供文物知识线上浏览服务。系统包括微屏触摸导览子系统、后台管理子系统、博物馆展示子系统、UI设计制作等四大模块。系统适配新iPad设备安卓系统开发，采用跨平台、Unity3D等先进技术，通过后台系统的信息发布，在前台实现信息展示。</w:t>
      </w:r>
    </w:p>
    <w:p w14:paraId="5AF3469B">
      <w:pPr>
        <w:pStyle w:val="27"/>
        <w:numPr>
          <w:ilvl w:val="0"/>
          <w:numId w:val="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红色基因库展示系统：提供鸦片战争博物馆陈列、虎门炮台旧址、文物藏品、视频等红色资源数据展示和浏览体验。</w:t>
      </w:r>
    </w:p>
    <w:p w14:paraId="3782F573">
      <w:pPr>
        <w:pStyle w:val="27"/>
        <w:numPr>
          <w:ilvl w:val="0"/>
          <w:numId w:val="15"/>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语音导览系统：提供微信语音导览服务。</w:t>
      </w:r>
    </w:p>
    <w:p w14:paraId="6BB69A08">
      <w:pPr>
        <w:pStyle w:val="27"/>
        <w:numPr>
          <w:ilvl w:val="0"/>
          <w:numId w:val="14"/>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业务系统运行维护目标</w:t>
      </w:r>
    </w:p>
    <w:p w14:paraId="4677E3C4">
      <w:pPr>
        <w:pStyle w:val="27"/>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总体目标</w:t>
      </w:r>
    </w:p>
    <w:p w14:paraId="2FD37CF3">
      <w:pPr>
        <w:pStyle w:val="27"/>
        <w:numPr>
          <w:ilvl w:val="0"/>
          <w:numId w:val="17"/>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保证系统的正常安全运行和升级优化，并进行全天候的日常监控，及时发现问题，及时解决问题，</w:t>
      </w:r>
      <w:r>
        <w:rPr>
          <w:rFonts w:hint="eastAsia" w:ascii="宋体" w:hAnsi="宋体" w:eastAsia="宋体"/>
          <w:color w:val="auto"/>
          <w:szCs w:val="21"/>
          <w:highlight w:val="none"/>
          <w:lang w:val="en-US" w:eastAsia="zh-CN"/>
        </w:rPr>
        <w:t>解决</w:t>
      </w:r>
      <w:r>
        <w:rPr>
          <w:rFonts w:hint="eastAsia" w:ascii="宋体" w:hAnsi="宋体" w:eastAsia="宋体"/>
          <w:color w:val="auto"/>
          <w:szCs w:val="21"/>
          <w:highlight w:val="none"/>
        </w:rPr>
        <w:t>时间</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小时；</w:t>
      </w:r>
    </w:p>
    <w:p w14:paraId="6C1A1F74">
      <w:pPr>
        <w:pStyle w:val="27"/>
        <w:numPr>
          <w:ilvl w:val="0"/>
          <w:numId w:val="17"/>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保障应用系统安全，防范数据等信息丢失；</w:t>
      </w:r>
    </w:p>
    <w:p w14:paraId="4A877644">
      <w:pPr>
        <w:pStyle w:val="27"/>
        <w:numPr>
          <w:ilvl w:val="0"/>
          <w:numId w:val="17"/>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保障数据维护等工作的高效与安全；</w:t>
      </w:r>
    </w:p>
    <w:p w14:paraId="68533F9D">
      <w:pPr>
        <w:pStyle w:val="27"/>
        <w:numPr>
          <w:ilvl w:val="0"/>
          <w:numId w:val="17"/>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保障软件BUG能够及时修改；</w:t>
      </w:r>
    </w:p>
    <w:p w14:paraId="2741FB5D">
      <w:pPr>
        <w:pStyle w:val="27"/>
        <w:numPr>
          <w:ilvl w:val="0"/>
          <w:numId w:val="17"/>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保障应用系统的配置管理工作能够全面、准确的实施；</w:t>
      </w:r>
    </w:p>
    <w:p w14:paraId="1D92745A">
      <w:pPr>
        <w:pStyle w:val="27"/>
        <w:numPr>
          <w:ilvl w:val="0"/>
          <w:numId w:val="17"/>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通过充分的调研、有序的规划，全面提升应用系统的可用性。</w:t>
      </w:r>
    </w:p>
    <w:p w14:paraId="13EAB18D">
      <w:pPr>
        <w:pStyle w:val="27"/>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升级完善或改进性系统开发</w:t>
      </w:r>
    </w:p>
    <w:p w14:paraId="2AD29D1E">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在不需要改变系统架构</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基础上，根据用户业务需求增加新业务</w:t>
      </w:r>
      <w:r>
        <w:rPr>
          <w:rFonts w:hint="eastAsia" w:ascii="宋体" w:hAnsi="宋体" w:eastAsia="宋体"/>
          <w:color w:val="auto"/>
          <w:szCs w:val="21"/>
          <w:highlight w:val="none"/>
          <w:lang w:val="en-US" w:eastAsia="zh-CN"/>
        </w:rPr>
        <w:t>或进行</w:t>
      </w:r>
      <w:r>
        <w:rPr>
          <w:rFonts w:hint="eastAsia" w:ascii="宋体" w:hAnsi="宋体" w:eastAsia="宋体"/>
          <w:color w:val="auto"/>
          <w:szCs w:val="21"/>
          <w:highlight w:val="none"/>
        </w:rPr>
        <w:t>功能研发，</w:t>
      </w:r>
      <w:r>
        <w:rPr>
          <w:rFonts w:hint="eastAsia" w:ascii="宋体" w:hAnsi="宋体" w:eastAsia="宋体"/>
          <w:color w:val="auto"/>
          <w:szCs w:val="21"/>
          <w:highlight w:val="none"/>
          <w:lang w:val="en-US" w:eastAsia="zh-CN"/>
        </w:rPr>
        <w:t>同时</w:t>
      </w:r>
      <w:r>
        <w:rPr>
          <w:rFonts w:hint="eastAsia" w:ascii="宋体" w:hAnsi="宋体" w:eastAsia="宋体"/>
          <w:color w:val="auto"/>
          <w:szCs w:val="21"/>
          <w:highlight w:val="none"/>
        </w:rPr>
        <w:t>对日常应用中发现的程序BUG进行功能性完善升级改造，提升系统应用服务性能。</w:t>
      </w:r>
    </w:p>
    <w:p w14:paraId="0A8BFDAB">
      <w:pPr>
        <w:pStyle w:val="27"/>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系统报错解决</w:t>
      </w:r>
    </w:p>
    <w:p w14:paraId="0EB0980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对</w:t>
      </w:r>
      <w:r>
        <w:rPr>
          <w:rFonts w:hint="eastAsia" w:ascii="宋体" w:hAnsi="宋体" w:eastAsia="宋体"/>
          <w:color w:val="auto"/>
          <w:szCs w:val="21"/>
          <w:highlight w:val="none"/>
        </w:rPr>
        <w:t>系统在日常使用过程中的的报错信息进行处理，如登陆失败、页面访问出错、流程错误、程序兼容性、软件补丁、客户端安装</w:t>
      </w:r>
      <w:r>
        <w:rPr>
          <w:rFonts w:hint="eastAsia" w:ascii="宋体" w:hAnsi="宋体" w:eastAsia="宋体"/>
          <w:color w:val="auto"/>
          <w:szCs w:val="21"/>
          <w:highlight w:val="none"/>
          <w:lang w:val="en-US" w:eastAsia="zh-CN"/>
        </w:rPr>
        <w:t>等</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以及</w:t>
      </w:r>
      <w:r>
        <w:rPr>
          <w:rFonts w:hint="eastAsia" w:ascii="宋体" w:hAnsi="宋体" w:eastAsia="宋体"/>
          <w:color w:val="auto"/>
          <w:szCs w:val="21"/>
          <w:highlight w:val="none"/>
        </w:rPr>
        <w:t>针对上级安全部门的安全扫描漏洞补丁等问题，提供现场技术服务、指导和问题解决。</w:t>
      </w:r>
    </w:p>
    <w:p w14:paraId="596B34E0">
      <w:pPr>
        <w:pStyle w:val="27"/>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系统数据库维护</w:t>
      </w:r>
    </w:p>
    <w:p w14:paraId="74830F83">
      <w:pPr>
        <w:pStyle w:val="27"/>
        <w:numPr>
          <w:ilvl w:val="0"/>
          <w:numId w:val="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保障数据库的正常运行；</w:t>
      </w:r>
    </w:p>
    <w:p w14:paraId="7A164F52">
      <w:pPr>
        <w:pStyle w:val="27"/>
        <w:numPr>
          <w:ilvl w:val="0"/>
          <w:numId w:val="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对数据库进行备份、并在需要时进行恢复；</w:t>
      </w:r>
    </w:p>
    <w:p w14:paraId="5BE7E4C0">
      <w:pPr>
        <w:pStyle w:val="27"/>
        <w:numPr>
          <w:ilvl w:val="0"/>
          <w:numId w:val="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进行数据库安装、调整和维护等工作。</w:t>
      </w:r>
    </w:p>
    <w:p w14:paraId="5AB425E1">
      <w:pPr>
        <w:pStyle w:val="27"/>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云平台服务器运行情况监控</w:t>
      </w:r>
    </w:p>
    <w:p w14:paraId="44C76AB5">
      <w:pPr>
        <w:pStyle w:val="27"/>
        <w:numPr>
          <w:ilvl w:val="0"/>
          <w:numId w:val="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监察服务器运行日志，做好相关记录，保存相关文档；</w:t>
      </w:r>
    </w:p>
    <w:p w14:paraId="1EA402FF">
      <w:pPr>
        <w:pStyle w:val="27"/>
        <w:numPr>
          <w:ilvl w:val="0"/>
          <w:numId w:val="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对服务器日常运行进行统计，提交运行报告，进行定期分析；</w:t>
      </w:r>
    </w:p>
    <w:p w14:paraId="4C1181F6">
      <w:pPr>
        <w:pStyle w:val="27"/>
        <w:numPr>
          <w:ilvl w:val="0"/>
          <w:numId w:val="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监控系统、网络、数据库和各应用系统，出现异常情况应立即向相关技术人员及时报告,并参与平台应急处理工作。</w:t>
      </w:r>
    </w:p>
    <w:p w14:paraId="56151629">
      <w:pPr>
        <w:pStyle w:val="27"/>
        <w:numPr>
          <w:ilvl w:val="0"/>
          <w:numId w:val="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保障平台运行的稳定性、高效性以及安全性</w:t>
      </w:r>
    </w:p>
    <w:p w14:paraId="449F00E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定期实施系统访问性能测试、系统漏洞扫描及修复、日常安全检查等运行保障工作，及时处理内部巡检及政府部门组织开展的有关信息安全等级保护检测</w:t>
      </w:r>
      <w:r>
        <w:rPr>
          <w:rFonts w:hint="eastAsia" w:ascii="宋体" w:hAnsi="宋体" w:eastAsia="宋体"/>
          <w:color w:val="auto"/>
          <w:szCs w:val="21"/>
          <w:highlight w:val="none"/>
          <w:lang w:val="en-US" w:eastAsia="zh-CN"/>
        </w:rPr>
        <w:t>时</w:t>
      </w:r>
      <w:r>
        <w:rPr>
          <w:rFonts w:hint="eastAsia" w:ascii="宋体" w:hAnsi="宋体" w:eastAsia="宋体"/>
          <w:color w:val="auto"/>
          <w:szCs w:val="21"/>
          <w:highlight w:val="none"/>
        </w:rPr>
        <w:t>发现的安全漏洞，协助</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加固系统安全防护措施，提交技术优化实施方案。</w:t>
      </w:r>
    </w:p>
    <w:p w14:paraId="412B5686">
      <w:pPr>
        <w:pStyle w:val="27"/>
        <w:numPr>
          <w:ilvl w:val="0"/>
          <w:numId w:val="14"/>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服务内容</w:t>
      </w:r>
      <w:r>
        <w:rPr>
          <w:rFonts w:hint="eastAsia" w:ascii="宋体" w:hAnsi="宋体" w:eastAsia="宋体"/>
          <w:b/>
          <w:bCs/>
          <w:color w:val="auto"/>
          <w:szCs w:val="21"/>
          <w:highlight w:val="none"/>
          <w:lang w:eastAsia="zh-CN"/>
        </w:rPr>
        <w:t>（本项目需对</w:t>
      </w:r>
      <w:r>
        <w:rPr>
          <w:rFonts w:hint="eastAsia" w:ascii="宋体" w:hAnsi="宋体" w:eastAsia="宋体"/>
          <w:b/>
          <w:bCs/>
          <w:color w:val="auto"/>
          <w:szCs w:val="21"/>
          <w:highlight w:val="none"/>
          <w:lang w:val="en-US" w:eastAsia="zh-CN"/>
        </w:rPr>
        <w:t>下述系统</w:t>
      </w:r>
      <w:r>
        <w:rPr>
          <w:rFonts w:hint="eastAsia" w:ascii="宋体" w:hAnsi="宋体" w:eastAsia="宋体"/>
          <w:b/>
          <w:bCs/>
          <w:color w:val="auto"/>
          <w:szCs w:val="21"/>
          <w:highlight w:val="none"/>
          <w:lang w:eastAsia="zh-CN"/>
        </w:rPr>
        <w:t>进行维护，以保证其稳定运行）</w:t>
      </w:r>
    </w:p>
    <w:p w14:paraId="29CBD82E">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官方网站维护和升级</w:t>
      </w:r>
    </w:p>
    <w:p w14:paraId="1CD2E51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鸦片战争博物馆的官方网站是展示自我，实现在网络上对外宣传、发布单位主营业务和社会服务</w:t>
      </w:r>
      <w:r>
        <w:rPr>
          <w:rFonts w:hint="eastAsia" w:ascii="宋体" w:hAnsi="宋体" w:eastAsia="宋体"/>
          <w:color w:val="auto"/>
          <w:szCs w:val="21"/>
          <w:highlight w:val="none"/>
          <w:lang w:val="en-US" w:eastAsia="zh-CN"/>
        </w:rPr>
        <w:t>信息的平台</w:t>
      </w:r>
      <w:r>
        <w:rPr>
          <w:rFonts w:hint="eastAsia" w:ascii="宋体" w:hAnsi="宋体" w:eastAsia="宋体"/>
          <w:color w:val="auto"/>
          <w:szCs w:val="21"/>
          <w:highlight w:val="none"/>
        </w:rPr>
        <w:t>；通过网站的留言系统可以有效了解</w:t>
      </w:r>
      <w:r>
        <w:rPr>
          <w:rFonts w:hint="eastAsia" w:ascii="宋体" w:hAnsi="宋体" w:eastAsia="宋体"/>
          <w:color w:val="auto"/>
          <w:szCs w:val="21"/>
          <w:highlight w:val="none"/>
          <w:lang w:val="en-US" w:eastAsia="zh-CN"/>
        </w:rPr>
        <w:t>网友</w:t>
      </w:r>
      <w:r>
        <w:rPr>
          <w:rFonts w:hint="eastAsia" w:ascii="宋体" w:hAnsi="宋体" w:eastAsia="宋体"/>
          <w:color w:val="auto"/>
          <w:szCs w:val="21"/>
          <w:highlight w:val="none"/>
        </w:rPr>
        <w:t>的意见和建议，倾听</w:t>
      </w:r>
      <w:r>
        <w:rPr>
          <w:rFonts w:hint="eastAsia" w:ascii="宋体" w:hAnsi="宋体" w:eastAsia="宋体"/>
          <w:color w:val="auto"/>
          <w:szCs w:val="21"/>
          <w:highlight w:val="none"/>
          <w:lang w:val="en-US" w:eastAsia="zh-CN"/>
        </w:rPr>
        <w:t>网友</w:t>
      </w:r>
      <w:r>
        <w:rPr>
          <w:rFonts w:hint="eastAsia" w:ascii="宋体" w:hAnsi="宋体" w:eastAsia="宋体"/>
          <w:color w:val="auto"/>
          <w:szCs w:val="21"/>
          <w:highlight w:val="none"/>
        </w:rPr>
        <w:t>的心声，建立鸦片战争博物馆与</w:t>
      </w:r>
      <w:r>
        <w:rPr>
          <w:rFonts w:hint="eastAsia" w:ascii="宋体" w:hAnsi="宋体" w:eastAsia="宋体"/>
          <w:color w:val="auto"/>
          <w:szCs w:val="21"/>
          <w:highlight w:val="none"/>
          <w:lang w:val="en-US" w:eastAsia="zh-CN"/>
        </w:rPr>
        <w:t>网友</w:t>
      </w:r>
      <w:r>
        <w:rPr>
          <w:rFonts w:hint="eastAsia" w:ascii="宋体" w:hAnsi="宋体" w:eastAsia="宋体"/>
          <w:color w:val="auto"/>
          <w:szCs w:val="21"/>
          <w:highlight w:val="none"/>
        </w:rPr>
        <w:t>在线沟通的桥梁，</w:t>
      </w:r>
      <w:r>
        <w:rPr>
          <w:rFonts w:hint="eastAsia" w:ascii="宋体" w:hAnsi="宋体" w:eastAsia="宋体"/>
          <w:color w:val="auto"/>
          <w:szCs w:val="21"/>
          <w:highlight w:val="none"/>
          <w:lang w:val="en-US" w:eastAsia="zh-CN"/>
        </w:rPr>
        <w:t>出现</w:t>
      </w:r>
      <w:r>
        <w:rPr>
          <w:rFonts w:hint="eastAsia" w:ascii="宋体" w:hAnsi="宋体" w:eastAsia="宋体"/>
          <w:color w:val="auto"/>
          <w:szCs w:val="21"/>
          <w:highlight w:val="none"/>
        </w:rPr>
        <w:t>问题</w:t>
      </w:r>
      <w:r>
        <w:rPr>
          <w:rFonts w:hint="eastAsia" w:ascii="宋体" w:hAnsi="宋体" w:eastAsia="宋体"/>
          <w:color w:val="auto"/>
          <w:szCs w:val="21"/>
          <w:highlight w:val="none"/>
          <w:lang w:val="en-US" w:eastAsia="zh-CN"/>
        </w:rPr>
        <w:t>须</w:t>
      </w:r>
      <w:r>
        <w:rPr>
          <w:rFonts w:hint="eastAsia" w:ascii="宋体" w:hAnsi="宋体" w:eastAsia="宋体"/>
          <w:color w:val="auto"/>
          <w:szCs w:val="21"/>
          <w:highlight w:val="none"/>
        </w:rPr>
        <w:t>立即完善</w:t>
      </w:r>
      <w:r>
        <w:rPr>
          <w:rFonts w:hint="eastAsia" w:ascii="宋体" w:hAnsi="宋体" w:eastAsia="宋体"/>
          <w:color w:val="auto"/>
          <w:szCs w:val="21"/>
          <w:highlight w:val="none"/>
          <w:lang w:val="en-US" w:eastAsia="zh-CN"/>
        </w:rPr>
        <w:t>网站</w:t>
      </w:r>
      <w:r>
        <w:rPr>
          <w:rFonts w:hint="eastAsia" w:ascii="宋体" w:hAnsi="宋体" w:eastAsia="宋体"/>
          <w:color w:val="auto"/>
          <w:szCs w:val="21"/>
          <w:highlight w:val="none"/>
        </w:rPr>
        <w:t>机制，给</w:t>
      </w:r>
      <w:r>
        <w:rPr>
          <w:rFonts w:hint="eastAsia" w:ascii="宋体" w:hAnsi="宋体" w:eastAsia="宋体"/>
          <w:color w:val="auto"/>
          <w:szCs w:val="21"/>
          <w:highlight w:val="none"/>
          <w:lang w:val="en-US" w:eastAsia="zh-CN"/>
        </w:rPr>
        <w:t>浏览者</w:t>
      </w:r>
      <w:r>
        <w:rPr>
          <w:rFonts w:hint="eastAsia" w:ascii="宋体" w:hAnsi="宋体" w:eastAsia="宋体"/>
          <w:color w:val="auto"/>
          <w:szCs w:val="21"/>
          <w:highlight w:val="none"/>
        </w:rPr>
        <w:t>带来更好的用户体验。</w:t>
      </w:r>
    </w:p>
    <w:p w14:paraId="57598060">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官方网站包括站点管理、内容管理、政府信息公开、信息共享、模板管理、个性化门户、管理等功能。</w:t>
      </w:r>
    </w:p>
    <w:p w14:paraId="646F5049">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本项目</w:t>
      </w:r>
      <w:r>
        <w:rPr>
          <w:rFonts w:hint="eastAsia" w:ascii="宋体" w:hAnsi="宋体" w:eastAsia="宋体"/>
          <w:color w:val="auto"/>
          <w:szCs w:val="21"/>
          <w:highlight w:val="none"/>
        </w:rPr>
        <w:t>需要维护官方网站的浏览、对新增需求进行开发和调整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对现有需求和功能的调整和优化</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中标人还应当</w:t>
      </w:r>
      <w:r>
        <w:rPr>
          <w:rFonts w:hint="eastAsia" w:ascii="宋体" w:hAnsi="宋体" w:eastAsia="宋体"/>
          <w:color w:val="auto"/>
          <w:szCs w:val="21"/>
          <w:highlight w:val="none"/>
        </w:rPr>
        <w:t>在规定时间内对域名进行https证书的更新；</w:t>
      </w:r>
      <w:r>
        <w:rPr>
          <w:rFonts w:hint="eastAsia" w:ascii="宋体" w:hAnsi="宋体" w:eastAsia="宋体"/>
          <w:color w:val="auto"/>
          <w:szCs w:val="21"/>
          <w:highlight w:val="none"/>
          <w:lang w:val="en-US" w:eastAsia="zh-CN"/>
        </w:rPr>
        <w:t>除上述服务内容外</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需对鸦片战争博物馆的官方网站</w:t>
      </w:r>
      <w:r>
        <w:rPr>
          <w:rFonts w:hint="eastAsia" w:ascii="宋体" w:hAnsi="宋体" w:eastAsia="宋体"/>
          <w:color w:val="auto"/>
          <w:szCs w:val="21"/>
          <w:highlight w:val="none"/>
          <w:lang w:val="en-US" w:eastAsia="zh-CN"/>
        </w:rPr>
        <w:t>进行以下功能优化：</w:t>
      </w:r>
      <w:r>
        <w:rPr>
          <w:rFonts w:hint="eastAsia" w:ascii="宋体" w:hAnsi="宋体" w:eastAsia="宋体"/>
          <w:color w:val="auto"/>
          <w:szCs w:val="21"/>
          <w:highlight w:val="none"/>
        </w:rPr>
        <w:t>网站文物自动增加水印功能、增加年代和收藏时间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网站手机版展览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活动、资讯栏目显示方式修改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网站后台发布时间调整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票务服务</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明清海防研究后台栏目调整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为一网共享提供数据源和提供对外接口等。</w:t>
      </w:r>
    </w:p>
    <w:p w14:paraId="3C18CF46">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博物馆业务系统维护和升级</w:t>
      </w:r>
    </w:p>
    <w:p w14:paraId="6A22B9E2">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博物馆业务系统是本次项目的核心，</w:t>
      </w:r>
      <w:r>
        <w:rPr>
          <w:rFonts w:hint="eastAsia" w:ascii="宋体" w:hAnsi="宋体" w:eastAsia="宋体"/>
          <w:color w:val="auto"/>
          <w:szCs w:val="21"/>
          <w:highlight w:val="none"/>
          <w:lang w:val="en-US" w:eastAsia="zh-CN"/>
        </w:rPr>
        <w:t>是</w:t>
      </w:r>
      <w:r>
        <w:rPr>
          <w:rFonts w:hint="eastAsia" w:ascii="宋体" w:hAnsi="宋体" w:eastAsia="宋体"/>
          <w:color w:val="auto"/>
          <w:szCs w:val="21"/>
          <w:highlight w:val="none"/>
        </w:rPr>
        <w:t>鸦片战争博物馆日常办公系统，主要为各部门提供收文处理和发文处理的电子化，提高公文处理的效率。实现办公事务、公文管理、个人事务等功能，实现单位内部资源共享、增强员工协同工作能力、强化公文监控管理、实现公文流转、审核等行政事务自动处理，促进公文管理电子化、规范化，提高行政办公效率。还集成</w:t>
      </w:r>
      <w:r>
        <w:rPr>
          <w:rFonts w:hint="eastAsia" w:ascii="宋体" w:hAnsi="宋体" w:eastAsia="宋体"/>
          <w:color w:val="auto"/>
          <w:szCs w:val="21"/>
          <w:highlight w:val="none"/>
          <w:lang w:val="en-US" w:eastAsia="zh-CN"/>
        </w:rPr>
        <w:t>了</w:t>
      </w:r>
      <w:r>
        <w:rPr>
          <w:rFonts w:hint="eastAsia" w:ascii="宋体" w:hAnsi="宋体" w:eastAsia="宋体"/>
          <w:color w:val="auto"/>
          <w:szCs w:val="21"/>
          <w:highlight w:val="none"/>
        </w:rPr>
        <w:t>短信、网站、以及其他业务系统，实现与这些业务系统数据自动交换。</w:t>
      </w:r>
    </w:p>
    <w:p w14:paraId="237684E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本次项目需对博物馆业务系统进行维护，以保证其业务系统的稳定运行；</w:t>
      </w:r>
      <w:r>
        <w:rPr>
          <w:rFonts w:hint="eastAsia" w:ascii="宋体" w:hAnsi="宋体" w:eastAsia="宋体"/>
          <w:color w:val="auto"/>
          <w:szCs w:val="21"/>
          <w:highlight w:val="none"/>
          <w:lang w:val="en-US" w:eastAsia="zh-CN"/>
        </w:rPr>
        <w:t>除日常维护之外，中标人还</w:t>
      </w:r>
      <w:r>
        <w:rPr>
          <w:rFonts w:hint="eastAsia" w:ascii="宋体" w:hAnsi="宋体" w:eastAsia="宋体"/>
          <w:color w:val="auto"/>
          <w:szCs w:val="21"/>
          <w:highlight w:val="none"/>
        </w:rPr>
        <w:t>需要对博物馆业务系统</w:t>
      </w:r>
      <w:r>
        <w:rPr>
          <w:rFonts w:hint="eastAsia" w:ascii="宋体" w:hAnsi="宋体" w:eastAsia="宋体"/>
          <w:color w:val="auto"/>
          <w:szCs w:val="21"/>
          <w:highlight w:val="none"/>
          <w:lang w:val="en-US" w:eastAsia="zh-CN"/>
        </w:rPr>
        <w:t>进行以下功能优化：</w:t>
      </w:r>
      <w:r>
        <w:rPr>
          <w:rFonts w:hint="eastAsia" w:ascii="宋体" w:hAnsi="宋体" w:eastAsia="宋体"/>
          <w:color w:val="auto"/>
          <w:szCs w:val="21"/>
          <w:highlight w:val="none"/>
        </w:rPr>
        <w:t>办公设备保修功能</w:t>
      </w:r>
      <w:r>
        <w:rPr>
          <w:rFonts w:hint="eastAsia" w:ascii="宋体" w:hAnsi="宋体" w:eastAsia="宋体"/>
          <w:color w:val="auto"/>
          <w:szCs w:val="21"/>
          <w:highlight w:val="none"/>
          <w:lang w:val="en-US" w:eastAsia="zh-CN"/>
        </w:rPr>
        <w:t>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包括但不限于</w:t>
      </w:r>
      <w:r>
        <w:rPr>
          <w:rFonts w:hint="eastAsia" w:ascii="宋体" w:hAnsi="宋体" w:eastAsia="宋体"/>
          <w:color w:val="auto"/>
          <w:szCs w:val="21"/>
          <w:highlight w:val="none"/>
        </w:rPr>
        <w:t>栏目名称更改、在表单中增加项目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去除备注、增加维修单上传附件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增加维修单是否完成状态并在完成后推送消息到主任和分管领导</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陪产假计算</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包括周末</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发文查询里面增加审核意见及附件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显示缩略图</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鼠标放在上面能显示全部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加班申请流程</w:t>
      </w:r>
      <w:r>
        <w:rPr>
          <w:rFonts w:hint="eastAsia" w:ascii="宋体" w:hAnsi="宋体" w:eastAsia="宋体"/>
          <w:color w:val="auto"/>
          <w:szCs w:val="21"/>
          <w:highlight w:val="none"/>
          <w:lang w:val="en-US" w:eastAsia="zh-CN"/>
        </w:rPr>
        <w:t>增加</w:t>
      </w:r>
      <w:r>
        <w:rPr>
          <w:rFonts w:hint="eastAsia" w:ascii="宋体" w:hAnsi="宋体" w:eastAsia="宋体"/>
          <w:color w:val="auto"/>
          <w:szCs w:val="21"/>
          <w:highlight w:val="none"/>
        </w:rPr>
        <w:t>审核环节</w:t>
      </w:r>
      <w:r>
        <w:rPr>
          <w:rFonts w:hint="eastAsia" w:ascii="宋体" w:hAnsi="宋体" w:eastAsia="宋体"/>
          <w:color w:val="auto"/>
          <w:szCs w:val="21"/>
          <w:highlight w:val="none"/>
          <w:lang w:val="en-US" w:eastAsia="zh-CN"/>
        </w:rPr>
        <w:t>同时汇总</w:t>
      </w:r>
      <w:r>
        <w:rPr>
          <w:rFonts w:hint="eastAsia" w:ascii="宋体" w:hAnsi="宋体" w:eastAsia="宋体"/>
          <w:color w:val="auto"/>
          <w:szCs w:val="21"/>
          <w:highlight w:val="none"/>
        </w:rPr>
        <w:t>本部门加班</w:t>
      </w:r>
      <w:r>
        <w:rPr>
          <w:rFonts w:hint="eastAsia" w:ascii="宋体" w:hAnsi="宋体" w:eastAsia="宋体"/>
          <w:color w:val="auto"/>
          <w:szCs w:val="21"/>
          <w:highlight w:val="none"/>
          <w:lang w:val="en-US" w:eastAsia="zh-CN"/>
        </w:rPr>
        <w:t>情况</w:t>
      </w:r>
      <w:r>
        <w:rPr>
          <w:rFonts w:hint="eastAsia" w:ascii="宋体" w:hAnsi="宋体" w:eastAsia="宋体"/>
          <w:color w:val="auto"/>
          <w:szCs w:val="21"/>
          <w:highlight w:val="none"/>
        </w:rPr>
        <w:t>并统计</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人事请假查看的权限调整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公务接待审批表修改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馆领导分管部门修改和发文流程修改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陈列部采购单查看权限调整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固定资产的需求；为一网共享提供数据源和提供对外接口等。</w:t>
      </w:r>
    </w:p>
    <w:p w14:paraId="6E673167">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档案管理系统维护</w:t>
      </w:r>
    </w:p>
    <w:p w14:paraId="24E163F7">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鸦片战争博物馆档案系统主要功能是全宗管理、目录管理、案卷级档案管理、卷内文件管理、自动归档管理、原件扫描、智能检索等。</w:t>
      </w:r>
    </w:p>
    <w:p w14:paraId="57B62DA5">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藏品管理系统维护</w:t>
      </w:r>
    </w:p>
    <w:p w14:paraId="4D233049">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藏品管理系统是按照国家最新标准规范，基于藏品业务管理流程</w:t>
      </w:r>
      <w:r>
        <w:rPr>
          <w:rFonts w:hint="eastAsia" w:ascii="宋体" w:hAnsi="宋体" w:eastAsia="宋体"/>
          <w:color w:val="auto"/>
          <w:szCs w:val="21"/>
          <w:highlight w:val="none"/>
          <w:lang w:val="en-US" w:eastAsia="zh-CN"/>
        </w:rPr>
        <w:t>建设</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具有</w:t>
      </w:r>
      <w:r>
        <w:rPr>
          <w:rFonts w:hint="eastAsia" w:ascii="宋体" w:hAnsi="宋体" w:eastAsia="宋体"/>
          <w:color w:val="auto"/>
          <w:szCs w:val="21"/>
          <w:highlight w:val="none"/>
        </w:rPr>
        <w:t>藏品征集、藏品鉴定、账目管理等一系列的管理功能，实现藏品管理</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规范化、科学化、信息化。</w:t>
      </w:r>
    </w:p>
    <w:p w14:paraId="234C54D0">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票务系统维护</w:t>
      </w:r>
    </w:p>
    <w:p w14:paraId="615A2395">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票务系统为游客提供票务预约、检票和数据管理等服务，提供门票票类管理、会员卡管理、管理卡管理、团体管理等功能。</w:t>
      </w:r>
    </w:p>
    <w:p w14:paraId="0ABDB911">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知识驿站系统维护</w:t>
      </w:r>
    </w:p>
    <w:p w14:paraId="43E56D65">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知识驿站系统为鸦片战争展览提供文物知识的线上浏览服务，系统包括微屏触摸导览子系统、后台管理子系统、UI设计制作、博物馆展示子系统等四大模块。</w:t>
      </w:r>
    </w:p>
    <w:p w14:paraId="1266A59A">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红色基因库展示系统维护</w:t>
      </w:r>
    </w:p>
    <w:p w14:paraId="223CD30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红色基因库展示系统将提供鸦片战争博物馆陈列、虎门炮台旧址、文物藏品、视频等红色资源数据展示和浏览体验。</w:t>
      </w:r>
    </w:p>
    <w:p w14:paraId="7CEE0858">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语音导览系统维护</w:t>
      </w:r>
    </w:p>
    <w:p w14:paraId="28B5360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为进一步方便社会公众对鸦片战争博物馆的认识和游览，</w:t>
      </w:r>
      <w:r>
        <w:rPr>
          <w:rFonts w:hint="eastAsia" w:ascii="宋体" w:hAnsi="宋体" w:eastAsia="宋体"/>
          <w:color w:val="auto"/>
          <w:szCs w:val="21"/>
          <w:highlight w:val="none"/>
          <w:lang w:val="en-US" w:eastAsia="zh-CN"/>
        </w:rPr>
        <w:t>博物馆</w:t>
      </w:r>
      <w:r>
        <w:rPr>
          <w:rFonts w:hint="eastAsia" w:ascii="宋体" w:hAnsi="宋体" w:eastAsia="宋体"/>
          <w:color w:val="auto"/>
          <w:szCs w:val="21"/>
          <w:highlight w:val="none"/>
        </w:rPr>
        <w:t>已经在在鸦片战争博物馆公众号上实现鸦片战争展览语音导览的全馆展示功能。鸦片战争博物馆公众号的全馆语音导览，用于诠释或者再现展品或者展品存在环境的辅助展具，不会占据展览空间，不会打断展览体验，并且辅助展具和展品在同一视野之内，可由社会公众自主携带，可以任意形成和展品的位置以及诠释关系。鸦片战争展览的语音导览包括鸦片战争陈列、序厅、第一至第七</w:t>
      </w:r>
      <w:r>
        <w:rPr>
          <w:rFonts w:hint="eastAsia" w:ascii="宋体" w:hAnsi="宋体" w:eastAsia="宋体"/>
          <w:color w:val="auto"/>
          <w:szCs w:val="21"/>
          <w:highlight w:val="none"/>
          <w:lang w:val="en-US" w:eastAsia="zh-CN"/>
        </w:rPr>
        <w:t>部分</w:t>
      </w:r>
      <w:r>
        <w:rPr>
          <w:rFonts w:hint="eastAsia" w:ascii="宋体" w:hAnsi="宋体" w:eastAsia="宋体"/>
          <w:color w:val="auto"/>
          <w:szCs w:val="21"/>
          <w:highlight w:val="none"/>
        </w:rPr>
        <w:t>的分类、文档、视频等功能。</w:t>
      </w:r>
    </w:p>
    <w:p w14:paraId="2730CDA8">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服务器系统维护</w:t>
      </w:r>
    </w:p>
    <w:p w14:paraId="2038D490">
      <w:pPr>
        <w:pStyle w:val="27"/>
        <w:numPr>
          <w:ilvl w:val="0"/>
          <w:numId w:val="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调研评估</w:t>
      </w:r>
    </w:p>
    <w:p w14:paraId="4163AA5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根据采购</w:t>
      </w:r>
      <w:r>
        <w:rPr>
          <w:rFonts w:hint="eastAsia" w:ascii="宋体" w:hAnsi="宋体" w:eastAsia="宋体"/>
          <w:color w:val="auto"/>
          <w:szCs w:val="21"/>
          <w:highlight w:val="none"/>
          <w:lang w:eastAsia="zh-CN"/>
        </w:rPr>
        <w:t>人</w:t>
      </w:r>
      <w:r>
        <w:rPr>
          <w:rFonts w:hint="eastAsia" w:ascii="宋体" w:hAnsi="宋体" w:eastAsia="宋体"/>
          <w:color w:val="auto"/>
          <w:szCs w:val="21"/>
          <w:highlight w:val="none"/>
        </w:rPr>
        <w:t>或应用系统运行的需求，对运维产品的调研评估提供支持，并提出处理或改进的建议和方案。</w:t>
      </w:r>
    </w:p>
    <w:p w14:paraId="21CA968D">
      <w:pPr>
        <w:pStyle w:val="27"/>
        <w:numPr>
          <w:ilvl w:val="0"/>
          <w:numId w:val="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例行操作</w:t>
      </w:r>
    </w:p>
    <w:p w14:paraId="107A104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预防性维护：对设备的运行状况、安全性等进行健康检查。包括硬件设备的检查、除尘、调整和坏件更</w:t>
      </w:r>
      <w:r>
        <w:rPr>
          <w:rFonts w:hint="eastAsia" w:ascii="宋体" w:hAnsi="宋体" w:eastAsia="宋体" w:cs="宋体"/>
          <w:color w:val="auto"/>
          <w:szCs w:val="21"/>
          <w:highlight w:val="none"/>
        </w:rPr>
        <w:t>换</w:t>
      </w:r>
      <w:r>
        <w:rPr>
          <w:rFonts w:hint="eastAsia" w:ascii="宋体" w:hAnsi="宋体" w:eastAsia="宋体" w:cs="宋体"/>
          <w:color w:val="auto"/>
          <w:highlight w:val="none"/>
        </w:rPr>
        <w:t>，坏件更换和设备维修的费用</w:t>
      </w:r>
      <w:r>
        <w:rPr>
          <w:rFonts w:hint="eastAsia" w:ascii="宋体" w:hAnsi="宋体" w:eastAsia="宋体" w:cs="宋体"/>
          <w:color w:val="auto"/>
          <w:highlight w:val="none"/>
          <w:lang w:val="en-US" w:eastAsia="zh-CN"/>
        </w:rPr>
        <w:t>均</w:t>
      </w:r>
      <w:r>
        <w:rPr>
          <w:rFonts w:hint="eastAsia" w:ascii="宋体" w:hAnsi="宋体" w:eastAsia="宋体" w:cs="宋体"/>
          <w:color w:val="auto"/>
          <w:highlight w:val="none"/>
        </w:rPr>
        <w:t>由</w:t>
      </w:r>
      <w:r>
        <w:rPr>
          <w:rFonts w:hint="eastAsia" w:ascii="宋体" w:hAnsi="宋体" w:eastAsia="宋体" w:cs="宋体"/>
          <w:color w:val="auto"/>
          <w:highlight w:val="none"/>
          <w:lang w:val="en-US" w:eastAsia="zh-CN"/>
        </w:rPr>
        <w:t>中标</w:t>
      </w:r>
      <w:r>
        <w:rPr>
          <w:rFonts w:hint="eastAsia" w:ascii="宋体" w:hAnsi="宋体" w:eastAsia="宋体" w:cs="宋体"/>
          <w:color w:val="auto"/>
          <w:highlight w:val="none"/>
        </w:rPr>
        <w:t>人承担</w:t>
      </w:r>
      <w:r>
        <w:rPr>
          <w:rFonts w:hint="eastAsia" w:ascii="宋体" w:hAnsi="宋体" w:eastAsia="宋体" w:cs="宋体"/>
          <w:color w:val="auto"/>
          <w:szCs w:val="21"/>
          <w:highlight w:val="none"/>
        </w:rPr>
        <w:t>。</w:t>
      </w:r>
      <w:r>
        <w:rPr>
          <w:rFonts w:hint="eastAsia" w:ascii="宋体" w:hAnsi="宋体" w:eastAsia="宋体"/>
          <w:color w:val="auto"/>
          <w:szCs w:val="21"/>
          <w:highlight w:val="none"/>
        </w:rPr>
        <w:t>运行环境、硬件配置的检查支持，以及对系统日志的检查与分析，根据系统的报错信息，发现潜在安全问题，尽早采取措施，排除隐患和安全漏洞。要求维护后提交完整的报告。</w:t>
      </w:r>
    </w:p>
    <w:p w14:paraId="5BDA324B">
      <w:pPr>
        <w:pStyle w:val="27"/>
        <w:numPr>
          <w:ilvl w:val="0"/>
          <w:numId w:val="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响应支持</w:t>
      </w:r>
    </w:p>
    <w:p w14:paraId="13E8A32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系统故障诊断及检修：设备出现问题，</w:t>
      </w:r>
      <w:r>
        <w:rPr>
          <w:rFonts w:hint="eastAsia" w:ascii="宋体" w:hAnsi="宋体" w:eastAsia="宋体"/>
          <w:color w:val="auto"/>
          <w:szCs w:val="21"/>
          <w:highlight w:val="none"/>
          <w:lang w:val="en-US" w:eastAsia="zh-CN"/>
        </w:rPr>
        <w:t>中标人须</w:t>
      </w:r>
      <w:r>
        <w:rPr>
          <w:rFonts w:hint="eastAsia" w:ascii="宋体" w:hAnsi="宋体" w:eastAsia="宋体"/>
          <w:color w:val="auto"/>
          <w:szCs w:val="21"/>
          <w:highlight w:val="none"/>
        </w:rPr>
        <w:t>及时对问题</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诊断、分析</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解决提供支持。</w:t>
      </w:r>
    </w:p>
    <w:p w14:paraId="688F8E62">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备件保修和更换：当设备出现故障时，</w:t>
      </w:r>
      <w:r>
        <w:rPr>
          <w:rFonts w:hint="eastAsia" w:ascii="宋体" w:hAnsi="宋体" w:eastAsia="宋体"/>
          <w:color w:val="auto"/>
          <w:szCs w:val="21"/>
          <w:highlight w:val="none"/>
          <w:lang w:val="en-US" w:eastAsia="zh-CN"/>
        </w:rPr>
        <w:t>中标人须</w:t>
      </w:r>
      <w:r>
        <w:rPr>
          <w:rFonts w:hint="eastAsia" w:ascii="宋体" w:hAnsi="宋体" w:eastAsia="宋体"/>
          <w:color w:val="auto"/>
          <w:szCs w:val="21"/>
          <w:highlight w:val="none"/>
        </w:rPr>
        <w:t>及时对检查、维修或更换故障部件提供支持</w:t>
      </w:r>
    </w:p>
    <w:p w14:paraId="6215F0F4">
      <w:pPr>
        <w:pStyle w:val="27"/>
        <w:numPr>
          <w:ilvl w:val="0"/>
          <w:numId w:val="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其它要求</w:t>
      </w:r>
    </w:p>
    <w:p w14:paraId="7F5688CA">
      <w:pPr>
        <w:pStyle w:val="27"/>
        <w:numPr>
          <w:ilvl w:val="0"/>
          <w:numId w:val="22"/>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提供相当于原厂服务标准的7×24小时专人运维服务支持</w:t>
      </w:r>
      <w:r>
        <w:rPr>
          <w:rFonts w:hint="eastAsia" w:ascii="宋体" w:hAnsi="宋体" w:eastAsia="宋体"/>
          <w:color w:val="auto"/>
          <w:szCs w:val="21"/>
          <w:highlight w:val="none"/>
          <w:lang w:eastAsia="zh-CN"/>
        </w:rPr>
        <w:t>；</w:t>
      </w:r>
    </w:p>
    <w:p w14:paraId="1CFB699D">
      <w:pPr>
        <w:pStyle w:val="27"/>
        <w:numPr>
          <w:ilvl w:val="0"/>
          <w:numId w:val="22"/>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监察服务器运行日志，做好相关记录，保存相关文档；</w:t>
      </w:r>
    </w:p>
    <w:p w14:paraId="75CEF445">
      <w:pPr>
        <w:pStyle w:val="27"/>
        <w:numPr>
          <w:ilvl w:val="0"/>
          <w:numId w:val="22"/>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对服务器日常运行进行统计，提交运行报告，进行定期分析；</w:t>
      </w:r>
    </w:p>
    <w:p w14:paraId="31346959">
      <w:pPr>
        <w:pStyle w:val="27"/>
        <w:numPr>
          <w:ilvl w:val="0"/>
          <w:numId w:val="22"/>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监控系统、网络、数据库和各应用系统，出现异常情况应立即向相关技术人员及时报告,并参与平台应急处理工作</w:t>
      </w:r>
      <w:r>
        <w:rPr>
          <w:rFonts w:hint="eastAsia" w:ascii="宋体" w:hAnsi="宋体" w:eastAsia="宋体"/>
          <w:color w:val="auto"/>
          <w:szCs w:val="21"/>
          <w:highlight w:val="none"/>
          <w:lang w:eastAsia="zh-CN"/>
        </w:rPr>
        <w:t>；</w:t>
      </w:r>
    </w:p>
    <w:p w14:paraId="01455897">
      <w:pPr>
        <w:pStyle w:val="27"/>
        <w:numPr>
          <w:ilvl w:val="0"/>
          <w:numId w:val="22"/>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跟踪和监控服务器性能、资源占用等。</w:t>
      </w:r>
    </w:p>
    <w:p w14:paraId="7E53281A">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鸦片战争博物馆</w:t>
      </w:r>
      <w:r>
        <w:rPr>
          <w:rFonts w:hint="eastAsia" w:ascii="宋体" w:hAnsi="宋体" w:eastAsia="宋体"/>
          <w:color w:val="auto"/>
          <w:szCs w:val="21"/>
          <w:highlight w:val="none"/>
          <w:lang w:val="en-US" w:eastAsia="zh-CN"/>
        </w:rPr>
        <w:t>官网及业务系统</w:t>
      </w:r>
      <w:r>
        <w:rPr>
          <w:rFonts w:hint="eastAsia" w:ascii="宋体" w:hAnsi="宋体" w:eastAsia="宋体"/>
          <w:color w:val="auto"/>
          <w:szCs w:val="21"/>
          <w:highlight w:val="none"/>
        </w:rPr>
        <w:t>系统部署到政务云的迁移和调整</w:t>
      </w:r>
    </w:p>
    <w:p w14:paraId="2E63AAA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随着政府治理模式向数据驱动转变，垂直行业和地方政府着力解决数据共享难问题，各部委各省市专网加速向电子政务外网整合，业务加速向政务云上迁移，网络范围和安全边界扩大，这就要求政务外网建设应具备数字化、智能化、服务化的特征。</w:t>
      </w:r>
    </w:p>
    <w:p w14:paraId="395ADC1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本次项目根据上级部门要求，中标人须协助馆方逐步实现将鸦片战争博物馆官方网站及业务系统迁移部署到政务云并保证其稳定运行。</w:t>
      </w:r>
    </w:p>
    <w:p w14:paraId="1D18E9FB">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微信公众号维护</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中标人须在</w:t>
      </w:r>
      <w:r>
        <w:rPr>
          <w:rFonts w:hint="eastAsia" w:ascii="宋体" w:hAnsi="宋体" w:eastAsia="宋体"/>
          <w:color w:val="auto"/>
          <w:szCs w:val="21"/>
          <w:highlight w:val="none"/>
        </w:rPr>
        <w:t>规定时间内对公众号进行年审和续费</w:t>
      </w:r>
      <w:r>
        <w:rPr>
          <w:rFonts w:hint="eastAsia" w:ascii="宋体" w:hAnsi="宋体" w:eastAsia="宋体"/>
          <w:color w:val="auto"/>
          <w:szCs w:val="21"/>
          <w:highlight w:val="none"/>
          <w:lang w:eastAsia="zh-CN"/>
        </w:rPr>
        <w:t>）</w:t>
      </w:r>
    </w:p>
    <w:p w14:paraId="0DEAAC5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本次项目采用模板消息来帮助公众号实现业务通知功能。开发者在模板内容中设定参数（参数以"{{"开头，以".DATA}}"结尾），调用时为这些参数赋值，维护发送的接口。</w:t>
      </w:r>
    </w:p>
    <w:p w14:paraId="7661AED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由于公众号只能在模板库中按照行业选择模板，而当前模板库中暂无采购人所需的模板，因此，在满足要求的情况下，需要按照公众号的语言和规则，重新申请新的消息模板，充实模板库。开发并上传自定义模板，可以使用该模板向公众发送消息。</w:t>
      </w:r>
    </w:p>
    <w:p w14:paraId="726E4497">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新媒体小组第三方软件服务</w:t>
      </w:r>
    </w:p>
    <w:p w14:paraId="0162357F">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为了实现网站和微信、微博等信息的及时发布，</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需要对本内容进行维护，并保证其运行正常。</w:t>
      </w:r>
    </w:p>
    <w:p w14:paraId="2ED2E195">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其他开发能力和技术支持要求</w:t>
      </w:r>
    </w:p>
    <w:p w14:paraId="1910115A">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为保持系统的稳定性和技术的持续性，</w:t>
      </w:r>
      <w:r>
        <w:rPr>
          <w:rFonts w:hint="eastAsia" w:ascii="宋体" w:hAnsi="宋体" w:eastAsia="宋体"/>
          <w:color w:val="auto"/>
          <w:szCs w:val="21"/>
          <w:highlight w:val="none"/>
          <w:lang w:val="en-US" w:eastAsia="zh-CN"/>
        </w:rPr>
        <w:t>中标人</w:t>
      </w:r>
      <w:r>
        <w:rPr>
          <w:rFonts w:hint="eastAsia" w:ascii="宋体" w:hAnsi="宋体" w:eastAsia="宋体"/>
          <w:color w:val="auto"/>
          <w:szCs w:val="21"/>
          <w:highlight w:val="none"/>
        </w:rPr>
        <w:t>须具有OA系统的开发能力和技术实力；</w:t>
      </w:r>
    </w:p>
    <w:p w14:paraId="04B3FDE5">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支持WebService接口，为后续OA系统和其他系统进行对接；</w:t>
      </w:r>
    </w:p>
    <w:p w14:paraId="07E99A71">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服务器端支持Window、Linux两种主流操作系统；</w:t>
      </w:r>
    </w:p>
    <w:p w14:paraId="7C3F03F6">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支持Oracle、SQL Server、My SQL、DB2、Sybase四种主流数据库；</w:t>
      </w:r>
    </w:p>
    <w:p w14:paraId="21368AED">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中间件支持JBOSS、Tomcat、WebSphere、Oracle WebLogic等；</w:t>
      </w:r>
    </w:p>
    <w:p w14:paraId="3A87D64D">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支持可视化表单设计，“所见即所得”的开发模式；</w:t>
      </w:r>
    </w:p>
    <w:p w14:paraId="5C040746">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支持丰富的表单控件如：选项卡、包含元素、视图选择框、在线拍照、百度地图、在线word、html编辑器；</w:t>
      </w:r>
    </w:p>
    <w:p w14:paraId="11EA6225">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支持在表单设计器进行html源代码的双向切换；</w:t>
      </w:r>
    </w:p>
    <w:p w14:paraId="4592DD96">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支持可视化流程设计，可以直接在web浏览器画流程；</w:t>
      </w:r>
    </w:p>
    <w:p w14:paraId="7CC2F239">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支持丰富的节点属性，如并行、串行、聚合、非聚合等，同时支持回退、回撤、挂起、催办等通知；</w:t>
      </w:r>
    </w:p>
    <w:p w14:paraId="392145FB">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支持子流程，支持流程设计器中通过代码进行复杂业务逻辑关联；</w:t>
      </w:r>
    </w:p>
    <w:p w14:paraId="10392BF2">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支持提供自带的功能模块供参考和使用，如基础的OA功能模板；</w:t>
      </w:r>
    </w:p>
    <w:p w14:paraId="2F1EB82B">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支持系统的功能模板导入导出的功能，方便后续单位系统升级时的便利性；</w:t>
      </w:r>
    </w:p>
    <w:p w14:paraId="0FA8C9B3">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提供函数库、样式库、校验库功能，方便</w:t>
      </w:r>
      <w:r>
        <w:rPr>
          <w:rFonts w:hint="eastAsia" w:ascii="宋体" w:hAnsi="宋体" w:eastAsia="宋体"/>
          <w:color w:val="auto"/>
          <w:szCs w:val="21"/>
          <w:highlight w:val="none"/>
          <w:lang w:val="en-US" w:eastAsia="zh-CN"/>
        </w:rPr>
        <w:t>采购人</w:t>
      </w:r>
      <w:r>
        <w:rPr>
          <w:rFonts w:hint="eastAsia" w:ascii="宋体" w:hAnsi="宋体" w:eastAsia="宋体"/>
          <w:color w:val="auto"/>
          <w:szCs w:val="21"/>
          <w:highlight w:val="none"/>
        </w:rPr>
        <w:t>内部技术人员使用自己的方法和函数；</w:t>
      </w:r>
    </w:p>
    <w:p w14:paraId="7EE8C58C">
      <w:pPr>
        <w:pStyle w:val="27"/>
        <w:numPr>
          <w:ilvl w:val="0"/>
          <w:numId w:val="2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必须兼容主流浏览器，包括IE11以上、google chrome、搜狗浏览器。</w:t>
      </w:r>
    </w:p>
    <w:p w14:paraId="47926736">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网站、微网站优化改造</w:t>
      </w:r>
    </w:p>
    <w:p w14:paraId="5FC0F38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网站内容维护包括门户网站、各子网站，包括各时期新增的专题页面及图片、flash制作。</w:t>
      </w:r>
    </w:p>
    <w:p w14:paraId="41F5C33C">
      <w:pPr>
        <w:pStyle w:val="27"/>
        <w:numPr>
          <w:ilvl w:val="0"/>
          <w:numId w:val="2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应用功能组件维护</w:t>
      </w:r>
    </w:p>
    <w:p w14:paraId="7568439E">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维护网站交互式功能组件，保证其能正常运行。包括：网上咨询、网上信访、领导信箱、网上调查、意见征集、信息订阅等功能性组件的维护，以及在维护期内新增的组件进行开发维护。</w:t>
      </w:r>
    </w:p>
    <w:p w14:paraId="57BDC994">
      <w:pPr>
        <w:pStyle w:val="27"/>
        <w:numPr>
          <w:ilvl w:val="0"/>
          <w:numId w:val="2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页面美观维护</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对门户网站（子站）的图片、flash、的更新维护及节庆flash的制作。</w:t>
      </w:r>
    </w:p>
    <w:p w14:paraId="39512BC0">
      <w:pPr>
        <w:pStyle w:val="27"/>
        <w:numPr>
          <w:ilvl w:val="0"/>
          <w:numId w:val="2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模板维护</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对网站风格、版面方面的布局调整等方面的维护。</w:t>
      </w:r>
    </w:p>
    <w:p w14:paraId="7621318B">
      <w:pPr>
        <w:pStyle w:val="27"/>
        <w:numPr>
          <w:ilvl w:val="0"/>
          <w:numId w:val="2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栏目维护</w:t>
      </w:r>
    </w:p>
    <w:p w14:paraId="3591F179">
      <w:pPr>
        <w:pStyle w:val="27"/>
        <w:numPr>
          <w:ilvl w:val="-1"/>
          <w:numId w:val="0"/>
        </w:numPr>
        <w:snapToGrid w:val="0"/>
        <w:spacing w:line="360" w:lineRule="auto"/>
        <w:ind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对网站的栏目进行调整、合并、重定向等方面的维护。同时还包括栏目的新增、修改、删除等操作。</w:t>
      </w:r>
    </w:p>
    <w:p w14:paraId="646D613E">
      <w:pPr>
        <w:pStyle w:val="27"/>
        <w:numPr>
          <w:ilvl w:val="0"/>
          <w:numId w:val="2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信息内容维护</w:t>
      </w:r>
    </w:p>
    <w:p w14:paraId="1C70E078">
      <w:pPr>
        <w:pStyle w:val="27"/>
        <w:numPr>
          <w:ilvl w:val="0"/>
          <w:numId w:val="25"/>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对网站的信息内容进行增、删、改等操作，以及根据用户要求对已发布的网站内容信息进行迁移。</w:t>
      </w:r>
    </w:p>
    <w:p w14:paraId="72B128FC">
      <w:pPr>
        <w:pStyle w:val="27"/>
        <w:numPr>
          <w:ilvl w:val="0"/>
          <w:numId w:val="25"/>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保障网站和微网站的安全和正常使用。对网站、微网站的定期备份，及时修复发现的漏洞，以免受到恶意攻击。</w:t>
      </w:r>
    </w:p>
    <w:p w14:paraId="252B75B2">
      <w:pPr>
        <w:pStyle w:val="27"/>
        <w:numPr>
          <w:ilvl w:val="0"/>
          <w:numId w:val="25"/>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微信公众号的信息发布的技术支持。</w:t>
      </w:r>
    </w:p>
    <w:p w14:paraId="48A5C2E8">
      <w:pPr>
        <w:pStyle w:val="27"/>
        <w:numPr>
          <w:ilvl w:val="0"/>
          <w:numId w:val="2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其它运维项目</w:t>
      </w:r>
    </w:p>
    <w:p w14:paraId="4E3CCEC4">
      <w:pPr>
        <w:pStyle w:val="27"/>
        <w:numPr>
          <w:ilvl w:val="0"/>
          <w:numId w:val="2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微信公众号服务号和订阅号的年审续费；</w:t>
      </w:r>
    </w:p>
    <w:p w14:paraId="16DE1621">
      <w:pPr>
        <w:pStyle w:val="27"/>
        <w:numPr>
          <w:ilvl w:val="0"/>
          <w:numId w:val="2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为采购人使用的百度网盘、秀米会员、麦克表单和迅雷会员代缴相关年度费用；</w:t>
      </w:r>
    </w:p>
    <w:p w14:paraId="3F49B0F8">
      <w:pPr>
        <w:pStyle w:val="27"/>
        <w:numPr>
          <w:ilvl w:val="0"/>
          <w:numId w:val="2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实现网站系统域名续费；</w:t>
      </w:r>
    </w:p>
    <w:p w14:paraId="0129403A">
      <w:pPr>
        <w:pStyle w:val="27"/>
        <w:numPr>
          <w:ilvl w:val="0"/>
          <w:numId w:val="26"/>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每月至少进行一次系统的安全检查保障工作，定期备份，修复漏洞。</w:t>
      </w:r>
    </w:p>
    <w:p w14:paraId="5740117A">
      <w:pPr>
        <w:pStyle w:val="27"/>
        <w:numPr>
          <w:ilvl w:val="0"/>
          <w:numId w:val="13"/>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网络安全维护</w:t>
      </w:r>
    </w:p>
    <w:p w14:paraId="4FEB56CD">
      <w:pPr>
        <w:pStyle w:val="27"/>
        <w:widowControl/>
        <w:numPr>
          <w:ilvl w:val="0"/>
          <w:numId w:val="27"/>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服务标准及目标</w:t>
      </w:r>
    </w:p>
    <w:p w14:paraId="6F046581">
      <w:pPr>
        <w:pStyle w:val="27"/>
        <w:numPr>
          <w:ilvl w:val="0"/>
          <w:numId w:val="28"/>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服务标准（下述涉及文件，以最新版文件规定为准）</w:t>
      </w:r>
    </w:p>
    <w:p w14:paraId="3A47DA3E">
      <w:pPr>
        <w:pStyle w:val="27"/>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《中华人民共和国网络安全法》</w:t>
      </w:r>
      <w:r>
        <w:rPr>
          <w:rFonts w:hint="eastAsia" w:ascii="宋体" w:hAnsi="宋体" w:eastAsia="宋体"/>
          <w:color w:val="auto"/>
          <w:szCs w:val="21"/>
          <w:highlight w:val="none"/>
          <w:lang w:eastAsia="zh-CN"/>
        </w:rPr>
        <w:t>；</w:t>
      </w:r>
    </w:p>
    <w:p w14:paraId="608F9A44">
      <w:pPr>
        <w:pStyle w:val="27"/>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《中华人民共和国数据安全法》</w:t>
      </w:r>
      <w:r>
        <w:rPr>
          <w:rFonts w:hint="eastAsia" w:ascii="宋体" w:hAnsi="宋体" w:eastAsia="宋体"/>
          <w:color w:val="auto"/>
          <w:szCs w:val="21"/>
          <w:highlight w:val="none"/>
          <w:lang w:eastAsia="zh-CN"/>
        </w:rPr>
        <w:t>；</w:t>
      </w:r>
    </w:p>
    <w:p w14:paraId="38871F74">
      <w:pPr>
        <w:pStyle w:val="27"/>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《中华人民共和国个人信息保护法》</w:t>
      </w:r>
      <w:r>
        <w:rPr>
          <w:rFonts w:hint="eastAsia" w:ascii="宋体" w:hAnsi="宋体" w:eastAsia="宋体"/>
          <w:color w:val="auto"/>
          <w:szCs w:val="21"/>
          <w:highlight w:val="none"/>
          <w:lang w:eastAsia="zh-CN"/>
        </w:rPr>
        <w:t>；</w:t>
      </w:r>
    </w:p>
    <w:p w14:paraId="7D14C701">
      <w:pPr>
        <w:pStyle w:val="27"/>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《信息安全等级保护管理办法》（公通字[2007]43号）</w:t>
      </w:r>
      <w:r>
        <w:rPr>
          <w:rFonts w:hint="eastAsia" w:ascii="宋体" w:hAnsi="宋体" w:eastAsia="宋体"/>
          <w:color w:val="auto"/>
          <w:szCs w:val="21"/>
          <w:highlight w:val="none"/>
          <w:lang w:eastAsia="zh-CN"/>
        </w:rPr>
        <w:t>；</w:t>
      </w:r>
    </w:p>
    <w:p w14:paraId="1EB491E1">
      <w:pPr>
        <w:pStyle w:val="27"/>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《信息安全技术</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网络安全等级保护基本要求》（GB/T 22239-2019）</w:t>
      </w:r>
      <w:r>
        <w:rPr>
          <w:rFonts w:hint="eastAsia" w:ascii="宋体" w:hAnsi="宋体" w:eastAsia="宋体"/>
          <w:color w:val="auto"/>
          <w:szCs w:val="21"/>
          <w:highlight w:val="none"/>
          <w:lang w:eastAsia="zh-CN"/>
        </w:rPr>
        <w:t>。</w:t>
      </w:r>
    </w:p>
    <w:p w14:paraId="55A1497F">
      <w:pPr>
        <w:pStyle w:val="27"/>
        <w:numPr>
          <w:ilvl w:val="0"/>
          <w:numId w:val="28"/>
        </w:numPr>
        <w:snapToGrid w:val="0"/>
        <w:spacing w:line="360" w:lineRule="auto"/>
        <w:ind w:left="425" w:leftChars="0" w:hanging="425" w:firstLineChars="0"/>
        <w:contextualSpacing/>
        <w:rPr>
          <w:rFonts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服务目标</w:t>
      </w:r>
    </w:p>
    <w:p w14:paraId="506702D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通过采购专业的网络安全运维服务，保障采购人的网络、业务和数据安全，避免发生严重的网络安全事件造成重大经济损失和不良社会影响。</w:t>
      </w:r>
    </w:p>
    <w:p w14:paraId="126DDC61">
      <w:pPr>
        <w:pStyle w:val="27"/>
        <w:widowControl/>
        <w:numPr>
          <w:ilvl w:val="0"/>
          <w:numId w:val="27"/>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服务内容</w:t>
      </w:r>
    </w:p>
    <w:p w14:paraId="2D9A7A32">
      <w:pPr>
        <w:pStyle w:val="27"/>
        <w:numPr>
          <w:ilvl w:val="0"/>
          <w:numId w:val="30"/>
        </w:numPr>
        <w:snapToGrid w:val="0"/>
        <w:spacing w:line="360" w:lineRule="auto"/>
        <w:ind w:left="425" w:leftChars="0" w:hanging="425" w:firstLineChars="0"/>
        <w:contextualSpacing/>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信息资产梳理服务</w:t>
      </w:r>
    </w:p>
    <w:p w14:paraId="4C7BE59A">
      <w:pPr>
        <w:numPr>
          <w:ilvl w:val="0"/>
          <w:numId w:val="31"/>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梳理对外发布的互联网应用系统；</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梳理互联网出口及出口所使用的设备和安全措施；</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梳理网络结构(网络拓扑)；</w:t>
      </w:r>
      <w:r>
        <w:rPr>
          <w:rFonts w:hint="eastAsia" w:ascii="宋体" w:hAnsi="宋体" w:eastAsia="宋体" w:cs="宋体"/>
          <w:b w:val="0"/>
          <w:i w:val="0"/>
          <w:caps w:val="0"/>
          <w:color w:val="auto"/>
          <w:spacing w:val="0"/>
          <w:w w:val="100"/>
          <w:sz w:val="21"/>
          <w:szCs w:val="21"/>
          <w:highlight w:val="none"/>
          <w:lang w:val="en-US" w:eastAsia="zh-CN"/>
        </w:rPr>
        <w:t>④</w:t>
      </w:r>
      <w:r>
        <w:rPr>
          <w:rFonts w:hint="eastAsia" w:ascii="宋体" w:hAnsi="宋体" w:eastAsia="宋体" w:cs="宋体"/>
          <w:b w:val="0"/>
          <w:i w:val="0"/>
          <w:caps w:val="0"/>
          <w:color w:val="auto"/>
          <w:spacing w:val="0"/>
          <w:w w:val="100"/>
          <w:sz w:val="21"/>
          <w:szCs w:val="21"/>
          <w:highlight w:val="none"/>
        </w:rPr>
        <w:t>梳理重要的或需要重点保护的信息系统、应用系统各服务器之间的访问关系；</w:t>
      </w:r>
      <w:r>
        <w:rPr>
          <w:rFonts w:hint="eastAsia" w:ascii="宋体" w:hAnsi="宋体" w:eastAsia="宋体" w:cs="宋体"/>
          <w:b w:val="0"/>
          <w:i w:val="0"/>
          <w:caps w:val="0"/>
          <w:color w:val="auto"/>
          <w:spacing w:val="0"/>
          <w:w w:val="100"/>
          <w:sz w:val="21"/>
          <w:szCs w:val="21"/>
          <w:highlight w:val="none"/>
          <w:lang w:eastAsia="zh-CN"/>
        </w:rPr>
        <w:t>⑤</w:t>
      </w:r>
      <w:r>
        <w:rPr>
          <w:rFonts w:hint="eastAsia" w:ascii="宋体" w:hAnsi="宋体" w:eastAsia="宋体" w:cs="宋体"/>
          <w:b w:val="0"/>
          <w:i w:val="0"/>
          <w:caps w:val="0"/>
          <w:color w:val="auto"/>
          <w:spacing w:val="0"/>
          <w:w w:val="100"/>
          <w:sz w:val="21"/>
          <w:szCs w:val="21"/>
          <w:highlight w:val="none"/>
        </w:rPr>
        <w:t>梳理网络安全设备及网络防护情况；</w:t>
      </w:r>
      <w:r>
        <w:rPr>
          <w:rFonts w:hint="eastAsia" w:ascii="宋体" w:hAnsi="宋体" w:eastAsia="宋体" w:cs="宋体"/>
          <w:b w:val="0"/>
          <w:i w:val="0"/>
          <w:caps w:val="0"/>
          <w:color w:val="auto"/>
          <w:spacing w:val="0"/>
          <w:w w:val="100"/>
          <w:sz w:val="21"/>
          <w:szCs w:val="21"/>
          <w:highlight w:val="none"/>
          <w:lang w:val="en-US" w:eastAsia="zh-CN"/>
        </w:rPr>
        <w:t>⑥</w:t>
      </w:r>
      <w:r>
        <w:rPr>
          <w:rFonts w:hint="eastAsia" w:ascii="宋体" w:hAnsi="宋体" w:eastAsia="宋体" w:cs="宋体"/>
          <w:b w:val="0"/>
          <w:i w:val="0"/>
          <w:caps w:val="0"/>
          <w:color w:val="auto"/>
          <w:spacing w:val="0"/>
          <w:w w:val="100"/>
          <w:sz w:val="21"/>
          <w:szCs w:val="21"/>
          <w:highlight w:val="none"/>
        </w:rPr>
        <w:t>梳理 SSLVPN 和 IPSECVPN 接入情况；</w:t>
      </w:r>
      <w:r>
        <w:rPr>
          <w:rFonts w:hint="eastAsia" w:ascii="宋体" w:hAnsi="宋体" w:eastAsia="宋体" w:cs="宋体"/>
          <w:b w:val="0"/>
          <w:i w:val="0"/>
          <w:caps w:val="0"/>
          <w:color w:val="auto"/>
          <w:spacing w:val="0"/>
          <w:w w:val="100"/>
          <w:sz w:val="21"/>
          <w:szCs w:val="21"/>
          <w:highlight w:val="none"/>
          <w:lang w:eastAsia="zh-CN"/>
        </w:rPr>
        <w:t>⑦</w:t>
      </w:r>
      <w:r>
        <w:rPr>
          <w:rFonts w:hint="eastAsia" w:ascii="宋体" w:hAnsi="宋体" w:eastAsia="宋体" w:cs="宋体"/>
          <w:b w:val="0"/>
          <w:i w:val="0"/>
          <w:caps w:val="0"/>
          <w:color w:val="auto"/>
          <w:spacing w:val="0"/>
          <w:w w:val="100"/>
          <w:sz w:val="21"/>
          <w:szCs w:val="21"/>
          <w:highlight w:val="none"/>
        </w:rPr>
        <w:t>梳理完信息资产后，提出网络安全优化整改方案建议，涉及硬件的优化整改部分由</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自行采购，不涉及硬件的优化整改部分，与</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协调沟通确认后，负责完成安全整改修复工作。</w:t>
      </w:r>
    </w:p>
    <w:p w14:paraId="64D5F787">
      <w:pPr>
        <w:numPr>
          <w:ilvl w:val="0"/>
          <w:numId w:val="31"/>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服务频次：每年1次。</w:t>
      </w:r>
    </w:p>
    <w:p w14:paraId="78E99C30">
      <w:pPr>
        <w:numPr>
          <w:ilvl w:val="0"/>
          <w:numId w:val="31"/>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服务输出：《信息资产台账》《网络拓扑图》《网络安全优化整改方案》。</w:t>
      </w:r>
    </w:p>
    <w:p w14:paraId="5F2377A5">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安全风险评估服务</w:t>
      </w:r>
    </w:p>
    <w:p w14:paraId="13701A84">
      <w:pPr>
        <w:numPr>
          <w:ilvl w:val="0"/>
          <w:numId w:val="32"/>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漏洞扫描：</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准备现场实施环境，使用漏洞扫描工具实施扫描，扫描完成后，导出原始结果；</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针对导出的原始结果进行人工分析，确保不影响业务的情况下，进行漏洞验证；</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每半年开展1次；</w:t>
      </w:r>
      <w:r>
        <w:rPr>
          <w:rFonts w:hint="eastAsia" w:ascii="宋体" w:hAnsi="宋体" w:eastAsia="宋体" w:cs="宋体"/>
          <w:b w:val="0"/>
          <w:i w:val="0"/>
          <w:caps w:val="0"/>
          <w:color w:val="auto"/>
          <w:spacing w:val="0"/>
          <w:w w:val="100"/>
          <w:sz w:val="21"/>
          <w:szCs w:val="21"/>
          <w:highlight w:val="none"/>
          <w:lang w:val="en-US" w:eastAsia="zh-CN"/>
        </w:rPr>
        <w:t>④</w:t>
      </w:r>
      <w:r>
        <w:rPr>
          <w:rFonts w:hint="eastAsia" w:ascii="宋体" w:hAnsi="宋体" w:eastAsia="宋体" w:cs="宋体"/>
          <w:b w:val="0"/>
          <w:i w:val="0"/>
          <w:caps w:val="0"/>
          <w:color w:val="auto"/>
          <w:spacing w:val="0"/>
          <w:w w:val="100"/>
          <w:sz w:val="21"/>
          <w:szCs w:val="21"/>
          <w:highlight w:val="none"/>
        </w:rPr>
        <w:t>每次输出《漏洞扫描报告》。</w:t>
      </w:r>
    </w:p>
    <w:p w14:paraId="6137832A">
      <w:pPr>
        <w:numPr>
          <w:ilvl w:val="0"/>
          <w:numId w:val="32"/>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弱口令检测：</w:t>
      </w:r>
      <w:r>
        <w:rPr>
          <w:rFonts w:hint="eastAsia" w:ascii="宋体" w:hAnsi="宋体" w:eastAsia="宋体" w:cs="宋体"/>
          <w:b w:val="0"/>
          <w:i w:val="0"/>
          <w:caps w:val="0"/>
          <w:color w:val="auto"/>
          <w:spacing w:val="0"/>
          <w:w w:val="100"/>
          <w:sz w:val="21"/>
          <w:szCs w:val="21"/>
          <w:highlight w:val="none"/>
          <w:lang w:eastAsia="zh-CN"/>
        </w:rPr>
        <w:t>①</w:t>
      </w:r>
      <w:r>
        <w:rPr>
          <w:rFonts w:hint="eastAsia" w:ascii="宋体" w:hAnsi="宋体" w:eastAsia="宋体" w:cs="宋体"/>
          <w:b w:val="0"/>
          <w:i w:val="0"/>
          <w:caps w:val="0"/>
          <w:color w:val="auto"/>
          <w:spacing w:val="0"/>
          <w:w w:val="100"/>
          <w:sz w:val="21"/>
          <w:szCs w:val="21"/>
          <w:highlight w:val="none"/>
        </w:rPr>
        <w:t>对所有设备和系统的口令进行检查，发现弱口令账号；</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每半年开展1次；</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每次输出《弱口令检测报告》。</w:t>
      </w:r>
    </w:p>
    <w:p w14:paraId="1C1E9935">
      <w:pPr>
        <w:numPr>
          <w:ilvl w:val="0"/>
          <w:numId w:val="32"/>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渗透测试：</w:t>
      </w:r>
      <w:r>
        <w:rPr>
          <w:rFonts w:hint="eastAsia" w:ascii="宋体" w:hAnsi="宋体" w:eastAsia="宋体" w:cs="宋体"/>
          <w:b w:val="0"/>
          <w:i w:val="0"/>
          <w:caps w:val="0"/>
          <w:color w:val="auto"/>
          <w:spacing w:val="0"/>
          <w:w w:val="100"/>
          <w:sz w:val="21"/>
          <w:szCs w:val="21"/>
          <w:highlight w:val="none"/>
          <w:lang w:eastAsia="zh-CN"/>
        </w:rPr>
        <w:t>①</w:t>
      </w:r>
      <w:r>
        <w:rPr>
          <w:rFonts w:hint="eastAsia" w:ascii="宋体" w:hAnsi="宋体" w:eastAsia="宋体" w:cs="宋体"/>
          <w:b w:val="0"/>
          <w:i w:val="0"/>
          <w:caps w:val="0"/>
          <w:color w:val="auto"/>
          <w:spacing w:val="0"/>
          <w:w w:val="100"/>
          <w:sz w:val="21"/>
          <w:szCs w:val="21"/>
          <w:highlight w:val="none"/>
        </w:rPr>
        <w:t>针对</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提供的目标系统开展非破坏性质的模拟攻击者入侵的渗透测试服务，将测试过程和成果总结编写为测试报告，提出安全整改建议，与</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协调沟通确认后，负责完成安全整改修复工作；</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针对2个重要系统，每年开展1次；</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每次输出《渗透测试报告》。</w:t>
      </w:r>
    </w:p>
    <w:p w14:paraId="794260EC">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应急响应服务</w:t>
      </w:r>
    </w:p>
    <w:p w14:paraId="0FE71A67">
      <w:pPr>
        <w:numPr>
          <w:ilvl w:val="0"/>
          <w:numId w:val="33"/>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服务内容：当</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信息系统发生网络安全事件时，及时提供全方位的技术支持，帮助</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在最短时间内协助恢复业务正常，最大限度降低安全事件造成的影响和损失。应急结束后开展溯源分析，协助整改加固，举一反三，进一步加强防护措施。</w:t>
      </w:r>
    </w:p>
    <w:p w14:paraId="04AB48B9">
      <w:pPr>
        <w:numPr>
          <w:ilvl w:val="0"/>
          <w:numId w:val="33"/>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服务方式：安全服务人员提供7</w:t>
      </w:r>
      <w:r>
        <w:rPr>
          <w:rFonts w:hint="eastAsia" w:ascii="宋体" w:hAnsi="宋体" w:eastAsia="宋体" w:cs="宋体"/>
          <w:b w:val="0"/>
          <w:i w:val="0"/>
          <w:caps w:val="0"/>
          <w:color w:val="auto"/>
          <w:spacing w:val="0"/>
          <w:w w:val="100"/>
          <w:sz w:val="21"/>
          <w:szCs w:val="21"/>
          <w:highlight w:val="none"/>
          <w:lang w:val="en-US" w:eastAsia="zh-CN"/>
        </w:rPr>
        <w:t>×</w:t>
      </w:r>
      <w:r>
        <w:rPr>
          <w:rFonts w:hint="eastAsia" w:ascii="宋体" w:hAnsi="宋体" w:eastAsia="宋体" w:cs="宋体"/>
          <w:b w:val="0"/>
          <w:i w:val="0"/>
          <w:caps w:val="0"/>
          <w:color w:val="auto"/>
          <w:spacing w:val="0"/>
          <w:w w:val="100"/>
          <w:sz w:val="21"/>
          <w:szCs w:val="21"/>
          <w:highlight w:val="none"/>
        </w:rPr>
        <w:t>24小时应急响应服务</w:t>
      </w:r>
      <w:r>
        <w:rPr>
          <w:rFonts w:hint="eastAsia" w:ascii="宋体" w:hAnsi="宋体" w:eastAsia="宋体" w:cs="宋体"/>
          <w:b w:val="0"/>
          <w:i w:val="0"/>
          <w:caps w:val="0"/>
          <w:color w:val="auto"/>
          <w:spacing w:val="0"/>
          <w:w w:val="100"/>
          <w:sz w:val="21"/>
          <w:szCs w:val="21"/>
          <w:highlight w:val="none"/>
          <w:lang w:eastAsia="zh-CN"/>
        </w:rPr>
        <w:t>（重大事件10分钟内响应，中小事件30分钟内响应）</w:t>
      </w:r>
      <w:r>
        <w:rPr>
          <w:rFonts w:hint="eastAsia" w:ascii="宋体" w:hAnsi="宋体" w:eastAsia="宋体" w:cs="宋体"/>
          <w:b w:val="0"/>
          <w:i w:val="0"/>
          <w:caps w:val="0"/>
          <w:color w:val="auto"/>
          <w:spacing w:val="0"/>
          <w:w w:val="100"/>
          <w:sz w:val="21"/>
          <w:szCs w:val="21"/>
          <w:highlight w:val="none"/>
        </w:rPr>
        <w:t>，</w:t>
      </w:r>
      <w:r>
        <w:rPr>
          <w:rFonts w:hint="eastAsia" w:ascii="宋体" w:hAnsi="宋体" w:eastAsia="宋体" w:cs="宋体"/>
          <w:b w:val="0"/>
          <w:i w:val="0"/>
          <w:caps w:val="0"/>
          <w:color w:val="auto"/>
          <w:spacing w:val="0"/>
          <w:w w:val="100"/>
          <w:sz w:val="21"/>
          <w:szCs w:val="21"/>
          <w:highlight w:val="none"/>
          <w:lang w:val="en-US" w:eastAsia="zh-CN"/>
        </w:rPr>
        <w:t>3</w:t>
      </w:r>
      <w:r>
        <w:rPr>
          <w:rFonts w:hint="eastAsia" w:ascii="宋体" w:hAnsi="宋体" w:eastAsia="宋体" w:cs="宋体"/>
          <w:b w:val="0"/>
          <w:i w:val="0"/>
          <w:caps w:val="0"/>
          <w:color w:val="auto"/>
          <w:spacing w:val="0"/>
          <w:w w:val="100"/>
          <w:sz w:val="21"/>
          <w:szCs w:val="21"/>
          <w:highlight w:val="none"/>
        </w:rPr>
        <w:t>小时</w:t>
      </w:r>
      <w:r>
        <w:rPr>
          <w:rFonts w:hint="eastAsia" w:ascii="宋体" w:hAnsi="宋体" w:eastAsia="宋体" w:cs="宋体"/>
          <w:b w:val="0"/>
          <w:i w:val="0"/>
          <w:caps w:val="0"/>
          <w:color w:val="auto"/>
          <w:spacing w:val="0"/>
          <w:w w:val="100"/>
          <w:sz w:val="21"/>
          <w:szCs w:val="21"/>
          <w:highlight w:val="none"/>
          <w:lang w:val="en-US" w:eastAsia="zh-CN"/>
        </w:rPr>
        <w:t>内</w:t>
      </w:r>
      <w:r>
        <w:rPr>
          <w:rFonts w:hint="eastAsia" w:ascii="宋体" w:hAnsi="宋体" w:eastAsia="宋体" w:cs="宋体"/>
          <w:b w:val="0"/>
          <w:i w:val="0"/>
          <w:caps w:val="0"/>
          <w:color w:val="auto"/>
          <w:spacing w:val="0"/>
          <w:w w:val="100"/>
          <w:sz w:val="21"/>
          <w:szCs w:val="21"/>
          <w:highlight w:val="none"/>
        </w:rPr>
        <w:t>到达现场服务。</w:t>
      </w:r>
    </w:p>
    <w:p w14:paraId="75829E74">
      <w:pPr>
        <w:numPr>
          <w:ilvl w:val="0"/>
          <w:numId w:val="33"/>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cs="宋体"/>
          <w:b w:val="0"/>
          <w:i w:val="0"/>
          <w:caps w:val="0"/>
          <w:color w:val="auto"/>
          <w:spacing w:val="0"/>
          <w:w w:val="100"/>
          <w:sz w:val="21"/>
          <w:szCs w:val="21"/>
          <w:highlight w:val="none"/>
        </w:rPr>
        <w:t>《应急响应报告》。</w:t>
      </w:r>
    </w:p>
    <w:p w14:paraId="5707333A">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重保值守服务</w:t>
      </w:r>
    </w:p>
    <w:p w14:paraId="255995A0">
      <w:pPr>
        <w:numPr>
          <w:ilvl w:val="0"/>
          <w:numId w:val="34"/>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服务内容：在重要保障时期为</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提供全方位的安全值守服务，包括事前的风险检测、整改加固，事中的监控预警、攻击防御，事后的分析溯源、报告撰写等服务，当</w:t>
      </w:r>
      <w:r>
        <w:rPr>
          <w:rFonts w:hint="eastAsia" w:ascii="宋体" w:hAnsi="宋体" w:eastAsia="宋体" w:cs="宋体"/>
          <w:b w:val="0"/>
          <w:i w:val="0"/>
          <w:caps w:val="0"/>
          <w:color w:val="auto"/>
          <w:spacing w:val="0"/>
          <w:w w:val="100"/>
          <w:sz w:val="21"/>
          <w:szCs w:val="21"/>
          <w:highlight w:val="none"/>
          <w:lang w:val="en-US" w:eastAsia="zh-CN"/>
        </w:rPr>
        <w:t>采购人系统</w:t>
      </w:r>
      <w:r>
        <w:rPr>
          <w:rFonts w:hint="eastAsia" w:ascii="宋体" w:hAnsi="宋体" w:eastAsia="宋体" w:cs="宋体"/>
          <w:b w:val="0"/>
          <w:i w:val="0"/>
          <w:caps w:val="0"/>
          <w:color w:val="auto"/>
          <w:spacing w:val="0"/>
          <w:w w:val="100"/>
          <w:sz w:val="21"/>
          <w:szCs w:val="21"/>
          <w:highlight w:val="none"/>
        </w:rPr>
        <w:t>遭受攻击时能够及时反映，启动应急预案，将攻击危害程度降到最低。</w:t>
      </w:r>
    </w:p>
    <w:p w14:paraId="133B0FD7">
      <w:pPr>
        <w:numPr>
          <w:ilvl w:val="0"/>
          <w:numId w:val="34"/>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服务方式：在两会、“莞盾”、“粤盾”、“粤网安”等重大活动期间安排安全服务工程师值班值守。</w:t>
      </w:r>
    </w:p>
    <w:p w14:paraId="5A9F7B0A">
      <w:pPr>
        <w:numPr>
          <w:ilvl w:val="0"/>
          <w:numId w:val="34"/>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服务输出：《重保值守报告》。</w:t>
      </w:r>
    </w:p>
    <w:p w14:paraId="3757D6DE">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整改加固服务</w:t>
      </w:r>
    </w:p>
    <w:p w14:paraId="7654607E">
      <w:pPr>
        <w:numPr>
          <w:ilvl w:val="0"/>
          <w:numId w:val="35"/>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服务内容：参考国内权威的系统安全配置标准，并结合</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的实际业务需求和脆弱点发现情况，负责完成对操作系统、数据库、中间件、安全设备、网络设备等进行安全配置加固和网络架构安全调优。</w:t>
      </w:r>
    </w:p>
    <w:p w14:paraId="37B44913">
      <w:pPr>
        <w:numPr>
          <w:ilvl w:val="0"/>
          <w:numId w:val="35"/>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服务输出：《整改加固报告》。</w:t>
      </w:r>
    </w:p>
    <w:p w14:paraId="1F93585A">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安全巡检服务</w:t>
      </w:r>
    </w:p>
    <w:p w14:paraId="014629FF">
      <w:pPr>
        <w:numPr>
          <w:ilvl w:val="0"/>
          <w:numId w:val="36"/>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服务内容：检查设备的运行状态，检查安全设备安全防护策略，检查应用系统数据备份情况；分析安全日志，确认攻击源、攻击方法、攻击目标，提出安全防护策略整改建议，与</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协调沟通确认后，负责完成安全整改修复工作。</w:t>
      </w:r>
    </w:p>
    <w:p w14:paraId="47F01A71">
      <w:pPr>
        <w:numPr>
          <w:ilvl w:val="0"/>
          <w:numId w:val="36"/>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服务频次：每周1次，每月输出1份报告。</w:t>
      </w:r>
    </w:p>
    <w:p w14:paraId="3B8369AA">
      <w:pPr>
        <w:numPr>
          <w:ilvl w:val="0"/>
          <w:numId w:val="36"/>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服务输出：《安全巡检报告》。</w:t>
      </w:r>
    </w:p>
    <w:p w14:paraId="6878EE8E">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技术支持服务</w:t>
      </w:r>
    </w:p>
    <w:p w14:paraId="1A4F8DBF">
      <w:pPr>
        <w:numPr>
          <w:ilvl w:val="0"/>
          <w:numId w:val="37"/>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服务内容：当</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开展网络安全维护工作遇到技术问题时，提供技术支持服务，包括：</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即时指导服务：由</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对技术问题进行描述后，通过网络或电话进行问题会诊，确认合适的解决方案，指导</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进行现场或远程操作，解决问题；</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现场服务：远程指导无法解决问题时，派出技术人员到现场提供技术服务，解决问题。</w:t>
      </w:r>
    </w:p>
    <w:p w14:paraId="776C4961">
      <w:pPr>
        <w:numPr>
          <w:ilvl w:val="0"/>
          <w:numId w:val="37"/>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服务输出：《技术服务报告》。</w:t>
      </w:r>
    </w:p>
    <w:p w14:paraId="7A31D550">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代码审计服务</w:t>
      </w:r>
    </w:p>
    <w:p w14:paraId="57B2C7B9">
      <w:pPr>
        <w:numPr>
          <w:ilvl w:val="0"/>
          <w:numId w:val="38"/>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val="en-US" w:eastAsia="zh-CN"/>
        </w:rPr>
        <w:t>服务内容：①</w:t>
      </w:r>
      <w:r>
        <w:rPr>
          <w:rFonts w:hint="eastAsia" w:ascii="宋体" w:hAnsi="宋体" w:eastAsia="宋体" w:cs="宋体"/>
          <w:b w:val="0"/>
          <w:i w:val="0"/>
          <w:caps w:val="0"/>
          <w:color w:val="auto"/>
          <w:spacing w:val="0"/>
          <w:w w:val="100"/>
          <w:sz w:val="21"/>
          <w:szCs w:val="21"/>
          <w:highlight w:val="none"/>
        </w:rPr>
        <w:t>提供源代码审计工具，检查重要业务系统源代码中是否存在开源组件漏洞、逻辑漏洞、代码缺陷等深层次安全隐患，需支持对C、C++、C#、Objective-C、Java、PHP、Swift、JavaScript、Python、Cobol、Go等语言开发的软件源代码进行检测，支持拉取代码仓库以及上传代码文件和上传镜像检测方式；</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选取</w:t>
      </w:r>
      <w:r>
        <w:rPr>
          <w:rFonts w:hint="eastAsia" w:ascii="宋体" w:hAnsi="宋体" w:eastAsia="宋体" w:cs="宋体"/>
          <w:b w:val="0"/>
          <w:i w:val="0"/>
          <w:caps w:val="0"/>
          <w:color w:val="auto"/>
          <w:spacing w:val="0"/>
          <w:w w:val="100"/>
          <w:sz w:val="21"/>
          <w:szCs w:val="21"/>
          <w:highlight w:val="none"/>
          <w:lang w:val="en-US" w:eastAsia="zh-CN"/>
        </w:rPr>
        <w:t>1</w:t>
      </w:r>
      <w:r>
        <w:rPr>
          <w:rFonts w:hint="eastAsia" w:ascii="宋体" w:hAnsi="宋体" w:eastAsia="宋体" w:cs="宋体"/>
          <w:b w:val="0"/>
          <w:i w:val="0"/>
          <w:caps w:val="0"/>
          <w:color w:val="auto"/>
          <w:spacing w:val="0"/>
          <w:w w:val="100"/>
          <w:sz w:val="21"/>
          <w:szCs w:val="21"/>
          <w:highlight w:val="none"/>
        </w:rPr>
        <w:t>个系统，重点针对攻防演练靶标系统、大数据类业务系统、新上线业务系统，</w:t>
      </w:r>
      <w:r>
        <w:rPr>
          <w:rFonts w:hint="eastAsia" w:ascii="宋体" w:hAnsi="宋体" w:eastAsia="宋体" w:cs="宋体"/>
          <w:b w:val="0"/>
          <w:i w:val="0"/>
          <w:caps w:val="0"/>
          <w:color w:val="auto"/>
          <w:spacing w:val="0"/>
          <w:w w:val="100"/>
          <w:sz w:val="21"/>
          <w:szCs w:val="21"/>
          <w:highlight w:val="none"/>
          <w:lang w:val="en-US" w:eastAsia="zh-CN"/>
        </w:rPr>
        <w:t>由</w:t>
      </w:r>
      <w:r>
        <w:rPr>
          <w:rFonts w:hint="eastAsia" w:ascii="宋体" w:hAnsi="宋体" w:eastAsia="宋体" w:cs="宋体"/>
          <w:b w:val="0"/>
          <w:i w:val="0"/>
          <w:caps w:val="0"/>
          <w:color w:val="auto"/>
          <w:spacing w:val="0"/>
          <w:w w:val="100"/>
          <w:sz w:val="21"/>
          <w:szCs w:val="21"/>
          <w:highlight w:val="none"/>
        </w:rPr>
        <w:t>源代码审计安全专家提供源代码审计服务，输出源代码审计报告，对存在的代码风险和问题提供整改建议。</w:t>
      </w:r>
    </w:p>
    <w:p w14:paraId="7081D0E5">
      <w:pPr>
        <w:numPr>
          <w:ilvl w:val="0"/>
          <w:numId w:val="38"/>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lang w:val="en-US" w:eastAsia="zh-CN"/>
        </w:rPr>
      </w:pPr>
      <w:r>
        <w:rPr>
          <w:rFonts w:hint="eastAsia" w:ascii="宋体" w:hAnsi="宋体" w:eastAsia="宋体" w:cs="宋体"/>
          <w:b w:val="0"/>
          <w:i w:val="0"/>
          <w:caps w:val="0"/>
          <w:color w:val="auto"/>
          <w:spacing w:val="0"/>
          <w:w w:val="100"/>
          <w:sz w:val="21"/>
          <w:szCs w:val="21"/>
          <w:highlight w:val="none"/>
          <w:lang w:val="en-US" w:eastAsia="zh-CN"/>
        </w:rPr>
        <w:t>服务输出：</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cs="宋体"/>
          <w:b w:val="0"/>
          <w:i w:val="0"/>
          <w:caps w:val="0"/>
          <w:color w:val="auto"/>
          <w:spacing w:val="0"/>
          <w:w w:val="100"/>
          <w:sz w:val="21"/>
          <w:szCs w:val="21"/>
          <w:highlight w:val="none"/>
          <w:lang w:val="en-US" w:eastAsia="zh-CN"/>
        </w:rPr>
        <w:t>源代码审计报告》。</w:t>
      </w:r>
    </w:p>
    <w:p w14:paraId="61CEF160">
      <w:pPr>
        <w:numPr>
          <w:ilvl w:val="0"/>
          <w:numId w:val="38"/>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kern w:val="0"/>
          <w:sz w:val="21"/>
          <w:szCs w:val="21"/>
          <w:highlight w:val="none"/>
          <w:lang w:val="en-US" w:eastAsia="zh-CN" w:bidi="ar-SA"/>
        </w:rPr>
      </w:pPr>
      <w:r>
        <w:rPr>
          <w:rFonts w:hint="eastAsia" w:ascii="宋体" w:hAnsi="宋体" w:eastAsia="宋体" w:cs="宋体"/>
          <w:b w:val="0"/>
          <w:i w:val="0"/>
          <w:caps w:val="0"/>
          <w:color w:val="auto"/>
          <w:spacing w:val="0"/>
          <w:w w:val="100"/>
          <w:kern w:val="0"/>
          <w:sz w:val="21"/>
          <w:szCs w:val="21"/>
          <w:highlight w:val="none"/>
          <w:lang w:val="en-US" w:eastAsia="zh-CN" w:bidi="ar-SA"/>
        </w:rPr>
        <w:t>代码审计工具的技术要求如下：</w:t>
      </w:r>
    </w:p>
    <w:tbl>
      <w:tblPr>
        <w:tblStyle w:val="15"/>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81"/>
        <w:gridCol w:w="8503"/>
      </w:tblGrid>
      <w:tr w14:paraId="05B87B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320" w:type="pct"/>
            <w:vAlign w:val="center"/>
          </w:tcPr>
          <w:p w14:paraId="279EEB01">
            <w:pPr>
              <w:keepNext w:val="0"/>
              <w:keepLines w:val="0"/>
              <w:pageBreakBefore w:val="0"/>
              <w:widowControl w:val="0"/>
              <w:kinsoku/>
              <w:wordWrap/>
              <w:overflowPunct/>
              <w:topLinePunct w:val="0"/>
              <w:autoSpaceDE/>
              <w:autoSpaceDN/>
              <w:bidi w:val="0"/>
              <w:adjustRightInd/>
              <w:snapToGrid/>
              <w:spacing w:line="240" w:lineRule="auto"/>
              <w:ind w:left="82"/>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序号</w:t>
            </w:r>
          </w:p>
        </w:tc>
        <w:tc>
          <w:tcPr>
            <w:tcW w:w="4679" w:type="pct"/>
            <w:vAlign w:val="center"/>
          </w:tcPr>
          <w:p w14:paraId="0D54AA68">
            <w:pPr>
              <w:keepNext w:val="0"/>
              <w:keepLines w:val="0"/>
              <w:pageBreakBefore w:val="0"/>
              <w:widowControl w:val="0"/>
              <w:kinsoku/>
              <w:wordWrap/>
              <w:overflowPunct/>
              <w:topLinePunct w:val="0"/>
              <w:autoSpaceDE/>
              <w:autoSpaceDN/>
              <w:bidi w:val="0"/>
              <w:adjustRightInd/>
              <w:snapToGrid/>
              <w:spacing w:line="240" w:lineRule="auto"/>
              <w:ind w:left="82"/>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指标详细内容</w:t>
            </w:r>
          </w:p>
        </w:tc>
      </w:tr>
      <w:tr w14:paraId="274C93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320" w:type="pct"/>
            <w:vAlign w:val="center"/>
          </w:tcPr>
          <w:p w14:paraId="5B13B402">
            <w:pPr>
              <w:keepNext w:val="0"/>
              <w:keepLines w:val="0"/>
              <w:pageBreakBefore w:val="0"/>
              <w:widowControl w:val="0"/>
              <w:kinsoku/>
              <w:wordWrap/>
              <w:overflowPunct/>
              <w:topLinePunct w:val="0"/>
              <w:autoSpaceDE/>
              <w:autoSpaceDN/>
              <w:bidi w:val="0"/>
              <w:adjustRightInd/>
              <w:snapToGrid/>
              <w:spacing w:line="240" w:lineRule="auto"/>
              <w:ind w:left="88"/>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w:t>
            </w:r>
          </w:p>
        </w:tc>
        <w:tc>
          <w:tcPr>
            <w:tcW w:w="4679" w:type="pct"/>
            <w:vAlign w:val="center"/>
          </w:tcPr>
          <w:p w14:paraId="29EDFAC6">
            <w:pPr>
              <w:keepNext w:val="0"/>
              <w:keepLines w:val="0"/>
              <w:pageBreakBefore w:val="0"/>
              <w:widowControl w:val="0"/>
              <w:kinsoku/>
              <w:wordWrap/>
              <w:overflowPunct/>
              <w:topLinePunct w:val="0"/>
              <w:autoSpaceDE/>
              <w:autoSpaceDN/>
              <w:bidi w:val="0"/>
              <w:adjustRightInd/>
              <w:snapToGrid/>
              <w:spacing w:line="240" w:lineRule="auto"/>
              <w:ind w:left="82"/>
              <w:jc w:val="both"/>
              <w:textAlignment w:val="auto"/>
              <w:rPr>
                <w:rFonts w:hint="eastAsia" w:ascii="宋体" w:hAnsi="宋体" w:eastAsia="宋体" w:cs="宋体"/>
                <w:b/>
                <w:bCs/>
                <w:color w:val="auto"/>
                <w:kern w:val="2"/>
                <w:sz w:val="21"/>
                <w:szCs w:val="21"/>
                <w:highlight w:val="none"/>
                <w:u w:val="single"/>
                <w:lang w:val="en-US" w:eastAsia="zh-CN" w:bidi="ar-SA"/>
              </w:rPr>
            </w:pPr>
            <w:r>
              <w:rPr>
                <w:rFonts w:hint="eastAsia" w:ascii="宋体" w:hAnsi="宋体" w:eastAsia="宋体" w:cs="宋体"/>
                <w:b/>
                <w:bCs/>
                <w:color w:val="auto"/>
                <w:kern w:val="2"/>
                <w:sz w:val="21"/>
                <w:szCs w:val="21"/>
                <w:highlight w:val="none"/>
                <w:u w:val="single"/>
                <w:lang w:val="en-US" w:eastAsia="zh-CN" w:bidi="ar-SA"/>
              </w:rPr>
              <w:t>▲支持Java /Python/C/C++/C#/Go/PHP/JavaScript/Swift/Ruby等不少于10种主流编程语言开发的软件源代码检测；支持基于收集流量重放请求与基于代码数据流安装插桩Agent的两种模式，其中插桩模式支持Java、Golang、.NET Framework、.NET Core、Node.js、Python、PHP等七种语言。（在投标文件中提供产品功能截图并加盖投标人公章）</w:t>
            </w:r>
          </w:p>
        </w:tc>
      </w:tr>
      <w:tr w14:paraId="403854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320" w:type="pct"/>
            <w:vAlign w:val="center"/>
          </w:tcPr>
          <w:p w14:paraId="63CEA29B">
            <w:pPr>
              <w:keepNext w:val="0"/>
              <w:keepLines w:val="0"/>
              <w:pageBreakBefore w:val="0"/>
              <w:widowControl w:val="0"/>
              <w:kinsoku/>
              <w:wordWrap/>
              <w:overflowPunct/>
              <w:topLinePunct w:val="0"/>
              <w:autoSpaceDE/>
              <w:autoSpaceDN/>
              <w:bidi w:val="0"/>
              <w:adjustRightInd/>
              <w:snapToGrid/>
              <w:spacing w:line="240" w:lineRule="auto"/>
              <w:ind w:left="88"/>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w:t>
            </w:r>
          </w:p>
        </w:tc>
        <w:tc>
          <w:tcPr>
            <w:tcW w:w="4679" w:type="pct"/>
            <w:vAlign w:val="center"/>
          </w:tcPr>
          <w:p w14:paraId="39A7229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auto"/>
                <w:kern w:val="2"/>
                <w:sz w:val="21"/>
                <w:szCs w:val="21"/>
                <w:highlight w:val="none"/>
                <w:u w:val="single"/>
                <w:lang w:val="en-US" w:eastAsia="zh-CN" w:bidi="ar-SA"/>
              </w:rPr>
            </w:pPr>
            <w:r>
              <w:rPr>
                <w:rFonts w:hint="eastAsia" w:ascii="宋体" w:hAnsi="宋体" w:eastAsia="宋体" w:cs="宋体"/>
                <w:b/>
                <w:bCs/>
                <w:color w:val="auto"/>
                <w:kern w:val="2"/>
                <w:sz w:val="21"/>
                <w:szCs w:val="21"/>
                <w:highlight w:val="none"/>
                <w:u w:val="single"/>
                <w:lang w:val="en-US" w:eastAsia="zh-CN" w:bidi="ar-SA"/>
              </w:rPr>
              <w:t>▲支持多种检测依赖分析技术，包括但不限于包管理扫描、模拟构建、代码片段扫描、镜像扫描等。（在投标文件中提供产品功能截图并加盖投标人公章）</w:t>
            </w:r>
          </w:p>
        </w:tc>
      </w:tr>
      <w:tr w14:paraId="014EC9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trPr>
        <w:tc>
          <w:tcPr>
            <w:tcW w:w="320" w:type="pct"/>
            <w:vAlign w:val="center"/>
          </w:tcPr>
          <w:p w14:paraId="78A1B829">
            <w:pPr>
              <w:keepNext w:val="0"/>
              <w:keepLines w:val="0"/>
              <w:pageBreakBefore w:val="0"/>
              <w:widowControl w:val="0"/>
              <w:kinsoku/>
              <w:wordWrap/>
              <w:overflowPunct/>
              <w:topLinePunct w:val="0"/>
              <w:autoSpaceDE/>
              <w:autoSpaceDN/>
              <w:bidi w:val="0"/>
              <w:adjustRightInd/>
              <w:snapToGrid/>
              <w:spacing w:line="240" w:lineRule="auto"/>
              <w:ind w:left="88"/>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w:t>
            </w:r>
          </w:p>
        </w:tc>
        <w:tc>
          <w:tcPr>
            <w:tcW w:w="4679" w:type="pct"/>
            <w:vAlign w:val="center"/>
          </w:tcPr>
          <w:p w14:paraId="4D78BFA5">
            <w:pPr>
              <w:keepNext w:val="0"/>
              <w:keepLines w:val="0"/>
              <w:pageBreakBefore w:val="0"/>
              <w:widowControl w:val="0"/>
              <w:kinsoku/>
              <w:wordWrap/>
              <w:overflowPunct/>
              <w:topLinePunct w:val="0"/>
              <w:autoSpaceDE/>
              <w:autoSpaceDN/>
              <w:bidi w:val="0"/>
              <w:adjustRightInd/>
              <w:snapToGrid/>
              <w:spacing w:line="240" w:lineRule="auto"/>
              <w:ind w:left="82"/>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支持软件成分安全风险管理，支持CVE、CNVD、CNNVD等漏洞库相关展示，内容包括但不限于：漏洞名称、漏洞等级、威胁类型、公布时间、更新时间、CPE2.3、CVSS2.0评分、厂商、漏洞描述、参考链接等。</w:t>
            </w:r>
          </w:p>
        </w:tc>
      </w:tr>
    </w:tbl>
    <w:p w14:paraId="14AE5D6B">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安全设备升级服务</w:t>
      </w:r>
    </w:p>
    <w:p w14:paraId="7862AAB6">
      <w:pPr>
        <w:snapToGrid w:val="0"/>
        <w:spacing w:before="0" w:beforeAutospacing="0" w:after="0" w:afterAutospacing="0" w:line="360" w:lineRule="auto"/>
        <w:ind w:firstLine="420" w:firstLineChars="20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为采购人现有的1台WEB应用防火墙（WAF5110）、2台上网行为管理（ASG5510）设备提供1年的运行维护服务，包括设备巡检、升级等。</w:t>
      </w:r>
    </w:p>
    <w:p w14:paraId="4B5CA8B4">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终端安全防护服务</w:t>
      </w:r>
    </w:p>
    <w:p w14:paraId="0BCC56EA">
      <w:pPr>
        <w:snapToGrid w:val="0"/>
        <w:spacing w:before="0" w:beforeAutospacing="0" w:after="0" w:afterAutospacing="0" w:line="360" w:lineRule="auto"/>
        <w:ind w:firstLine="420" w:firstLineChars="200"/>
        <w:jc w:val="both"/>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为</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提供终端安全防护</w:t>
      </w:r>
      <w:r>
        <w:rPr>
          <w:rFonts w:hint="eastAsia" w:ascii="宋体" w:hAnsi="宋体" w:eastAsia="宋体" w:cs="宋体"/>
          <w:b w:val="0"/>
          <w:i w:val="0"/>
          <w:caps w:val="0"/>
          <w:color w:val="auto"/>
          <w:spacing w:val="0"/>
          <w:w w:val="100"/>
          <w:sz w:val="21"/>
          <w:szCs w:val="21"/>
          <w:highlight w:val="none"/>
          <w:lang w:val="en-US" w:eastAsia="zh-CN"/>
        </w:rPr>
        <w:t>服务</w:t>
      </w:r>
      <w:r>
        <w:rPr>
          <w:rFonts w:hint="eastAsia" w:ascii="宋体" w:hAnsi="宋体" w:eastAsia="宋体" w:cs="宋体"/>
          <w:b w:val="0"/>
          <w:i w:val="0"/>
          <w:caps w:val="0"/>
          <w:color w:val="auto"/>
          <w:spacing w:val="0"/>
          <w:w w:val="100"/>
          <w:sz w:val="21"/>
          <w:szCs w:val="21"/>
          <w:highlight w:val="none"/>
        </w:rPr>
        <w:t>，</w:t>
      </w:r>
      <w:r>
        <w:rPr>
          <w:rFonts w:hint="eastAsia" w:ascii="宋体" w:hAnsi="宋体" w:eastAsia="宋体" w:cs="宋体"/>
          <w:b w:val="0"/>
          <w:i w:val="0"/>
          <w:caps w:val="0"/>
          <w:color w:val="auto"/>
          <w:spacing w:val="0"/>
          <w:w w:val="100"/>
          <w:sz w:val="21"/>
          <w:szCs w:val="21"/>
          <w:highlight w:val="none"/>
          <w:lang w:val="en-US" w:eastAsia="zh-CN"/>
        </w:rPr>
        <w:t>服务对象包括120台PC和</w:t>
      </w:r>
      <w:r>
        <w:rPr>
          <w:rFonts w:hint="eastAsia" w:ascii="宋体" w:hAnsi="宋体" w:eastAsia="宋体" w:cs="宋体"/>
          <w:b w:val="0"/>
          <w:i w:val="0"/>
          <w:caps w:val="0"/>
          <w:color w:val="auto"/>
          <w:spacing w:val="0"/>
          <w:w w:val="100"/>
          <w:sz w:val="21"/>
          <w:szCs w:val="21"/>
          <w:highlight w:val="none"/>
        </w:rPr>
        <w:t>20</w:t>
      </w:r>
      <w:r>
        <w:rPr>
          <w:rFonts w:hint="eastAsia" w:ascii="宋体" w:hAnsi="宋体" w:eastAsia="宋体" w:cs="宋体"/>
          <w:b w:val="0"/>
          <w:i w:val="0"/>
          <w:caps w:val="0"/>
          <w:color w:val="auto"/>
          <w:spacing w:val="0"/>
          <w:w w:val="100"/>
          <w:sz w:val="21"/>
          <w:szCs w:val="21"/>
          <w:highlight w:val="none"/>
          <w:lang w:val="en-US" w:eastAsia="zh-CN"/>
        </w:rPr>
        <w:t>台</w:t>
      </w:r>
      <w:r>
        <w:rPr>
          <w:rFonts w:hint="eastAsia" w:ascii="宋体" w:hAnsi="宋体" w:eastAsia="宋体" w:cs="宋体"/>
          <w:b w:val="0"/>
          <w:i w:val="0"/>
          <w:caps w:val="0"/>
          <w:color w:val="auto"/>
          <w:spacing w:val="0"/>
          <w:w w:val="100"/>
          <w:sz w:val="21"/>
          <w:szCs w:val="21"/>
          <w:highlight w:val="none"/>
        </w:rPr>
        <w:t>服务器。终端安全防护</w:t>
      </w:r>
      <w:r>
        <w:rPr>
          <w:rFonts w:hint="eastAsia" w:ascii="宋体" w:hAnsi="宋体" w:eastAsia="宋体" w:cs="宋体"/>
          <w:b w:val="0"/>
          <w:i w:val="0"/>
          <w:caps w:val="0"/>
          <w:color w:val="auto"/>
          <w:spacing w:val="0"/>
          <w:w w:val="100"/>
          <w:sz w:val="21"/>
          <w:szCs w:val="21"/>
          <w:highlight w:val="none"/>
          <w:lang w:val="en-US" w:eastAsia="zh-CN"/>
        </w:rPr>
        <w:t>服务</w:t>
      </w:r>
      <w:r>
        <w:rPr>
          <w:rFonts w:hint="eastAsia" w:ascii="宋体" w:hAnsi="宋体" w:eastAsia="宋体" w:cs="宋体"/>
          <w:b w:val="0"/>
          <w:i w:val="0"/>
          <w:caps w:val="0"/>
          <w:color w:val="auto"/>
          <w:spacing w:val="0"/>
          <w:w w:val="100"/>
          <w:sz w:val="21"/>
          <w:szCs w:val="21"/>
          <w:highlight w:val="none"/>
        </w:rPr>
        <w:t>需满足以下技术要求：</w:t>
      </w:r>
    </w:p>
    <w:tbl>
      <w:tblPr>
        <w:tblStyle w:val="15"/>
        <w:tblW w:w="4997" w:type="pct"/>
        <w:tblInd w:w="0" w:type="dxa"/>
        <w:tblLayout w:type="autofit"/>
        <w:tblCellMar>
          <w:top w:w="0" w:type="dxa"/>
          <w:left w:w="108" w:type="dxa"/>
          <w:bottom w:w="0" w:type="dxa"/>
          <w:right w:w="108" w:type="dxa"/>
        </w:tblCellMar>
      </w:tblPr>
      <w:tblGrid>
        <w:gridCol w:w="1500"/>
        <w:gridCol w:w="7780"/>
      </w:tblGrid>
      <w:tr w14:paraId="032840B6">
        <w:tblPrEx>
          <w:tblCellMar>
            <w:top w:w="0" w:type="dxa"/>
            <w:left w:w="108" w:type="dxa"/>
            <w:bottom w:w="0" w:type="dxa"/>
            <w:right w:w="108" w:type="dxa"/>
          </w:tblCellMar>
        </w:tblPrEx>
        <w:trPr>
          <w:trHeight w:val="90" w:hRule="atLeast"/>
        </w:trPr>
        <w:tc>
          <w:tcPr>
            <w:tcW w:w="808" w:type="pct"/>
            <w:tcBorders>
              <w:top w:val="single" w:color="000000" w:sz="4" w:space="0"/>
              <w:left w:val="single" w:color="000000" w:sz="4" w:space="0"/>
              <w:right w:val="single" w:color="000000" w:sz="4" w:space="0"/>
            </w:tcBorders>
            <w:vAlign w:val="center"/>
          </w:tcPr>
          <w:p w14:paraId="13EB20C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技术指标</w:t>
            </w:r>
          </w:p>
        </w:tc>
        <w:tc>
          <w:tcPr>
            <w:tcW w:w="4191" w:type="pct"/>
            <w:tcBorders>
              <w:top w:val="single" w:color="000000" w:sz="4" w:space="0"/>
              <w:left w:val="single" w:color="000000" w:sz="4" w:space="0"/>
              <w:bottom w:val="single" w:color="000000" w:sz="4" w:space="0"/>
              <w:right w:val="single" w:color="000000" w:sz="4" w:space="0"/>
            </w:tcBorders>
            <w:vAlign w:val="center"/>
          </w:tcPr>
          <w:p w14:paraId="4F44408F">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指标要求</w:t>
            </w:r>
          </w:p>
        </w:tc>
      </w:tr>
      <w:tr w14:paraId="120AB8D0">
        <w:tblPrEx>
          <w:tblCellMar>
            <w:top w:w="0" w:type="dxa"/>
            <w:left w:w="108" w:type="dxa"/>
            <w:bottom w:w="0" w:type="dxa"/>
            <w:right w:w="108" w:type="dxa"/>
          </w:tblCellMar>
        </w:tblPrEx>
        <w:trPr>
          <w:trHeight w:val="520" w:hRule="atLeast"/>
        </w:trPr>
        <w:tc>
          <w:tcPr>
            <w:tcW w:w="808" w:type="pct"/>
            <w:tcBorders>
              <w:top w:val="single" w:color="000000" w:sz="4" w:space="0"/>
              <w:left w:val="single" w:color="000000" w:sz="4" w:space="0"/>
              <w:bottom w:val="single" w:color="000000" w:sz="4" w:space="0"/>
              <w:right w:val="single" w:color="000000" w:sz="4" w:space="0"/>
            </w:tcBorders>
            <w:vAlign w:val="center"/>
          </w:tcPr>
          <w:p w14:paraId="2D7FD08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云端威胁分析</w:t>
            </w:r>
          </w:p>
        </w:tc>
        <w:tc>
          <w:tcPr>
            <w:tcW w:w="4191" w:type="pct"/>
            <w:tcBorders>
              <w:top w:val="single" w:color="000000" w:sz="4" w:space="0"/>
              <w:left w:val="single" w:color="000000" w:sz="4" w:space="0"/>
              <w:bottom w:val="single" w:color="000000" w:sz="4" w:space="0"/>
              <w:right w:val="single" w:color="000000" w:sz="4" w:space="0"/>
            </w:tcBorders>
            <w:vAlign w:val="center"/>
          </w:tcPr>
          <w:p w14:paraId="1A9F30FE">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bidi="ar"/>
              </w:rPr>
              <w:t>支持跳转链接至云端威胁情报中心，针对已发生的威胁提供详细的分析结果，包含威胁分析、网络行为、静态分析、分析环境和影响分析。</w:t>
            </w:r>
          </w:p>
        </w:tc>
      </w:tr>
      <w:tr w14:paraId="0258F6B4">
        <w:tblPrEx>
          <w:tblCellMar>
            <w:top w:w="0" w:type="dxa"/>
            <w:left w:w="108" w:type="dxa"/>
            <w:bottom w:w="0" w:type="dxa"/>
            <w:right w:w="108" w:type="dxa"/>
          </w:tblCellMar>
        </w:tblPrEx>
        <w:trPr>
          <w:trHeight w:val="520" w:hRule="atLeast"/>
        </w:trPr>
        <w:tc>
          <w:tcPr>
            <w:tcW w:w="808" w:type="pct"/>
            <w:tcBorders>
              <w:top w:val="single" w:color="000000" w:sz="4" w:space="0"/>
              <w:left w:val="single" w:color="000000" w:sz="4" w:space="0"/>
              <w:bottom w:val="single" w:color="000000" w:sz="4" w:space="0"/>
              <w:right w:val="single" w:color="000000" w:sz="4" w:space="0"/>
            </w:tcBorders>
            <w:vAlign w:val="center"/>
          </w:tcPr>
          <w:p w14:paraId="052B6736">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rPr>
              <w:t>策略管理</w:t>
            </w:r>
          </w:p>
        </w:tc>
        <w:tc>
          <w:tcPr>
            <w:tcW w:w="4191" w:type="pct"/>
            <w:tcBorders>
              <w:top w:val="single" w:color="000000" w:sz="4" w:space="0"/>
              <w:left w:val="single" w:color="000000" w:sz="4" w:space="0"/>
              <w:bottom w:val="single" w:color="000000" w:sz="4" w:space="0"/>
              <w:right w:val="single" w:color="000000" w:sz="4" w:space="0"/>
            </w:tcBorders>
            <w:vAlign w:val="center"/>
          </w:tcPr>
          <w:p w14:paraId="085193A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安全策略一体化配置，通过单一策略即可实现不同安全功能的配置，包括：终端病毒查杀的文件扫描配置、文件实时监控的参数配置、WebShell检测和威胁处置方式、暴力破解的威胁处置方式和Windows白名单信任目录</w:t>
            </w:r>
            <w:r>
              <w:rPr>
                <w:rFonts w:hint="eastAsia" w:ascii="宋体" w:hAnsi="宋体" w:eastAsia="宋体" w:cs="宋体"/>
                <w:b w:val="0"/>
                <w:i w:val="0"/>
                <w:caps w:val="0"/>
                <w:color w:val="auto"/>
                <w:spacing w:val="0"/>
                <w:w w:val="100"/>
                <w:sz w:val="21"/>
                <w:szCs w:val="21"/>
                <w:highlight w:val="none"/>
                <w:lang w:eastAsia="zh-CN" w:bidi="ar"/>
              </w:rPr>
              <w:t>。</w:t>
            </w:r>
          </w:p>
        </w:tc>
      </w:tr>
      <w:tr w14:paraId="0421D966">
        <w:tblPrEx>
          <w:tblCellMar>
            <w:top w:w="0" w:type="dxa"/>
            <w:left w:w="108" w:type="dxa"/>
            <w:bottom w:w="0" w:type="dxa"/>
            <w:right w:w="108" w:type="dxa"/>
          </w:tblCellMar>
        </w:tblPrEx>
        <w:trPr>
          <w:trHeight w:val="520" w:hRule="atLeast"/>
        </w:trPr>
        <w:tc>
          <w:tcPr>
            <w:tcW w:w="808" w:type="pct"/>
            <w:vMerge w:val="restart"/>
            <w:tcBorders>
              <w:top w:val="single" w:color="000000" w:sz="4" w:space="0"/>
              <w:left w:val="single" w:color="000000" w:sz="4" w:space="0"/>
              <w:bottom w:val="single" w:color="000000" w:sz="4" w:space="0"/>
              <w:right w:val="single" w:color="000000" w:sz="4" w:space="0"/>
            </w:tcBorders>
            <w:vAlign w:val="center"/>
          </w:tcPr>
          <w:p w14:paraId="30856DC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资产管理</w:t>
            </w:r>
          </w:p>
        </w:tc>
        <w:tc>
          <w:tcPr>
            <w:tcW w:w="4191" w:type="pct"/>
            <w:tcBorders>
              <w:top w:val="single" w:color="000000" w:sz="4" w:space="0"/>
              <w:left w:val="single" w:color="000000" w:sz="4" w:space="0"/>
              <w:bottom w:val="single" w:color="000000" w:sz="4" w:space="0"/>
              <w:right w:val="single" w:color="000000" w:sz="4" w:space="0"/>
            </w:tcBorders>
            <w:vAlign w:val="center"/>
          </w:tcPr>
          <w:p w14:paraId="3E43BE3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bidi="ar"/>
              </w:rPr>
              <w:t>支持全网视角的终端资产统一清点，便于帮助用户快速发现风险面。清点信息包括操作系统、应用软件、监听端口和终端账户，其中操作系统和监听端口支持从资产和终端两个视角进行统计和展示。</w:t>
            </w:r>
          </w:p>
        </w:tc>
      </w:tr>
      <w:tr w14:paraId="1EC6ABDC">
        <w:tblPrEx>
          <w:tblCellMar>
            <w:top w:w="0" w:type="dxa"/>
            <w:left w:w="108" w:type="dxa"/>
            <w:bottom w:w="0" w:type="dxa"/>
            <w:right w:w="108" w:type="dxa"/>
          </w:tblCellMar>
        </w:tblPrEx>
        <w:trPr>
          <w:trHeight w:val="260" w:hRule="atLeast"/>
        </w:trPr>
        <w:tc>
          <w:tcPr>
            <w:tcW w:w="808" w:type="pct"/>
            <w:vMerge w:val="continue"/>
            <w:tcBorders>
              <w:top w:val="single" w:color="000000" w:sz="4" w:space="0"/>
              <w:left w:val="single" w:color="000000" w:sz="4" w:space="0"/>
              <w:bottom w:val="single" w:color="000000" w:sz="4" w:space="0"/>
              <w:right w:val="single" w:color="000000" w:sz="4" w:space="0"/>
            </w:tcBorders>
            <w:vAlign w:val="center"/>
          </w:tcPr>
          <w:p w14:paraId="4606A991">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op w:val="single" w:color="000000" w:sz="4" w:space="0"/>
              <w:left w:val="single" w:color="000000" w:sz="4" w:space="0"/>
              <w:bottom w:val="single" w:color="000000" w:sz="4" w:space="0"/>
              <w:right w:val="single" w:color="000000" w:sz="4" w:space="0"/>
            </w:tcBorders>
            <w:vAlign w:val="center"/>
          </w:tcPr>
          <w:p w14:paraId="3849F02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支持对单个终端运行状态的监控，包括但不限于进程、服务、网络连接、计划任务和开放共享信息</w:t>
            </w:r>
            <w:r>
              <w:rPr>
                <w:rFonts w:hint="eastAsia" w:ascii="宋体" w:hAnsi="宋体" w:eastAsia="宋体" w:cs="宋体"/>
                <w:b w:val="0"/>
                <w:i w:val="0"/>
                <w:caps w:val="0"/>
                <w:color w:val="auto"/>
                <w:spacing w:val="0"/>
                <w:w w:val="100"/>
                <w:sz w:val="21"/>
                <w:szCs w:val="21"/>
                <w:highlight w:val="none"/>
                <w:lang w:eastAsia="zh-CN" w:bidi="ar"/>
              </w:rPr>
              <w:t>。</w:t>
            </w:r>
          </w:p>
        </w:tc>
      </w:tr>
      <w:tr w14:paraId="45C749EE">
        <w:tblPrEx>
          <w:tblCellMar>
            <w:top w:w="0" w:type="dxa"/>
            <w:left w:w="108" w:type="dxa"/>
            <w:bottom w:w="0" w:type="dxa"/>
            <w:right w:w="108" w:type="dxa"/>
          </w:tblCellMar>
        </w:tblPrEx>
        <w:trPr>
          <w:trHeight w:val="520" w:hRule="atLeast"/>
        </w:trPr>
        <w:tc>
          <w:tcPr>
            <w:tcW w:w="808" w:type="pct"/>
            <w:tcBorders>
              <w:top w:val="single" w:color="000000" w:sz="4" w:space="0"/>
              <w:left w:val="single" w:color="000000" w:sz="4" w:space="0"/>
              <w:bottom w:val="single" w:color="000000" w:sz="4" w:space="0"/>
              <w:right w:val="single" w:color="000000" w:sz="4" w:space="0"/>
            </w:tcBorders>
            <w:vAlign w:val="center"/>
          </w:tcPr>
          <w:p w14:paraId="0135259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终端日志报表</w:t>
            </w:r>
          </w:p>
        </w:tc>
        <w:tc>
          <w:tcPr>
            <w:tcW w:w="4191" w:type="pct"/>
            <w:tcBorders>
              <w:top w:val="single" w:color="000000" w:sz="4" w:space="0"/>
              <w:left w:val="single" w:color="000000" w:sz="4" w:space="0"/>
              <w:bottom w:val="single" w:color="000000" w:sz="4" w:space="0"/>
              <w:right w:val="single" w:color="000000" w:sz="4" w:space="0"/>
            </w:tcBorders>
            <w:vAlign w:val="center"/>
          </w:tcPr>
          <w:p w14:paraId="198DE26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支持根据统计周期、终端名称、IP地址，补丁信息和漏洞等级等多维度的入侵检测日志，杀毒扫描日志，微隔离日志，合规检测日志，管理员操作日志，运维日志，联动日志等的日志查询和检测</w:t>
            </w:r>
            <w:r>
              <w:rPr>
                <w:rFonts w:hint="eastAsia" w:ascii="宋体" w:hAnsi="宋体" w:eastAsia="宋体" w:cs="宋体"/>
                <w:b w:val="0"/>
                <w:i w:val="0"/>
                <w:caps w:val="0"/>
                <w:color w:val="auto"/>
                <w:spacing w:val="0"/>
                <w:w w:val="100"/>
                <w:sz w:val="21"/>
                <w:szCs w:val="21"/>
                <w:highlight w:val="none"/>
                <w:lang w:eastAsia="zh-CN" w:bidi="ar"/>
              </w:rPr>
              <w:t>。</w:t>
            </w:r>
          </w:p>
        </w:tc>
      </w:tr>
      <w:tr w14:paraId="24CBB8F1">
        <w:tblPrEx>
          <w:tblCellMar>
            <w:top w:w="0" w:type="dxa"/>
            <w:left w:w="108" w:type="dxa"/>
            <w:bottom w:w="0" w:type="dxa"/>
            <w:right w:w="108" w:type="dxa"/>
          </w:tblCellMar>
        </w:tblPrEx>
        <w:trPr>
          <w:trHeight w:val="530" w:hRule="atLeast"/>
        </w:trPr>
        <w:tc>
          <w:tcPr>
            <w:tcW w:w="808" w:type="pct"/>
            <w:tcBorders>
              <w:top w:val="single" w:color="000000" w:sz="4" w:space="0"/>
              <w:left w:val="single" w:color="000000" w:sz="4" w:space="0"/>
              <w:bottom w:val="single" w:color="000000" w:sz="4" w:space="0"/>
              <w:right w:val="single" w:color="000000" w:sz="4" w:space="0"/>
            </w:tcBorders>
            <w:vAlign w:val="center"/>
          </w:tcPr>
          <w:p w14:paraId="644B1C9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升级管理</w:t>
            </w:r>
          </w:p>
        </w:tc>
        <w:tc>
          <w:tcPr>
            <w:tcW w:w="4191" w:type="pct"/>
            <w:tcBorders>
              <w:top w:val="single" w:color="000000" w:sz="4" w:space="0"/>
              <w:left w:val="single" w:color="000000" w:sz="4" w:space="0"/>
              <w:bottom w:val="single" w:color="000000" w:sz="4" w:space="0"/>
              <w:right w:val="single" w:color="000000" w:sz="4" w:space="0"/>
            </w:tcBorders>
            <w:vAlign w:val="center"/>
          </w:tcPr>
          <w:p w14:paraId="79D0A2B4">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u w:val="single"/>
                <w:lang w:bidi="ar"/>
              </w:rPr>
              <w:t>▲支持客户端的错峰升级，可根据实际情况控制客户端同时升级的最大数量，避免大量终端程序同时更新造成网络拥堵或I/O风暴</w:t>
            </w:r>
            <w:r>
              <w:rPr>
                <w:rFonts w:hint="eastAsia" w:ascii="宋体" w:hAnsi="宋体" w:eastAsia="宋体" w:cs="宋体"/>
                <w:b/>
                <w:bCs/>
                <w:i w:val="0"/>
                <w:caps w:val="0"/>
                <w:color w:val="auto"/>
                <w:spacing w:val="0"/>
                <w:w w:val="100"/>
                <w:sz w:val="21"/>
                <w:szCs w:val="21"/>
                <w:highlight w:val="none"/>
                <w:u w:val="single"/>
                <w:lang w:eastAsia="zh-CN" w:bidi="ar"/>
              </w:rPr>
              <w:t>。</w:t>
            </w:r>
            <w:r>
              <w:rPr>
                <w:rFonts w:hint="eastAsia" w:ascii="宋体" w:hAnsi="宋体" w:eastAsia="宋体" w:cs="宋体"/>
                <w:b/>
                <w:bCs/>
                <w:color w:val="auto"/>
                <w:kern w:val="2"/>
                <w:sz w:val="21"/>
                <w:szCs w:val="21"/>
                <w:highlight w:val="none"/>
                <w:u w:val="single"/>
                <w:lang w:val="en-US" w:eastAsia="zh-CN" w:bidi="ar-SA"/>
              </w:rPr>
              <w:t>（在投标文件中提供产品功能截图并加盖投标人公章）</w:t>
            </w:r>
          </w:p>
        </w:tc>
      </w:tr>
      <w:tr w14:paraId="17C6E023">
        <w:tblPrEx>
          <w:tblCellMar>
            <w:top w:w="0" w:type="dxa"/>
            <w:left w:w="108" w:type="dxa"/>
            <w:bottom w:w="0" w:type="dxa"/>
            <w:right w:w="108" w:type="dxa"/>
          </w:tblCellMar>
        </w:tblPrEx>
        <w:trPr>
          <w:trHeight w:val="520" w:hRule="atLeast"/>
        </w:trPr>
        <w:tc>
          <w:tcPr>
            <w:tcW w:w="808" w:type="pct"/>
            <w:tcBorders>
              <w:top w:val="single" w:color="000000" w:sz="4" w:space="0"/>
              <w:left w:val="single" w:color="000000" w:sz="4" w:space="0"/>
              <w:bottom w:val="single" w:color="000000" w:sz="4" w:space="0"/>
              <w:right w:val="single" w:color="000000" w:sz="4" w:space="0"/>
            </w:tcBorders>
            <w:vAlign w:val="center"/>
          </w:tcPr>
          <w:p w14:paraId="43BB5CB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管理员管理</w:t>
            </w:r>
          </w:p>
        </w:tc>
        <w:tc>
          <w:tcPr>
            <w:tcW w:w="4191" w:type="pct"/>
            <w:tcBorders>
              <w:top w:val="single" w:color="000000" w:sz="4" w:space="0"/>
              <w:left w:val="single" w:color="000000" w:sz="4" w:space="0"/>
              <w:bottom w:val="single" w:color="000000" w:sz="4" w:space="0"/>
              <w:right w:val="single" w:color="000000" w:sz="4" w:space="0"/>
            </w:tcBorders>
            <w:vAlign w:val="center"/>
          </w:tcPr>
          <w:p w14:paraId="514B562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支持配置不同的权限角色，支持超级管理员、普通管理员（管理）、审计管理员（查看）三种权限，并配置可管辖的终端范围，支持管理员账号限制IP登录；支持管理员账号采用双因素认证</w:t>
            </w:r>
            <w:r>
              <w:rPr>
                <w:rFonts w:hint="eastAsia" w:ascii="宋体" w:hAnsi="宋体" w:eastAsia="宋体" w:cs="宋体"/>
                <w:b w:val="0"/>
                <w:i w:val="0"/>
                <w:caps w:val="0"/>
                <w:color w:val="auto"/>
                <w:spacing w:val="0"/>
                <w:w w:val="100"/>
                <w:sz w:val="21"/>
                <w:szCs w:val="21"/>
                <w:highlight w:val="none"/>
                <w:lang w:eastAsia="zh-CN" w:bidi="ar"/>
              </w:rPr>
              <w:t>。</w:t>
            </w:r>
          </w:p>
        </w:tc>
      </w:tr>
      <w:tr w14:paraId="4068B406">
        <w:tblPrEx>
          <w:tblCellMar>
            <w:top w:w="0" w:type="dxa"/>
            <w:left w:w="108" w:type="dxa"/>
            <w:bottom w:w="0" w:type="dxa"/>
            <w:right w:w="108" w:type="dxa"/>
          </w:tblCellMar>
        </w:tblPrEx>
        <w:trPr>
          <w:trHeight w:val="270" w:hRule="atLeast"/>
        </w:trPr>
        <w:tc>
          <w:tcPr>
            <w:tcW w:w="808" w:type="pct"/>
            <w:vMerge w:val="restart"/>
            <w:tcBorders>
              <w:top w:val="single" w:color="000000" w:sz="4" w:space="0"/>
              <w:left w:val="single" w:color="000000" w:sz="4" w:space="0"/>
              <w:bottom w:val="single" w:color="000000" w:sz="4" w:space="0"/>
              <w:right w:val="single" w:color="000000" w:sz="4" w:space="0"/>
            </w:tcBorders>
            <w:vAlign w:val="center"/>
          </w:tcPr>
          <w:p w14:paraId="15E7D0D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威胁检测</w:t>
            </w:r>
          </w:p>
        </w:tc>
        <w:tc>
          <w:tcPr>
            <w:tcW w:w="4191" w:type="pct"/>
            <w:tcBorders>
              <w:top w:val="single" w:color="000000" w:sz="4" w:space="0"/>
              <w:left w:val="single" w:color="000000" w:sz="4" w:space="0"/>
              <w:bottom w:val="single" w:color="000000" w:sz="4" w:space="0"/>
              <w:right w:val="single" w:color="000000" w:sz="4" w:space="0"/>
            </w:tcBorders>
            <w:vAlign w:val="center"/>
          </w:tcPr>
          <w:p w14:paraId="75EBCCEF">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bidi="ar"/>
              </w:rPr>
              <w:t>具备基于人工智能的检测引擎，支持无特征检测技术，有效应对恶意代码及其变种</w:t>
            </w:r>
            <w:r>
              <w:rPr>
                <w:rFonts w:hint="eastAsia" w:ascii="宋体" w:hAnsi="宋体" w:eastAsia="宋体" w:cs="宋体"/>
                <w:b w:val="0"/>
                <w:i w:val="0"/>
                <w:caps w:val="0"/>
                <w:color w:val="auto"/>
                <w:spacing w:val="0"/>
                <w:w w:val="100"/>
                <w:sz w:val="21"/>
                <w:szCs w:val="21"/>
                <w:highlight w:val="none"/>
                <w:lang w:eastAsia="zh-CN" w:bidi="ar"/>
              </w:rPr>
              <w:t>。</w:t>
            </w:r>
          </w:p>
        </w:tc>
      </w:tr>
      <w:tr w14:paraId="3B379EBF">
        <w:tblPrEx>
          <w:tblCellMar>
            <w:top w:w="0" w:type="dxa"/>
            <w:left w:w="108" w:type="dxa"/>
            <w:bottom w:w="0" w:type="dxa"/>
            <w:right w:w="108" w:type="dxa"/>
          </w:tblCellMar>
        </w:tblPrEx>
        <w:trPr>
          <w:trHeight w:val="916" w:hRule="atLeast"/>
        </w:trPr>
        <w:tc>
          <w:tcPr>
            <w:tcW w:w="808" w:type="pct"/>
            <w:vMerge w:val="continue"/>
            <w:tcBorders>
              <w:top w:val="single" w:color="000000" w:sz="4" w:space="0"/>
              <w:left w:val="single" w:color="000000" w:sz="4" w:space="0"/>
              <w:bottom w:val="single" w:color="000000" w:sz="4" w:space="0"/>
              <w:right w:val="single" w:color="000000" w:sz="4" w:space="0"/>
            </w:tcBorders>
            <w:vAlign w:val="center"/>
          </w:tcPr>
          <w:p w14:paraId="013327B4">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op w:val="single" w:color="000000" w:sz="4" w:space="0"/>
              <w:left w:val="single" w:color="000000" w:sz="4" w:space="0"/>
              <w:bottom w:val="single" w:color="000000" w:sz="4" w:space="0"/>
              <w:right w:val="single" w:color="000000" w:sz="4" w:space="0"/>
            </w:tcBorders>
            <w:vAlign w:val="center"/>
          </w:tcPr>
          <w:p w14:paraId="75FDDD4E">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bidi="ar"/>
              </w:rPr>
              <w:t>通过智能识别终端环境情况（低配硬件、老旧设备、虚拟化等）和当前终端资源占用，在闲时实时监控和病毒扫描场景，都可智能调整EDR的资源占用（CPU、IO等），为业务让出资源，不卡业务，对业务零摩擦。</w:t>
            </w:r>
          </w:p>
        </w:tc>
      </w:tr>
      <w:tr w14:paraId="381D03C2">
        <w:tblPrEx>
          <w:tblCellMar>
            <w:top w:w="0" w:type="dxa"/>
            <w:left w:w="108" w:type="dxa"/>
            <w:bottom w:w="0" w:type="dxa"/>
            <w:right w:w="108" w:type="dxa"/>
          </w:tblCellMar>
        </w:tblPrEx>
        <w:trPr>
          <w:trHeight w:val="520" w:hRule="atLeast"/>
        </w:trPr>
        <w:tc>
          <w:tcPr>
            <w:tcW w:w="808" w:type="pct"/>
            <w:tcBorders>
              <w:top w:val="single" w:color="000000" w:sz="4" w:space="0"/>
              <w:left w:val="single" w:color="000000" w:sz="4" w:space="0"/>
              <w:bottom w:val="single" w:color="000000" w:sz="4" w:space="0"/>
              <w:right w:val="single" w:color="000000" w:sz="4" w:space="0"/>
            </w:tcBorders>
            <w:vAlign w:val="center"/>
          </w:tcPr>
          <w:p w14:paraId="417D531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文件实时监控</w:t>
            </w:r>
          </w:p>
        </w:tc>
        <w:tc>
          <w:tcPr>
            <w:tcW w:w="4191" w:type="pct"/>
            <w:tcBorders>
              <w:top w:val="single" w:color="000000" w:sz="4" w:space="0"/>
              <w:left w:val="single" w:color="000000" w:sz="4" w:space="0"/>
              <w:bottom w:val="single" w:color="000000" w:sz="4" w:space="0"/>
              <w:right w:val="single" w:color="000000" w:sz="4" w:space="0"/>
            </w:tcBorders>
            <w:vAlign w:val="center"/>
          </w:tcPr>
          <w:p w14:paraId="39B1A9B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可实时监控文件的状态，在文件读、写、执行或者进入主机时主动进行扫描，支持根据用户性能偏好设置高、中、低3种防护级别</w:t>
            </w:r>
            <w:r>
              <w:rPr>
                <w:rFonts w:hint="eastAsia" w:ascii="宋体" w:hAnsi="宋体" w:eastAsia="宋体" w:cs="宋体"/>
                <w:b w:val="0"/>
                <w:i w:val="0"/>
                <w:caps w:val="0"/>
                <w:color w:val="auto"/>
                <w:spacing w:val="0"/>
                <w:w w:val="100"/>
                <w:sz w:val="21"/>
                <w:szCs w:val="21"/>
                <w:highlight w:val="none"/>
                <w:lang w:eastAsia="zh-CN" w:bidi="ar"/>
              </w:rPr>
              <w:t>。</w:t>
            </w:r>
          </w:p>
        </w:tc>
      </w:tr>
      <w:tr w14:paraId="338E3B15">
        <w:tblPrEx>
          <w:tblCellMar>
            <w:top w:w="0" w:type="dxa"/>
            <w:left w:w="108" w:type="dxa"/>
            <w:bottom w:w="0" w:type="dxa"/>
            <w:right w:w="108" w:type="dxa"/>
          </w:tblCellMar>
        </w:tblPrEx>
        <w:trPr>
          <w:trHeight w:val="530" w:hRule="atLeast"/>
        </w:trPr>
        <w:tc>
          <w:tcPr>
            <w:tcW w:w="808" w:type="pct"/>
            <w:tcBorders>
              <w:top w:val="single" w:color="000000" w:sz="4" w:space="0"/>
              <w:left w:val="single" w:color="000000" w:sz="4" w:space="0"/>
              <w:right w:val="single" w:color="000000" w:sz="4" w:space="0"/>
            </w:tcBorders>
            <w:vAlign w:val="center"/>
          </w:tcPr>
          <w:p w14:paraId="38F7E9D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Webshell事件处理</w:t>
            </w:r>
          </w:p>
        </w:tc>
        <w:tc>
          <w:tcPr>
            <w:tcW w:w="4191" w:type="pct"/>
            <w:tcBorders>
              <w:top w:val="single" w:color="000000" w:sz="4" w:space="0"/>
              <w:left w:val="single" w:color="000000" w:sz="4" w:space="0"/>
              <w:bottom w:val="single" w:color="000000" w:sz="4" w:space="0"/>
              <w:right w:val="single" w:color="000000" w:sz="4" w:space="0"/>
            </w:tcBorders>
            <w:vAlign w:val="center"/>
          </w:tcPr>
          <w:p w14:paraId="48D17FC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u w:val="single"/>
                <w:lang w:bidi="ar"/>
              </w:rPr>
              <w:t>▲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w:t>
            </w:r>
            <w:r>
              <w:rPr>
                <w:rFonts w:hint="eastAsia" w:ascii="宋体" w:hAnsi="宋体" w:eastAsia="宋体" w:cs="宋体"/>
                <w:b/>
                <w:bCs/>
                <w:i w:val="0"/>
                <w:caps w:val="0"/>
                <w:color w:val="auto"/>
                <w:spacing w:val="0"/>
                <w:w w:val="100"/>
                <w:sz w:val="21"/>
                <w:szCs w:val="21"/>
                <w:highlight w:val="none"/>
                <w:u w:val="single"/>
                <w:lang w:eastAsia="zh-CN" w:bidi="ar"/>
              </w:rPr>
              <w:t>。</w:t>
            </w:r>
            <w:r>
              <w:rPr>
                <w:rFonts w:hint="eastAsia" w:ascii="宋体" w:hAnsi="宋体" w:eastAsia="宋体" w:cs="宋体"/>
                <w:b/>
                <w:bCs/>
                <w:color w:val="auto"/>
                <w:kern w:val="2"/>
                <w:sz w:val="21"/>
                <w:szCs w:val="21"/>
                <w:highlight w:val="none"/>
                <w:u w:val="single"/>
                <w:lang w:val="en-US" w:eastAsia="zh-CN" w:bidi="ar-SA"/>
              </w:rPr>
              <w:t>（在投标文件中提供产品功能截图并加盖投标人公章）</w:t>
            </w:r>
          </w:p>
        </w:tc>
      </w:tr>
      <w:tr w14:paraId="3B409C4D">
        <w:tblPrEx>
          <w:tblCellMar>
            <w:top w:w="0" w:type="dxa"/>
            <w:left w:w="108" w:type="dxa"/>
            <w:bottom w:w="0" w:type="dxa"/>
            <w:right w:w="108" w:type="dxa"/>
          </w:tblCellMar>
        </w:tblPrEx>
        <w:trPr>
          <w:trHeight w:val="90" w:hRule="atLeast"/>
        </w:trPr>
        <w:tc>
          <w:tcPr>
            <w:tcW w:w="808" w:type="pct"/>
            <w:vMerge w:val="restart"/>
            <w:tcBorders>
              <w:top w:val="single" w:color="000000" w:sz="4" w:space="0"/>
              <w:left w:val="single" w:color="000000" w:sz="4" w:space="0"/>
              <w:right w:val="single" w:color="000000" w:sz="4" w:space="0"/>
            </w:tcBorders>
            <w:vAlign w:val="center"/>
          </w:tcPr>
          <w:p w14:paraId="2B977AA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Windows服务器加固</w:t>
            </w:r>
          </w:p>
        </w:tc>
        <w:tc>
          <w:tcPr>
            <w:tcW w:w="4191" w:type="pct"/>
            <w:tcBorders>
              <w:top w:val="single" w:color="000000" w:sz="4" w:space="0"/>
              <w:left w:val="single" w:color="000000" w:sz="4" w:space="0"/>
              <w:bottom w:val="single" w:color="000000" w:sz="4" w:space="0"/>
              <w:right w:val="single" w:color="000000" w:sz="4" w:space="0"/>
            </w:tcBorders>
            <w:vAlign w:val="center"/>
          </w:tcPr>
          <w:p w14:paraId="2A8E5DE9">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bidi="ar"/>
              </w:rPr>
            </w:pPr>
            <w:r>
              <w:rPr>
                <w:rFonts w:hint="eastAsia" w:ascii="宋体" w:hAnsi="宋体" w:eastAsia="宋体" w:cs="宋体"/>
                <w:b w:val="0"/>
                <w:i w:val="0"/>
                <w:caps w:val="0"/>
                <w:color w:val="auto"/>
                <w:spacing w:val="0"/>
                <w:w w:val="100"/>
                <w:sz w:val="21"/>
                <w:szCs w:val="21"/>
                <w:highlight w:val="none"/>
                <w:lang w:bidi="ar"/>
              </w:rPr>
              <w:t>提供基于可信鉴定方式的进程防护方式，通过人工智能自学习机制，自动建立信任进程名单，阻断非可信进程的运行并提供配置指引，同时支持通过模板和手动的方式添加信任进程</w:t>
            </w:r>
            <w:r>
              <w:rPr>
                <w:rFonts w:hint="eastAsia" w:ascii="宋体" w:hAnsi="宋体" w:eastAsia="宋体" w:cs="宋体"/>
                <w:b w:val="0"/>
                <w:i w:val="0"/>
                <w:caps w:val="0"/>
                <w:color w:val="auto"/>
                <w:spacing w:val="0"/>
                <w:w w:val="100"/>
                <w:sz w:val="21"/>
                <w:szCs w:val="21"/>
                <w:highlight w:val="none"/>
                <w:lang w:eastAsia="zh-CN" w:bidi="ar"/>
              </w:rPr>
              <w:t>。</w:t>
            </w:r>
          </w:p>
        </w:tc>
      </w:tr>
      <w:tr w14:paraId="1EB3E7B3">
        <w:tblPrEx>
          <w:tblCellMar>
            <w:top w:w="0" w:type="dxa"/>
            <w:left w:w="108" w:type="dxa"/>
            <w:bottom w:w="0" w:type="dxa"/>
            <w:right w:w="108" w:type="dxa"/>
          </w:tblCellMar>
        </w:tblPrEx>
        <w:trPr>
          <w:trHeight w:val="530" w:hRule="atLeast"/>
        </w:trPr>
        <w:tc>
          <w:tcPr>
            <w:tcW w:w="808" w:type="pct"/>
            <w:vMerge w:val="continue"/>
            <w:tcBorders>
              <w:left w:val="single" w:color="000000" w:sz="4" w:space="0"/>
              <w:bottom w:val="single" w:color="auto" w:sz="4" w:space="0"/>
              <w:right w:val="single" w:color="000000" w:sz="4" w:space="0"/>
            </w:tcBorders>
            <w:vAlign w:val="center"/>
          </w:tcPr>
          <w:p w14:paraId="065EC27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p>
        </w:tc>
        <w:tc>
          <w:tcPr>
            <w:tcW w:w="4191" w:type="pct"/>
            <w:tcBorders>
              <w:top w:val="single" w:color="000000" w:sz="4" w:space="0"/>
              <w:left w:val="single" w:color="000000" w:sz="4" w:space="0"/>
              <w:bottom w:val="single" w:color="auto" w:sz="4" w:space="0"/>
              <w:right w:val="single" w:color="000000" w:sz="4" w:space="0"/>
            </w:tcBorders>
            <w:vAlign w:val="center"/>
          </w:tcPr>
          <w:p w14:paraId="117CDBCF">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bidi="ar"/>
              </w:rPr>
            </w:pPr>
            <w:r>
              <w:rPr>
                <w:rFonts w:hint="eastAsia" w:ascii="宋体" w:hAnsi="宋体" w:eastAsia="宋体" w:cs="宋体"/>
                <w:b w:val="0"/>
                <w:i w:val="0"/>
                <w:caps w:val="0"/>
                <w:color w:val="auto"/>
                <w:spacing w:val="0"/>
                <w:w w:val="100"/>
                <w:sz w:val="21"/>
                <w:szCs w:val="21"/>
                <w:highlight w:val="none"/>
                <w:lang w:bidi="ar"/>
              </w:rPr>
              <w:t>支持windows服务器RDP远程登录保护，可开启RDP远程登录二次认证，以防止黑客对服务器的入侵</w:t>
            </w:r>
            <w:r>
              <w:rPr>
                <w:rFonts w:hint="eastAsia" w:ascii="宋体" w:hAnsi="宋体" w:eastAsia="宋体" w:cs="宋体"/>
                <w:b w:val="0"/>
                <w:i w:val="0"/>
                <w:caps w:val="0"/>
                <w:color w:val="auto"/>
                <w:spacing w:val="0"/>
                <w:w w:val="100"/>
                <w:sz w:val="21"/>
                <w:szCs w:val="21"/>
                <w:highlight w:val="none"/>
                <w:lang w:eastAsia="zh-CN" w:bidi="ar"/>
              </w:rPr>
              <w:t>。</w:t>
            </w:r>
          </w:p>
        </w:tc>
      </w:tr>
      <w:tr w14:paraId="6C377491">
        <w:tblPrEx>
          <w:tblCellMar>
            <w:top w:w="0" w:type="dxa"/>
            <w:left w:w="108" w:type="dxa"/>
            <w:bottom w:w="0" w:type="dxa"/>
            <w:right w:w="108" w:type="dxa"/>
          </w:tblCellMar>
        </w:tblPrEx>
        <w:trPr>
          <w:trHeight w:val="530" w:hRule="atLeast"/>
        </w:trPr>
        <w:tc>
          <w:tcPr>
            <w:tcW w:w="808" w:type="pct"/>
            <w:vMerge w:val="restart"/>
            <w:tcBorders>
              <w:top w:val="single" w:color="auto" w:sz="4" w:space="0"/>
              <w:left w:val="single" w:color="auto" w:sz="4" w:space="0"/>
              <w:bottom w:val="single" w:color="auto" w:sz="4" w:space="0"/>
              <w:right w:val="single" w:color="auto" w:sz="4" w:space="0"/>
            </w:tcBorders>
            <w:vAlign w:val="center"/>
          </w:tcPr>
          <w:p w14:paraId="323312F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勒索病毒专防</w:t>
            </w:r>
          </w:p>
        </w:tc>
        <w:tc>
          <w:tcPr>
            <w:tcW w:w="4191" w:type="pct"/>
            <w:tcBorders>
              <w:top w:val="single" w:color="auto" w:sz="4" w:space="0"/>
              <w:left w:val="single" w:color="auto" w:sz="4" w:space="0"/>
              <w:bottom w:val="single" w:color="auto" w:sz="4" w:space="0"/>
              <w:right w:val="single" w:color="auto" w:sz="4" w:space="0"/>
            </w:tcBorders>
            <w:vAlign w:val="center"/>
          </w:tcPr>
          <w:p w14:paraId="736D8AF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bidi="ar"/>
              </w:rPr>
              <w:t>基于勒索病毒攻击过程，建立多维度立体防护机制，提供事前入侵防御-事中反加密-事后检测响应的完整防护体系，展示勒索病毒处置情况，对勒索病毒及变种实现专门有效防御</w:t>
            </w:r>
            <w:r>
              <w:rPr>
                <w:rFonts w:hint="eastAsia" w:ascii="宋体" w:hAnsi="宋体" w:eastAsia="宋体" w:cs="宋体"/>
                <w:b w:val="0"/>
                <w:i w:val="0"/>
                <w:caps w:val="0"/>
                <w:color w:val="auto"/>
                <w:spacing w:val="0"/>
                <w:w w:val="100"/>
                <w:sz w:val="21"/>
                <w:szCs w:val="21"/>
                <w:highlight w:val="none"/>
                <w:lang w:eastAsia="zh-CN" w:bidi="ar"/>
              </w:rPr>
              <w:t>。</w:t>
            </w:r>
          </w:p>
        </w:tc>
      </w:tr>
      <w:tr w14:paraId="705EF993">
        <w:tblPrEx>
          <w:tblCellMar>
            <w:top w:w="0" w:type="dxa"/>
            <w:left w:w="108" w:type="dxa"/>
            <w:bottom w:w="0" w:type="dxa"/>
            <w:right w:w="108" w:type="dxa"/>
          </w:tblCellMar>
        </w:tblPrEx>
        <w:trPr>
          <w:trHeight w:val="260" w:hRule="atLeast"/>
        </w:trPr>
        <w:tc>
          <w:tcPr>
            <w:tcW w:w="808" w:type="pct"/>
            <w:vMerge w:val="continue"/>
            <w:tcBorders>
              <w:top w:val="single" w:color="auto" w:sz="4" w:space="0"/>
              <w:left w:val="single" w:color="auto" w:sz="4" w:space="0"/>
              <w:bottom w:val="single" w:color="auto" w:sz="4" w:space="0"/>
              <w:right w:val="single" w:color="auto" w:sz="4" w:space="0"/>
            </w:tcBorders>
            <w:vAlign w:val="center"/>
          </w:tcPr>
          <w:p w14:paraId="4AD69B5F">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op w:val="single" w:color="auto" w:sz="4" w:space="0"/>
              <w:left w:val="single" w:color="auto" w:sz="4" w:space="0"/>
              <w:bottom w:val="single" w:color="auto" w:sz="4" w:space="0"/>
              <w:right w:val="single" w:color="auto" w:sz="4" w:space="0"/>
            </w:tcBorders>
            <w:vAlign w:val="center"/>
          </w:tcPr>
          <w:p w14:paraId="2F996C6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支持监控诱饵文件，诱饵文件可被实时监控，当勒索病毒对该文件进行修改或加密操作时进行拦截</w:t>
            </w:r>
            <w:r>
              <w:rPr>
                <w:rFonts w:hint="eastAsia" w:ascii="宋体" w:hAnsi="宋体" w:eastAsia="宋体" w:cs="宋体"/>
                <w:b w:val="0"/>
                <w:i w:val="0"/>
                <w:caps w:val="0"/>
                <w:color w:val="auto"/>
                <w:spacing w:val="0"/>
                <w:w w:val="100"/>
                <w:sz w:val="21"/>
                <w:szCs w:val="21"/>
                <w:highlight w:val="none"/>
                <w:lang w:eastAsia="zh-CN" w:bidi="ar"/>
              </w:rPr>
              <w:t>。</w:t>
            </w:r>
          </w:p>
        </w:tc>
      </w:tr>
      <w:tr w14:paraId="04338366">
        <w:tblPrEx>
          <w:tblCellMar>
            <w:top w:w="0" w:type="dxa"/>
            <w:left w:w="108" w:type="dxa"/>
            <w:bottom w:w="0" w:type="dxa"/>
            <w:right w:w="108" w:type="dxa"/>
          </w:tblCellMar>
        </w:tblPrEx>
        <w:trPr>
          <w:trHeight w:val="520" w:hRule="atLeast"/>
        </w:trPr>
        <w:tc>
          <w:tcPr>
            <w:tcW w:w="808" w:type="pct"/>
            <w:vMerge w:val="continue"/>
            <w:tcBorders>
              <w:top w:val="single" w:color="auto" w:sz="4" w:space="0"/>
              <w:left w:val="single" w:color="auto" w:sz="4" w:space="0"/>
              <w:bottom w:val="single" w:color="auto" w:sz="4" w:space="0"/>
              <w:right w:val="single" w:color="auto" w:sz="4" w:space="0"/>
            </w:tcBorders>
            <w:vAlign w:val="center"/>
          </w:tcPr>
          <w:p w14:paraId="57A21B3F">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op w:val="single" w:color="auto" w:sz="4" w:space="0"/>
              <w:left w:val="single" w:color="auto" w:sz="4" w:space="0"/>
              <w:bottom w:val="single" w:color="auto" w:sz="4" w:space="0"/>
              <w:right w:val="single" w:color="auto" w:sz="4" w:space="0"/>
            </w:tcBorders>
            <w:vAlign w:val="center"/>
          </w:tcPr>
          <w:p w14:paraId="17958C7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bidi="ar"/>
              </w:rPr>
              <w:t>支持用户直接对勒索病毒的家族名、病毒名、加密文件后缀名执行链接查询，可通过直接上传加密文件的方式确定勒索病毒类型，如果能解密可以提供必要的解密工具</w:t>
            </w:r>
            <w:r>
              <w:rPr>
                <w:rFonts w:hint="eastAsia" w:ascii="宋体" w:hAnsi="宋体" w:eastAsia="宋体" w:cs="宋体"/>
                <w:b w:val="0"/>
                <w:i w:val="0"/>
                <w:caps w:val="0"/>
                <w:color w:val="auto"/>
                <w:spacing w:val="0"/>
                <w:w w:val="100"/>
                <w:sz w:val="21"/>
                <w:szCs w:val="21"/>
                <w:highlight w:val="none"/>
                <w:lang w:eastAsia="zh-CN" w:bidi="ar"/>
              </w:rPr>
              <w:t>。</w:t>
            </w:r>
          </w:p>
        </w:tc>
      </w:tr>
      <w:tr w14:paraId="3B2EFAB8">
        <w:tblPrEx>
          <w:tblCellMar>
            <w:top w:w="0" w:type="dxa"/>
            <w:left w:w="108" w:type="dxa"/>
            <w:bottom w:w="0" w:type="dxa"/>
            <w:right w:w="108" w:type="dxa"/>
          </w:tblCellMar>
        </w:tblPrEx>
        <w:trPr>
          <w:trHeight w:val="520" w:hRule="atLeast"/>
        </w:trPr>
        <w:tc>
          <w:tcPr>
            <w:tcW w:w="808" w:type="pct"/>
            <w:vMerge w:val="continue"/>
            <w:tcBorders>
              <w:top w:val="single" w:color="auto" w:sz="4" w:space="0"/>
              <w:left w:val="single" w:color="auto" w:sz="4" w:space="0"/>
              <w:bottom w:val="single" w:color="auto" w:sz="4" w:space="0"/>
              <w:right w:val="single" w:color="auto" w:sz="4" w:space="0"/>
            </w:tcBorders>
            <w:vAlign w:val="center"/>
          </w:tcPr>
          <w:p w14:paraId="7D904904">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op w:val="single" w:color="auto" w:sz="4" w:space="0"/>
              <w:left w:val="single" w:color="auto" w:sz="4" w:space="0"/>
              <w:bottom w:val="single" w:color="auto" w:sz="4" w:space="0"/>
              <w:right w:val="single" w:color="auto" w:sz="4" w:space="0"/>
            </w:tcBorders>
            <w:vAlign w:val="center"/>
          </w:tcPr>
          <w:p w14:paraId="71102CB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bidi="ar"/>
              </w:rPr>
            </w:pPr>
            <w:r>
              <w:rPr>
                <w:rFonts w:hint="eastAsia" w:ascii="宋体" w:hAnsi="宋体" w:eastAsia="宋体" w:cs="宋体"/>
                <w:b w:val="0"/>
                <w:i w:val="0"/>
                <w:caps w:val="0"/>
                <w:color w:val="auto"/>
                <w:spacing w:val="0"/>
                <w:w w:val="100"/>
                <w:sz w:val="21"/>
                <w:szCs w:val="21"/>
                <w:highlight w:val="none"/>
                <w:lang w:bidi="ar"/>
              </w:rPr>
              <w:t>支持对勒索入侵的主流方式RDP暴破做全方位保护，包括RDP登录校验、RDP文件加白二次校验等功能</w:t>
            </w:r>
            <w:r>
              <w:rPr>
                <w:rFonts w:hint="eastAsia" w:ascii="宋体" w:hAnsi="宋体" w:eastAsia="宋体" w:cs="宋体"/>
                <w:b w:val="0"/>
                <w:i w:val="0"/>
                <w:caps w:val="0"/>
                <w:color w:val="auto"/>
                <w:spacing w:val="0"/>
                <w:w w:val="100"/>
                <w:sz w:val="21"/>
                <w:szCs w:val="21"/>
                <w:highlight w:val="none"/>
                <w:lang w:eastAsia="zh-CN" w:bidi="ar"/>
              </w:rPr>
              <w:t>。</w:t>
            </w:r>
          </w:p>
        </w:tc>
      </w:tr>
      <w:tr w14:paraId="78132D1B">
        <w:tblPrEx>
          <w:tblCellMar>
            <w:top w:w="0" w:type="dxa"/>
            <w:left w:w="108" w:type="dxa"/>
            <w:bottom w:w="0" w:type="dxa"/>
            <w:right w:w="108" w:type="dxa"/>
          </w:tblCellMar>
        </w:tblPrEx>
        <w:trPr>
          <w:trHeight w:val="520" w:hRule="atLeast"/>
        </w:trPr>
        <w:tc>
          <w:tcPr>
            <w:tcW w:w="808" w:type="pct"/>
            <w:tcBorders>
              <w:top w:val="single" w:color="auto" w:sz="4" w:space="0"/>
              <w:left w:val="single" w:color="000000" w:sz="4" w:space="0"/>
              <w:bottom w:val="single" w:color="000000" w:sz="4" w:space="0"/>
              <w:right w:val="single" w:color="000000" w:sz="4" w:space="0"/>
            </w:tcBorders>
            <w:vAlign w:val="center"/>
          </w:tcPr>
          <w:p w14:paraId="6617C85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暴力破解检测</w:t>
            </w:r>
          </w:p>
        </w:tc>
        <w:tc>
          <w:tcPr>
            <w:tcW w:w="4191" w:type="pct"/>
            <w:tcBorders>
              <w:top w:val="single" w:color="auto" w:sz="4" w:space="0"/>
              <w:left w:val="single" w:color="000000" w:sz="4" w:space="0"/>
              <w:bottom w:val="single" w:color="000000" w:sz="4" w:space="0"/>
              <w:right w:val="single" w:color="000000" w:sz="4" w:space="0"/>
            </w:tcBorders>
            <w:vAlign w:val="center"/>
          </w:tcPr>
          <w:p w14:paraId="2B7C0E8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统计单个攻击源及分布式攻击源的暴力破解检测，支持按照RDP、SMB和SSH类型进行封堵并自定义爆破阈值，可对封停时间进行自设置</w:t>
            </w:r>
            <w:r>
              <w:rPr>
                <w:rFonts w:hint="eastAsia" w:ascii="宋体" w:hAnsi="宋体" w:eastAsia="宋体" w:cs="宋体"/>
                <w:b w:val="0"/>
                <w:i w:val="0"/>
                <w:caps w:val="0"/>
                <w:color w:val="auto"/>
                <w:spacing w:val="0"/>
                <w:w w:val="100"/>
                <w:sz w:val="21"/>
                <w:szCs w:val="21"/>
                <w:highlight w:val="none"/>
                <w:lang w:eastAsia="zh-CN" w:bidi="ar"/>
              </w:rPr>
              <w:t>。</w:t>
            </w:r>
          </w:p>
        </w:tc>
      </w:tr>
      <w:tr w14:paraId="7189C95D">
        <w:tblPrEx>
          <w:tblCellMar>
            <w:top w:w="0" w:type="dxa"/>
            <w:left w:w="108" w:type="dxa"/>
            <w:bottom w:w="0" w:type="dxa"/>
            <w:right w:w="108" w:type="dxa"/>
          </w:tblCellMar>
        </w:tblPrEx>
        <w:trPr>
          <w:trHeight w:val="260" w:hRule="atLeast"/>
        </w:trPr>
        <w:tc>
          <w:tcPr>
            <w:tcW w:w="808" w:type="pct"/>
            <w:vMerge w:val="restart"/>
            <w:tcBorders>
              <w:top w:val="single" w:color="000000" w:sz="4" w:space="0"/>
              <w:left w:val="single" w:color="000000" w:sz="4" w:space="0"/>
              <w:right w:val="single" w:color="000000" w:sz="4" w:space="0"/>
            </w:tcBorders>
            <w:vAlign w:val="center"/>
          </w:tcPr>
          <w:p w14:paraId="59F126B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漏洞防护</w:t>
            </w:r>
          </w:p>
        </w:tc>
        <w:tc>
          <w:tcPr>
            <w:tcW w:w="4191" w:type="pct"/>
            <w:tcBorders>
              <w:top w:val="single" w:color="000000" w:sz="4" w:space="0"/>
              <w:left w:val="single" w:color="000000" w:sz="4" w:space="0"/>
              <w:bottom w:val="single" w:color="000000" w:sz="4" w:space="0"/>
              <w:right w:val="single" w:color="000000" w:sz="4" w:space="0"/>
            </w:tcBorders>
            <w:vAlign w:val="center"/>
          </w:tcPr>
          <w:p w14:paraId="4BA3AF9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top"/>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支持对Windows终端的漏洞情况进行扫描，并查看漏洞具体情况，并显示具体修复情况</w:t>
            </w:r>
            <w:r>
              <w:rPr>
                <w:rFonts w:hint="eastAsia" w:ascii="宋体" w:hAnsi="宋体" w:eastAsia="宋体" w:cs="宋体"/>
                <w:b w:val="0"/>
                <w:i w:val="0"/>
                <w:caps w:val="0"/>
                <w:color w:val="auto"/>
                <w:spacing w:val="0"/>
                <w:w w:val="100"/>
                <w:sz w:val="21"/>
                <w:szCs w:val="21"/>
                <w:highlight w:val="none"/>
                <w:lang w:eastAsia="zh-CN" w:bidi="ar"/>
              </w:rPr>
              <w:t>。</w:t>
            </w:r>
          </w:p>
        </w:tc>
      </w:tr>
      <w:tr w14:paraId="570D017B">
        <w:tblPrEx>
          <w:tblCellMar>
            <w:top w:w="0" w:type="dxa"/>
            <w:left w:w="108" w:type="dxa"/>
            <w:bottom w:w="0" w:type="dxa"/>
            <w:right w:w="108" w:type="dxa"/>
          </w:tblCellMar>
        </w:tblPrEx>
        <w:trPr>
          <w:trHeight w:val="260" w:hRule="atLeast"/>
        </w:trPr>
        <w:tc>
          <w:tcPr>
            <w:tcW w:w="808" w:type="pct"/>
            <w:vMerge w:val="continue"/>
            <w:tcBorders>
              <w:left w:val="single" w:color="000000" w:sz="4" w:space="0"/>
              <w:right w:val="single" w:color="000000" w:sz="4" w:space="0"/>
            </w:tcBorders>
            <w:vAlign w:val="center"/>
          </w:tcPr>
          <w:p w14:paraId="73F2A66F">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p>
        </w:tc>
        <w:tc>
          <w:tcPr>
            <w:tcW w:w="4191" w:type="pct"/>
            <w:tcBorders>
              <w:top w:val="single" w:color="000000" w:sz="4" w:space="0"/>
              <w:left w:val="single" w:color="000000" w:sz="4" w:space="0"/>
              <w:bottom w:val="single" w:color="000000" w:sz="4" w:space="0"/>
              <w:right w:val="single" w:color="000000" w:sz="4" w:space="0"/>
            </w:tcBorders>
            <w:vAlign w:val="center"/>
          </w:tcPr>
          <w:p w14:paraId="0E559D2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bidi="ar"/>
              </w:rPr>
            </w:pPr>
            <w:r>
              <w:rPr>
                <w:rFonts w:hint="eastAsia" w:ascii="宋体" w:hAnsi="宋体" w:eastAsia="宋体" w:cs="宋体"/>
                <w:b w:val="0"/>
                <w:i w:val="0"/>
                <w:caps w:val="0"/>
                <w:color w:val="auto"/>
                <w:spacing w:val="0"/>
                <w:w w:val="100"/>
                <w:sz w:val="21"/>
                <w:szCs w:val="21"/>
                <w:highlight w:val="none"/>
                <w:lang w:bidi="ar"/>
              </w:rPr>
              <w:t>支持对Linux终端扫描系统漏洞、提供漏洞分析详情和修复建议。</w:t>
            </w:r>
          </w:p>
        </w:tc>
      </w:tr>
      <w:tr w14:paraId="12186F5D">
        <w:tblPrEx>
          <w:tblCellMar>
            <w:top w:w="0" w:type="dxa"/>
            <w:left w:w="108" w:type="dxa"/>
            <w:bottom w:w="0" w:type="dxa"/>
            <w:right w:w="108" w:type="dxa"/>
          </w:tblCellMar>
        </w:tblPrEx>
        <w:trPr>
          <w:trHeight w:val="260" w:hRule="atLeast"/>
        </w:trPr>
        <w:tc>
          <w:tcPr>
            <w:tcW w:w="808" w:type="pct"/>
            <w:tcBorders>
              <w:top w:val="single" w:color="000000" w:sz="4" w:space="0"/>
              <w:left w:val="single" w:color="000000" w:sz="4" w:space="0"/>
              <w:right w:val="single" w:color="000000" w:sz="4" w:space="0"/>
            </w:tcBorders>
            <w:vAlign w:val="center"/>
          </w:tcPr>
          <w:p w14:paraId="5475DF2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轻桌管</w:t>
            </w:r>
          </w:p>
        </w:tc>
        <w:tc>
          <w:tcPr>
            <w:tcW w:w="4191" w:type="pct"/>
            <w:tcBorders>
              <w:top w:val="single" w:color="000000" w:sz="4" w:space="0"/>
              <w:left w:val="single" w:color="000000" w:sz="4" w:space="0"/>
              <w:bottom w:val="single" w:color="000000" w:sz="4" w:space="0"/>
              <w:right w:val="single" w:color="000000" w:sz="4" w:space="0"/>
            </w:tcBorders>
            <w:vAlign w:val="center"/>
          </w:tcPr>
          <w:p w14:paraId="1CCA321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支持Windows系统的违规外联动能，有效帮助管理员规范终端上网行为</w:t>
            </w:r>
            <w:r>
              <w:rPr>
                <w:rFonts w:hint="eastAsia" w:ascii="宋体" w:hAnsi="宋体" w:eastAsia="宋体" w:cs="宋体"/>
                <w:b w:val="0"/>
                <w:i w:val="0"/>
                <w:caps w:val="0"/>
                <w:color w:val="auto"/>
                <w:spacing w:val="0"/>
                <w:w w:val="100"/>
                <w:sz w:val="21"/>
                <w:szCs w:val="21"/>
                <w:highlight w:val="none"/>
                <w:lang w:eastAsia="zh-CN" w:bidi="ar"/>
              </w:rPr>
              <w:t>。</w:t>
            </w:r>
          </w:p>
        </w:tc>
      </w:tr>
      <w:tr w14:paraId="0071F24B">
        <w:tblPrEx>
          <w:tblCellMar>
            <w:top w:w="0" w:type="dxa"/>
            <w:left w:w="108" w:type="dxa"/>
            <w:bottom w:w="0" w:type="dxa"/>
            <w:right w:w="108" w:type="dxa"/>
          </w:tblCellMar>
        </w:tblPrEx>
        <w:trPr>
          <w:trHeight w:val="530" w:hRule="atLeast"/>
        </w:trPr>
        <w:tc>
          <w:tcPr>
            <w:tcW w:w="808" w:type="pct"/>
            <w:vMerge w:val="restart"/>
            <w:tcBorders>
              <w:top w:val="single" w:color="000000" w:sz="4" w:space="0"/>
              <w:left w:val="single" w:color="000000" w:sz="4" w:space="0"/>
              <w:right w:val="single" w:color="000000" w:sz="4" w:space="0"/>
            </w:tcBorders>
            <w:vAlign w:val="center"/>
          </w:tcPr>
          <w:p w14:paraId="03861074">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windows智御</w:t>
            </w:r>
          </w:p>
        </w:tc>
        <w:tc>
          <w:tcPr>
            <w:tcW w:w="4191" w:type="pct"/>
            <w:tcBorders>
              <w:top w:val="single" w:color="000000" w:sz="4" w:space="0"/>
              <w:left w:val="single" w:color="000000" w:sz="4" w:space="0"/>
              <w:bottom w:val="single" w:color="000000" w:sz="4" w:space="0"/>
              <w:right w:val="single" w:color="000000" w:sz="4" w:space="0"/>
            </w:tcBorders>
            <w:vAlign w:val="center"/>
          </w:tcPr>
          <w:p w14:paraId="0538074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u w:val="single"/>
                <w:lang w:bidi="ar"/>
              </w:rPr>
              <w:t>▲支持对Windows停更的系统提供专项防护，包括0day漏洞防护、文件防护、暴破入侵防护、系统脆弱点识别和风险端口封堵等多项核心功能</w:t>
            </w:r>
            <w:r>
              <w:rPr>
                <w:rFonts w:hint="eastAsia" w:ascii="宋体" w:hAnsi="宋体" w:eastAsia="宋体" w:cs="宋体"/>
                <w:b/>
                <w:bCs/>
                <w:i w:val="0"/>
                <w:caps w:val="0"/>
                <w:color w:val="auto"/>
                <w:spacing w:val="0"/>
                <w:w w:val="100"/>
                <w:sz w:val="21"/>
                <w:szCs w:val="21"/>
                <w:highlight w:val="none"/>
                <w:u w:val="single"/>
                <w:lang w:eastAsia="zh-CN" w:bidi="ar"/>
              </w:rPr>
              <w:t>。</w:t>
            </w:r>
            <w:r>
              <w:rPr>
                <w:rFonts w:hint="eastAsia" w:ascii="宋体" w:hAnsi="宋体" w:eastAsia="宋体" w:cs="宋体"/>
                <w:b/>
                <w:bCs/>
                <w:color w:val="auto"/>
                <w:kern w:val="2"/>
                <w:sz w:val="21"/>
                <w:szCs w:val="21"/>
                <w:highlight w:val="none"/>
                <w:u w:val="single"/>
                <w:lang w:val="en-US" w:eastAsia="zh-CN" w:bidi="ar-SA"/>
              </w:rPr>
              <w:t>（在投标文件中提供产品功能截图并加盖投标人公章）</w:t>
            </w:r>
          </w:p>
        </w:tc>
      </w:tr>
      <w:tr w14:paraId="08919585">
        <w:tblPrEx>
          <w:tblCellMar>
            <w:top w:w="0" w:type="dxa"/>
            <w:left w:w="108" w:type="dxa"/>
            <w:bottom w:w="0" w:type="dxa"/>
            <w:right w:w="108" w:type="dxa"/>
          </w:tblCellMar>
        </w:tblPrEx>
        <w:trPr>
          <w:trHeight w:val="520" w:hRule="atLeast"/>
        </w:trPr>
        <w:tc>
          <w:tcPr>
            <w:tcW w:w="808" w:type="pct"/>
            <w:vMerge w:val="continue"/>
            <w:tcBorders>
              <w:left w:val="single" w:color="000000" w:sz="4" w:space="0"/>
              <w:right w:val="single" w:color="000000" w:sz="4" w:space="0"/>
            </w:tcBorders>
            <w:vAlign w:val="center"/>
          </w:tcPr>
          <w:p w14:paraId="59D9876C">
            <w:pPr>
              <w:keepNext w:val="0"/>
              <w:keepLines w:val="0"/>
              <w:pageBreakBefore w:val="0"/>
              <w:kinsoku/>
              <w:wordWrap/>
              <w:overflowPunct/>
              <w:topLinePunct w:val="0"/>
              <w:autoSpaceDE/>
              <w:autoSpaceDN/>
              <w:bidi w:val="0"/>
              <w:adjustRightInd/>
              <w:snapToGrid/>
              <w:spacing w:before="0" w:beforeAutospacing="0" w:after="0" w:afterAutospacing="0" w:line="240" w:lineRule="auto"/>
              <w:jc w:val="left"/>
              <w:textAlignment w:val="baseline"/>
              <w:rPr>
                <w:rFonts w:hint="eastAsia" w:ascii="宋体" w:hAnsi="宋体" w:eastAsia="宋体" w:cs="宋体"/>
                <w:b w:val="0"/>
                <w:i w:val="0"/>
                <w:caps w:val="0"/>
                <w:color w:val="auto"/>
                <w:spacing w:val="0"/>
                <w:w w:val="100"/>
                <w:sz w:val="21"/>
                <w:szCs w:val="21"/>
                <w:highlight w:val="none"/>
              </w:rPr>
            </w:pPr>
          </w:p>
        </w:tc>
        <w:tc>
          <w:tcPr>
            <w:tcW w:w="4191" w:type="pct"/>
            <w:tcBorders>
              <w:top w:val="single" w:color="000000" w:sz="4" w:space="0"/>
              <w:left w:val="single" w:color="000000" w:sz="4" w:space="0"/>
              <w:bottom w:val="single" w:color="000000" w:sz="4" w:space="0"/>
              <w:right w:val="single" w:color="000000" w:sz="4" w:space="0"/>
            </w:tcBorders>
            <w:vAlign w:val="center"/>
          </w:tcPr>
          <w:p w14:paraId="319A964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eastAsia="zh-CN"/>
              </w:rPr>
            </w:pPr>
            <w:r>
              <w:rPr>
                <w:rFonts w:hint="eastAsia" w:ascii="宋体" w:hAnsi="宋体" w:eastAsia="宋体" w:cs="宋体"/>
                <w:b w:val="0"/>
                <w:i w:val="0"/>
                <w:caps w:val="0"/>
                <w:color w:val="auto"/>
                <w:spacing w:val="0"/>
                <w:w w:val="100"/>
                <w:sz w:val="21"/>
                <w:szCs w:val="21"/>
                <w:highlight w:val="none"/>
                <w:lang w:bidi="ar"/>
              </w:rPr>
              <w:t>支持对已停止更新的Windows系统的全网一键清点，管理员可快速筛选出全网已停止更新的Windows系统的数量和具体的终端</w:t>
            </w:r>
            <w:r>
              <w:rPr>
                <w:rFonts w:hint="eastAsia" w:ascii="宋体" w:hAnsi="宋体" w:eastAsia="宋体" w:cs="宋体"/>
                <w:b w:val="0"/>
                <w:i w:val="0"/>
                <w:caps w:val="0"/>
                <w:color w:val="auto"/>
                <w:spacing w:val="0"/>
                <w:w w:val="100"/>
                <w:sz w:val="21"/>
                <w:szCs w:val="21"/>
                <w:highlight w:val="none"/>
                <w:lang w:eastAsia="zh-CN" w:bidi="ar"/>
              </w:rPr>
              <w:t>。</w:t>
            </w:r>
          </w:p>
        </w:tc>
      </w:tr>
      <w:tr w14:paraId="15C1127F">
        <w:tblPrEx>
          <w:tblCellMar>
            <w:top w:w="0" w:type="dxa"/>
            <w:left w:w="108" w:type="dxa"/>
            <w:bottom w:w="0" w:type="dxa"/>
            <w:right w:w="108" w:type="dxa"/>
          </w:tblCellMar>
        </w:tblPrEx>
        <w:trPr>
          <w:trHeight w:val="520" w:hRule="atLeast"/>
        </w:trPr>
        <w:tc>
          <w:tcPr>
            <w:tcW w:w="808" w:type="pct"/>
            <w:vMerge w:val="continue"/>
            <w:tcBorders>
              <w:left w:val="single" w:color="000000" w:sz="4" w:space="0"/>
              <w:bottom w:val="single" w:color="000000" w:sz="4" w:space="0"/>
              <w:right w:val="single" w:color="000000" w:sz="4" w:space="0"/>
            </w:tcBorders>
            <w:vAlign w:val="center"/>
          </w:tcPr>
          <w:p w14:paraId="3F889878">
            <w:pPr>
              <w:keepNext w:val="0"/>
              <w:keepLines w:val="0"/>
              <w:pageBreakBefore w:val="0"/>
              <w:kinsoku/>
              <w:wordWrap/>
              <w:overflowPunct/>
              <w:topLinePunct w:val="0"/>
              <w:autoSpaceDE/>
              <w:autoSpaceDN/>
              <w:bidi w:val="0"/>
              <w:adjustRightInd/>
              <w:snapToGrid/>
              <w:spacing w:before="0" w:beforeAutospacing="0" w:after="0" w:afterAutospacing="0" w:line="240" w:lineRule="auto"/>
              <w:jc w:val="left"/>
              <w:textAlignment w:val="baseline"/>
              <w:rPr>
                <w:rFonts w:hint="eastAsia" w:ascii="宋体" w:hAnsi="宋体" w:eastAsia="宋体" w:cs="宋体"/>
                <w:b w:val="0"/>
                <w:i w:val="0"/>
                <w:caps w:val="0"/>
                <w:color w:val="auto"/>
                <w:spacing w:val="0"/>
                <w:w w:val="100"/>
                <w:sz w:val="21"/>
                <w:szCs w:val="21"/>
                <w:highlight w:val="none"/>
              </w:rPr>
            </w:pPr>
          </w:p>
        </w:tc>
        <w:tc>
          <w:tcPr>
            <w:tcW w:w="4191" w:type="pct"/>
            <w:tcBorders>
              <w:top w:val="single" w:color="000000" w:sz="4" w:space="0"/>
              <w:left w:val="single" w:color="000000" w:sz="4" w:space="0"/>
              <w:bottom w:val="single" w:color="000000" w:sz="4" w:space="0"/>
              <w:right w:val="single" w:color="000000" w:sz="4" w:space="0"/>
            </w:tcBorders>
            <w:vAlign w:val="center"/>
          </w:tcPr>
          <w:p w14:paraId="0D7C9345">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i w:val="0"/>
                <w:caps w:val="0"/>
                <w:color w:val="auto"/>
                <w:spacing w:val="0"/>
                <w:w w:val="100"/>
                <w:sz w:val="21"/>
                <w:szCs w:val="21"/>
                <w:highlight w:val="none"/>
                <w:lang w:bidi="ar"/>
              </w:rPr>
            </w:pPr>
            <w:r>
              <w:rPr>
                <w:rFonts w:hint="eastAsia" w:ascii="宋体" w:hAnsi="宋体" w:eastAsia="宋体" w:cs="宋体"/>
                <w:b w:val="0"/>
                <w:i w:val="0"/>
                <w:caps w:val="0"/>
                <w:color w:val="auto"/>
                <w:spacing w:val="0"/>
                <w:w w:val="100"/>
                <w:sz w:val="21"/>
                <w:szCs w:val="21"/>
                <w:highlight w:val="none"/>
                <w:lang w:bidi="ar"/>
              </w:rPr>
              <w:t>支持基于应用、端口和账号的清点，可辅助</w:t>
            </w:r>
            <w:r>
              <w:rPr>
                <w:rFonts w:hint="eastAsia" w:ascii="宋体" w:hAnsi="宋体" w:eastAsia="宋体" w:cs="宋体"/>
                <w:b w:val="0"/>
                <w:i w:val="0"/>
                <w:caps w:val="0"/>
                <w:color w:val="auto"/>
                <w:spacing w:val="0"/>
                <w:w w:val="100"/>
                <w:sz w:val="21"/>
                <w:szCs w:val="21"/>
                <w:highlight w:val="none"/>
                <w:lang w:val="en-US" w:eastAsia="zh-CN" w:bidi="ar"/>
              </w:rPr>
              <w:t>采购人</w:t>
            </w:r>
            <w:r>
              <w:rPr>
                <w:rFonts w:hint="eastAsia" w:ascii="宋体" w:hAnsi="宋体" w:eastAsia="宋体" w:cs="宋体"/>
                <w:b w:val="0"/>
                <w:i w:val="0"/>
                <w:caps w:val="0"/>
                <w:color w:val="auto"/>
                <w:spacing w:val="0"/>
                <w:w w:val="100"/>
                <w:sz w:val="21"/>
                <w:szCs w:val="21"/>
                <w:highlight w:val="none"/>
                <w:lang w:bidi="ar"/>
              </w:rPr>
              <w:t>进行已停更Windows系统的风险识别。</w:t>
            </w:r>
          </w:p>
        </w:tc>
      </w:tr>
    </w:tbl>
    <w:p w14:paraId="3C209CAF">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网络安全咨询服务</w:t>
      </w:r>
    </w:p>
    <w:p w14:paraId="531EC154">
      <w:pPr>
        <w:numPr>
          <w:ilvl w:val="0"/>
          <w:numId w:val="39"/>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服务内容：根据《网络安全法》《数据安全法》《个人信息保护法》等网络安全法律法规和上级部门的相关要求，协助</w:t>
      </w:r>
      <w:r>
        <w:rPr>
          <w:rFonts w:hint="eastAsia" w:ascii="宋体" w:hAnsi="宋体" w:eastAsia="宋体" w:cs="宋体"/>
          <w:b w:val="0"/>
          <w:i w:val="0"/>
          <w:caps w:val="0"/>
          <w:color w:val="auto"/>
          <w:spacing w:val="0"/>
          <w:w w:val="100"/>
          <w:sz w:val="21"/>
          <w:szCs w:val="21"/>
          <w:highlight w:val="none"/>
          <w:lang w:val="en-US" w:eastAsia="zh-CN"/>
        </w:rPr>
        <w:t>采购人</w:t>
      </w:r>
      <w:r>
        <w:rPr>
          <w:rFonts w:hint="eastAsia" w:ascii="宋体" w:hAnsi="宋体" w:eastAsia="宋体" w:cs="宋体"/>
          <w:b w:val="0"/>
          <w:i w:val="0"/>
          <w:caps w:val="0"/>
          <w:color w:val="auto"/>
          <w:spacing w:val="0"/>
          <w:w w:val="100"/>
          <w:sz w:val="21"/>
          <w:szCs w:val="21"/>
          <w:highlight w:val="none"/>
        </w:rPr>
        <w:t>撰写各类网络安全管理制度和相关资料；</w:t>
      </w:r>
    </w:p>
    <w:p w14:paraId="17C902FA">
      <w:pPr>
        <w:numPr>
          <w:ilvl w:val="0"/>
          <w:numId w:val="39"/>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服务频次：按需提供；</w:t>
      </w:r>
    </w:p>
    <w:p w14:paraId="41DFE927">
      <w:pPr>
        <w:numPr>
          <w:ilvl w:val="0"/>
          <w:numId w:val="39"/>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服务输出：《网络安全管理制度》。</w:t>
      </w:r>
    </w:p>
    <w:p w14:paraId="0AF1857C">
      <w:pPr>
        <w:pStyle w:val="27"/>
        <w:numPr>
          <w:ilvl w:val="0"/>
          <w:numId w:val="30"/>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安全运维管理平台</w:t>
      </w:r>
      <w:r>
        <w:rPr>
          <w:rFonts w:hint="eastAsia" w:ascii="宋体" w:hAnsi="宋体" w:eastAsia="宋体" w:cs="宋体"/>
          <w:color w:val="auto"/>
          <w:sz w:val="21"/>
          <w:szCs w:val="21"/>
          <w:highlight w:val="none"/>
          <w:lang w:val="en-US" w:eastAsia="zh-CN"/>
        </w:rPr>
        <w:t>服务</w:t>
      </w:r>
    </w:p>
    <w:p w14:paraId="404E6AAC">
      <w:pPr>
        <w:snapToGrid w:val="0"/>
        <w:spacing w:before="0" w:beforeAutospacing="0" w:after="0" w:afterAutospacing="0" w:line="360" w:lineRule="auto"/>
        <w:ind w:firstLine="420" w:firstLineChars="20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期内，提供安全运维管理服务工具，能够对网络安全维护服务过程中输出的资产、IP、安全运维数据进行集中采集和统一管理，具体包含资产管理、IP管理、安全管理和运维管理，同时需要实现数据和流程的相互融合。</w:t>
      </w:r>
    </w:p>
    <w:p w14:paraId="00B0A303">
      <w:pPr>
        <w:pStyle w:val="27"/>
        <w:numPr>
          <w:ilvl w:val="0"/>
          <w:numId w:val="13"/>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其他要求</w:t>
      </w:r>
    </w:p>
    <w:p w14:paraId="136A4FEF">
      <w:pPr>
        <w:pStyle w:val="27"/>
        <w:widowControl/>
        <w:numPr>
          <w:ilvl w:val="0"/>
          <w:numId w:val="40"/>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rPr>
        <w:t>中标人在工作过程中接触到的采购人的任何资料、文件、数据(无论是书面的还是电子的)，以及为采购人服务形成的任何货物，应负有为采购人保密的责任，未经采购人书面同意，中标人不得以任何方式向任何第三方提供或透露。</w:t>
      </w:r>
    </w:p>
    <w:p w14:paraId="0002AE42">
      <w:pPr>
        <w:pStyle w:val="27"/>
        <w:widowControl/>
        <w:numPr>
          <w:ilvl w:val="0"/>
          <w:numId w:val="40"/>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中标人需为本项目业务系统运行维护及网络安全维护服务制定相应的工作计划、确定工作流程，根据采购人已有的信息化设备参数和品牌制定具有针对性的设备管理方案；中标人服务过程中应对自身服务质量有自检/自测方案，对本项目服务人员进行定期培训和考核；</w:t>
      </w:r>
    </w:p>
    <w:p w14:paraId="44A29B43">
      <w:pPr>
        <w:pStyle w:val="27"/>
        <w:widowControl/>
        <w:numPr>
          <w:ilvl w:val="0"/>
          <w:numId w:val="40"/>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本项目所涉及业务系统运行维护及网络安全维护服务均需中标人指派相关技术人员为采购人提供7×24h响应服务（重大事件10分钟内响应，中小事件30分钟内响应），若问题无法通过线上方式解决，中标人还需派遣其服务人员前往采购人指定地点处理相关技术问题，中标人需在接到采购人通知后3小时内到达采购人指定地点；中标人拟派本项目技术服务人员应当具有信息化运维或网络安全维护类项目经验，同时具有通信类或电子技术类专业相关专业背景或中级及以上职称证书；</w:t>
      </w:r>
    </w:p>
    <w:p w14:paraId="533F03AF">
      <w:pPr>
        <w:pStyle w:val="27"/>
        <w:widowControl/>
        <w:numPr>
          <w:ilvl w:val="0"/>
          <w:numId w:val="40"/>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面对服务期内系统故障、网络安全问题、硬件故障及采购人重保时期需求，中标人应提供相应的服务承诺和应急处理方案，方案需包含但不限于服务时效性承诺、人员配备、人员组织架构及管理、排障技术服务方案等。</w:t>
      </w:r>
    </w:p>
    <w:p w14:paraId="6F3BBDB8">
      <w:pPr>
        <w:pStyle w:val="27"/>
        <w:numPr>
          <w:ilvl w:val="0"/>
          <w:numId w:val="13"/>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《服务质量考核表》</w:t>
      </w:r>
    </w:p>
    <w:p w14:paraId="6D8C4A18">
      <w:pPr>
        <w:pStyle w:val="27"/>
        <w:numPr>
          <w:ilvl w:val="0"/>
          <w:numId w:val="0"/>
        </w:numPr>
        <w:snapToGrid w:val="0"/>
        <w:spacing w:line="360" w:lineRule="auto"/>
        <w:ind w:left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考核时段：    年  月  日至    年  月  日</w:t>
      </w:r>
    </w:p>
    <w:p w14:paraId="3C8E37C8">
      <w:pPr>
        <w:pStyle w:val="27"/>
        <w:numPr>
          <w:ilvl w:val="0"/>
          <w:numId w:val="0"/>
        </w:numPr>
        <w:snapToGrid w:val="0"/>
        <w:spacing w:line="360" w:lineRule="auto"/>
        <w:ind w:left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考核日期：    年  月  日</w:t>
      </w:r>
    </w:p>
    <w:p w14:paraId="1C6BC1FD">
      <w:pPr>
        <w:pStyle w:val="27"/>
        <w:numPr>
          <w:ilvl w:val="0"/>
          <w:numId w:val="0"/>
        </w:numPr>
        <w:snapToGrid w:val="0"/>
        <w:spacing w:line="360" w:lineRule="auto"/>
        <w:ind w:leftChars="0"/>
        <w:contextualSpacing/>
        <w:rPr>
          <w:rFonts w:hint="default"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考核负责人（签字）：</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7"/>
        <w:gridCol w:w="1516"/>
        <w:gridCol w:w="899"/>
        <w:gridCol w:w="4355"/>
        <w:gridCol w:w="1089"/>
      </w:tblGrid>
      <w:tr w14:paraId="019A0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8" w:type="pct"/>
            <w:vAlign w:val="center"/>
          </w:tcPr>
          <w:p w14:paraId="4518D033">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考核项目</w:t>
            </w:r>
          </w:p>
        </w:tc>
        <w:tc>
          <w:tcPr>
            <w:tcW w:w="816" w:type="pct"/>
            <w:vAlign w:val="center"/>
          </w:tcPr>
          <w:p w14:paraId="700623F5">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考核分项</w:t>
            </w:r>
          </w:p>
        </w:tc>
        <w:tc>
          <w:tcPr>
            <w:tcW w:w="484" w:type="pct"/>
            <w:vAlign w:val="center"/>
          </w:tcPr>
          <w:p w14:paraId="51D3D798">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分数</w:t>
            </w:r>
          </w:p>
        </w:tc>
        <w:tc>
          <w:tcPr>
            <w:tcW w:w="2344" w:type="pct"/>
            <w:vAlign w:val="center"/>
          </w:tcPr>
          <w:p w14:paraId="06019335">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扣分方法</w:t>
            </w:r>
          </w:p>
        </w:tc>
        <w:tc>
          <w:tcPr>
            <w:tcW w:w="586" w:type="pct"/>
            <w:vAlign w:val="center"/>
          </w:tcPr>
          <w:p w14:paraId="4B1A2E14">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最终评分</w:t>
            </w:r>
          </w:p>
        </w:tc>
      </w:tr>
      <w:tr w14:paraId="64290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restart"/>
            <w:vAlign w:val="center"/>
          </w:tcPr>
          <w:p w14:paraId="559317E9">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日常网络安全运维服务</w:t>
            </w:r>
          </w:p>
          <w:p w14:paraId="25287DDA">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（50分）</w:t>
            </w:r>
          </w:p>
        </w:tc>
        <w:tc>
          <w:tcPr>
            <w:tcW w:w="816" w:type="pct"/>
            <w:vAlign w:val="center"/>
          </w:tcPr>
          <w:p w14:paraId="3F065196">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管理制度执行情况</w:t>
            </w:r>
          </w:p>
        </w:tc>
        <w:tc>
          <w:tcPr>
            <w:tcW w:w="484" w:type="pct"/>
            <w:vAlign w:val="center"/>
          </w:tcPr>
          <w:p w14:paraId="45A60045">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10</w:t>
            </w:r>
          </w:p>
        </w:tc>
        <w:tc>
          <w:tcPr>
            <w:tcW w:w="2344" w:type="pct"/>
            <w:vAlign w:val="center"/>
          </w:tcPr>
          <w:p w14:paraId="6CB2DFAA">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按合同要求提供日常运维服务，并按采购人要求提供相应巡检服务、安全咨询、技术支持、总结汇报等，未满足要求的，每次扣1分，扣完为止。</w:t>
            </w:r>
          </w:p>
        </w:tc>
        <w:tc>
          <w:tcPr>
            <w:tcW w:w="586" w:type="pct"/>
            <w:vAlign w:val="center"/>
          </w:tcPr>
          <w:p w14:paraId="26F7DA1F">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79CB7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vAlign w:val="center"/>
          </w:tcPr>
          <w:p w14:paraId="28FB4ECE">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c>
          <w:tcPr>
            <w:tcW w:w="816" w:type="pct"/>
            <w:vAlign w:val="center"/>
          </w:tcPr>
          <w:p w14:paraId="2931F1AC">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服务响应情况</w:t>
            </w:r>
          </w:p>
        </w:tc>
        <w:tc>
          <w:tcPr>
            <w:tcW w:w="484" w:type="pct"/>
            <w:vAlign w:val="center"/>
          </w:tcPr>
          <w:p w14:paraId="78E89D18">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10</w:t>
            </w:r>
          </w:p>
        </w:tc>
        <w:tc>
          <w:tcPr>
            <w:tcW w:w="2344" w:type="pct"/>
            <w:vAlign w:val="center"/>
          </w:tcPr>
          <w:p w14:paraId="46638B89">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供应商服务响应情况评分，业务需求或技术支撑响应不及时的，每次扣1分，扣完为止。（重大事件10分钟内响应，中小事件30分钟内响应）</w:t>
            </w:r>
          </w:p>
        </w:tc>
        <w:tc>
          <w:tcPr>
            <w:tcW w:w="586" w:type="pct"/>
            <w:vAlign w:val="center"/>
          </w:tcPr>
          <w:p w14:paraId="5693C020">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23171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vAlign w:val="center"/>
          </w:tcPr>
          <w:p w14:paraId="77D77664">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c>
          <w:tcPr>
            <w:tcW w:w="816" w:type="pct"/>
            <w:vAlign w:val="center"/>
          </w:tcPr>
          <w:p w14:paraId="2D70349E">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日常巡检及服务交付情况</w:t>
            </w:r>
          </w:p>
        </w:tc>
        <w:tc>
          <w:tcPr>
            <w:tcW w:w="484" w:type="pct"/>
            <w:vAlign w:val="center"/>
          </w:tcPr>
          <w:p w14:paraId="748DBFFB">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30</w:t>
            </w:r>
          </w:p>
        </w:tc>
        <w:tc>
          <w:tcPr>
            <w:tcW w:w="2344" w:type="pct"/>
            <w:vAlign w:val="center"/>
          </w:tcPr>
          <w:p w14:paraId="12103206">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运维人员按巡检计划要求进行主动和定期巡检，未按时执行的，每次扣1分；合同要求交付的各项报告及报表等交付物，每缺失1次扣3分，扣完为止。</w:t>
            </w:r>
          </w:p>
        </w:tc>
        <w:tc>
          <w:tcPr>
            <w:tcW w:w="586" w:type="pct"/>
            <w:vAlign w:val="center"/>
          </w:tcPr>
          <w:p w14:paraId="3C4C2CDA">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503A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Align w:val="center"/>
          </w:tcPr>
          <w:p w14:paraId="6B2C43EC">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服务满意度</w:t>
            </w:r>
          </w:p>
          <w:p w14:paraId="6C53AD15">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（50分）</w:t>
            </w:r>
          </w:p>
        </w:tc>
        <w:tc>
          <w:tcPr>
            <w:tcW w:w="816" w:type="pct"/>
            <w:vAlign w:val="center"/>
          </w:tcPr>
          <w:p w14:paraId="14DD3EBF">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r>
              <w:rPr>
                <w:rFonts w:hint="eastAsia" w:ascii="宋体" w:hAnsi="宋体" w:eastAsia="宋体"/>
                <w:b w:val="0"/>
                <w:bCs w:val="0"/>
                <w:color w:val="auto"/>
                <w:szCs w:val="21"/>
                <w:highlight w:val="none"/>
                <w:vertAlign w:val="baseline"/>
                <w:lang w:val="en-US" w:eastAsia="zh-CN"/>
              </w:rPr>
              <w:t>服务满意度</w:t>
            </w:r>
          </w:p>
        </w:tc>
        <w:tc>
          <w:tcPr>
            <w:tcW w:w="484" w:type="pct"/>
            <w:vAlign w:val="center"/>
          </w:tcPr>
          <w:p w14:paraId="112A1482">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50</w:t>
            </w:r>
          </w:p>
        </w:tc>
        <w:tc>
          <w:tcPr>
            <w:tcW w:w="2344" w:type="pct"/>
            <w:vAlign w:val="center"/>
          </w:tcPr>
          <w:p w14:paraId="6CF70E21">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采购人对供应商的网络安全能力、运维技术水平、技术支撑水平、服务态度等进行综合评价，45-50分为非常满意，40-45分为满意，35-40分为比较满意，30-35分为基本满意，30分以下为不满意。</w:t>
            </w:r>
          </w:p>
        </w:tc>
        <w:tc>
          <w:tcPr>
            <w:tcW w:w="586" w:type="pct"/>
            <w:vAlign w:val="center"/>
          </w:tcPr>
          <w:p w14:paraId="10195896">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7FAAB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gridSpan w:val="2"/>
            <w:vAlign w:val="center"/>
          </w:tcPr>
          <w:p w14:paraId="5387B46B">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r>
              <w:rPr>
                <w:rFonts w:hint="eastAsia" w:ascii="宋体" w:hAnsi="宋体" w:eastAsia="宋体"/>
                <w:b w:val="0"/>
                <w:bCs w:val="0"/>
                <w:color w:val="auto"/>
                <w:szCs w:val="21"/>
                <w:highlight w:val="none"/>
                <w:vertAlign w:val="baseline"/>
                <w:lang w:val="en-US" w:eastAsia="zh-CN"/>
              </w:rPr>
              <w:t>合计</w:t>
            </w:r>
          </w:p>
        </w:tc>
        <w:tc>
          <w:tcPr>
            <w:tcW w:w="484" w:type="pct"/>
            <w:vAlign w:val="center"/>
          </w:tcPr>
          <w:p w14:paraId="7926FEDE">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100</w:t>
            </w:r>
          </w:p>
        </w:tc>
        <w:tc>
          <w:tcPr>
            <w:tcW w:w="2344" w:type="pct"/>
            <w:vAlign w:val="center"/>
          </w:tcPr>
          <w:p w14:paraId="03437C46">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最终总得分</w:t>
            </w:r>
          </w:p>
        </w:tc>
        <w:tc>
          <w:tcPr>
            <w:tcW w:w="586" w:type="pct"/>
            <w:vAlign w:val="center"/>
          </w:tcPr>
          <w:p w14:paraId="4929DC6E">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bl>
    <w:p w14:paraId="67A448A2">
      <w:pPr>
        <w:pStyle w:val="27"/>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200" w:firstLine="422" w:firstLineChars="200"/>
        <w:textAlignment w:val="auto"/>
        <w:rPr>
          <w:rFonts w:hint="default"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说明：本《服务质量考核表》以90分为达标分数，若考核得分≥90分，则按中标人中标单价全额支付考核时段服务费用，若考核得分＜90分，则考核时段服务费用=考核得分÷90×中标单价，计算结果四舍五入，保留2位小数。</w:t>
      </w:r>
    </w:p>
    <w:bookmarkEnd w:id="8"/>
    <w:p w14:paraId="562D3B83">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9" w:name="_Toc31121"/>
      <w:bookmarkStart w:id="10" w:name="_Toc169799780"/>
      <w:r>
        <w:rPr>
          <w:rFonts w:ascii="Calibri" w:hAnsi="Calibri" w:eastAsia="宋体" w:cs="Times New Roman"/>
          <w:b/>
          <w:color w:val="auto"/>
          <w:kern w:val="0"/>
          <w:sz w:val="36"/>
          <w:szCs w:val="20"/>
          <w:highlight w:val="none"/>
          <w:lang w:eastAsia="zh-Hans"/>
        </w:rPr>
        <w:t>第三章 投标人须知</w:t>
      </w:r>
      <w:bookmarkEnd w:id="9"/>
      <w:bookmarkEnd w:id="10"/>
    </w:p>
    <w:p w14:paraId="2050E244">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7"/>
        <w:widowControl/>
        <w:numPr>
          <w:ilvl w:val="0"/>
          <w:numId w:val="41"/>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2DAD81C8">
      <w:pPr>
        <w:pStyle w:val="27"/>
        <w:widowControl/>
        <w:numPr>
          <w:ilvl w:val="0"/>
          <w:numId w:val="42"/>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0BE39DDD">
      <w:pPr>
        <w:pStyle w:val="27"/>
        <w:widowControl/>
        <w:numPr>
          <w:ilvl w:val="0"/>
          <w:numId w:val="42"/>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72A88B11">
      <w:pPr>
        <w:pStyle w:val="27"/>
        <w:widowControl/>
        <w:numPr>
          <w:ilvl w:val="0"/>
          <w:numId w:val="42"/>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B546C34">
      <w:pPr>
        <w:pStyle w:val="27"/>
        <w:widowControl/>
        <w:numPr>
          <w:ilvl w:val="0"/>
          <w:numId w:val="42"/>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《中华人民共和国政府采购法》等法律法规规定，由采购人代表和有关专家组成以确定中标供应商或者推荐中标候选人的临时组织。</w:t>
      </w:r>
    </w:p>
    <w:p w14:paraId="74BA097A">
      <w:pPr>
        <w:pStyle w:val="27"/>
        <w:widowControl/>
        <w:numPr>
          <w:ilvl w:val="0"/>
          <w:numId w:val="42"/>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7"/>
        <w:widowControl/>
        <w:numPr>
          <w:ilvl w:val="0"/>
          <w:numId w:val="42"/>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4628512F">
      <w:pPr>
        <w:pStyle w:val="27"/>
        <w:widowControl/>
        <w:numPr>
          <w:ilvl w:val="0"/>
          <w:numId w:val="41"/>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13045B7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2935692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08CF0C39">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0A1497F0">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06D4907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23B5DB27">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6277B0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24CD24C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453E59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03EDA9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63B5D5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E78C3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481D515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0BDB161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不收取</w:t>
            </w:r>
            <w:r>
              <w:rPr>
                <w:rFonts w:ascii="宋体" w:hAnsi="宋体" w:eastAsia="宋体" w:cs="Times New Roman"/>
                <w:color w:val="auto"/>
                <w:kern w:val="0"/>
                <w:szCs w:val="21"/>
                <w:highlight w:val="none"/>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72063B7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7424858B">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3DE569D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722E9ECD">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0E43744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592934D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727708AC">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251A53D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25244C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6B51D0D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3CC4AD6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204C496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29A83F1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36886E4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269D2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30BE444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40EAE6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39992A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收取。采购机构代理服务收费标准：参照国家计委文件“计价格[2002]1980号文”、“发改办价格[2003]857号文”和“发改价格[2011]534号文”的规定标准执行。</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6174E5B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5C9EABB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84" w:type="pct"/>
            <w:vAlign w:val="center"/>
          </w:tcPr>
          <w:p w14:paraId="6C2CC52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C935AC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0C0F662F">
            <w:pPr>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lang w:val="en-US" w:eastAsia="zh-CN"/>
              </w:rPr>
              <w:t>不收取</w:t>
            </w:r>
            <w:r>
              <w:rPr>
                <w:rFonts w:ascii="宋体" w:hAnsi="宋体" w:eastAsia="宋体"/>
                <w:color w:val="auto"/>
                <w:szCs w:val="21"/>
                <w:highlight w:val="none"/>
                <w:lang w:val="zh-CN"/>
              </w:rPr>
              <w:t>。</w:t>
            </w:r>
          </w:p>
        </w:tc>
      </w:tr>
      <w:bookmarkEnd w:id="11"/>
    </w:tbl>
    <w:p w14:paraId="5685938B">
      <w:pPr>
        <w:pStyle w:val="27"/>
        <w:keepLines/>
        <w:numPr>
          <w:ilvl w:val="0"/>
          <w:numId w:val="41"/>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7A1E2D">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0E486A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A0E9A7F">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03789974">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4A3B49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57538FDE">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3BC32C6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67E80FC4">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4CB1B3D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4F4BC43C">
      <w:pPr>
        <w:pStyle w:val="27"/>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7"/>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7"/>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3220C318">
      <w:pPr>
        <w:pStyle w:val="27"/>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12F91C66">
      <w:pPr>
        <w:pStyle w:val="27"/>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7"/>
        <w:widowControl/>
        <w:numPr>
          <w:ilvl w:val="0"/>
          <w:numId w:val="4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A114DF7">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8228F9A">
      <w:pPr>
        <w:pStyle w:val="27"/>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7"/>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051325A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8F6C3D4">
      <w:pPr>
        <w:pStyle w:val="27"/>
        <w:widowControl/>
        <w:numPr>
          <w:ilvl w:val="0"/>
          <w:numId w:val="4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7"/>
        <w:widowControl/>
        <w:numPr>
          <w:ilvl w:val="0"/>
          <w:numId w:val="4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7"/>
        <w:widowControl/>
        <w:numPr>
          <w:ilvl w:val="3"/>
          <w:numId w:val="43"/>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2EC4C2E">
      <w:pPr>
        <w:pStyle w:val="27"/>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7"/>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7"/>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2B6F9B4">
      <w:pPr>
        <w:pStyle w:val="27"/>
        <w:widowControl/>
        <w:numPr>
          <w:ilvl w:val="3"/>
          <w:numId w:val="43"/>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6B7921E8">
      <w:pPr>
        <w:pStyle w:val="27"/>
        <w:widowControl/>
        <w:numPr>
          <w:ilvl w:val="0"/>
          <w:numId w:val="4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FC0313F">
      <w:pPr>
        <w:pStyle w:val="27"/>
        <w:widowControl/>
        <w:numPr>
          <w:ilvl w:val="0"/>
          <w:numId w:val="4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394A03C">
      <w:pPr>
        <w:pStyle w:val="27"/>
        <w:widowControl/>
        <w:numPr>
          <w:ilvl w:val="0"/>
          <w:numId w:val="4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7"/>
        <w:widowControl/>
        <w:numPr>
          <w:ilvl w:val="0"/>
          <w:numId w:val="41"/>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230598D3">
      <w:pPr>
        <w:pStyle w:val="27"/>
        <w:widowControl/>
        <w:numPr>
          <w:ilvl w:val="0"/>
          <w:numId w:val="49"/>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7"/>
        <w:widowControl/>
        <w:numPr>
          <w:ilvl w:val="0"/>
          <w:numId w:val="49"/>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7"/>
        <w:widowControl/>
        <w:numPr>
          <w:ilvl w:val="0"/>
          <w:numId w:val="49"/>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08AFF6C5">
      <w:pPr>
        <w:pStyle w:val="27"/>
        <w:widowControl/>
        <w:numPr>
          <w:ilvl w:val="0"/>
          <w:numId w:val="41"/>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197AA2EC">
      <w:pPr>
        <w:pStyle w:val="27"/>
        <w:widowControl/>
        <w:numPr>
          <w:ilvl w:val="0"/>
          <w:numId w:val="50"/>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50E51ECF">
      <w:pPr>
        <w:pStyle w:val="27"/>
        <w:widowControl/>
        <w:numPr>
          <w:ilvl w:val="0"/>
          <w:numId w:val="51"/>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lang w:eastAsia="zh-Hans"/>
        </w:rPr>
        <w:t>”规定的格式报出总价和分项价格。投标总价中不得包含招标文件要求以外的内容，否则，在评审时不予核减。</w:t>
      </w:r>
    </w:p>
    <w:p w14:paraId="0DB8A8D7">
      <w:pPr>
        <w:pStyle w:val="27"/>
        <w:widowControl/>
        <w:numPr>
          <w:ilvl w:val="0"/>
          <w:numId w:val="51"/>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7"/>
        <w:widowControl/>
        <w:numPr>
          <w:ilvl w:val="0"/>
          <w:numId w:val="51"/>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4B4BD946">
      <w:pPr>
        <w:pStyle w:val="27"/>
        <w:widowControl/>
        <w:numPr>
          <w:ilvl w:val="0"/>
          <w:numId w:val="51"/>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18C2CE35">
      <w:pPr>
        <w:pStyle w:val="27"/>
        <w:widowControl/>
        <w:numPr>
          <w:ilvl w:val="0"/>
          <w:numId w:val="51"/>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7"/>
        <w:widowControl/>
        <w:numPr>
          <w:ilvl w:val="0"/>
          <w:numId w:val="51"/>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7"/>
        <w:widowControl/>
        <w:numPr>
          <w:ilvl w:val="0"/>
          <w:numId w:val="51"/>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204880C2">
      <w:pPr>
        <w:pStyle w:val="27"/>
        <w:widowControl/>
        <w:numPr>
          <w:ilvl w:val="0"/>
          <w:numId w:val="50"/>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89CD0AB">
      <w:pPr>
        <w:pStyle w:val="27"/>
        <w:widowControl/>
        <w:numPr>
          <w:ilvl w:val="0"/>
          <w:numId w:val="52"/>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7"/>
        <w:widowControl/>
        <w:numPr>
          <w:ilvl w:val="0"/>
          <w:numId w:val="52"/>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129EC5D">
      <w:pPr>
        <w:pStyle w:val="27"/>
        <w:widowControl/>
        <w:numPr>
          <w:ilvl w:val="0"/>
          <w:numId w:val="53"/>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7"/>
        <w:widowControl/>
        <w:numPr>
          <w:ilvl w:val="0"/>
          <w:numId w:val="53"/>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6E2EE6EA">
      <w:pPr>
        <w:pStyle w:val="27"/>
        <w:widowControl/>
        <w:numPr>
          <w:ilvl w:val="0"/>
          <w:numId w:val="52"/>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highlight w:val="none"/>
        </w:rPr>
      </w:pPr>
    </w:p>
    <w:p w14:paraId="3E910E9D">
      <w:pPr>
        <w:pStyle w:val="27"/>
        <w:widowControl/>
        <w:numPr>
          <w:ilvl w:val="0"/>
          <w:numId w:val="50"/>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5DEA7C0B">
      <w:pPr>
        <w:pStyle w:val="27"/>
        <w:numPr>
          <w:ilvl w:val="0"/>
          <w:numId w:val="54"/>
        </w:numPr>
        <w:ind w:firstLineChars="0"/>
        <w:rPr>
          <w:rFonts w:ascii="宋体" w:hAnsi="宋体" w:eastAsia="宋体"/>
          <w:b/>
          <w:color w:val="auto"/>
          <w:szCs w:val="21"/>
          <w:highlight w:val="none"/>
        </w:rPr>
      </w:pPr>
      <w:bookmarkStart w:id="12" w:name="_Toc357676131"/>
      <w:r>
        <w:rPr>
          <w:rFonts w:hint="eastAsia" w:ascii="宋体" w:hAnsi="宋体" w:eastAsia="宋体"/>
          <w:b/>
          <w:color w:val="auto"/>
          <w:szCs w:val="21"/>
          <w:highlight w:val="none"/>
        </w:rPr>
        <w:t>投标文件的装订、密封和标记</w:t>
      </w:r>
      <w:bookmarkEnd w:id="12"/>
    </w:p>
    <w:p w14:paraId="07A59821">
      <w:pPr>
        <w:pStyle w:val="27"/>
        <w:numPr>
          <w:ilvl w:val="0"/>
          <w:numId w:val="55"/>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36D22BF8">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37ED881C">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E8B6ACC">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E574EB8">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5673BFD6">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1934A29">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A90E36D">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6C498650">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BB2893F">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B481C29">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2473E1C4">
      <w:pPr>
        <w:pStyle w:val="27"/>
        <w:numPr>
          <w:ilvl w:val="0"/>
          <w:numId w:val="55"/>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3" w:name="_Hlk86740118"/>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0CA8DBE5">
      <w:pPr>
        <w:pStyle w:val="27"/>
        <w:numPr>
          <w:ilvl w:val="0"/>
          <w:numId w:val="55"/>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为方便开标唱标，投标人应将开标一览表、分项报价表（如适用）、法定代表人身份证明书或法定代表人授权委托书一起密封提交，并在信封上标明“唱标信封”的字样。</w:t>
      </w:r>
    </w:p>
    <w:p w14:paraId="4508A2CD">
      <w:pPr>
        <w:pStyle w:val="27"/>
        <w:widowControl/>
        <w:numPr>
          <w:ilvl w:val="0"/>
          <w:numId w:val="50"/>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775A7EAB">
      <w:pPr>
        <w:pStyle w:val="27"/>
        <w:numPr>
          <w:ilvl w:val="0"/>
          <w:numId w:val="56"/>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5BA4B0C">
      <w:pPr>
        <w:pStyle w:val="27"/>
        <w:numPr>
          <w:ilvl w:val="0"/>
          <w:numId w:val="56"/>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6DDFEFA">
      <w:pPr>
        <w:pStyle w:val="27"/>
        <w:numPr>
          <w:ilvl w:val="0"/>
          <w:numId w:val="56"/>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7D8B7AB5">
      <w:pPr>
        <w:pStyle w:val="27"/>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6AEF734D">
      <w:pPr>
        <w:pStyle w:val="27"/>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7F27536B">
      <w:pPr>
        <w:pStyle w:val="27"/>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2B83937">
      <w:pPr>
        <w:pStyle w:val="27"/>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1077CAE0">
      <w:pPr>
        <w:pStyle w:val="27"/>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
          <w:bCs w:val="0"/>
          <w:color w:val="auto"/>
          <w:szCs w:val="21"/>
          <w:highlight w:val="none"/>
        </w:rPr>
        <w:t>（详见《投标邀请》）</w:t>
      </w:r>
      <w:r>
        <w:rPr>
          <w:rFonts w:hint="eastAsia" w:ascii="宋体" w:hAnsi="宋体" w:eastAsia="宋体"/>
          <w:bCs/>
          <w:color w:val="auto"/>
          <w:szCs w:val="21"/>
          <w:highlight w:val="none"/>
        </w:rPr>
        <w:t>之前不得启封”的字样。</w:t>
      </w:r>
    </w:p>
    <w:p w14:paraId="2644F5A9">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DF40DA3">
      <w:pPr>
        <w:pStyle w:val="27"/>
        <w:widowControl/>
        <w:numPr>
          <w:ilvl w:val="0"/>
          <w:numId w:val="50"/>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97C593">
      <w:pPr>
        <w:pStyle w:val="27"/>
        <w:widowControl/>
        <w:numPr>
          <w:ilvl w:val="0"/>
          <w:numId w:val="57"/>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7"/>
        <w:widowControl/>
        <w:numPr>
          <w:ilvl w:val="0"/>
          <w:numId w:val="57"/>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44C880E8">
      <w:pPr>
        <w:pStyle w:val="27"/>
        <w:widowControl/>
        <w:numPr>
          <w:ilvl w:val="0"/>
          <w:numId w:val="57"/>
        </w:numPr>
        <w:ind w:left="440" w:leftChars="0" w:hanging="440"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5B06180D">
      <w:pPr>
        <w:pStyle w:val="27"/>
        <w:widowControl/>
        <w:numPr>
          <w:ilvl w:val="0"/>
          <w:numId w:val="50"/>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本项目不适用</w:t>
      </w:r>
      <w:r>
        <w:rPr>
          <w:rFonts w:hint="eastAsia" w:ascii="Calibri" w:hAnsi="Calibri" w:eastAsia="宋体" w:cs="Times New Roman"/>
          <w:b/>
          <w:color w:val="auto"/>
          <w:kern w:val="0"/>
          <w:szCs w:val="21"/>
          <w:highlight w:val="none"/>
          <w:lang w:eastAsia="zh-CN"/>
        </w:rPr>
        <w:t>）</w:t>
      </w:r>
    </w:p>
    <w:p w14:paraId="13D58769">
      <w:pPr>
        <w:pStyle w:val="27"/>
        <w:widowControl/>
        <w:numPr>
          <w:ilvl w:val="0"/>
          <w:numId w:val="58"/>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5909AF1A">
      <w:pPr>
        <w:pStyle w:val="27"/>
        <w:widowControl/>
        <w:numPr>
          <w:ilvl w:val="0"/>
          <w:numId w:val="5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规定的金额和缴纳要求缴纳投标保证金，并作为其投标文件的组成部分。</w:t>
      </w:r>
    </w:p>
    <w:p w14:paraId="09E9AB64">
      <w:pPr>
        <w:pStyle w:val="27"/>
        <w:widowControl/>
        <w:numPr>
          <w:ilvl w:val="0"/>
          <w:numId w:val="59"/>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5"/>
    <w:p w14:paraId="08ED3A20">
      <w:pPr>
        <w:pStyle w:val="27"/>
        <w:widowControl/>
        <w:numPr>
          <w:ilvl w:val="0"/>
          <w:numId w:val="59"/>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7"/>
        <w:widowControl/>
        <w:numPr>
          <w:ilvl w:val="0"/>
          <w:numId w:val="5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581BB39B">
      <w:pPr>
        <w:pStyle w:val="27"/>
        <w:widowControl/>
        <w:numPr>
          <w:ilvl w:val="0"/>
          <w:numId w:val="6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32B29E50">
      <w:pPr>
        <w:pStyle w:val="27"/>
        <w:widowControl/>
        <w:numPr>
          <w:ilvl w:val="0"/>
          <w:numId w:val="6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414F91D">
      <w:pPr>
        <w:pStyle w:val="27"/>
        <w:widowControl/>
        <w:numPr>
          <w:ilvl w:val="0"/>
          <w:numId w:val="6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43F64C5A">
      <w:pPr>
        <w:pStyle w:val="27"/>
        <w:widowControl/>
        <w:numPr>
          <w:ilvl w:val="0"/>
          <w:numId w:val="5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1EAE9C0F">
      <w:pPr>
        <w:pStyle w:val="27"/>
        <w:widowControl/>
        <w:numPr>
          <w:ilvl w:val="0"/>
          <w:numId w:val="61"/>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4C63438">
      <w:pPr>
        <w:pStyle w:val="27"/>
        <w:widowControl/>
        <w:numPr>
          <w:ilvl w:val="0"/>
          <w:numId w:val="61"/>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901C0DC">
      <w:pPr>
        <w:pStyle w:val="27"/>
        <w:widowControl/>
        <w:numPr>
          <w:ilvl w:val="0"/>
          <w:numId w:val="61"/>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41509EB1">
      <w:pPr>
        <w:pStyle w:val="27"/>
        <w:widowControl/>
        <w:numPr>
          <w:ilvl w:val="0"/>
          <w:numId w:val="61"/>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3AD81154">
      <w:pPr>
        <w:pStyle w:val="27"/>
        <w:widowControl/>
        <w:numPr>
          <w:ilvl w:val="0"/>
          <w:numId w:val="61"/>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0E1DA8E6">
      <w:pPr>
        <w:pStyle w:val="27"/>
        <w:widowControl/>
        <w:numPr>
          <w:ilvl w:val="0"/>
          <w:numId w:val="50"/>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641D263F">
      <w:pPr>
        <w:pStyle w:val="27"/>
        <w:widowControl/>
        <w:numPr>
          <w:ilvl w:val="0"/>
          <w:numId w:val="6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7"/>
        <w:widowControl/>
        <w:numPr>
          <w:ilvl w:val="0"/>
          <w:numId w:val="6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7"/>
        <w:widowControl/>
        <w:numPr>
          <w:ilvl w:val="0"/>
          <w:numId w:val="50"/>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75980878">
      <w:pPr>
        <w:pStyle w:val="27"/>
        <w:widowControl/>
        <w:numPr>
          <w:ilvl w:val="0"/>
          <w:numId w:val="6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7"/>
        <w:widowControl/>
        <w:numPr>
          <w:ilvl w:val="0"/>
          <w:numId w:val="6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7"/>
        <w:widowControl/>
        <w:numPr>
          <w:ilvl w:val="0"/>
          <w:numId w:val="6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7"/>
        <w:widowControl/>
        <w:numPr>
          <w:ilvl w:val="0"/>
          <w:numId w:val="50"/>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1A7535F">
      <w:pPr>
        <w:pStyle w:val="27"/>
        <w:widowControl/>
        <w:numPr>
          <w:ilvl w:val="0"/>
          <w:numId w:val="6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2AA22EAE">
      <w:pPr>
        <w:pStyle w:val="27"/>
        <w:widowControl/>
        <w:numPr>
          <w:ilvl w:val="0"/>
          <w:numId w:val="6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72C942D">
      <w:pPr>
        <w:pStyle w:val="27"/>
        <w:widowControl/>
        <w:numPr>
          <w:ilvl w:val="0"/>
          <w:numId w:val="6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35B29C2">
      <w:pPr>
        <w:pStyle w:val="27"/>
        <w:widowControl/>
        <w:numPr>
          <w:ilvl w:val="0"/>
          <w:numId w:val="6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54912838">
      <w:pPr>
        <w:pStyle w:val="27"/>
        <w:widowControl/>
        <w:numPr>
          <w:ilvl w:val="0"/>
          <w:numId w:val="6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5FC0DB76">
      <w:pPr>
        <w:pStyle w:val="27"/>
        <w:widowControl/>
        <w:numPr>
          <w:ilvl w:val="0"/>
          <w:numId w:val="41"/>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04B02605">
      <w:pPr>
        <w:pStyle w:val="27"/>
        <w:widowControl/>
        <w:numPr>
          <w:ilvl w:val="3"/>
          <w:numId w:val="6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3D25B4C">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rPr>
        <w:t>中规定的日期、时间和地点组织公开开标。开标时邀请所有投标人代表参加。参加开标的法定代表人或其授权代表携带有效身份证签名报到以证明其出席。</w:t>
      </w:r>
    </w:p>
    <w:p w14:paraId="6600EA0B">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1E4F461">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5C138A6">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B0019EF">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7"/>
        <w:widowControl/>
        <w:numPr>
          <w:ilvl w:val="0"/>
          <w:numId w:val="6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10E714A2">
      <w:pPr>
        <w:pStyle w:val="27"/>
        <w:widowControl/>
        <w:numPr>
          <w:ilvl w:val="3"/>
          <w:numId w:val="6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0C0F53E9">
      <w:pPr>
        <w:pStyle w:val="27"/>
        <w:widowControl/>
        <w:numPr>
          <w:ilvl w:val="3"/>
          <w:numId w:val="65"/>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312C8F1">
      <w:pPr>
        <w:pStyle w:val="27"/>
        <w:widowControl/>
        <w:numPr>
          <w:ilvl w:val="0"/>
          <w:numId w:val="6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411FA44D">
      <w:pPr>
        <w:pStyle w:val="27"/>
        <w:widowControl/>
        <w:numPr>
          <w:ilvl w:val="0"/>
          <w:numId w:val="68"/>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6" w:name="_Hlk169881051"/>
      <w:r>
        <w:rPr>
          <w:rFonts w:ascii="宋体" w:hAnsi="宋体" w:eastAsia="宋体" w:cs="Times New Roman"/>
          <w:color w:val="auto"/>
          <w:kern w:val="0"/>
          <w:szCs w:val="21"/>
          <w:highlight w:val="none"/>
        </w:rPr>
        <w:t>指定媒体</w:t>
      </w:r>
      <w:bookmarkEnd w:id="16"/>
      <w:r>
        <w:rPr>
          <w:rFonts w:ascii="宋体" w:hAnsi="宋体" w:eastAsia="宋体" w:cs="Times New Roman"/>
          <w:color w:val="auto"/>
          <w:kern w:val="0"/>
          <w:szCs w:val="21"/>
          <w:highlight w:val="none"/>
        </w:rPr>
        <w:t>公告中标结果和发出中标通知书，公告期为1个工作日。</w:t>
      </w:r>
    </w:p>
    <w:p w14:paraId="00414DA4">
      <w:pPr>
        <w:pStyle w:val="27"/>
        <w:widowControl/>
        <w:numPr>
          <w:ilvl w:val="0"/>
          <w:numId w:val="6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C6B63E4">
      <w:pPr>
        <w:pStyle w:val="27"/>
        <w:widowControl/>
        <w:numPr>
          <w:ilvl w:val="0"/>
          <w:numId w:val="69"/>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42EBF13">
      <w:pPr>
        <w:pStyle w:val="27"/>
        <w:widowControl/>
        <w:numPr>
          <w:ilvl w:val="0"/>
          <w:numId w:val="69"/>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644C478B">
      <w:pPr>
        <w:pStyle w:val="27"/>
        <w:widowControl/>
        <w:numPr>
          <w:ilvl w:val="0"/>
          <w:numId w:val="69"/>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1D36A752">
      <w:pPr>
        <w:pStyle w:val="27"/>
        <w:widowControl/>
        <w:numPr>
          <w:ilvl w:val="0"/>
          <w:numId w:val="41"/>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4BDC809">
      <w:pPr>
        <w:pStyle w:val="27"/>
        <w:widowControl/>
        <w:numPr>
          <w:ilvl w:val="3"/>
          <w:numId w:val="70"/>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0FAFD38B">
      <w:pPr>
        <w:pStyle w:val="27"/>
        <w:widowControl/>
        <w:numPr>
          <w:ilvl w:val="0"/>
          <w:numId w:val="7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lang w:eastAsia="zh-Hans"/>
        </w:rPr>
        <w:t>中“采购人、采购代理机构的名称、地址和联系方式”。</w:t>
      </w:r>
    </w:p>
    <w:p w14:paraId="67533FE7">
      <w:pPr>
        <w:pStyle w:val="27"/>
        <w:widowControl/>
        <w:numPr>
          <w:ilvl w:val="3"/>
          <w:numId w:val="70"/>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C77AE6">
      <w:pPr>
        <w:pStyle w:val="27"/>
        <w:widowControl/>
        <w:numPr>
          <w:ilvl w:val="0"/>
          <w:numId w:val="7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7"/>
        <w:widowControl/>
        <w:numPr>
          <w:ilvl w:val="0"/>
          <w:numId w:val="73"/>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4197C5E">
      <w:pPr>
        <w:pStyle w:val="27"/>
        <w:widowControl/>
        <w:numPr>
          <w:ilvl w:val="0"/>
          <w:numId w:val="73"/>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0C4D840">
      <w:pPr>
        <w:pStyle w:val="27"/>
        <w:widowControl/>
        <w:numPr>
          <w:ilvl w:val="0"/>
          <w:numId w:val="73"/>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1AA8C846">
      <w:pPr>
        <w:pStyle w:val="27"/>
        <w:widowControl/>
        <w:numPr>
          <w:ilvl w:val="0"/>
          <w:numId w:val="7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817E1AC">
      <w:pPr>
        <w:pStyle w:val="27"/>
        <w:widowControl/>
        <w:numPr>
          <w:ilvl w:val="0"/>
          <w:numId w:val="74"/>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7396A53">
      <w:pPr>
        <w:pStyle w:val="27"/>
        <w:widowControl/>
        <w:numPr>
          <w:ilvl w:val="0"/>
          <w:numId w:val="74"/>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6841003">
      <w:pPr>
        <w:pStyle w:val="27"/>
        <w:widowControl/>
        <w:numPr>
          <w:ilvl w:val="0"/>
          <w:numId w:val="74"/>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7"/>
        <w:widowControl/>
        <w:numPr>
          <w:ilvl w:val="0"/>
          <w:numId w:val="74"/>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43836A0">
      <w:pPr>
        <w:pStyle w:val="27"/>
        <w:widowControl/>
        <w:numPr>
          <w:ilvl w:val="0"/>
          <w:numId w:val="7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7"/>
        <w:widowControl/>
        <w:numPr>
          <w:ilvl w:val="0"/>
          <w:numId w:val="7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64A7798">
      <w:pPr>
        <w:pStyle w:val="27"/>
        <w:widowControl/>
        <w:numPr>
          <w:ilvl w:val="0"/>
          <w:numId w:val="7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7"/>
        <w:widowControl/>
        <w:numPr>
          <w:ilvl w:val="0"/>
          <w:numId w:val="7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04E1EE58">
      <w:pPr>
        <w:widowControl/>
        <w:ind w:firstLine="480"/>
        <w:jc w:val="left"/>
        <w:rPr>
          <w:rFonts w:hint="eastAsia"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陈子菱</w:t>
      </w:r>
    </w:p>
    <w:p w14:paraId="6A816235">
      <w:pPr>
        <w:widowControl/>
        <w:ind w:firstLine="480"/>
        <w:jc w:val="left"/>
        <w:rPr>
          <w:rFonts w:ascii="宋体" w:hAnsi="宋体" w:eastAsia="宋体" w:cs="Times New Roman"/>
          <w:color w:val="auto"/>
          <w:kern w:val="0"/>
          <w:szCs w:val="21"/>
          <w:highlight w:val="none"/>
          <w:lang w:eastAsia="zh-Hans"/>
        </w:rPr>
      </w:pPr>
      <w:bookmarkStart w:id="17" w:name="_Hlk170237862"/>
      <w:r>
        <w:rPr>
          <w:rFonts w:ascii="宋体" w:hAnsi="宋体" w:eastAsia="宋体" w:cs="Times New Roman"/>
          <w:color w:val="auto"/>
          <w:kern w:val="0"/>
          <w:szCs w:val="21"/>
          <w:highlight w:val="none"/>
          <w:lang w:eastAsia="zh-Hans"/>
        </w:rPr>
        <w:t>电话：0769</w:t>
      </w:r>
      <w:r>
        <w:rPr>
          <w:rFonts w:hint="eastAsia" w:ascii="宋体" w:hAnsi="宋体" w:eastAsia="宋体" w:cs="Times New Roman"/>
          <w:color w:val="auto"/>
          <w:kern w:val="0"/>
          <w:szCs w:val="21"/>
          <w:highlight w:val="none"/>
          <w:lang w:val="en-US" w:eastAsia="zh-CN"/>
        </w:rPr>
        <w:t>-</w:t>
      </w:r>
      <w:r>
        <w:rPr>
          <w:rFonts w:ascii="宋体" w:hAnsi="宋体" w:eastAsia="宋体" w:cs="Times New Roman"/>
          <w:color w:val="auto"/>
          <w:kern w:val="0"/>
          <w:szCs w:val="21"/>
          <w:highlight w:val="none"/>
          <w:lang w:eastAsia="zh-Hans"/>
        </w:rPr>
        <w:t>22367009</w:t>
      </w:r>
    </w:p>
    <w:p w14:paraId="50A95697">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0B6BB28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7"/>
    </w:p>
    <w:p w14:paraId="4ABBDBCF">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23EC7FB9">
      <w:pPr>
        <w:pStyle w:val="27"/>
        <w:widowControl/>
        <w:numPr>
          <w:ilvl w:val="0"/>
          <w:numId w:val="7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7D73C36D">
      <w:pPr>
        <w:pStyle w:val="27"/>
        <w:widowControl/>
        <w:numPr>
          <w:ilvl w:val="0"/>
          <w:numId w:val="41"/>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本项目不适用</w:t>
      </w:r>
      <w:r>
        <w:rPr>
          <w:rFonts w:hint="eastAsia" w:ascii="宋体" w:hAnsi="宋体" w:eastAsia="宋体" w:cs="Times New Roman"/>
          <w:b/>
          <w:color w:val="auto"/>
          <w:kern w:val="0"/>
          <w:szCs w:val="21"/>
          <w:highlight w:val="none"/>
          <w:lang w:eastAsia="zh-CN"/>
        </w:rPr>
        <w:t>）</w:t>
      </w:r>
    </w:p>
    <w:p w14:paraId="550A4FCD">
      <w:pPr>
        <w:pStyle w:val="27"/>
        <w:widowControl/>
        <w:numPr>
          <w:ilvl w:val="0"/>
          <w:numId w:val="76"/>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rPr>
        <w:t>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9714C7">
      <w:pPr>
        <w:pStyle w:val="27"/>
        <w:widowControl/>
        <w:numPr>
          <w:ilvl w:val="0"/>
          <w:numId w:val="76"/>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61A7EB8B">
      <w:pPr>
        <w:pStyle w:val="27"/>
        <w:widowControl/>
        <w:numPr>
          <w:ilvl w:val="0"/>
          <w:numId w:val="41"/>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2041DF9">
      <w:pPr>
        <w:pStyle w:val="27"/>
        <w:widowControl/>
        <w:numPr>
          <w:ilvl w:val="3"/>
          <w:numId w:val="77"/>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A81814F">
      <w:pPr>
        <w:pStyle w:val="27"/>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7"/>
        <w:widowControl/>
        <w:numPr>
          <w:ilvl w:val="0"/>
          <w:numId w:val="7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7"/>
        <w:widowControl/>
        <w:numPr>
          <w:ilvl w:val="3"/>
          <w:numId w:val="77"/>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63899B25">
      <w:pPr>
        <w:pStyle w:val="27"/>
        <w:widowControl/>
        <w:numPr>
          <w:ilvl w:val="0"/>
          <w:numId w:val="79"/>
        </w:numPr>
        <w:ind w:firstLineChars="0"/>
        <w:jc w:val="left"/>
        <w:rPr>
          <w:rFonts w:ascii="宋体" w:hAnsi="宋体" w:eastAsia="宋体" w:cs="Times New Roman"/>
          <w:color w:val="auto"/>
          <w:kern w:val="0"/>
          <w:szCs w:val="21"/>
          <w:highlight w:val="none"/>
          <w:lang w:eastAsia="zh-Hans"/>
        </w:rPr>
      </w:pPr>
      <w:bookmarkStart w:id="18"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8"/>
    </w:p>
    <w:p w14:paraId="7DB3A8A0">
      <w:pPr>
        <w:pStyle w:val="27"/>
        <w:widowControl/>
        <w:numPr>
          <w:ilvl w:val="0"/>
          <w:numId w:val="79"/>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highlight w:val="none"/>
          <w:lang w:eastAsia="zh-Hans"/>
        </w:rPr>
        <w:t>签订补充合同的必须按规定备案。</w:t>
      </w:r>
    </w:p>
    <w:bookmarkEnd w:id="19"/>
    <w:p w14:paraId="7058F3DD">
      <w:pPr>
        <w:pageBreakBefore/>
        <w:widowControl/>
        <w:jc w:val="center"/>
        <w:outlineLvl w:val="1"/>
        <w:rPr>
          <w:rFonts w:ascii="Calibri" w:hAnsi="Calibri" w:eastAsia="宋体" w:cs="Times New Roman"/>
          <w:color w:val="auto"/>
          <w:kern w:val="0"/>
          <w:sz w:val="20"/>
          <w:szCs w:val="20"/>
          <w:highlight w:val="none"/>
          <w:lang w:eastAsia="zh-Hans"/>
        </w:rPr>
      </w:pPr>
      <w:bookmarkStart w:id="20" w:name="_Toc169799781"/>
      <w:bookmarkStart w:id="21" w:name="_Toc12896"/>
      <w:r>
        <w:rPr>
          <w:rFonts w:ascii="Calibri" w:hAnsi="Calibri" w:eastAsia="宋体" w:cs="Times New Roman"/>
          <w:b/>
          <w:color w:val="auto"/>
          <w:kern w:val="0"/>
          <w:sz w:val="36"/>
          <w:szCs w:val="20"/>
          <w:highlight w:val="none"/>
          <w:lang w:eastAsia="zh-Hans"/>
        </w:rPr>
        <w:t>第四章 评标</w:t>
      </w:r>
      <w:bookmarkEnd w:id="20"/>
      <w:bookmarkEnd w:id="21"/>
    </w:p>
    <w:p w14:paraId="1F905B4D">
      <w:pPr>
        <w:pStyle w:val="27"/>
        <w:numPr>
          <w:ilvl w:val="0"/>
          <w:numId w:val="80"/>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000B4FC0">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D12ED5E">
      <w:pPr>
        <w:pStyle w:val="27"/>
        <w:widowControl/>
        <w:numPr>
          <w:ilvl w:val="0"/>
          <w:numId w:val="82"/>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4CFF23C2">
      <w:pPr>
        <w:pStyle w:val="27"/>
        <w:widowControl/>
        <w:numPr>
          <w:ilvl w:val="0"/>
          <w:numId w:val="82"/>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是指投标文件满足招标文件全部实质性要求，且按照评审因素的量化指标评审得分最高的投标人为中标候选人的评标方法。（最低报价不是中标的唯一依据。）</w:t>
      </w:r>
    </w:p>
    <w:p w14:paraId="730BAD5B">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644A3CC7">
      <w:pPr>
        <w:pStyle w:val="27"/>
        <w:widowControl/>
        <w:numPr>
          <w:ilvl w:val="0"/>
          <w:numId w:val="83"/>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7"/>
        <w:widowControl/>
        <w:numPr>
          <w:ilvl w:val="0"/>
          <w:numId w:val="83"/>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34C8B732">
      <w:pPr>
        <w:pStyle w:val="27"/>
        <w:widowControl/>
        <w:numPr>
          <w:ilvl w:val="0"/>
          <w:numId w:val="83"/>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中约定的有效供应商家数的，不得评标。</w:t>
      </w:r>
    </w:p>
    <w:p w14:paraId="1328CF1C">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A36B4E5">
      <w:pPr>
        <w:pStyle w:val="27"/>
        <w:widowControl/>
        <w:numPr>
          <w:ilvl w:val="0"/>
          <w:numId w:val="84"/>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A82B383">
      <w:pPr>
        <w:pStyle w:val="27"/>
        <w:widowControl/>
        <w:numPr>
          <w:ilvl w:val="0"/>
          <w:numId w:val="84"/>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7"/>
        <w:widowControl/>
        <w:numPr>
          <w:ilvl w:val="0"/>
          <w:numId w:val="85"/>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2BCB6405">
      <w:pPr>
        <w:pStyle w:val="27"/>
        <w:widowControl/>
        <w:numPr>
          <w:ilvl w:val="0"/>
          <w:numId w:val="85"/>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796525B9">
      <w:pPr>
        <w:pStyle w:val="27"/>
        <w:widowControl/>
        <w:numPr>
          <w:ilvl w:val="0"/>
          <w:numId w:val="85"/>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CA88AFA">
      <w:pPr>
        <w:pStyle w:val="27"/>
        <w:widowControl/>
        <w:numPr>
          <w:ilvl w:val="0"/>
          <w:numId w:val="85"/>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16FF92C4">
      <w:pPr>
        <w:pStyle w:val="27"/>
        <w:widowControl/>
        <w:numPr>
          <w:ilvl w:val="0"/>
          <w:numId w:val="85"/>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65AE34BB">
      <w:pPr>
        <w:pStyle w:val="27"/>
        <w:widowControl/>
        <w:numPr>
          <w:ilvl w:val="0"/>
          <w:numId w:val="84"/>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7D20F3CB">
      <w:pPr>
        <w:pStyle w:val="27"/>
        <w:widowControl/>
        <w:numPr>
          <w:ilvl w:val="0"/>
          <w:numId w:val="86"/>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8DBB929">
      <w:pPr>
        <w:pStyle w:val="27"/>
        <w:widowControl/>
        <w:numPr>
          <w:ilvl w:val="0"/>
          <w:numId w:val="86"/>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07333D05">
      <w:pPr>
        <w:pStyle w:val="27"/>
        <w:widowControl/>
        <w:numPr>
          <w:ilvl w:val="0"/>
          <w:numId w:val="86"/>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7C9254EA">
      <w:pPr>
        <w:pStyle w:val="27"/>
        <w:widowControl/>
        <w:numPr>
          <w:ilvl w:val="0"/>
          <w:numId w:val="86"/>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7D635E67">
      <w:pPr>
        <w:pStyle w:val="27"/>
        <w:widowControl/>
        <w:numPr>
          <w:ilvl w:val="0"/>
          <w:numId w:val="86"/>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761D361">
      <w:pPr>
        <w:pStyle w:val="27"/>
        <w:widowControl/>
        <w:numPr>
          <w:ilvl w:val="0"/>
          <w:numId w:val="86"/>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7"/>
        <w:widowControl/>
        <w:numPr>
          <w:ilvl w:val="0"/>
          <w:numId w:val="86"/>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7"/>
        <w:keepNext w:val="0"/>
        <w:keepLines w:val="0"/>
        <w:pageBreakBefore w:val="0"/>
        <w:widowControl/>
        <w:numPr>
          <w:ilvl w:val="0"/>
          <w:numId w:val="86"/>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参与评标工作的所有人员必须</w:t>
      </w:r>
      <w:r>
        <w:rPr>
          <w:rFonts w:hint="eastAsia" w:ascii="宋体" w:hAnsi="宋体" w:eastAsia="宋体" w:cs="Times New Roman"/>
          <w:color w:val="auto"/>
          <w:kern w:val="0"/>
          <w:szCs w:val="21"/>
          <w:highlight w:val="none"/>
          <w:lang w:val="en-US" w:eastAsia="zh-CN"/>
        </w:rPr>
        <w:t>参照</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color w:val="auto"/>
          <w:kern w:val="0"/>
          <w:szCs w:val="21"/>
          <w:highlight w:val="none"/>
          <w:lang w:val="en-US" w:eastAsia="zh-CN"/>
        </w:rPr>
        <w:t>执行</w:t>
      </w:r>
      <w:r>
        <w:rPr>
          <w:rFonts w:ascii="宋体" w:hAnsi="宋体" w:eastAsia="宋体" w:cs="Times New Roman"/>
          <w:color w:val="auto"/>
          <w:kern w:val="0"/>
          <w:szCs w:val="21"/>
          <w:highlight w:val="none"/>
        </w:rPr>
        <w:t>，以确保评标的公平、公正。</w:t>
      </w:r>
    </w:p>
    <w:p w14:paraId="087B6B85">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10FC83CC">
      <w:pPr>
        <w:pStyle w:val="27"/>
        <w:numPr>
          <w:ilvl w:val="0"/>
          <w:numId w:val="87"/>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4258DDB6">
      <w:pPr>
        <w:pStyle w:val="27"/>
        <w:numPr>
          <w:ilvl w:val="0"/>
          <w:numId w:val="87"/>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3E5639">
      <w:pPr>
        <w:pStyle w:val="27"/>
        <w:numPr>
          <w:ilvl w:val="0"/>
          <w:numId w:val="87"/>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007EB103">
      <w:pPr>
        <w:pStyle w:val="27"/>
        <w:numPr>
          <w:ilvl w:val="0"/>
          <w:numId w:val="87"/>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7596D93">
      <w:pPr>
        <w:pStyle w:val="27"/>
        <w:numPr>
          <w:ilvl w:val="0"/>
          <w:numId w:val="87"/>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7D9FE45">
      <w:pPr>
        <w:pStyle w:val="27"/>
        <w:numPr>
          <w:ilvl w:val="0"/>
          <w:numId w:val="87"/>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354DA2F">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9433EA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3C65C36">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BCC6686">
      <w:pPr>
        <w:pStyle w:val="27"/>
        <w:widowControl/>
        <w:numPr>
          <w:ilvl w:val="0"/>
          <w:numId w:val="88"/>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7"/>
        <w:widowControl/>
        <w:numPr>
          <w:ilvl w:val="3"/>
          <w:numId w:val="81"/>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3CDC5B82">
      <w:pPr>
        <w:pStyle w:val="27"/>
        <w:widowControl/>
        <w:numPr>
          <w:ilvl w:val="0"/>
          <w:numId w:val="89"/>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6CAF5F6B">
      <w:pPr>
        <w:pStyle w:val="27"/>
        <w:widowControl/>
        <w:numPr>
          <w:ilvl w:val="0"/>
          <w:numId w:val="90"/>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1EEC79DE">
      <w:pPr>
        <w:pStyle w:val="27"/>
        <w:widowControl/>
        <w:numPr>
          <w:ilvl w:val="0"/>
          <w:numId w:val="90"/>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710C05FF">
      <w:pPr>
        <w:pStyle w:val="27"/>
        <w:widowControl/>
        <w:numPr>
          <w:ilvl w:val="0"/>
          <w:numId w:val="90"/>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54F0B5C">
      <w:pPr>
        <w:pStyle w:val="27"/>
        <w:widowControl/>
        <w:numPr>
          <w:ilvl w:val="0"/>
          <w:numId w:val="90"/>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7"/>
        <w:widowControl/>
        <w:numPr>
          <w:ilvl w:val="0"/>
          <w:numId w:val="89"/>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w:t>
      </w:r>
      <w:r>
        <w:rPr>
          <w:rFonts w:hint="eastAsia" w:ascii="宋体" w:hAnsi="宋体" w:eastAsia="宋体" w:cs="Times New Roman"/>
          <w:color w:val="auto"/>
          <w:kern w:val="0"/>
          <w:szCs w:val="21"/>
          <w:highlight w:val="none"/>
          <w:lang w:val="en-US" w:eastAsia="zh-CN"/>
        </w:rPr>
        <w:t>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内容不一致的，以唱标信封中开标一览表、分项报价表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内容为准。</w:t>
      </w:r>
    </w:p>
    <w:p w14:paraId="609FC80E">
      <w:pPr>
        <w:pStyle w:val="27"/>
        <w:numPr>
          <w:ilvl w:val="0"/>
          <w:numId w:val="80"/>
        </w:numPr>
        <w:ind w:firstLineChars="0"/>
        <w:rPr>
          <w:rFonts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采购政策落实</w:t>
      </w:r>
      <w:bookmarkEnd w:id="23"/>
    </w:p>
    <w:p w14:paraId="79D17283">
      <w:pPr>
        <w:pStyle w:val="27"/>
        <w:numPr>
          <w:ilvl w:val="1"/>
          <w:numId w:val="91"/>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7"/>
        <w:numPr>
          <w:ilvl w:val="2"/>
          <w:numId w:val="92"/>
        </w:numPr>
        <w:tabs>
          <w:tab w:val="left" w:pos="1418"/>
        </w:tabs>
        <w:ind w:left="426" w:hanging="426" w:firstLineChars="0"/>
        <w:rPr>
          <w:rFonts w:ascii="宋体" w:hAnsi="宋体" w:eastAsia="宋体"/>
          <w:bCs/>
          <w:color w:val="auto"/>
          <w:szCs w:val="21"/>
          <w:highlight w:val="none"/>
        </w:rPr>
      </w:pPr>
      <w:bookmarkStart w:id="24"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7"/>
        <w:numPr>
          <w:ilvl w:val="1"/>
          <w:numId w:val="91"/>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7"/>
        <w:numPr>
          <w:ilvl w:val="2"/>
          <w:numId w:val="93"/>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7"/>
        <w:numPr>
          <w:ilvl w:val="1"/>
          <w:numId w:val="91"/>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7"/>
        <w:numPr>
          <w:ilvl w:val="2"/>
          <w:numId w:val="94"/>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7"/>
        <w:numPr>
          <w:ilvl w:val="1"/>
          <w:numId w:val="91"/>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7"/>
        <w:numPr>
          <w:ilvl w:val="1"/>
          <w:numId w:val="91"/>
        </w:numPr>
        <w:tabs>
          <w:tab w:val="left" w:pos="426"/>
          <w:tab w:val="left" w:pos="1418"/>
        </w:tabs>
        <w:ind w:left="851" w:hanging="851" w:firstLineChars="0"/>
        <w:rPr>
          <w:rFonts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7"/>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7"/>
        <w:numPr>
          <w:ilvl w:val="1"/>
          <w:numId w:val="91"/>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7"/>
        <w:numPr>
          <w:ilvl w:val="0"/>
          <w:numId w:val="95"/>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7"/>
        <w:numPr>
          <w:ilvl w:val="0"/>
          <w:numId w:val="95"/>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7"/>
        <w:numPr>
          <w:ilvl w:val="1"/>
          <w:numId w:val="91"/>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注：因落实采购政策进行价格调整的，以调整后的价格计算评标基准价和投标报价。</w:t>
      </w:r>
    </w:p>
    <w:p w14:paraId="3EA2C08B">
      <w:pPr>
        <w:pStyle w:val="27"/>
        <w:numPr>
          <w:ilvl w:val="1"/>
          <w:numId w:val="91"/>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0CC69E81">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3ABB61E7">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41A7A6BF">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57B4C055">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05BB9D15">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w:t>
            </w:r>
          </w:p>
        </w:tc>
        <w:tc>
          <w:tcPr>
            <w:tcW w:w="1081" w:type="pct"/>
            <w:vAlign w:val="center"/>
          </w:tcPr>
          <w:p w14:paraId="0985E51B">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25</w:t>
            </w:r>
            <w:r>
              <w:rPr>
                <w:rFonts w:hint="eastAsia" w:ascii="宋体" w:hAnsi="宋体" w:eastAsia="宋体"/>
                <w:color w:val="auto"/>
                <w:szCs w:val="21"/>
                <w:highlight w:val="none"/>
              </w:rPr>
              <w:t>%</w:t>
            </w:r>
          </w:p>
        </w:tc>
        <w:tc>
          <w:tcPr>
            <w:tcW w:w="1081" w:type="pct"/>
            <w:vAlign w:val="center"/>
          </w:tcPr>
          <w:p w14:paraId="70B2F24E">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65</w:t>
            </w:r>
            <w:r>
              <w:rPr>
                <w:rFonts w:hint="eastAsia" w:ascii="宋体" w:hAnsi="宋体" w:eastAsia="宋体"/>
                <w:color w:val="auto"/>
                <w:szCs w:val="21"/>
                <w:highlight w:val="none"/>
              </w:rPr>
              <w:t>%</w:t>
            </w:r>
          </w:p>
        </w:tc>
        <w:tc>
          <w:tcPr>
            <w:tcW w:w="780" w:type="pct"/>
          </w:tcPr>
          <w:p w14:paraId="1C068EB4">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269F4A60">
      <w:pPr>
        <w:pStyle w:val="27"/>
        <w:numPr>
          <w:ilvl w:val="0"/>
          <w:numId w:val="96"/>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3C027647">
      <w:pPr>
        <w:pStyle w:val="27"/>
        <w:numPr>
          <w:ilvl w:val="0"/>
          <w:numId w:val="80"/>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58046BA">
      <w:pPr>
        <w:pStyle w:val="27"/>
        <w:widowControl/>
        <w:numPr>
          <w:ilvl w:val="3"/>
          <w:numId w:val="97"/>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62F92268">
      <w:pPr>
        <w:pStyle w:val="27"/>
        <w:widowControl/>
        <w:numPr>
          <w:ilvl w:val="0"/>
          <w:numId w:val="98"/>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0321DD1F">
      <w:pPr>
        <w:pStyle w:val="27"/>
        <w:widowControl/>
        <w:numPr>
          <w:ilvl w:val="0"/>
          <w:numId w:val="98"/>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6A85635">
      <w:pPr>
        <w:pStyle w:val="27"/>
        <w:widowControl/>
        <w:numPr>
          <w:ilvl w:val="0"/>
          <w:numId w:val="98"/>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7"/>
        <w:widowControl/>
        <w:numPr>
          <w:ilvl w:val="0"/>
          <w:numId w:val="98"/>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7"/>
        <w:widowControl/>
        <w:numPr>
          <w:ilvl w:val="0"/>
          <w:numId w:val="98"/>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D2E637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Times New Roman"/>
                <w:b/>
                <w:bCs/>
                <w:color w:val="auto"/>
                <w:kern w:val="0"/>
                <w:szCs w:val="21"/>
                <w:highlight w:val="none"/>
                <w:lang w:eastAsia="zh-Hans"/>
              </w:rPr>
            </w:pPr>
            <w:bookmarkStart w:id="27"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391645F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4284091E">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965BE7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2E56AAC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hint="eastAsia" w:ascii="宋体" w:hAnsi="宋体" w:eastAsia="宋体" w:cs="宋体"/>
                <w:bCs/>
                <w:color w:val="auto"/>
                <w:kern w:val="0"/>
                <w:szCs w:val="21"/>
                <w:highlight w:val="none"/>
              </w:rPr>
              <w:t>2023年或2024年</w:t>
            </w:r>
            <w:r>
              <w:rPr>
                <w:rFonts w:hint="eastAsia" w:ascii="Calibri" w:hAnsi="Calibri" w:eastAsia="宋体" w:cs="Times New Roman"/>
                <w:bCs/>
                <w:color w:val="auto"/>
                <w:kern w:val="0"/>
                <w:szCs w:val="21"/>
                <w:highlight w:val="none"/>
              </w:rPr>
              <w:t>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73CDFE1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409A9692">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0C0BAAF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36AADF2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4A449F6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0D020E1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22E2D3A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6D5A47E3">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B84C55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65FE656B">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B85A2B2">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45AE9CC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56C04DE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bookmarkEnd w:id="27"/>
    </w:tbl>
    <w:p w14:paraId="33A23CF5">
      <w:pPr>
        <w:pageBreakBefore/>
        <w:jc w:val="left"/>
        <w:rPr>
          <w:rFonts w:ascii="宋体" w:hAnsi="宋体" w:eastAsia="宋体" w:cs="Times New Roman"/>
          <w:b/>
          <w:bCs/>
          <w:color w:val="auto"/>
          <w:kern w:val="0"/>
          <w:szCs w:val="21"/>
          <w:highlight w:val="none"/>
          <w:lang w:eastAsia="zh-Hans"/>
        </w:rPr>
      </w:pPr>
      <w:bookmarkStart w:id="28" w:name="_Hlk169888893"/>
      <w:r>
        <w:rPr>
          <w:rFonts w:ascii="宋体" w:hAnsi="宋体" w:eastAsia="宋体" w:cs="Times New Roman"/>
          <w:b/>
          <w:bCs/>
          <w:color w:val="auto"/>
          <w:kern w:val="0"/>
          <w:szCs w:val="21"/>
          <w:highlight w:val="none"/>
          <w:lang w:eastAsia="zh-Hans"/>
        </w:rPr>
        <w:t>表二符合性审查表：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A54782B">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13447E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0D2973C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39E86C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6265CBF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395575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7B6160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32691D3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8"/>
    </w:tbl>
    <w:p w14:paraId="0AEDB113">
      <w:pPr>
        <w:pStyle w:val="27"/>
        <w:numPr>
          <w:ilvl w:val="3"/>
          <w:numId w:val="97"/>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29" w:name="_Hlk169889470"/>
      <w:r>
        <w:rPr>
          <w:rFonts w:ascii="宋体" w:hAnsi="宋体" w:eastAsia="宋体" w:cs="Times New Roman"/>
          <w:b/>
          <w:color w:val="auto"/>
          <w:kern w:val="0"/>
          <w:szCs w:val="21"/>
          <w:highlight w:val="none"/>
          <w:lang w:eastAsia="zh-Hans"/>
        </w:rPr>
        <w:t>详细评审</w:t>
      </w:r>
      <w:bookmarkEnd w:id="29"/>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30"/>
              <w:spacing w:line="400" w:lineRule="exact"/>
              <w:ind w:firstLine="0" w:firstLineChars="0"/>
              <w:jc w:val="center"/>
              <w:rPr>
                <w:rFonts w:ascii="宋体" w:eastAsia="宋体"/>
                <w:b/>
                <w:color w:val="auto"/>
                <w:sz w:val="21"/>
                <w:szCs w:val="21"/>
                <w:highlight w:val="none"/>
              </w:rPr>
            </w:pPr>
            <w:bookmarkStart w:id="30" w:name="_Hlk169889554"/>
            <w:r>
              <w:rPr>
                <w:rFonts w:hint="eastAsia" w:ascii="宋体" w:eastAsia="宋体"/>
                <w:b/>
                <w:color w:val="auto"/>
                <w:sz w:val="21"/>
                <w:szCs w:val="21"/>
                <w:highlight w:val="none"/>
              </w:rPr>
              <w:t>序号</w:t>
            </w:r>
          </w:p>
        </w:tc>
        <w:tc>
          <w:tcPr>
            <w:tcW w:w="830" w:type="pct"/>
            <w:gridSpan w:val="2"/>
            <w:vAlign w:val="center"/>
          </w:tcPr>
          <w:p w14:paraId="6B159EA7">
            <w:pPr>
              <w:pStyle w:val="30"/>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9" w:type="pct"/>
            <w:vAlign w:val="center"/>
          </w:tcPr>
          <w:p w14:paraId="377468C0">
            <w:pPr>
              <w:pStyle w:val="30"/>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161" w:type="pct"/>
            <w:vAlign w:val="center"/>
          </w:tcPr>
          <w:p w14:paraId="07E35FCD">
            <w:pPr>
              <w:pStyle w:val="30"/>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79C4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2F758BCD">
            <w:pPr>
              <w:pStyle w:val="30"/>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价格评审细则（</w:t>
            </w:r>
            <w:r>
              <w:rPr>
                <w:rFonts w:hint="eastAsia" w:ascii="宋体" w:eastAsia="宋体"/>
                <w:b/>
                <w:color w:val="auto"/>
                <w:sz w:val="21"/>
                <w:szCs w:val="21"/>
                <w:highlight w:val="none"/>
                <w:lang w:val="en-US" w:eastAsia="zh-CN"/>
              </w:rPr>
              <w:t>10</w:t>
            </w:r>
            <w:r>
              <w:rPr>
                <w:rFonts w:hint="eastAsia" w:ascii="宋体" w:eastAsia="宋体"/>
                <w:b/>
                <w:color w:val="auto"/>
                <w:sz w:val="21"/>
                <w:szCs w:val="21"/>
                <w:highlight w:val="none"/>
              </w:rPr>
              <w:t>分）</w:t>
            </w:r>
          </w:p>
        </w:tc>
      </w:tr>
      <w:tr w14:paraId="6E584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0BF917B5">
            <w:pPr>
              <w:spacing w:line="400" w:lineRule="exact"/>
              <w:jc w:val="center"/>
              <w:rPr>
                <w:rFonts w:hint="eastAsia" w:ascii="宋体" w:eastAsia="宋体"/>
                <w:b/>
                <w:color w:val="auto"/>
                <w:sz w:val="21"/>
                <w:szCs w:val="21"/>
                <w:highlight w:val="none"/>
              </w:rPr>
            </w:pPr>
            <w:r>
              <w:rPr>
                <w:rFonts w:hint="eastAsia" w:ascii="宋体" w:hAnsi="宋体" w:eastAsia="宋体" w:cs="宋体"/>
                <w:color w:val="auto"/>
                <w:szCs w:val="21"/>
                <w:highlight w:val="none"/>
                <w:lang w:val="en-US" w:eastAsia="zh-CN"/>
              </w:rPr>
              <w:t>1</w:t>
            </w:r>
          </w:p>
        </w:tc>
        <w:tc>
          <w:tcPr>
            <w:tcW w:w="830" w:type="pct"/>
            <w:gridSpan w:val="2"/>
            <w:vAlign w:val="center"/>
          </w:tcPr>
          <w:p w14:paraId="29EB85AE">
            <w:pPr>
              <w:spacing w:line="400" w:lineRule="exact"/>
              <w:jc w:val="center"/>
              <w:rPr>
                <w:rFonts w:hint="eastAsia" w:ascii="宋体" w:eastAsia="宋体"/>
                <w:b/>
                <w:color w:val="auto"/>
                <w:sz w:val="21"/>
                <w:szCs w:val="21"/>
                <w:highlight w:val="none"/>
              </w:rPr>
            </w:pPr>
            <w:r>
              <w:rPr>
                <w:rFonts w:hint="eastAsia" w:ascii="宋体" w:hAnsi="宋体" w:eastAsia="宋体" w:cs="宋体"/>
                <w:color w:val="auto"/>
                <w:szCs w:val="21"/>
                <w:highlight w:val="none"/>
                <w:lang w:val="en-US" w:eastAsia="zh-CN"/>
              </w:rPr>
              <w:t>投标报价得分</w:t>
            </w:r>
          </w:p>
        </w:tc>
        <w:tc>
          <w:tcPr>
            <w:tcW w:w="529" w:type="pct"/>
            <w:vAlign w:val="center"/>
          </w:tcPr>
          <w:p w14:paraId="176AF809">
            <w:pPr>
              <w:spacing w:line="400" w:lineRule="exact"/>
              <w:jc w:val="center"/>
              <w:rPr>
                <w:rFonts w:hint="eastAsia" w:ascii="宋体" w:eastAsia="宋体"/>
                <w:b/>
                <w:color w:val="auto"/>
                <w:sz w:val="21"/>
                <w:szCs w:val="21"/>
                <w:highlight w:val="none"/>
              </w:rPr>
            </w:pPr>
            <w:r>
              <w:rPr>
                <w:rFonts w:hint="eastAsia" w:ascii="宋体" w:hAnsi="宋体" w:eastAsia="宋体" w:cs="宋体"/>
                <w:color w:val="auto"/>
                <w:szCs w:val="21"/>
                <w:highlight w:val="none"/>
                <w:lang w:val="en-US" w:eastAsia="zh-CN"/>
              </w:rPr>
              <w:t>10分</w:t>
            </w:r>
          </w:p>
        </w:tc>
        <w:tc>
          <w:tcPr>
            <w:tcW w:w="3161" w:type="pct"/>
            <w:vAlign w:val="center"/>
          </w:tcPr>
          <w:p w14:paraId="455B7B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价格分应当采用低价优先法计算，即满足招标文件要求且投标价格最低的投标报价为评标基准价，其价格分为满分。其他投标人的价格分统一按照下列公式计算：投标人价格得分=(评标基准价／投标报价)×价格权值×100。</w:t>
            </w:r>
          </w:p>
          <w:p w14:paraId="5979744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eastAsia="宋体"/>
                <w:b/>
                <w:color w:val="auto"/>
                <w:sz w:val="21"/>
                <w:szCs w:val="21"/>
                <w:highlight w:val="none"/>
              </w:rPr>
            </w:pPr>
            <w:r>
              <w:rPr>
                <w:rFonts w:hint="eastAsia" w:ascii="宋体" w:hAnsi="宋体" w:eastAsia="宋体" w:cs="宋体"/>
                <w:b/>
                <w:bCs/>
                <w:color w:val="auto"/>
                <w:szCs w:val="21"/>
                <w:highlight w:val="none"/>
                <w:lang w:val="en-US" w:eastAsia="zh-CN"/>
              </w:rPr>
              <w:t>注：因落实采购政策进行价格调整的，以调整后的价格计算评标基准价和投标报价。</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30"/>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25</w:t>
            </w:r>
            <w:r>
              <w:rPr>
                <w:rFonts w:hint="eastAsia" w:ascii="宋体" w:eastAsia="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79" w:type="pct"/>
            <w:vAlign w:val="center"/>
          </w:tcPr>
          <w:p w14:paraId="44B2239A">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821" w:type="pct"/>
            <w:vAlign w:val="center"/>
          </w:tcPr>
          <w:p w14:paraId="010C9188">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服务承诺</w:t>
            </w:r>
          </w:p>
        </w:tc>
        <w:tc>
          <w:tcPr>
            <w:tcW w:w="537" w:type="pct"/>
            <w:gridSpan w:val="2"/>
            <w:vAlign w:val="center"/>
          </w:tcPr>
          <w:p w14:paraId="5A37C5ED">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4</w:t>
            </w:r>
            <w:r>
              <w:rPr>
                <w:rFonts w:hint="eastAsia" w:ascii="宋体" w:hAnsi="宋体" w:eastAsia="宋体"/>
                <w:bCs/>
                <w:color w:val="auto"/>
                <w:szCs w:val="21"/>
                <w:highlight w:val="none"/>
              </w:rPr>
              <w:t>分</w:t>
            </w:r>
          </w:p>
        </w:tc>
        <w:tc>
          <w:tcPr>
            <w:tcW w:w="3161" w:type="pct"/>
            <w:vAlign w:val="center"/>
          </w:tcPr>
          <w:p w14:paraId="1A4D2D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根据投标人针对本项目提供的服务承诺进行评审：</w:t>
            </w:r>
          </w:p>
          <w:p w14:paraId="5551B1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1、投标人承诺在接到采购人通知后</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小时（含）内到达现场的，得4分；</w:t>
            </w:r>
          </w:p>
          <w:p w14:paraId="5332D7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2、投标人承诺在接到采购人通知后</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小时（不含）-</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小时（含）内到达现场的，得3分；</w:t>
            </w:r>
          </w:p>
          <w:p w14:paraId="1C010F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3、投标人承诺在接到采购人通知后</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小时（不含）-</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小时（含）内到达现场的，得1分；</w:t>
            </w:r>
          </w:p>
          <w:p w14:paraId="76DB87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4、投标人承诺在接到采购人通知后</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小时（不含）以上到达现场或未提供对应承诺函的，得0分。</w:t>
            </w:r>
          </w:p>
          <w:p w14:paraId="3D267734">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bCs/>
                <w:color w:val="auto"/>
                <w:szCs w:val="21"/>
                <w:highlight w:val="none"/>
                <w:u w:val="single"/>
              </w:rPr>
            </w:pPr>
            <w:r>
              <w:rPr>
                <w:rFonts w:hint="eastAsia" w:ascii="宋体" w:hAnsi="宋体" w:eastAsia="宋体"/>
                <w:b/>
                <w:bCs/>
                <w:color w:val="auto"/>
                <w:szCs w:val="21"/>
                <w:highlight w:val="none"/>
                <w:u w:val="single"/>
              </w:rPr>
              <w:t>注：须提供单独的服务承诺函并加盖投标人公章。</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79" w:type="pct"/>
            <w:vAlign w:val="center"/>
          </w:tcPr>
          <w:p w14:paraId="32C4497B">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821" w:type="pct"/>
            <w:vAlign w:val="center"/>
          </w:tcPr>
          <w:p w14:paraId="2F43B446">
            <w:pPr>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rPr>
              <w:t>人员质素情况</w:t>
            </w:r>
          </w:p>
        </w:tc>
        <w:tc>
          <w:tcPr>
            <w:tcW w:w="537" w:type="pct"/>
            <w:gridSpan w:val="2"/>
            <w:vAlign w:val="center"/>
          </w:tcPr>
          <w:p w14:paraId="5367AAEF">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6</w:t>
            </w:r>
            <w:r>
              <w:rPr>
                <w:rFonts w:hint="eastAsia" w:ascii="宋体" w:hAnsi="宋体" w:eastAsia="宋体"/>
                <w:bCs/>
                <w:color w:val="auto"/>
                <w:szCs w:val="21"/>
                <w:highlight w:val="none"/>
              </w:rPr>
              <w:t>分</w:t>
            </w:r>
          </w:p>
        </w:tc>
        <w:tc>
          <w:tcPr>
            <w:tcW w:w="3161" w:type="pct"/>
            <w:vAlign w:val="center"/>
          </w:tcPr>
          <w:p w14:paraId="2CCEC5A8">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b/>
                <w:bCs/>
                <w:color w:val="auto"/>
                <w:szCs w:val="21"/>
                <w:highlight w:val="none"/>
              </w:rPr>
            </w:pPr>
            <w:r>
              <w:rPr>
                <w:rFonts w:hint="eastAsia" w:ascii="宋体" w:hAnsi="宋体" w:eastAsia="宋体" w:cs="宋体"/>
                <w:b/>
                <w:bCs/>
                <w:color w:val="auto"/>
                <w:szCs w:val="21"/>
                <w:highlight w:val="none"/>
              </w:rPr>
              <w:t>根据投标人（含上级分公司或总公司）拟投入本项目的人员质素情况进行评审：</w:t>
            </w:r>
          </w:p>
          <w:p w14:paraId="14EA405E">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拟投入本项目服务人员具有行政主管部门颁发的通信类或电子技术类中级（或以上）工程师（职称）证书的，每提供1人得2分，本项最高得6分。</w:t>
            </w:r>
          </w:p>
          <w:p w14:paraId="372DBEB2">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bCs/>
                <w:color w:val="auto"/>
                <w:szCs w:val="21"/>
                <w:highlight w:val="none"/>
                <w:u w:val="single"/>
                <w:lang w:val="en-US"/>
              </w:rPr>
            </w:pPr>
            <w:r>
              <w:rPr>
                <w:rFonts w:hint="eastAsia" w:ascii="宋体" w:hAnsi="宋体" w:eastAsia="宋体" w:cs="宋体"/>
                <w:b/>
                <w:color w:val="auto"/>
                <w:szCs w:val="21"/>
                <w:highlight w:val="none"/>
                <w:u w:val="single"/>
              </w:rPr>
              <w:t>注：</w:t>
            </w:r>
            <w:r>
              <w:rPr>
                <w:rFonts w:hint="eastAsia" w:ascii="宋体" w:hAnsi="宋体" w:eastAsia="宋体" w:cs="宋体"/>
                <w:b/>
                <w:color w:val="auto"/>
                <w:szCs w:val="21"/>
                <w:highlight w:val="none"/>
                <w:u w:val="single"/>
                <w:lang w:val="en-US" w:eastAsia="zh-CN"/>
              </w:rPr>
              <w:t>1.</w:t>
            </w:r>
            <w:r>
              <w:rPr>
                <w:rFonts w:hint="eastAsia" w:ascii="宋体" w:hAnsi="宋体" w:eastAsia="宋体" w:cs="宋体"/>
                <w:b/>
                <w:color w:val="auto"/>
                <w:szCs w:val="21"/>
                <w:highlight w:val="none"/>
                <w:u w:val="single"/>
              </w:rPr>
              <w:t>以上须提供人员证书</w:t>
            </w:r>
            <w:r>
              <w:rPr>
                <w:rFonts w:hint="eastAsia" w:ascii="宋体" w:hAnsi="宋体" w:eastAsia="宋体" w:cs="宋体"/>
                <w:b/>
                <w:color w:val="auto"/>
                <w:szCs w:val="21"/>
                <w:highlight w:val="none"/>
                <w:u w:val="single"/>
                <w:lang w:val="en-US" w:eastAsia="zh-CN"/>
              </w:rPr>
              <w:t>复印件</w:t>
            </w:r>
            <w:r>
              <w:rPr>
                <w:rFonts w:hint="eastAsia" w:ascii="宋体" w:hAnsi="宋体" w:eastAsia="宋体" w:cs="宋体"/>
                <w:b/>
                <w:color w:val="auto"/>
                <w:szCs w:val="21"/>
                <w:highlight w:val="none"/>
                <w:u w:val="single"/>
              </w:rPr>
              <w:t>及距开标当前月前三个月</w:t>
            </w:r>
            <w:r>
              <w:rPr>
                <w:rFonts w:hint="eastAsia" w:ascii="宋体" w:hAnsi="宋体" w:eastAsia="宋体" w:cs="宋体"/>
                <w:b/>
                <w:color w:val="auto"/>
                <w:szCs w:val="21"/>
                <w:highlight w:val="none"/>
                <w:u w:val="single"/>
                <w:lang w:eastAsia="zh-CN"/>
              </w:rPr>
              <w:t>（</w:t>
            </w:r>
            <w:r>
              <w:rPr>
                <w:rFonts w:hint="eastAsia" w:ascii="宋体" w:hAnsi="宋体" w:eastAsia="宋体" w:cs="宋体"/>
                <w:b/>
                <w:color w:val="auto"/>
                <w:szCs w:val="21"/>
                <w:highlight w:val="none"/>
                <w:u w:val="single"/>
                <w:lang w:val="en-US" w:eastAsia="zh-CN"/>
              </w:rPr>
              <w:t>含开标当月</w:t>
            </w:r>
            <w:r>
              <w:rPr>
                <w:rFonts w:hint="eastAsia" w:ascii="宋体" w:hAnsi="宋体" w:eastAsia="宋体" w:cs="宋体"/>
                <w:b/>
                <w:color w:val="auto"/>
                <w:szCs w:val="21"/>
                <w:highlight w:val="none"/>
                <w:u w:val="single"/>
                <w:lang w:eastAsia="zh-CN"/>
              </w:rPr>
              <w:t>）</w:t>
            </w:r>
            <w:r>
              <w:rPr>
                <w:rFonts w:hint="eastAsia" w:ascii="宋体" w:hAnsi="宋体" w:eastAsia="宋体" w:cs="宋体"/>
                <w:b/>
                <w:color w:val="auto"/>
                <w:szCs w:val="21"/>
                <w:highlight w:val="none"/>
                <w:u w:val="single"/>
              </w:rPr>
              <w:t>任一个月投标人（含上级分公司或总公司）为其购买的社保证明复印件加盖投标人公章</w:t>
            </w:r>
            <w:r>
              <w:rPr>
                <w:rFonts w:hint="eastAsia" w:ascii="宋体" w:hAnsi="宋体" w:eastAsia="宋体" w:cs="宋体"/>
                <w:b/>
                <w:color w:val="auto"/>
                <w:szCs w:val="21"/>
                <w:highlight w:val="none"/>
                <w:u w:val="single"/>
                <w:lang w:val="en-US" w:eastAsia="zh-CN"/>
              </w:rPr>
              <w:t>；2.同一人具有多个证书的，不重复得分。</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786393D4">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821" w:type="pct"/>
            <w:vAlign w:val="center"/>
          </w:tcPr>
          <w:p w14:paraId="1F2B12E5">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业绩情况</w:t>
            </w:r>
          </w:p>
        </w:tc>
        <w:tc>
          <w:tcPr>
            <w:tcW w:w="537" w:type="pct"/>
            <w:gridSpan w:val="2"/>
            <w:vAlign w:val="center"/>
          </w:tcPr>
          <w:p w14:paraId="52809DCD">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tc>
        <w:tc>
          <w:tcPr>
            <w:tcW w:w="3161" w:type="pct"/>
            <w:vAlign w:val="center"/>
          </w:tcPr>
          <w:p w14:paraId="2B32ADA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根据</w:t>
            </w:r>
            <w:r>
              <w:rPr>
                <w:rFonts w:hint="eastAsia" w:ascii="宋体" w:hAnsi="宋体" w:eastAsia="宋体"/>
                <w:color w:val="auto"/>
                <w:szCs w:val="21"/>
                <w:highlight w:val="none"/>
              </w:rPr>
              <w:t>2</w:t>
            </w:r>
            <w:r>
              <w:rPr>
                <w:rFonts w:ascii="宋体" w:hAnsi="宋体" w:eastAsia="宋体"/>
                <w:color w:val="auto"/>
                <w:szCs w:val="21"/>
                <w:highlight w:val="none"/>
              </w:rPr>
              <w:t>020</w:t>
            </w:r>
            <w:r>
              <w:rPr>
                <w:rFonts w:hint="eastAsia" w:ascii="宋体" w:hAnsi="宋体" w:eastAsia="宋体"/>
                <w:color w:val="auto"/>
                <w:szCs w:val="21"/>
                <w:highlight w:val="none"/>
              </w:rPr>
              <w:t>年</w:t>
            </w:r>
            <w:r>
              <w:rPr>
                <w:rFonts w:hint="eastAsia" w:ascii="宋体" w:hAnsi="宋体" w:eastAsia="宋体"/>
                <w:color w:val="auto"/>
                <w:szCs w:val="21"/>
                <w:highlight w:val="none"/>
                <w:lang w:val="en-US" w:eastAsia="zh-CN"/>
              </w:rPr>
              <w:t>1月1日以来</w:t>
            </w:r>
            <w:r>
              <w:rPr>
                <w:rFonts w:hint="eastAsia" w:ascii="宋体" w:hAnsi="宋体" w:eastAsia="宋体"/>
                <w:color w:val="auto"/>
                <w:szCs w:val="21"/>
                <w:highlight w:val="none"/>
              </w:rPr>
              <w:t>投标人（含上级分公司或总公司）具有</w:t>
            </w:r>
            <w:r>
              <w:rPr>
                <w:rFonts w:hint="eastAsia" w:ascii="宋体" w:hAnsi="宋体" w:eastAsia="宋体"/>
                <w:color w:val="auto"/>
                <w:szCs w:val="21"/>
                <w:highlight w:val="none"/>
                <w:lang w:val="en-US" w:eastAsia="zh-CN"/>
              </w:rPr>
              <w:t>的信息化系统运维（或建设/检查）或网络安全检查（或建设/检查）</w:t>
            </w:r>
            <w:r>
              <w:rPr>
                <w:rFonts w:hint="eastAsia" w:ascii="宋体" w:hAnsi="宋体" w:eastAsia="宋体"/>
                <w:color w:val="auto"/>
                <w:szCs w:val="21"/>
                <w:highlight w:val="none"/>
              </w:rPr>
              <w:t>类项目业绩进行评审，每提供一项得</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分，本项最高得</w:t>
            </w: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p w14:paraId="523D5E0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30"/>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65</w:t>
            </w:r>
            <w:r>
              <w:rPr>
                <w:rFonts w:hint="eastAsia" w:ascii="宋体" w:eastAsia="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479" w:type="pct"/>
            <w:vAlign w:val="center"/>
          </w:tcPr>
          <w:p w14:paraId="2F828625">
            <w:pPr>
              <w:spacing w:line="40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830" w:type="pct"/>
            <w:gridSpan w:val="2"/>
            <w:vAlign w:val="center"/>
          </w:tcPr>
          <w:p w14:paraId="3D6118E7">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项目重要参数响应情况</w:t>
            </w:r>
          </w:p>
        </w:tc>
        <w:tc>
          <w:tcPr>
            <w:tcW w:w="529" w:type="pct"/>
            <w:vAlign w:val="center"/>
          </w:tcPr>
          <w:p w14:paraId="5105192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78A616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Times New Roman"/>
                <w:b w:val="0"/>
                <w:bCs w:val="0"/>
                <w:color w:val="auto"/>
                <w:szCs w:val="21"/>
                <w:highlight w:val="none"/>
              </w:rPr>
            </w:pPr>
            <w:r>
              <w:rPr>
                <w:rFonts w:hint="eastAsia" w:ascii="宋体" w:hAnsi="宋体" w:eastAsia="宋体" w:cs="Times New Roman"/>
                <w:b w:val="0"/>
                <w:bCs w:val="0"/>
                <w:color w:val="auto"/>
                <w:szCs w:val="21"/>
                <w:highlight w:val="none"/>
              </w:rPr>
              <w:t>根据投标人对《采购需求》中加注“▲”号的技术参数响应情况进行评分：</w:t>
            </w:r>
            <w:r>
              <w:rPr>
                <w:rFonts w:hint="eastAsia" w:ascii="宋体" w:hAnsi="宋体" w:eastAsia="宋体" w:cs="Times New Roman"/>
                <w:b w:val="0"/>
                <w:bCs w:val="0"/>
                <w:color w:val="auto"/>
                <w:szCs w:val="21"/>
                <w:highlight w:val="none"/>
                <w:lang w:val="en-US" w:eastAsia="zh-CN"/>
              </w:rPr>
              <w:t>每</w:t>
            </w:r>
            <w:r>
              <w:rPr>
                <w:rFonts w:hint="eastAsia" w:ascii="宋体" w:hAnsi="宋体" w:eastAsia="宋体" w:cs="Times New Roman"/>
                <w:b w:val="0"/>
                <w:bCs w:val="0"/>
                <w:color w:val="auto"/>
                <w:szCs w:val="21"/>
                <w:highlight w:val="none"/>
              </w:rPr>
              <w:t>满足</w:t>
            </w:r>
            <w:r>
              <w:rPr>
                <w:rFonts w:hint="eastAsia" w:ascii="宋体" w:hAnsi="宋体" w:eastAsia="宋体" w:cs="Times New Roman"/>
                <w:b w:val="0"/>
                <w:bCs w:val="0"/>
                <w:color w:val="auto"/>
                <w:szCs w:val="21"/>
                <w:highlight w:val="none"/>
                <w:lang w:val="en-US" w:eastAsia="zh-CN"/>
              </w:rPr>
              <w:t>一项</w:t>
            </w:r>
            <w:r>
              <w:rPr>
                <w:rFonts w:hint="eastAsia" w:ascii="宋体" w:hAnsi="宋体" w:eastAsia="宋体" w:cs="Times New Roman"/>
                <w:b w:val="0"/>
                <w:bCs w:val="0"/>
                <w:color w:val="auto"/>
                <w:szCs w:val="21"/>
                <w:highlight w:val="none"/>
              </w:rPr>
              <w:t>得</w:t>
            </w:r>
            <w:r>
              <w:rPr>
                <w:rFonts w:hint="eastAsia" w:ascii="宋体" w:hAnsi="宋体" w:eastAsia="宋体" w:cs="Times New Roman"/>
                <w:b w:val="0"/>
                <w:bCs w:val="0"/>
                <w:color w:val="auto"/>
                <w:szCs w:val="21"/>
                <w:highlight w:val="none"/>
                <w:lang w:val="en-US" w:eastAsia="zh-CN"/>
              </w:rPr>
              <w:t>2</w:t>
            </w:r>
            <w:r>
              <w:rPr>
                <w:rFonts w:hint="eastAsia" w:ascii="宋体" w:hAnsi="宋体" w:eastAsia="宋体" w:cs="Times New Roman"/>
                <w:b w:val="0"/>
                <w:bCs w:val="0"/>
                <w:color w:val="auto"/>
                <w:szCs w:val="21"/>
                <w:highlight w:val="none"/>
              </w:rPr>
              <w:t>分，</w:t>
            </w:r>
            <w:r>
              <w:rPr>
                <w:rFonts w:hint="eastAsia" w:ascii="宋体" w:hAnsi="宋体" w:eastAsia="宋体" w:cs="Times New Roman"/>
                <w:b w:val="0"/>
                <w:bCs w:val="0"/>
                <w:color w:val="auto"/>
                <w:szCs w:val="21"/>
                <w:highlight w:val="none"/>
                <w:lang w:val="en-US" w:eastAsia="zh-CN"/>
              </w:rPr>
              <w:t>本项最高得10分</w:t>
            </w:r>
            <w:r>
              <w:rPr>
                <w:rFonts w:hint="eastAsia" w:ascii="宋体" w:hAnsi="宋体" w:eastAsia="宋体" w:cs="Times New Roman"/>
                <w:b w:val="0"/>
                <w:bCs w:val="0"/>
                <w:color w:val="auto"/>
                <w:szCs w:val="21"/>
                <w:highlight w:val="none"/>
              </w:rPr>
              <w:t>。</w:t>
            </w:r>
          </w:p>
          <w:p w14:paraId="38717BB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Times New Roman"/>
                <w:b/>
                <w:bCs/>
                <w:color w:val="auto"/>
                <w:szCs w:val="21"/>
                <w:highlight w:val="none"/>
                <w:u w:val="single"/>
              </w:rPr>
              <w:t>注：</w:t>
            </w:r>
            <w:r>
              <w:rPr>
                <w:rFonts w:hint="eastAsia" w:ascii="宋体" w:hAnsi="宋体" w:eastAsia="宋体" w:cs="Times New Roman"/>
                <w:b/>
                <w:bCs/>
                <w:color w:val="auto"/>
                <w:szCs w:val="21"/>
                <w:highlight w:val="none"/>
                <w:u w:val="single"/>
                <w:lang w:val="en-US" w:eastAsia="zh-CN"/>
              </w:rPr>
              <w:t>1.</w:t>
            </w:r>
            <w:r>
              <w:rPr>
                <w:rFonts w:hint="eastAsia" w:ascii="宋体" w:hAnsi="宋体" w:eastAsia="宋体" w:cs="Times New Roman"/>
                <w:b/>
                <w:bCs/>
                <w:color w:val="auto"/>
                <w:szCs w:val="21"/>
                <w:highlight w:val="none"/>
                <w:u w:val="single"/>
              </w:rPr>
              <w:t>投标人必须按照《▲号条款响应表》要求逐条响应</w:t>
            </w:r>
            <w:r>
              <w:rPr>
                <w:rFonts w:hint="eastAsia" w:ascii="宋体" w:hAnsi="宋体" w:eastAsia="宋体" w:cs="Times New Roman"/>
                <w:b/>
                <w:bCs/>
                <w:color w:val="auto"/>
                <w:szCs w:val="21"/>
                <w:highlight w:val="none"/>
                <w:u w:val="single"/>
                <w:lang w:eastAsia="zh-CN"/>
              </w:rPr>
              <w:t>；</w:t>
            </w:r>
            <w:r>
              <w:rPr>
                <w:rFonts w:hint="eastAsia" w:ascii="宋体" w:hAnsi="宋体" w:eastAsia="宋体" w:cs="Times New Roman"/>
                <w:b/>
                <w:bCs/>
                <w:color w:val="auto"/>
                <w:szCs w:val="21"/>
                <w:highlight w:val="none"/>
                <w:u w:val="single"/>
                <w:lang w:val="en-US" w:eastAsia="zh-CN"/>
              </w:rPr>
              <w:t>2.招标文件有要求的，按招标文件要求提供对应证明材料；3.招标文件没有要求的，须在</w:t>
            </w:r>
            <w:r>
              <w:rPr>
                <w:rFonts w:hint="eastAsia" w:ascii="宋体" w:hAnsi="宋体" w:eastAsia="宋体" w:cs="Times New Roman"/>
                <w:b/>
                <w:bCs/>
                <w:color w:val="auto"/>
                <w:szCs w:val="21"/>
                <w:highlight w:val="none"/>
                <w:u w:val="single"/>
              </w:rPr>
              <w:t>投标文件中提供</w:t>
            </w:r>
            <w:r>
              <w:rPr>
                <w:rFonts w:hint="eastAsia" w:ascii="宋体" w:hAnsi="宋体" w:eastAsia="宋体" w:cs="Times New Roman"/>
                <w:b/>
                <w:bCs/>
                <w:color w:val="auto"/>
                <w:szCs w:val="21"/>
                <w:highlight w:val="none"/>
                <w:u w:val="single"/>
                <w:lang w:val="en-US" w:eastAsia="zh-CN"/>
              </w:rPr>
              <w:t>对应软件</w:t>
            </w:r>
            <w:r>
              <w:rPr>
                <w:rFonts w:hint="eastAsia" w:ascii="宋体" w:hAnsi="宋体" w:eastAsia="宋体" w:cs="Times New Roman"/>
                <w:b/>
                <w:bCs/>
                <w:color w:val="auto"/>
                <w:szCs w:val="21"/>
                <w:highlight w:val="none"/>
                <w:u w:val="single"/>
              </w:rPr>
              <w:t>的公开网址链接及参数截图，或制造商针对本</w:t>
            </w:r>
            <w:r>
              <w:rPr>
                <w:rFonts w:hint="eastAsia" w:ascii="宋体" w:hAnsi="宋体" w:eastAsia="宋体" w:cs="Times New Roman"/>
                <w:b/>
                <w:bCs/>
                <w:color w:val="auto"/>
                <w:szCs w:val="21"/>
                <w:highlight w:val="none"/>
                <w:u w:val="single"/>
                <w:lang w:val="en-US" w:eastAsia="zh-CN"/>
              </w:rPr>
              <w:t>产品</w:t>
            </w:r>
            <w:r>
              <w:rPr>
                <w:rFonts w:hint="eastAsia" w:ascii="宋体" w:hAnsi="宋体" w:eastAsia="宋体" w:cs="Times New Roman"/>
                <w:b/>
                <w:bCs/>
                <w:color w:val="auto"/>
                <w:szCs w:val="21"/>
                <w:highlight w:val="none"/>
                <w:u w:val="single"/>
              </w:rPr>
              <w:t>所作的技术参数说明，或第三方检测机构出具的检测报告</w:t>
            </w:r>
            <w:r>
              <w:rPr>
                <w:rFonts w:hint="eastAsia" w:ascii="宋体" w:hAnsi="宋体" w:eastAsia="宋体" w:cs="Times New Roman"/>
                <w:b/>
                <w:bCs/>
                <w:color w:val="auto"/>
                <w:szCs w:val="21"/>
                <w:highlight w:val="none"/>
                <w:u w:val="single"/>
                <w:lang w:eastAsia="zh-CN"/>
              </w:rPr>
              <w:t>；</w:t>
            </w:r>
            <w:r>
              <w:rPr>
                <w:rFonts w:hint="eastAsia" w:ascii="宋体" w:hAnsi="宋体" w:eastAsia="宋体" w:cs="Times New Roman"/>
                <w:b/>
                <w:bCs/>
                <w:color w:val="auto"/>
                <w:szCs w:val="21"/>
                <w:highlight w:val="none"/>
                <w:u w:val="single"/>
                <w:lang w:val="en-US" w:eastAsia="zh-CN"/>
              </w:rPr>
              <w:t>4.</w:t>
            </w:r>
            <w:r>
              <w:rPr>
                <w:rFonts w:hint="eastAsia" w:ascii="宋体" w:hAnsi="宋体" w:eastAsia="宋体" w:cs="Times New Roman"/>
                <w:b/>
                <w:bCs/>
                <w:color w:val="auto"/>
                <w:szCs w:val="21"/>
                <w:highlight w:val="none"/>
                <w:u w:val="single"/>
              </w:rPr>
              <w:t>须提供</w:t>
            </w:r>
            <w:r>
              <w:rPr>
                <w:rFonts w:hint="eastAsia" w:ascii="宋体" w:hAnsi="宋体" w:eastAsia="宋体" w:cs="Times New Roman"/>
                <w:b/>
                <w:bCs/>
                <w:color w:val="auto"/>
                <w:szCs w:val="21"/>
                <w:highlight w:val="none"/>
                <w:u w:val="single"/>
                <w:lang w:val="en-US" w:eastAsia="zh-CN"/>
              </w:rPr>
              <w:t>上述</w:t>
            </w:r>
            <w:r>
              <w:rPr>
                <w:rFonts w:hint="eastAsia" w:ascii="宋体" w:hAnsi="宋体" w:eastAsia="宋体" w:cs="Times New Roman"/>
                <w:b/>
                <w:bCs/>
                <w:color w:val="auto"/>
                <w:szCs w:val="21"/>
                <w:highlight w:val="none"/>
                <w:u w:val="single"/>
              </w:rPr>
              <w:t>对应</w:t>
            </w:r>
            <w:r>
              <w:rPr>
                <w:rFonts w:hint="eastAsia" w:ascii="宋体" w:hAnsi="宋体" w:eastAsia="宋体" w:cs="Times New Roman"/>
                <w:b/>
                <w:bCs/>
                <w:color w:val="auto"/>
                <w:szCs w:val="21"/>
                <w:highlight w:val="none"/>
                <w:u w:val="single"/>
                <w:lang w:val="en-US" w:eastAsia="zh-CN"/>
              </w:rPr>
              <w:t>证明材料</w:t>
            </w:r>
            <w:r>
              <w:rPr>
                <w:rFonts w:hint="eastAsia" w:ascii="宋体" w:hAnsi="宋体" w:eastAsia="宋体" w:cs="Times New Roman"/>
                <w:b/>
                <w:bCs/>
                <w:color w:val="auto"/>
                <w:szCs w:val="21"/>
                <w:highlight w:val="none"/>
                <w:u w:val="single"/>
              </w:rPr>
              <w:t>复印件加盖投标人公章。</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830" w:type="pct"/>
            <w:gridSpan w:val="2"/>
            <w:vAlign w:val="center"/>
          </w:tcPr>
          <w:p w14:paraId="134948A6">
            <w:pPr>
              <w:spacing w:line="400" w:lineRule="exact"/>
              <w:jc w:val="center"/>
              <w:rPr>
                <w:rFonts w:ascii="宋体" w:hAnsi="宋体" w:eastAsia="宋体"/>
                <w:bCs/>
                <w:color w:val="auto"/>
                <w:szCs w:val="21"/>
                <w:highlight w:val="none"/>
              </w:rPr>
            </w:pPr>
            <w:r>
              <w:rPr>
                <w:rFonts w:hint="eastAsia" w:ascii="宋体" w:hAnsi="宋体" w:eastAsia="宋体" w:cs="宋体"/>
                <w:color w:val="auto"/>
                <w:szCs w:val="21"/>
                <w:highlight w:val="none"/>
              </w:rPr>
              <w:t>项目实施方案</w:t>
            </w:r>
          </w:p>
        </w:tc>
        <w:tc>
          <w:tcPr>
            <w:tcW w:w="529" w:type="pct"/>
            <w:vAlign w:val="center"/>
          </w:tcPr>
          <w:p w14:paraId="7D74B5DC">
            <w:pPr>
              <w:widowControl/>
              <w:spacing w:line="400" w:lineRule="exact"/>
              <w:jc w:val="center"/>
              <w:rPr>
                <w:rFonts w:ascii="宋体" w:hAnsi="宋体" w:eastAsia="宋体"/>
                <w:bCs/>
                <w:color w:val="auto"/>
                <w:szCs w:val="21"/>
                <w:highlight w:val="none"/>
              </w:rPr>
            </w:pPr>
            <w:r>
              <w:rPr>
                <w:rFonts w:hint="eastAsia" w:ascii="宋体" w:hAnsi="宋体" w:eastAsia="宋体" w:cs="宋体"/>
                <w:color w:val="auto"/>
                <w:szCs w:val="21"/>
                <w:highlight w:val="none"/>
                <w:lang w:val="en-US" w:eastAsia="zh-CN"/>
              </w:rPr>
              <w:t>10分</w:t>
            </w:r>
          </w:p>
        </w:tc>
        <w:tc>
          <w:tcPr>
            <w:tcW w:w="3161" w:type="pct"/>
            <w:vAlign w:val="center"/>
          </w:tcPr>
          <w:p w14:paraId="31F542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根据投标人针对本项目提供的项目实施方案（包括但不限于：运维服务计划、运维服务工作流程与制度、设备管理方案等）进行评审：</w:t>
            </w:r>
          </w:p>
          <w:p w14:paraId="5305C5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提供的方案详细全面，针对性强，运维服务计划科学且可行性强，运维服务工作流程与制度完整、全面，与采购人现有设备及软件相适应，设备管理方案针对性强，能完全结合项目实际情况且完全满足采购需求要求的，得10分；</w:t>
            </w:r>
          </w:p>
          <w:p w14:paraId="0B6286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2、投标人提供的方案详细全面，运维服务计划可行性强，运维服务工作流程与制度完整、全面，设备管理方案针对性较强，</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 w:val="21"/>
                <w:szCs w:val="21"/>
                <w:highlight w:val="none"/>
                <w:lang w:val="en-US" w:eastAsia="zh-CN"/>
              </w:rPr>
              <w:t>得7分；</w:t>
            </w:r>
          </w:p>
          <w:p w14:paraId="59EEEE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3、投标人提供的方案较为全面，运维服务计划具有可行性，运维服务工作流程与制度基本完整，设备管理方案完整，</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基本满足采购需求要求的，得4分；</w:t>
            </w:r>
          </w:p>
          <w:p w14:paraId="697F9D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4、投标人提供的方案不全面，运维服务计划不可行，运维服务工作流程与制度一般，难以满足采购需求要求的，得1分；</w:t>
            </w:r>
          </w:p>
          <w:p w14:paraId="41419C5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Cs w:val="21"/>
                <w:highlight w:val="none"/>
              </w:rPr>
            </w:pPr>
            <w:r>
              <w:rPr>
                <w:rFonts w:hint="eastAsia" w:ascii="宋体" w:hAnsi="宋体" w:eastAsia="宋体" w:cs="宋体"/>
                <w:color w:val="auto"/>
                <w:sz w:val="21"/>
                <w:szCs w:val="21"/>
                <w:highlight w:val="none"/>
                <w:lang w:val="en-US" w:eastAsia="zh-CN"/>
              </w:rPr>
              <w:t>5、未提供相关方案或其它情况的，得0分。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30" w:type="pct"/>
            <w:gridSpan w:val="2"/>
            <w:vAlign w:val="center"/>
          </w:tcPr>
          <w:p w14:paraId="03D31443">
            <w:pPr>
              <w:spacing w:line="400" w:lineRule="exact"/>
              <w:jc w:val="center"/>
              <w:rPr>
                <w:rFonts w:ascii="宋体" w:hAnsi="宋体" w:eastAsia="宋体"/>
                <w:bCs/>
                <w:color w:val="auto"/>
                <w:szCs w:val="21"/>
                <w:highlight w:val="none"/>
              </w:rPr>
            </w:pPr>
            <w:r>
              <w:rPr>
                <w:rFonts w:hint="eastAsia" w:ascii="宋体" w:hAnsi="宋体" w:eastAsia="宋体" w:cs="宋体"/>
                <w:bCs/>
                <w:color w:val="auto"/>
                <w:szCs w:val="21"/>
                <w:highlight w:val="none"/>
                <w:lang w:val="en-US" w:eastAsia="zh-CN"/>
              </w:rPr>
              <w:t>服务质量保障方案</w:t>
            </w:r>
          </w:p>
        </w:tc>
        <w:tc>
          <w:tcPr>
            <w:tcW w:w="529" w:type="pct"/>
            <w:vAlign w:val="center"/>
          </w:tcPr>
          <w:p w14:paraId="53BD03D6">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15分</w:t>
            </w:r>
          </w:p>
        </w:tc>
        <w:tc>
          <w:tcPr>
            <w:tcW w:w="3161" w:type="pct"/>
            <w:vAlign w:val="center"/>
          </w:tcPr>
          <w:p w14:paraId="02677B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根据投标人为本项目提供的服务质量保障方案（包括但不限于：项目管理方案、服务质量自检方案、服务人员考核方案等）进行评审：</w:t>
            </w:r>
          </w:p>
          <w:p w14:paraId="0171E5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1、投标人提供了全面科学的项目管理方案，对服务各环节质量有严格的自检和把控措施，对投入项目的服务人员针对其工作内容制定了严谨、合理的考核方案</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b w:val="0"/>
                <w:bCs w:val="0"/>
                <w:color w:val="auto"/>
                <w:kern w:val="0"/>
                <w:szCs w:val="21"/>
                <w:highlight w:val="none"/>
                <w:lang w:val="en-US" w:eastAsia="zh-CN"/>
              </w:rPr>
              <w:t>得15分；</w:t>
            </w:r>
          </w:p>
          <w:p w14:paraId="06CE88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2、投标人提供了全面的项目管理方案，对服务各环节质量有较为严格的自检和把控措施，对投入项目的服务人员针对其工作内容制定了合理的考核方案</w:t>
            </w:r>
            <w:r>
              <w:rPr>
                <w:rFonts w:hint="eastAsia" w:ascii="宋体" w:hAnsi="宋体" w:eastAsia="宋体" w:cs="宋体"/>
                <w:color w:val="auto"/>
                <w:sz w:val="21"/>
                <w:szCs w:val="21"/>
                <w:highlight w:val="none"/>
                <w:lang w:val="en-US" w:eastAsia="zh-CN"/>
              </w:rPr>
              <w:t>，设备管理方案针对性较强，</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b w:val="0"/>
                <w:bCs w:val="0"/>
                <w:color w:val="auto"/>
                <w:kern w:val="0"/>
                <w:szCs w:val="21"/>
                <w:highlight w:val="none"/>
                <w:lang w:val="en-US" w:eastAsia="zh-CN"/>
              </w:rPr>
              <w:t>得10分；</w:t>
            </w:r>
          </w:p>
          <w:p w14:paraId="1F7560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3、投标人提供了较为全面的项目管理方案，对服务各环节质量有相应的自检和把控措施，对投入项目的服务人员制定了考核方案</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b w:val="0"/>
                <w:bCs w:val="0"/>
                <w:color w:val="auto"/>
                <w:kern w:val="0"/>
                <w:szCs w:val="21"/>
                <w:highlight w:val="none"/>
                <w:lang w:val="en-US" w:eastAsia="zh-CN"/>
              </w:rPr>
              <w:t>得5分；</w:t>
            </w:r>
          </w:p>
          <w:p w14:paraId="55184BC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4、投标人提供了粗略的项目管理方案，对服务各环节质量没有相应的自检和把控措施，未制定服务人员考核方案，难以满足采购需求要求的，得1分；</w:t>
            </w:r>
          </w:p>
          <w:p w14:paraId="5C36C6B1">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b w:val="0"/>
                <w:bCs w:val="0"/>
                <w:color w:val="auto"/>
                <w:kern w:val="0"/>
                <w:szCs w:val="21"/>
                <w:highlight w:val="none"/>
                <w:lang w:val="en-US" w:eastAsia="zh-CN"/>
              </w:rPr>
              <w:t>5、未提供相关方案或其他情形的，得0分。</w:t>
            </w:r>
          </w:p>
        </w:tc>
      </w:tr>
      <w:tr w14:paraId="07812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42C82593">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830" w:type="pct"/>
            <w:gridSpan w:val="2"/>
            <w:vAlign w:val="center"/>
          </w:tcPr>
          <w:p w14:paraId="3782B438">
            <w:pPr>
              <w:spacing w:line="400" w:lineRule="exact"/>
              <w:jc w:val="center"/>
              <w:rPr>
                <w:rFonts w:ascii="宋体" w:hAnsi="宋体" w:eastAsia="宋体"/>
                <w:bCs/>
                <w:color w:val="auto"/>
                <w:szCs w:val="21"/>
                <w:highlight w:val="none"/>
              </w:rPr>
            </w:pPr>
            <w:r>
              <w:rPr>
                <w:rFonts w:hint="eastAsia" w:ascii="宋体" w:hAnsi="宋体" w:eastAsia="宋体" w:cs="宋体"/>
                <w:bCs/>
                <w:color w:val="auto"/>
                <w:szCs w:val="21"/>
                <w:highlight w:val="none"/>
                <w:lang w:val="en-US" w:eastAsia="zh-CN"/>
              </w:rPr>
              <w:t>服务人员配置方案</w:t>
            </w:r>
          </w:p>
        </w:tc>
        <w:tc>
          <w:tcPr>
            <w:tcW w:w="529" w:type="pct"/>
            <w:vAlign w:val="center"/>
          </w:tcPr>
          <w:p w14:paraId="2C35D260">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7分</w:t>
            </w:r>
          </w:p>
        </w:tc>
        <w:tc>
          <w:tcPr>
            <w:tcW w:w="3161" w:type="pct"/>
            <w:vAlign w:val="center"/>
          </w:tcPr>
          <w:p w14:paraId="50F4F0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根据投标人针对本项目提供的服务人员配置方案（包括但不限于组织架构、服务人员配备、培训等）进行评审：</w:t>
            </w:r>
          </w:p>
          <w:p w14:paraId="302DE4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1、投标人组织架构科学完善，服务人员配备充足且具有丰富的项目经验，针对本项目需求对服务人员制定了成熟的培训制度</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b w:val="0"/>
                <w:bCs w:val="0"/>
                <w:color w:val="auto"/>
                <w:szCs w:val="21"/>
                <w:highlight w:val="none"/>
              </w:rPr>
              <w:t>得</w:t>
            </w:r>
            <w:r>
              <w:rPr>
                <w:rFonts w:hint="eastAsia" w:ascii="宋体" w:hAnsi="宋体" w:eastAsia="宋体" w:cs="宋体"/>
                <w:b w:val="0"/>
                <w:bCs w:val="0"/>
                <w:color w:val="auto"/>
                <w:szCs w:val="21"/>
                <w:highlight w:val="none"/>
                <w:lang w:val="en-US" w:eastAsia="zh-CN"/>
              </w:rPr>
              <w:t>7</w:t>
            </w:r>
            <w:r>
              <w:rPr>
                <w:rFonts w:hint="eastAsia" w:ascii="宋体" w:hAnsi="宋体" w:eastAsia="宋体" w:cs="宋体"/>
                <w:b w:val="0"/>
                <w:bCs w:val="0"/>
                <w:color w:val="auto"/>
                <w:szCs w:val="21"/>
                <w:highlight w:val="none"/>
              </w:rPr>
              <w:t>分；</w:t>
            </w:r>
          </w:p>
          <w:p w14:paraId="755396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2、投标人组织架构完善，服务人员配备充足且具有一定的项目经验，对服务人员制定了成熟的培训制度</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b w:val="0"/>
                <w:bCs w:val="0"/>
                <w:color w:val="auto"/>
                <w:szCs w:val="21"/>
                <w:highlight w:val="none"/>
              </w:rPr>
              <w:t>得</w:t>
            </w:r>
            <w:r>
              <w:rPr>
                <w:rFonts w:hint="eastAsia" w:ascii="宋体" w:hAnsi="宋体" w:eastAsia="宋体" w:cs="宋体"/>
                <w:b w:val="0"/>
                <w:bCs w:val="0"/>
                <w:color w:val="auto"/>
                <w:szCs w:val="21"/>
                <w:highlight w:val="none"/>
                <w:lang w:val="en-US" w:eastAsia="zh-CN"/>
              </w:rPr>
              <w:t>5</w:t>
            </w:r>
            <w:r>
              <w:rPr>
                <w:rFonts w:hint="eastAsia" w:ascii="宋体" w:hAnsi="宋体" w:eastAsia="宋体" w:cs="宋体"/>
                <w:b w:val="0"/>
                <w:bCs w:val="0"/>
                <w:color w:val="auto"/>
                <w:szCs w:val="21"/>
                <w:highlight w:val="none"/>
              </w:rPr>
              <w:t>分；</w:t>
            </w:r>
          </w:p>
          <w:p w14:paraId="68BCCE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3、投标人组织架构基本完善，服务人员配备充足，对服务人员制定了培训制度</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b w:val="0"/>
                <w:bCs w:val="0"/>
                <w:color w:val="auto"/>
                <w:szCs w:val="21"/>
                <w:highlight w:val="none"/>
              </w:rPr>
              <w:t>得</w:t>
            </w:r>
            <w:r>
              <w:rPr>
                <w:rFonts w:hint="eastAsia" w:ascii="宋体" w:hAnsi="宋体" w:eastAsia="宋体" w:cs="宋体"/>
                <w:b w:val="0"/>
                <w:bCs w:val="0"/>
                <w:color w:val="auto"/>
                <w:szCs w:val="21"/>
                <w:highlight w:val="none"/>
                <w:lang w:val="en-US" w:eastAsia="zh-CN"/>
              </w:rPr>
              <w:t>3</w:t>
            </w:r>
            <w:r>
              <w:rPr>
                <w:rFonts w:hint="eastAsia" w:ascii="宋体" w:hAnsi="宋体" w:eastAsia="宋体" w:cs="宋体"/>
                <w:b w:val="0"/>
                <w:bCs w:val="0"/>
                <w:color w:val="auto"/>
                <w:szCs w:val="21"/>
                <w:highlight w:val="none"/>
              </w:rPr>
              <w:t>分；</w:t>
            </w:r>
          </w:p>
          <w:p w14:paraId="0F48E7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4、投标人组织架构一般，服务人员配备不充足，难以满足采购需求要求的，得1分；</w:t>
            </w:r>
          </w:p>
          <w:p w14:paraId="3AF348A5">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b w:val="0"/>
                <w:bCs w:val="0"/>
                <w:color w:val="auto"/>
                <w:szCs w:val="21"/>
                <w:highlight w:val="none"/>
              </w:rPr>
              <w:t>5、未提供</w:t>
            </w:r>
            <w:r>
              <w:rPr>
                <w:rFonts w:hint="eastAsia" w:ascii="宋体" w:hAnsi="宋体" w:eastAsia="宋体" w:cs="宋体"/>
                <w:b w:val="0"/>
                <w:bCs w:val="0"/>
                <w:color w:val="auto"/>
                <w:szCs w:val="21"/>
                <w:highlight w:val="none"/>
                <w:lang w:val="en-US" w:eastAsia="zh-CN"/>
              </w:rPr>
              <w:t>相关</w:t>
            </w:r>
            <w:r>
              <w:rPr>
                <w:rFonts w:hint="eastAsia" w:ascii="宋体" w:hAnsi="宋体" w:eastAsia="宋体" w:cs="宋体"/>
                <w:b w:val="0"/>
                <w:bCs w:val="0"/>
                <w:color w:val="auto"/>
                <w:szCs w:val="21"/>
                <w:highlight w:val="none"/>
              </w:rPr>
              <w:t>方案或其他情形的，得0分。</w:t>
            </w:r>
          </w:p>
        </w:tc>
      </w:tr>
      <w:tr w14:paraId="1DD72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C856FD3">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830" w:type="pct"/>
            <w:gridSpan w:val="2"/>
            <w:vAlign w:val="center"/>
          </w:tcPr>
          <w:p w14:paraId="1E448E04">
            <w:pPr>
              <w:spacing w:line="400" w:lineRule="exact"/>
              <w:jc w:val="center"/>
              <w:rPr>
                <w:rFonts w:ascii="宋体" w:hAnsi="宋体" w:eastAsia="宋体"/>
                <w:bCs/>
                <w:color w:val="auto"/>
                <w:szCs w:val="21"/>
                <w:highlight w:val="none"/>
              </w:rPr>
            </w:pPr>
            <w:r>
              <w:rPr>
                <w:rFonts w:hint="eastAsia" w:ascii="宋体" w:hAnsi="宋体" w:eastAsia="宋体" w:cs="宋体"/>
                <w:bCs/>
                <w:color w:val="auto"/>
                <w:szCs w:val="21"/>
                <w:highlight w:val="none"/>
                <w:lang w:val="en-US" w:eastAsia="zh-CN"/>
              </w:rPr>
              <w:t>保密措施</w:t>
            </w:r>
          </w:p>
        </w:tc>
        <w:tc>
          <w:tcPr>
            <w:tcW w:w="529" w:type="pct"/>
            <w:vAlign w:val="center"/>
          </w:tcPr>
          <w:p w14:paraId="2B0FCEE5">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8分</w:t>
            </w:r>
          </w:p>
        </w:tc>
        <w:tc>
          <w:tcPr>
            <w:tcW w:w="3161" w:type="pct"/>
            <w:vAlign w:val="center"/>
          </w:tcPr>
          <w:p w14:paraId="5204C9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根据</w:t>
            </w:r>
            <w:r>
              <w:rPr>
                <w:rFonts w:hint="eastAsia" w:ascii="宋体" w:hAnsi="宋体" w:eastAsia="宋体" w:cs="宋体"/>
                <w:b/>
                <w:bCs/>
                <w:color w:val="auto"/>
                <w:szCs w:val="21"/>
                <w:highlight w:val="none"/>
                <w:lang w:val="en-US" w:eastAsia="zh-CN"/>
              </w:rPr>
              <w:t>投标人</w:t>
            </w:r>
            <w:r>
              <w:rPr>
                <w:rFonts w:hint="eastAsia" w:ascii="宋体" w:hAnsi="宋体" w:eastAsia="宋体" w:cs="宋体"/>
                <w:b/>
                <w:bCs/>
                <w:color w:val="auto"/>
                <w:szCs w:val="21"/>
                <w:highlight w:val="none"/>
              </w:rPr>
              <w:t>提供保密</w:t>
            </w:r>
            <w:r>
              <w:rPr>
                <w:rFonts w:hint="eastAsia" w:ascii="宋体" w:hAnsi="宋体" w:eastAsia="宋体" w:cs="宋体"/>
                <w:b/>
                <w:bCs/>
                <w:color w:val="auto"/>
                <w:szCs w:val="21"/>
                <w:highlight w:val="none"/>
                <w:lang w:val="en-US" w:eastAsia="zh-CN"/>
              </w:rPr>
              <w:t>措施</w:t>
            </w:r>
            <w:r>
              <w:rPr>
                <w:rFonts w:hint="eastAsia" w:ascii="宋体" w:hAnsi="宋体" w:eastAsia="宋体" w:cs="宋体"/>
                <w:b/>
                <w:bCs/>
                <w:color w:val="auto"/>
                <w:szCs w:val="21"/>
                <w:highlight w:val="none"/>
              </w:rPr>
              <w:t>（包括但不限于</w:t>
            </w:r>
            <w:r>
              <w:rPr>
                <w:rFonts w:hint="eastAsia" w:ascii="宋体" w:hAnsi="宋体" w:eastAsia="宋体" w:cs="宋体"/>
                <w:b/>
                <w:bCs/>
                <w:color w:val="auto"/>
                <w:szCs w:val="21"/>
                <w:highlight w:val="none"/>
                <w:lang w:val="en-US" w:eastAsia="zh-CN"/>
              </w:rPr>
              <w:t>保密制度、人员保密培训、泄密情况的预防、应对及补救措施</w:t>
            </w:r>
            <w:r>
              <w:rPr>
                <w:rFonts w:hint="eastAsia" w:ascii="宋体" w:hAnsi="宋体" w:eastAsia="宋体" w:cs="宋体"/>
                <w:b/>
                <w:bCs/>
                <w:color w:val="auto"/>
                <w:szCs w:val="21"/>
                <w:highlight w:val="none"/>
              </w:rPr>
              <w:t>等）进行评审：</w:t>
            </w:r>
          </w:p>
          <w:p w14:paraId="52D1CB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1、投标人保密制度合法可行，对项目相关服务人员制定了科学全面的保密培训计划，能很好地预见履约过程及结束后可能发生的泄密情况，并提出了完善的预防、应对及补救措施</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分；</w:t>
            </w:r>
          </w:p>
          <w:p w14:paraId="3D0561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2、投标人保密制度合法合规，对项目相关服务人员制定了全面的保密培训计划，能较好地预见履约过程及结束后可能发生的泄密情况，并提出了较为完善的预防、应对及补救措施</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分；</w:t>
            </w:r>
          </w:p>
          <w:p w14:paraId="72232A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3、投标人保密制度合法合规，对项目相关服务人员制定了保密培训计划，能一定程度上预见履约过程及结束后可能发生的泄密情况，并提出了预防、应对及补救措施</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分；</w:t>
            </w:r>
          </w:p>
          <w:p w14:paraId="312B45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4、投标人保密制度合法合规，对履约过程及结束后可能发生的泄密情况提出的预防、应对及补救措施可行性不足，难以满足采购需求要求的，</w:t>
            </w:r>
            <w:r>
              <w:rPr>
                <w:rFonts w:hint="eastAsia" w:ascii="宋体" w:hAnsi="宋体" w:eastAsia="宋体" w:cs="宋体"/>
                <w:color w:val="auto"/>
                <w:szCs w:val="21"/>
                <w:highlight w:val="none"/>
              </w:rPr>
              <w:t>得1分；</w:t>
            </w:r>
          </w:p>
          <w:p w14:paraId="273AF50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未提供</w:t>
            </w:r>
            <w:r>
              <w:rPr>
                <w:rFonts w:hint="eastAsia" w:ascii="宋体" w:hAnsi="宋体" w:eastAsia="宋体" w:cs="宋体"/>
                <w:color w:val="auto"/>
                <w:szCs w:val="21"/>
                <w:highlight w:val="none"/>
                <w:lang w:val="en-US" w:eastAsia="zh-CN"/>
              </w:rPr>
              <w:t>相关措施或其他情形</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分。</w:t>
            </w:r>
          </w:p>
        </w:tc>
      </w:tr>
      <w:tr w14:paraId="3710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5F5C3DDA">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830" w:type="pct"/>
            <w:gridSpan w:val="2"/>
            <w:vAlign w:val="center"/>
          </w:tcPr>
          <w:p w14:paraId="56386CBD">
            <w:pPr>
              <w:spacing w:line="400" w:lineRule="exact"/>
              <w:jc w:val="center"/>
              <w:rPr>
                <w:rFonts w:ascii="宋体" w:hAnsi="宋体" w:eastAsia="宋体"/>
                <w:bCs/>
                <w:color w:val="auto"/>
                <w:szCs w:val="21"/>
                <w:highlight w:val="none"/>
              </w:rPr>
            </w:pPr>
            <w:r>
              <w:rPr>
                <w:rFonts w:hint="eastAsia" w:ascii="宋体" w:hAnsi="宋体" w:eastAsia="宋体" w:cs="宋体"/>
                <w:bCs/>
                <w:color w:val="auto"/>
                <w:szCs w:val="21"/>
                <w:highlight w:val="none"/>
              </w:rPr>
              <w:t>故障排除及应急方案</w:t>
            </w:r>
          </w:p>
        </w:tc>
        <w:tc>
          <w:tcPr>
            <w:tcW w:w="529" w:type="pct"/>
            <w:vAlign w:val="center"/>
          </w:tcPr>
          <w:p w14:paraId="48D13F2A">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15分</w:t>
            </w:r>
          </w:p>
        </w:tc>
        <w:tc>
          <w:tcPr>
            <w:tcW w:w="3161" w:type="pct"/>
            <w:vAlign w:val="center"/>
          </w:tcPr>
          <w:p w14:paraId="23D157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根据投标人对本项目的故障排除及应急方案（包括不限于服务承诺、</w:t>
            </w:r>
            <w:r>
              <w:rPr>
                <w:rFonts w:hint="eastAsia" w:ascii="宋体" w:hAnsi="宋体" w:eastAsia="宋体" w:cs="宋体"/>
                <w:b/>
                <w:bCs/>
                <w:color w:val="auto"/>
                <w:szCs w:val="21"/>
                <w:highlight w:val="none"/>
                <w:lang w:val="en-US" w:eastAsia="zh-CN"/>
              </w:rPr>
              <w:t>故障排除方案</w:t>
            </w:r>
            <w:r>
              <w:rPr>
                <w:rFonts w:hint="eastAsia" w:ascii="宋体" w:hAnsi="宋体" w:eastAsia="宋体" w:cs="宋体"/>
                <w:b/>
                <w:bCs/>
                <w:color w:val="auto"/>
                <w:szCs w:val="21"/>
                <w:highlight w:val="none"/>
              </w:rPr>
              <w:t>、应急</w:t>
            </w:r>
            <w:r>
              <w:rPr>
                <w:rFonts w:hint="eastAsia" w:ascii="宋体" w:hAnsi="宋体" w:eastAsia="宋体" w:cs="宋体"/>
                <w:b/>
                <w:bCs/>
                <w:color w:val="auto"/>
                <w:szCs w:val="21"/>
                <w:highlight w:val="none"/>
                <w:lang w:val="en-US" w:eastAsia="zh-CN"/>
              </w:rPr>
              <w:t>预案</w:t>
            </w:r>
            <w:r>
              <w:rPr>
                <w:rFonts w:hint="eastAsia" w:ascii="宋体" w:hAnsi="宋体" w:eastAsia="宋体" w:cs="宋体"/>
                <w:b/>
                <w:bCs/>
                <w:color w:val="auto"/>
                <w:szCs w:val="21"/>
                <w:highlight w:val="none"/>
              </w:rPr>
              <w:t>等）的进行评审：</w:t>
            </w:r>
          </w:p>
          <w:p w14:paraId="3E324B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1、投标人提供的服务承诺全面且具有针对性，面对突发</w:t>
            </w:r>
            <w:r>
              <w:rPr>
                <w:rFonts w:hint="eastAsia" w:ascii="宋体" w:hAnsi="宋体" w:eastAsia="宋体" w:cs="宋体"/>
                <w:color w:val="auto"/>
                <w:szCs w:val="21"/>
                <w:highlight w:val="none"/>
              </w:rPr>
              <w:t>故障</w:t>
            </w:r>
            <w:r>
              <w:rPr>
                <w:rFonts w:hint="eastAsia" w:ascii="宋体" w:hAnsi="宋体" w:eastAsia="宋体" w:cs="宋体"/>
                <w:color w:val="auto"/>
                <w:szCs w:val="21"/>
                <w:highlight w:val="none"/>
                <w:lang w:val="en-US" w:eastAsia="zh-CN"/>
              </w:rPr>
              <w:t>有科学的排查和应急预案</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548420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2、投标人提供的服务承诺全面，面对突发</w:t>
            </w:r>
            <w:r>
              <w:rPr>
                <w:rFonts w:hint="eastAsia" w:ascii="宋体" w:hAnsi="宋体" w:eastAsia="宋体" w:cs="宋体"/>
                <w:color w:val="auto"/>
                <w:szCs w:val="21"/>
                <w:highlight w:val="none"/>
              </w:rPr>
              <w:t>故障</w:t>
            </w:r>
            <w:r>
              <w:rPr>
                <w:rFonts w:hint="eastAsia" w:ascii="宋体" w:hAnsi="宋体" w:eastAsia="宋体" w:cs="宋体"/>
                <w:color w:val="auto"/>
                <w:szCs w:val="21"/>
                <w:highlight w:val="none"/>
                <w:lang w:val="en-US" w:eastAsia="zh-CN"/>
              </w:rPr>
              <w:t>有较为科学的排查和应急预案</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48ED26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3、投标人提供的服务承诺一般，面对突发</w:t>
            </w:r>
            <w:r>
              <w:rPr>
                <w:rFonts w:hint="eastAsia" w:ascii="宋体" w:hAnsi="宋体" w:eastAsia="宋体" w:cs="宋体"/>
                <w:color w:val="auto"/>
                <w:szCs w:val="21"/>
                <w:highlight w:val="none"/>
              </w:rPr>
              <w:t>故障</w:t>
            </w:r>
            <w:r>
              <w:rPr>
                <w:rFonts w:hint="eastAsia" w:ascii="宋体" w:hAnsi="宋体" w:eastAsia="宋体" w:cs="宋体"/>
                <w:color w:val="auto"/>
                <w:szCs w:val="21"/>
                <w:highlight w:val="none"/>
                <w:lang w:val="en-US" w:eastAsia="zh-CN"/>
              </w:rPr>
              <w:t>有一定的排查和应急预案</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分；</w:t>
            </w:r>
          </w:p>
          <w:p w14:paraId="5070CB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4、投标人提供的服务承诺不完善，面对突发</w:t>
            </w:r>
            <w:r>
              <w:rPr>
                <w:rFonts w:hint="eastAsia" w:ascii="宋体" w:hAnsi="宋体" w:eastAsia="宋体" w:cs="宋体"/>
                <w:color w:val="auto"/>
                <w:szCs w:val="21"/>
                <w:highlight w:val="none"/>
              </w:rPr>
              <w:t>故障</w:t>
            </w:r>
            <w:r>
              <w:rPr>
                <w:rFonts w:hint="eastAsia" w:ascii="宋体" w:hAnsi="宋体" w:eastAsia="宋体" w:cs="宋体"/>
                <w:color w:val="auto"/>
                <w:szCs w:val="21"/>
                <w:highlight w:val="none"/>
                <w:lang w:val="en-US" w:eastAsia="zh-CN"/>
              </w:rPr>
              <w:t>未制定排查和应急预案</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难以满足采购需求要求的，</w:t>
            </w:r>
            <w:r>
              <w:rPr>
                <w:rFonts w:hint="eastAsia" w:ascii="宋体" w:hAnsi="宋体" w:eastAsia="宋体" w:cs="宋体"/>
                <w:color w:val="auto"/>
                <w:szCs w:val="21"/>
                <w:highlight w:val="none"/>
              </w:rPr>
              <w:t>得1分。</w:t>
            </w:r>
          </w:p>
          <w:p w14:paraId="65594AF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未提供</w:t>
            </w:r>
            <w:r>
              <w:rPr>
                <w:rFonts w:hint="eastAsia" w:ascii="宋体" w:hAnsi="宋体" w:eastAsia="宋体" w:cs="宋体"/>
                <w:color w:val="auto"/>
                <w:szCs w:val="21"/>
                <w:highlight w:val="none"/>
                <w:lang w:val="en-US" w:eastAsia="zh-CN"/>
              </w:rPr>
              <w:t>相关</w:t>
            </w:r>
            <w:r>
              <w:rPr>
                <w:rFonts w:hint="eastAsia" w:ascii="宋体" w:hAnsi="宋体" w:eastAsia="宋体" w:cs="宋体"/>
                <w:color w:val="auto"/>
                <w:szCs w:val="21"/>
                <w:highlight w:val="none"/>
              </w:rPr>
              <w:t>方案或其他情形的，得0分。</w:t>
            </w:r>
          </w:p>
        </w:tc>
      </w:tr>
      <w:bookmarkEnd w:id="30"/>
    </w:tbl>
    <w:p w14:paraId="151CEF5D">
      <w:pPr>
        <w:pStyle w:val="27"/>
        <w:numPr>
          <w:ilvl w:val="3"/>
          <w:numId w:val="97"/>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5244EFB5">
      <w:pPr>
        <w:pStyle w:val="27"/>
        <w:widowControl/>
        <w:numPr>
          <w:ilvl w:val="0"/>
          <w:numId w:val="99"/>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7"/>
        <w:numPr>
          <w:ilvl w:val="3"/>
          <w:numId w:val="97"/>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06F4085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5AF16E43">
      <w:pPr>
        <w:pStyle w:val="27"/>
        <w:numPr>
          <w:ilvl w:val="3"/>
          <w:numId w:val="97"/>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B1FED0F">
      <w:pPr>
        <w:pStyle w:val="27"/>
        <w:widowControl/>
        <w:numPr>
          <w:ilvl w:val="0"/>
          <w:numId w:val="10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7"/>
        <w:widowControl/>
        <w:numPr>
          <w:ilvl w:val="0"/>
          <w:numId w:val="10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418D0D97">
      <w:pPr>
        <w:pStyle w:val="27"/>
        <w:widowControl/>
        <w:numPr>
          <w:ilvl w:val="0"/>
          <w:numId w:val="10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5B4F2156">
      <w:pPr>
        <w:pStyle w:val="27"/>
        <w:widowControl/>
        <w:numPr>
          <w:ilvl w:val="0"/>
          <w:numId w:val="100"/>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7DDC3577">
      <w:pPr>
        <w:pStyle w:val="27"/>
        <w:widowControl/>
        <w:numPr>
          <w:ilvl w:val="0"/>
          <w:numId w:val="10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299366C">
      <w:pPr>
        <w:pStyle w:val="27"/>
        <w:widowControl/>
        <w:numPr>
          <w:ilvl w:val="0"/>
          <w:numId w:val="10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2096565D">
      <w:pPr>
        <w:pageBreakBefore/>
        <w:widowControl/>
        <w:jc w:val="center"/>
        <w:outlineLvl w:val="1"/>
        <w:rPr>
          <w:rFonts w:ascii="宋体" w:hAnsi="宋体" w:eastAsia="宋体"/>
          <w:color w:val="auto"/>
          <w:sz w:val="36"/>
          <w:szCs w:val="36"/>
          <w:highlight w:val="none"/>
        </w:rPr>
      </w:pPr>
      <w:bookmarkStart w:id="31" w:name="_Toc169799783"/>
      <w:bookmarkStart w:id="32" w:name="_Toc17273"/>
      <w:r>
        <w:rPr>
          <w:rFonts w:ascii="宋体" w:hAnsi="宋体" w:eastAsia="宋体" w:cs="Times New Roman"/>
          <w:b/>
          <w:color w:val="auto"/>
          <w:kern w:val="0"/>
          <w:sz w:val="36"/>
          <w:szCs w:val="36"/>
          <w:highlight w:val="none"/>
          <w:lang w:eastAsia="zh-Hans"/>
        </w:rPr>
        <w:t>第五章 合同文本</w:t>
      </w:r>
      <w:bookmarkEnd w:id="31"/>
      <w:bookmarkEnd w:id="32"/>
    </w:p>
    <w:p w14:paraId="7854F0AE">
      <w:pPr>
        <w:keepNext w:val="0"/>
        <w:keepLines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 xml:space="preserve"> 鸦片战争博物馆 </w:t>
      </w:r>
    </w:p>
    <w:p w14:paraId="6DA243B6">
      <w:pPr>
        <w:keepNext w:val="0"/>
        <w:keepLines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50C8ABE">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3" w:name="_Hlk90988984"/>
      <w:r>
        <w:rPr>
          <w:rFonts w:hint="eastAsia" w:ascii="宋体" w:hAnsi="宋体" w:eastAsia="宋体" w:cs="Times New Roman"/>
          <w:color w:val="auto"/>
          <w:szCs w:val="21"/>
          <w:highlight w:val="none"/>
        </w:rPr>
        <w:t>《中华人民共和国民法典</w:t>
      </w:r>
      <w:bookmarkEnd w:id="33"/>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D33449C">
      <w:pPr>
        <w:pStyle w:val="27"/>
        <w:keepNext w:val="0"/>
        <w:keepLines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7"/>
        <w:keepNext w:val="0"/>
        <w:keepLines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CN"/>
        </w:rPr>
        <w:t>鸦片战争博物馆2025—2026年业务系统运行维护及网络安全维护服务项目</w:t>
      </w:r>
    </w:p>
    <w:p w14:paraId="094315CF">
      <w:pPr>
        <w:pStyle w:val="27"/>
        <w:keepNext w:val="0"/>
        <w:keepLines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ZHDGZC2025038</w:t>
      </w:r>
    </w:p>
    <w:p w14:paraId="6DA86955">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6A614159">
      <w:pPr>
        <w:pStyle w:val="27"/>
        <w:keepNext w:val="0"/>
        <w:keepLines w:val="0"/>
        <w:pageBreakBefore w:val="0"/>
        <w:widowControl w:val="0"/>
        <w:numPr>
          <w:ilvl w:val="0"/>
          <w:numId w:val="103"/>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rPr>
        <w:t>项目概况：</w:t>
      </w:r>
    </w:p>
    <w:p w14:paraId="41995D0F">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olor w:val="auto"/>
          <w:szCs w:val="21"/>
          <w:highlight w:val="none"/>
          <w:u w:val="none"/>
        </w:rPr>
      </w:pPr>
      <w:r>
        <w:rPr>
          <w:rFonts w:hint="eastAsia" w:ascii="宋体" w:hAnsi="宋体" w:eastAsia="宋体"/>
          <w:color w:val="auto"/>
          <w:szCs w:val="21"/>
          <w:highlight w:val="none"/>
          <w:u w:val="none"/>
        </w:rPr>
        <w:t>随着鸦片战争博物馆信息化程度不断提高，各种系统和专业办公设备的大量投入使用，随之产生的各项维护工作也越来越多，系统架构、运行环境、用户状况等所需要维护的内容也越来越复杂，鸦片战争博物馆迫切需要一个技术力量雄厚、对各个系统充分了解的专业供应商来处理各种复杂的运维工作，以保障办公业务的正常、有序进行。为保障系统的正常运行和管理工作的正常开展，必须进行系统日常维护，及时排除系统运行过程中的故障。</w:t>
      </w:r>
    </w:p>
    <w:p w14:paraId="3A82B782">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olor w:val="auto"/>
          <w:szCs w:val="21"/>
          <w:highlight w:val="none"/>
          <w:u w:val="none"/>
        </w:rPr>
      </w:pPr>
      <w:r>
        <w:rPr>
          <w:rFonts w:hint="eastAsia" w:ascii="宋体" w:hAnsi="宋体" w:eastAsia="宋体"/>
          <w:color w:val="auto"/>
          <w:szCs w:val="21"/>
          <w:highlight w:val="none"/>
          <w:u w:val="none"/>
        </w:rPr>
        <w:t>随着《网络安全法》《数据安全法》《个人信息保护法》以及《网络安全法和网络安全等级保护2.0》等法规标准的实施，国家对网络安全的监管越来越严。同时，鸦片战争博物馆信息化的快速发展也给网络安全带来了新的挑战，勒索病毒、数据泄露等网络安全风险越来越多，鸦片战争博物馆面临的网络安全形势不容乐观。</w:t>
      </w:r>
    </w:p>
    <w:p w14:paraId="5A5B219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ascii="宋体" w:hAnsi="宋体" w:eastAsia="宋体"/>
          <w:color w:val="auto"/>
          <w:szCs w:val="21"/>
          <w:highlight w:val="none"/>
          <w:u w:val="none"/>
        </w:rPr>
      </w:pPr>
      <w:r>
        <w:rPr>
          <w:rFonts w:hint="eastAsia" w:ascii="宋体" w:hAnsi="宋体" w:eastAsia="宋体"/>
          <w:color w:val="auto"/>
          <w:szCs w:val="21"/>
          <w:highlight w:val="none"/>
          <w:u w:val="none"/>
        </w:rPr>
        <w:t>鸦片战争博物馆如今各系统已进入有偿维护阶段，现通过公开招标方式</w:t>
      </w:r>
      <w:r>
        <w:rPr>
          <w:rFonts w:hint="eastAsia" w:ascii="宋体" w:hAnsi="宋体" w:eastAsia="宋体"/>
          <w:color w:val="auto"/>
          <w:szCs w:val="21"/>
          <w:highlight w:val="none"/>
          <w:u w:val="none"/>
          <w:lang w:val="en-US" w:eastAsia="zh-CN"/>
        </w:rPr>
        <w:t>确定乙方为甲方</w:t>
      </w:r>
      <w:r>
        <w:rPr>
          <w:rFonts w:hint="eastAsia" w:ascii="宋体" w:hAnsi="宋体" w:eastAsia="宋体"/>
          <w:color w:val="auto"/>
          <w:szCs w:val="21"/>
          <w:highlight w:val="none"/>
          <w:u w:val="none"/>
        </w:rPr>
        <w:t>完成各系统的日常保障、运行维护、升级完善及相关技术支持等服务工作。</w:t>
      </w:r>
    </w:p>
    <w:p w14:paraId="09C721EF">
      <w:pPr>
        <w:pStyle w:val="27"/>
        <w:keepNext w:val="0"/>
        <w:keepLines w:val="0"/>
        <w:pageBreakBefore w:val="0"/>
        <w:widowControl w:val="0"/>
        <w:numPr>
          <w:ilvl w:val="0"/>
          <w:numId w:val="103"/>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none"/>
        </w:rPr>
      </w:pPr>
      <w:r>
        <w:rPr>
          <w:rFonts w:hint="eastAsia" w:ascii="宋体" w:hAnsi="宋体" w:eastAsia="宋体"/>
          <w:color w:val="auto"/>
          <w:szCs w:val="21"/>
          <w:highlight w:val="none"/>
        </w:rPr>
        <w:t>服务范围及内容：</w:t>
      </w:r>
      <w:r>
        <w:rPr>
          <w:rFonts w:hint="eastAsia" w:ascii="宋体" w:hAnsi="宋体" w:eastAsia="宋体"/>
          <w:color w:val="auto"/>
          <w:szCs w:val="21"/>
          <w:highlight w:val="none"/>
          <w:u w:val="none"/>
          <w:lang w:val="en-US" w:eastAsia="zh-CN"/>
        </w:rPr>
        <w:t>本项目服务内容含业务系统运行维护和网络安全维护两部分。</w:t>
      </w:r>
    </w:p>
    <w:p w14:paraId="202753DC">
      <w:pPr>
        <w:pStyle w:val="27"/>
        <w:keepNext w:val="0"/>
        <w:keepLines w:val="0"/>
        <w:pageBreakBefore w:val="0"/>
        <w:widowControl w:val="0"/>
        <w:numPr>
          <w:ilvl w:val="0"/>
          <w:numId w:val="103"/>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none"/>
        </w:rPr>
      </w:pPr>
      <w:r>
        <w:rPr>
          <w:rFonts w:hint="eastAsia" w:ascii="宋体" w:hAnsi="宋体" w:eastAsia="宋体"/>
          <w:color w:val="auto"/>
          <w:szCs w:val="21"/>
          <w:highlight w:val="none"/>
          <w:u w:val="none"/>
          <w:lang w:val="en-US" w:eastAsia="zh-CN"/>
        </w:rPr>
        <w:t>服务地点：东莞市虎门镇或甲方指定地点。</w:t>
      </w:r>
    </w:p>
    <w:p w14:paraId="376D7E4E">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7"/>
        <w:keepNext w:val="0"/>
        <w:keepLines w:val="0"/>
        <w:pageBreakBefore w:val="0"/>
        <w:widowControl w:val="0"/>
        <w:numPr>
          <w:ilvl w:val="0"/>
          <w:numId w:val="104"/>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7"/>
        <w:keepNext w:val="0"/>
        <w:keepLines w:val="0"/>
        <w:pageBreakBefore w:val="0"/>
        <w:widowControl w:val="0"/>
        <w:numPr>
          <w:ilvl w:val="0"/>
          <w:numId w:val="105"/>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w:t>
      </w:r>
      <w:r>
        <w:rPr>
          <w:rFonts w:hint="eastAsia" w:ascii="宋体" w:hAnsi="宋体" w:eastAsia="宋体"/>
          <w:color w:val="auto"/>
          <w:szCs w:val="21"/>
          <w:highlight w:val="none"/>
          <w:lang w:val="en-US" w:eastAsia="zh-CN"/>
        </w:rPr>
        <w:t>限时整改</w:t>
      </w:r>
      <w:r>
        <w:rPr>
          <w:rFonts w:hint="eastAsia" w:ascii="宋体" w:hAnsi="宋体" w:eastAsia="宋体"/>
          <w:color w:val="auto"/>
          <w:szCs w:val="21"/>
          <w:highlight w:val="none"/>
        </w:rPr>
        <w:t>。</w:t>
      </w:r>
    </w:p>
    <w:p w14:paraId="22DF6212">
      <w:pPr>
        <w:pStyle w:val="27"/>
        <w:keepNext w:val="0"/>
        <w:keepLines w:val="0"/>
        <w:pageBreakBefore w:val="0"/>
        <w:widowControl w:val="0"/>
        <w:numPr>
          <w:ilvl w:val="0"/>
          <w:numId w:val="105"/>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w:t>
      </w:r>
    </w:p>
    <w:p w14:paraId="6EC212BF">
      <w:pPr>
        <w:pStyle w:val="27"/>
        <w:keepNext w:val="0"/>
        <w:keepLines w:val="0"/>
        <w:pageBreakBefore w:val="0"/>
        <w:widowControl w:val="0"/>
        <w:numPr>
          <w:ilvl w:val="0"/>
          <w:numId w:val="105"/>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27"/>
        <w:keepNext w:val="0"/>
        <w:keepLines w:val="0"/>
        <w:pageBreakBefore w:val="0"/>
        <w:widowControl w:val="0"/>
        <w:numPr>
          <w:ilvl w:val="0"/>
          <w:numId w:val="105"/>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7"/>
        <w:keepNext w:val="0"/>
        <w:keepLines w:val="0"/>
        <w:pageBreakBefore w:val="0"/>
        <w:widowControl w:val="0"/>
        <w:numPr>
          <w:ilvl w:val="0"/>
          <w:numId w:val="104"/>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7"/>
        <w:keepNext w:val="0"/>
        <w:keepLines w:val="0"/>
        <w:pageBreakBefore w:val="0"/>
        <w:widowControl w:val="0"/>
        <w:numPr>
          <w:ilvl w:val="0"/>
          <w:numId w:val="10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p>
    <w:p w14:paraId="764A4036">
      <w:pPr>
        <w:pStyle w:val="27"/>
        <w:keepNext w:val="0"/>
        <w:keepLines w:val="0"/>
        <w:pageBreakBefore w:val="0"/>
        <w:widowControl w:val="0"/>
        <w:numPr>
          <w:ilvl w:val="0"/>
          <w:numId w:val="10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如甲方不按时支付乙方有权要求甲方支付滞纳金</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但服务费</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支付应以符合财政局的相关规定为前提。</w:t>
      </w:r>
    </w:p>
    <w:p w14:paraId="198E3F65">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27"/>
        <w:keepNext w:val="0"/>
        <w:keepLines w:val="0"/>
        <w:pageBreakBefore w:val="0"/>
        <w:widowControl w:val="0"/>
        <w:numPr>
          <w:ilvl w:val="0"/>
          <w:numId w:val="107"/>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2D80DC13">
      <w:pPr>
        <w:pStyle w:val="27"/>
        <w:keepNext w:val="0"/>
        <w:keepLines w:val="0"/>
        <w:pageBreakBefore w:val="0"/>
        <w:widowControl w:val="0"/>
        <w:numPr>
          <w:ilvl w:val="0"/>
          <w:numId w:val="107"/>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合同单价：</w:t>
      </w:r>
      <w:r>
        <w:rPr>
          <w:rFonts w:hint="eastAsia" w:ascii="宋体" w:hAnsi="宋体" w:eastAsia="宋体"/>
          <w:color w:val="auto"/>
          <w:szCs w:val="21"/>
          <w:highlight w:val="none"/>
        </w:rPr>
        <w:t>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r>
        <w:rPr>
          <w:rFonts w:hint="eastAsia" w:ascii="宋体" w:hAnsi="宋体" w:eastAsia="宋体"/>
          <w:color w:val="auto"/>
          <w:szCs w:val="21"/>
          <w:highlight w:val="none"/>
          <w:lang w:val="en-US" w:eastAsia="zh-CN"/>
        </w:rPr>
        <w:t>/月</w:t>
      </w:r>
      <w:r>
        <w:rPr>
          <w:rFonts w:hint="eastAsia" w:ascii="宋体" w:hAnsi="宋体" w:eastAsia="宋体"/>
          <w:color w:val="auto"/>
          <w:szCs w:val="21"/>
          <w:highlight w:val="none"/>
        </w:rPr>
        <w:t>（小写：￥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r>
        <w:rPr>
          <w:rFonts w:hint="eastAsia" w:ascii="宋体" w:hAnsi="宋体" w:eastAsia="宋体"/>
          <w:color w:val="auto"/>
          <w:szCs w:val="21"/>
          <w:highlight w:val="none"/>
          <w:lang w:val="en-US" w:eastAsia="zh-CN"/>
        </w:rPr>
        <w:t>/月</w:t>
      </w:r>
      <w:r>
        <w:rPr>
          <w:rFonts w:hint="eastAsia" w:ascii="宋体" w:hAnsi="宋体" w:eastAsia="宋体"/>
          <w:color w:val="auto"/>
          <w:szCs w:val="21"/>
          <w:highlight w:val="none"/>
        </w:rPr>
        <w:t>）</w:t>
      </w:r>
    </w:p>
    <w:p w14:paraId="2F739246">
      <w:pPr>
        <w:pStyle w:val="27"/>
        <w:keepNext w:val="0"/>
        <w:keepLines w:val="0"/>
        <w:pageBreakBefore w:val="0"/>
        <w:widowControl w:val="0"/>
        <w:numPr>
          <w:ilvl w:val="0"/>
          <w:numId w:val="107"/>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本合同价为固定不变价</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合同价格包含税费、设备费、专利费、人工费（包括工资、奖金、津贴补贴、节假日加班和日常加班加点工资、特殊情况下支付的工资等）、软件租赁（使用）费、社保费（包括医疗、失业、养老、生育、工伤）、公积金、住宿费、利润、办公经费、应急保障费、合同实施过程中的应预见、不可预见费用等完成合同规定责任和义务、达到合同目的的一切费用。</w:t>
      </w:r>
    </w:p>
    <w:p w14:paraId="4CC16D61">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val="0"/>
          <w:bCs/>
          <w:color w:val="auto"/>
          <w:spacing w:val="0"/>
          <w:sz w:val="21"/>
          <w:szCs w:val="21"/>
          <w:highlight w:val="none"/>
        </w:rPr>
      </w:pPr>
      <w:r>
        <w:rPr>
          <w:rFonts w:hint="eastAsia" w:ascii="宋体" w:hAnsi="宋体" w:eastAsia="宋体"/>
          <w:b/>
          <w:color w:val="auto"/>
          <w:spacing w:val="20"/>
          <w:szCs w:val="21"/>
          <w:highlight w:val="none"/>
          <w:lang w:val="en-US" w:eastAsia="zh-CN"/>
        </w:rPr>
        <w:t>服务期：</w:t>
      </w:r>
      <w:r>
        <w:rPr>
          <w:rFonts w:hint="eastAsia" w:ascii="宋体" w:hAnsi="宋体" w:eastAsia="宋体"/>
          <w:b w:val="0"/>
          <w:bCs/>
          <w:color w:val="auto"/>
          <w:spacing w:val="0"/>
          <w:sz w:val="21"/>
          <w:szCs w:val="21"/>
          <w:highlight w:val="none"/>
          <w:lang w:val="en-US" w:eastAsia="zh-CN"/>
        </w:rPr>
        <w:t>自合同签订之日起1年（自</w:t>
      </w:r>
      <w:r>
        <w:rPr>
          <w:rFonts w:hint="eastAsia" w:ascii="宋体" w:hAnsi="宋体" w:eastAsia="宋体"/>
          <w:b w:val="0"/>
          <w:bCs/>
          <w:color w:val="auto"/>
          <w:spacing w:val="0"/>
          <w:sz w:val="21"/>
          <w:szCs w:val="21"/>
          <w:highlight w:val="none"/>
          <w:u w:val="single"/>
          <w:lang w:val="en-US" w:eastAsia="zh-CN"/>
        </w:rPr>
        <w:t>2025</w:t>
      </w:r>
      <w:r>
        <w:rPr>
          <w:rFonts w:hint="eastAsia" w:ascii="宋体" w:hAnsi="宋体" w:eastAsia="宋体"/>
          <w:b w:val="0"/>
          <w:bCs/>
          <w:color w:val="auto"/>
          <w:spacing w:val="0"/>
          <w:sz w:val="21"/>
          <w:szCs w:val="21"/>
          <w:highlight w:val="none"/>
          <w:lang w:val="en-US" w:eastAsia="zh-CN"/>
        </w:rPr>
        <w:t>年</w:t>
      </w:r>
      <w:r>
        <w:rPr>
          <w:rFonts w:hint="eastAsia" w:ascii="宋体" w:hAnsi="宋体" w:eastAsia="宋体"/>
          <w:b w:val="0"/>
          <w:bCs/>
          <w:color w:val="auto"/>
          <w:spacing w:val="0"/>
          <w:sz w:val="21"/>
          <w:szCs w:val="21"/>
          <w:highlight w:val="none"/>
          <w:u w:val="single"/>
          <w:lang w:val="en-US" w:eastAsia="zh-CN"/>
        </w:rPr>
        <w:t xml:space="preserve">  </w:t>
      </w:r>
      <w:r>
        <w:rPr>
          <w:rFonts w:hint="eastAsia" w:ascii="宋体" w:hAnsi="宋体" w:eastAsia="宋体"/>
          <w:b w:val="0"/>
          <w:bCs/>
          <w:color w:val="auto"/>
          <w:spacing w:val="0"/>
          <w:sz w:val="21"/>
          <w:szCs w:val="21"/>
          <w:highlight w:val="none"/>
          <w:lang w:val="en-US" w:eastAsia="zh-CN"/>
        </w:rPr>
        <w:t>月</w:t>
      </w:r>
      <w:r>
        <w:rPr>
          <w:rFonts w:hint="eastAsia" w:ascii="宋体" w:hAnsi="宋体" w:eastAsia="宋体"/>
          <w:b w:val="0"/>
          <w:bCs/>
          <w:color w:val="auto"/>
          <w:spacing w:val="0"/>
          <w:sz w:val="21"/>
          <w:szCs w:val="21"/>
          <w:highlight w:val="none"/>
          <w:u w:val="single"/>
          <w:lang w:val="en-US" w:eastAsia="zh-CN"/>
        </w:rPr>
        <w:t xml:space="preserve">  </w:t>
      </w:r>
      <w:r>
        <w:rPr>
          <w:rFonts w:hint="eastAsia" w:ascii="宋体" w:hAnsi="宋体" w:eastAsia="宋体"/>
          <w:b w:val="0"/>
          <w:bCs/>
          <w:color w:val="auto"/>
          <w:spacing w:val="0"/>
          <w:sz w:val="21"/>
          <w:szCs w:val="21"/>
          <w:highlight w:val="none"/>
          <w:lang w:val="en-US" w:eastAsia="zh-CN"/>
        </w:rPr>
        <w:t>日起至</w:t>
      </w:r>
      <w:r>
        <w:rPr>
          <w:rFonts w:hint="eastAsia" w:ascii="宋体" w:hAnsi="宋体" w:eastAsia="宋体"/>
          <w:b w:val="0"/>
          <w:bCs/>
          <w:color w:val="auto"/>
          <w:spacing w:val="0"/>
          <w:sz w:val="21"/>
          <w:szCs w:val="21"/>
          <w:highlight w:val="none"/>
          <w:u w:val="single"/>
          <w:lang w:val="en-US" w:eastAsia="zh-CN"/>
        </w:rPr>
        <w:t>2026</w:t>
      </w:r>
      <w:r>
        <w:rPr>
          <w:rFonts w:hint="eastAsia" w:ascii="宋体" w:hAnsi="宋体" w:eastAsia="宋体"/>
          <w:b w:val="0"/>
          <w:bCs/>
          <w:color w:val="auto"/>
          <w:spacing w:val="0"/>
          <w:sz w:val="21"/>
          <w:szCs w:val="21"/>
          <w:highlight w:val="none"/>
          <w:lang w:val="en-US" w:eastAsia="zh-CN"/>
        </w:rPr>
        <w:t>年</w:t>
      </w:r>
      <w:r>
        <w:rPr>
          <w:rFonts w:hint="eastAsia" w:ascii="宋体" w:hAnsi="宋体" w:eastAsia="宋体"/>
          <w:b w:val="0"/>
          <w:bCs/>
          <w:color w:val="auto"/>
          <w:spacing w:val="0"/>
          <w:sz w:val="21"/>
          <w:szCs w:val="21"/>
          <w:highlight w:val="none"/>
          <w:u w:val="single"/>
          <w:lang w:val="en-US" w:eastAsia="zh-CN"/>
        </w:rPr>
        <w:t xml:space="preserve">  </w:t>
      </w:r>
      <w:r>
        <w:rPr>
          <w:rFonts w:hint="eastAsia" w:ascii="宋体" w:hAnsi="宋体" w:eastAsia="宋体"/>
          <w:b w:val="0"/>
          <w:bCs/>
          <w:color w:val="auto"/>
          <w:spacing w:val="0"/>
          <w:sz w:val="21"/>
          <w:szCs w:val="21"/>
          <w:highlight w:val="none"/>
          <w:lang w:val="en-US" w:eastAsia="zh-CN"/>
        </w:rPr>
        <w:t>月</w:t>
      </w:r>
      <w:r>
        <w:rPr>
          <w:rFonts w:hint="eastAsia" w:ascii="宋体" w:hAnsi="宋体" w:eastAsia="宋体"/>
          <w:b w:val="0"/>
          <w:bCs/>
          <w:color w:val="auto"/>
          <w:spacing w:val="0"/>
          <w:sz w:val="21"/>
          <w:szCs w:val="21"/>
          <w:highlight w:val="none"/>
          <w:u w:val="single"/>
          <w:lang w:val="en-US" w:eastAsia="zh-CN"/>
        </w:rPr>
        <w:t xml:space="preserve">  </w:t>
      </w:r>
      <w:r>
        <w:rPr>
          <w:rFonts w:hint="eastAsia" w:ascii="宋体" w:hAnsi="宋体" w:eastAsia="宋体"/>
          <w:b w:val="0"/>
          <w:bCs/>
          <w:color w:val="auto"/>
          <w:spacing w:val="0"/>
          <w:sz w:val="21"/>
          <w:szCs w:val="21"/>
          <w:highlight w:val="none"/>
          <w:lang w:val="en-US" w:eastAsia="zh-CN"/>
        </w:rPr>
        <w:t>日止）。</w:t>
      </w:r>
    </w:p>
    <w:p w14:paraId="7FBF4A7D">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34E7B36A">
      <w:pPr>
        <w:pStyle w:val="27"/>
        <w:keepNext w:val="0"/>
        <w:keepLines w:val="0"/>
        <w:pageBreakBefore w:val="0"/>
        <w:widowControl w:val="0"/>
        <w:numPr>
          <w:ilvl w:val="0"/>
          <w:numId w:val="108"/>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服务费按月结算，每月10日前</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根据经</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确认的上月服务质量考核得分情况，凭按约定扣减后的服务费金额开具</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等额合规发票及本项目合同向</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请款，</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收到合格请款资料后10个工作日内支付上月服务费；</w:t>
      </w:r>
    </w:p>
    <w:p w14:paraId="7561BA75">
      <w:pPr>
        <w:pStyle w:val="27"/>
        <w:keepNext w:val="0"/>
        <w:keepLines w:val="0"/>
        <w:pageBreakBefore w:val="0"/>
        <w:widowControl w:val="0"/>
        <w:numPr>
          <w:ilvl w:val="0"/>
          <w:numId w:val="10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所提供的请款资料中收款方、发票的销售方、合同乙方均必须与乙方名称一致，若因乙方迟延提供请款材料或请款材料不合格导致</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未在如上时间内付款的，</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不构成违约，并不承担任何相关责任</w:t>
      </w:r>
      <w:r>
        <w:rPr>
          <w:rFonts w:hint="eastAsia" w:ascii="宋体" w:hAnsi="宋体" w:eastAsia="宋体" w:cs="宋体"/>
          <w:color w:val="auto"/>
          <w:szCs w:val="21"/>
          <w:highlight w:val="none"/>
          <w:lang w:eastAsia="zh-CN"/>
        </w:rPr>
        <w:t>；</w:t>
      </w:r>
    </w:p>
    <w:p w14:paraId="413B06ED">
      <w:pPr>
        <w:pStyle w:val="27"/>
        <w:keepNext w:val="0"/>
        <w:keepLines w:val="0"/>
        <w:pageBreakBefore w:val="0"/>
        <w:widowControl w:val="0"/>
        <w:numPr>
          <w:ilvl w:val="0"/>
          <w:numId w:val="10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43328AAA">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业务系统运行维护</w:t>
      </w:r>
    </w:p>
    <w:p w14:paraId="523CE29A">
      <w:pPr>
        <w:pStyle w:val="27"/>
        <w:numPr>
          <w:ilvl w:val="0"/>
          <w:numId w:val="109"/>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鸦片战争博物馆业务系统现状</w:t>
      </w:r>
      <w:r>
        <w:rPr>
          <w:rFonts w:hint="eastAsia" w:ascii="宋体" w:hAnsi="宋体" w:eastAsia="宋体"/>
          <w:b/>
          <w:bCs/>
          <w:color w:val="auto"/>
          <w:szCs w:val="21"/>
          <w:highlight w:val="none"/>
          <w:lang w:val="en-US" w:eastAsia="zh-CN"/>
        </w:rPr>
        <w:t>简介</w:t>
      </w:r>
    </w:p>
    <w:p w14:paraId="05758E35">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官方网站：为观众提供展览活动信息发布、展览展示、学术研究等服务。</w:t>
      </w:r>
    </w:p>
    <w:p w14:paraId="718C302B">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博物馆业务系统：为博物馆员工提供通知公告、收文办理、发文办理、公务接待、公务出差、展览审核、设备报修、公章申请、考勤管理、采购管理、会务管理等服务。</w:t>
      </w:r>
    </w:p>
    <w:p w14:paraId="5D586915">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万维博通智慧档案管理系统：提供档案登记、扫描、查询及文书档案管理、特殊载体管理、专门档案管理等服务功能。</w:t>
      </w:r>
    </w:p>
    <w:p w14:paraId="38413959">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藏品管理系统：按照国家最新标准规范，基于藏品业务管理流程，实现藏品征集、鉴定、账目管理等全流程管理功能，推动藏品管理规范化、科学化、信息化。系统支持藏品全生命周期管理与业务协同，建立完整藏品档案，提升管理效率与共享利用水平，为馆内各部门提供支持。</w:t>
      </w:r>
    </w:p>
    <w:p w14:paraId="4B8099B3">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票务系统：为游客提供票务预约、检票及数据管理等服务。本系统主要面向票房自助取票机终端操作者、检票员等票房工作人员，提供门票票类管理、会员卡管理、管理卡管理、团体管理等功能。</w:t>
      </w:r>
    </w:p>
    <w:p w14:paraId="0E5772AC">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知识驿站系统：旨在为鸦片战争展览提供文物知识线上浏览服务。系统包括微屏触摸导览子系统、后台管理子系统、博物馆展示子系统、UI设计制作等四大模块。系统适配新iPad设备安卓系统开发，采用跨平台、Unity3D等先进技术，通过后台系统的信息发布，在前台实现信息展示。</w:t>
      </w:r>
    </w:p>
    <w:p w14:paraId="3B8D0807">
      <w:pPr>
        <w:pStyle w:val="27"/>
        <w:numPr>
          <w:ilvl w:val="0"/>
          <w:numId w:val="110"/>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红色基因库展示系统：提供鸦片战争博物馆陈列、虎门炮台旧址、文物藏品、视频等红色资源数据展示和浏览体验。</w:t>
      </w:r>
    </w:p>
    <w:p w14:paraId="353E8FD5">
      <w:pPr>
        <w:pStyle w:val="27"/>
        <w:numPr>
          <w:ilvl w:val="0"/>
          <w:numId w:val="110"/>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语音导览系统：提供微信语音导览服务。</w:t>
      </w:r>
    </w:p>
    <w:p w14:paraId="7FE211FF">
      <w:pPr>
        <w:pStyle w:val="27"/>
        <w:numPr>
          <w:ilvl w:val="0"/>
          <w:numId w:val="109"/>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业务系统运行维护目标</w:t>
      </w:r>
    </w:p>
    <w:p w14:paraId="050926E5">
      <w:pPr>
        <w:pStyle w:val="27"/>
        <w:numPr>
          <w:ilvl w:val="0"/>
          <w:numId w:val="11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总体目标</w:t>
      </w:r>
    </w:p>
    <w:p w14:paraId="3E622CBA">
      <w:pPr>
        <w:pStyle w:val="27"/>
        <w:numPr>
          <w:ilvl w:val="0"/>
          <w:numId w:val="112"/>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保证系统的正常安全运行和升级优化，并进行全天候的日常监控，及时发现问题，及时解决问题，</w:t>
      </w:r>
      <w:r>
        <w:rPr>
          <w:rFonts w:hint="eastAsia" w:ascii="宋体" w:hAnsi="宋体" w:eastAsia="宋体"/>
          <w:color w:val="auto"/>
          <w:szCs w:val="21"/>
          <w:highlight w:val="none"/>
          <w:lang w:val="en-US" w:eastAsia="zh-CN"/>
        </w:rPr>
        <w:t>解决</w:t>
      </w:r>
      <w:r>
        <w:rPr>
          <w:rFonts w:hint="eastAsia" w:ascii="宋体" w:hAnsi="宋体" w:eastAsia="宋体"/>
          <w:color w:val="auto"/>
          <w:szCs w:val="21"/>
          <w:highlight w:val="none"/>
        </w:rPr>
        <w:t>时间</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小时；</w:t>
      </w:r>
    </w:p>
    <w:p w14:paraId="4BC8D188">
      <w:pPr>
        <w:pStyle w:val="27"/>
        <w:numPr>
          <w:ilvl w:val="0"/>
          <w:numId w:val="112"/>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保障应用系统安全，防范数据等信息丢失；</w:t>
      </w:r>
    </w:p>
    <w:p w14:paraId="3F7D15B8">
      <w:pPr>
        <w:pStyle w:val="27"/>
        <w:numPr>
          <w:ilvl w:val="0"/>
          <w:numId w:val="112"/>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保障数据维护等工作的高效与安全；</w:t>
      </w:r>
    </w:p>
    <w:p w14:paraId="7544FA46">
      <w:pPr>
        <w:pStyle w:val="27"/>
        <w:numPr>
          <w:ilvl w:val="0"/>
          <w:numId w:val="112"/>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保障软件BUG能够及时修改；</w:t>
      </w:r>
    </w:p>
    <w:p w14:paraId="345A07FF">
      <w:pPr>
        <w:pStyle w:val="27"/>
        <w:numPr>
          <w:ilvl w:val="0"/>
          <w:numId w:val="112"/>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保障应用系统的配置管理工作能够全面、准确的实施；</w:t>
      </w:r>
    </w:p>
    <w:p w14:paraId="13F0A943">
      <w:pPr>
        <w:pStyle w:val="27"/>
        <w:numPr>
          <w:ilvl w:val="0"/>
          <w:numId w:val="112"/>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通过充分的调研、有序的规划，全面提升应用系统的可用性。</w:t>
      </w:r>
    </w:p>
    <w:p w14:paraId="11BEC947">
      <w:pPr>
        <w:pStyle w:val="27"/>
        <w:numPr>
          <w:ilvl w:val="0"/>
          <w:numId w:val="11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升级完善或改进性系统开发</w:t>
      </w:r>
    </w:p>
    <w:p w14:paraId="24F0AB95">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在不需要改变系统架构</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基础上，根据用户业务需求增加新业务</w:t>
      </w:r>
      <w:r>
        <w:rPr>
          <w:rFonts w:hint="eastAsia" w:ascii="宋体" w:hAnsi="宋体" w:eastAsia="宋体"/>
          <w:color w:val="auto"/>
          <w:szCs w:val="21"/>
          <w:highlight w:val="none"/>
          <w:lang w:val="en-US" w:eastAsia="zh-CN"/>
        </w:rPr>
        <w:t>或进行</w:t>
      </w:r>
      <w:r>
        <w:rPr>
          <w:rFonts w:hint="eastAsia" w:ascii="宋体" w:hAnsi="宋体" w:eastAsia="宋体"/>
          <w:color w:val="auto"/>
          <w:szCs w:val="21"/>
          <w:highlight w:val="none"/>
        </w:rPr>
        <w:t>功能研发，</w:t>
      </w:r>
      <w:r>
        <w:rPr>
          <w:rFonts w:hint="eastAsia" w:ascii="宋体" w:hAnsi="宋体" w:eastAsia="宋体"/>
          <w:color w:val="auto"/>
          <w:szCs w:val="21"/>
          <w:highlight w:val="none"/>
          <w:lang w:val="en-US" w:eastAsia="zh-CN"/>
        </w:rPr>
        <w:t>同时</w:t>
      </w:r>
      <w:r>
        <w:rPr>
          <w:rFonts w:hint="eastAsia" w:ascii="宋体" w:hAnsi="宋体" w:eastAsia="宋体"/>
          <w:color w:val="auto"/>
          <w:szCs w:val="21"/>
          <w:highlight w:val="none"/>
        </w:rPr>
        <w:t>对日常应用中发现的程序BUG进行功能性完善升级改造，提升系统应用服务性能。</w:t>
      </w:r>
    </w:p>
    <w:p w14:paraId="27EE89A0">
      <w:pPr>
        <w:pStyle w:val="27"/>
        <w:numPr>
          <w:ilvl w:val="0"/>
          <w:numId w:val="11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系统报错解决</w:t>
      </w:r>
    </w:p>
    <w:p w14:paraId="2F86902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对</w:t>
      </w:r>
      <w:r>
        <w:rPr>
          <w:rFonts w:hint="eastAsia" w:ascii="宋体" w:hAnsi="宋体" w:eastAsia="宋体"/>
          <w:color w:val="auto"/>
          <w:szCs w:val="21"/>
          <w:highlight w:val="none"/>
        </w:rPr>
        <w:t>系统在日常使用过程中的的报错信息进行处理，如登陆失败、页面访问出错、流程错误、程序兼容性、软件补丁、客户端安装</w:t>
      </w:r>
      <w:r>
        <w:rPr>
          <w:rFonts w:hint="eastAsia" w:ascii="宋体" w:hAnsi="宋体" w:eastAsia="宋体"/>
          <w:color w:val="auto"/>
          <w:szCs w:val="21"/>
          <w:highlight w:val="none"/>
          <w:lang w:val="en-US" w:eastAsia="zh-CN"/>
        </w:rPr>
        <w:t>等</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以及</w:t>
      </w:r>
      <w:r>
        <w:rPr>
          <w:rFonts w:hint="eastAsia" w:ascii="宋体" w:hAnsi="宋体" w:eastAsia="宋体"/>
          <w:color w:val="auto"/>
          <w:szCs w:val="21"/>
          <w:highlight w:val="none"/>
        </w:rPr>
        <w:t>针对上级安全部门的安全扫描漏洞补丁等问题，提供现场技术服务、指导和问题解决。</w:t>
      </w:r>
    </w:p>
    <w:p w14:paraId="09C48572">
      <w:pPr>
        <w:pStyle w:val="27"/>
        <w:numPr>
          <w:ilvl w:val="0"/>
          <w:numId w:val="11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系统数据库维护</w:t>
      </w:r>
    </w:p>
    <w:p w14:paraId="4AA27F1D">
      <w:pPr>
        <w:pStyle w:val="27"/>
        <w:numPr>
          <w:ilvl w:val="0"/>
          <w:numId w:val="11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保障数据库的正常运行；</w:t>
      </w:r>
    </w:p>
    <w:p w14:paraId="7406472B">
      <w:pPr>
        <w:pStyle w:val="27"/>
        <w:numPr>
          <w:ilvl w:val="0"/>
          <w:numId w:val="11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对数据库进行备份、并在需要时进行恢复；</w:t>
      </w:r>
    </w:p>
    <w:p w14:paraId="57C72F57">
      <w:pPr>
        <w:pStyle w:val="27"/>
        <w:numPr>
          <w:ilvl w:val="0"/>
          <w:numId w:val="113"/>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进行数据库安装、调整和维护等工作。</w:t>
      </w:r>
    </w:p>
    <w:p w14:paraId="3489FD7F">
      <w:pPr>
        <w:pStyle w:val="27"/>
        <w:numPr>
          <w:ilvl w:val="0"/>
          <w:numId w:val="11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云平台服务器运行情况监控</w:t>
      </w:r>
    </w:p>
    <w:p w14:paraId="620AB244">
      <w:pPr>
        <w:pStyle w:val="27"/>
        <w:numPr>
          <w:ilvl w:val="0"/>
          <w:numId w:val="1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监察服务器运行日志，做好相关记录，保存相关文档；</w:t>
      </w:r>
    </w:p>
    <w:p w14:paraId="10ACF0D5">
      <w:pPr>
        <w:pStyle w:val="27"/>
        <w:numPr>
          <w:ilvl w:val="0"/>
          <w:numId w:val="1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对服务器日常运行进行统计，提交运行报告，进行定期分析；</w:t>
      </w:r>
    </w:p>
    <w:p w14:paraId="4D8543E3">
      <w:pPr>
        <w:pStyle w:val="27"/>
        <w:numPr>
          <w:ilvl w:val="0"/>
          <w:numId w:val="114"/>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监控系统、网络、数据库和各应用系统，出现异常情况应立即向相关技术人员及时报告,并参与平台应急处理工作。</w:t>
      </w:r>
    </w:p>
    <w:p w14:paraId="3C218211">
      <w:pPr>
        <w:pStyle w:val="27"/>
        <w:numPr>
          <w:ilvl w:val="0"/>
          <w:numId w:val="11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保障平台运行的稳定性、高效性以及安全性</w:t>
      </w:r>
    </w:p>
    <w:p w14:paraId="61939E86">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定期实施系统访问性能测试、系统漏洞扫描及修复、日常安全检查等运行保障工作，及时处理内部巡检及政府部门组织开展的有关信息安全等级保护检测</w:t>
      </w:r>
      <w:r>
        <w:rPr>
          <w:rFonts w:hint="eastAsia" w:ascii="宋体" w:hAnsi="宋体" w:eastAsia="宋体"/>
          <w:color w:val="auto"/>
          <w:szCs w:val="21"/>
          <w:highlight w:val="none"/>
          <w:lang w:val="en-US" w:eastAsia="zh-CN"/>
        </w:rPr>
        <w:t>时</w:t>
      </w:r>
      <w:r>
        <w:rPr>
          <w:rFonts w:hint="eastAsia" w:ascii="宋体" w:hAnsi="宋体" w:eastAsia="宋体"/>
          <w:color w:val="auto"/>
          <w:szCs w:val="21"/>
          <w:highlight w:val="none"/>
        </w:rPr>
        <w:t>发现的安全漏洞，协助</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加固系统安全防护措施，提交技术优化实施方案。</w:t>
      </w:r>
    </w:p>
    <w:p w14:paraId="4136540A">
      <w:pPr>
        <w:pStyle w:val="27"/>
        <w:numPr>
          <w:ilvl w:val="0"/>
          <w:numId w:val="109"/>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rPr>
        <w:t>服务内容</w:t>
      </w:r>
      <w:r>
        <w:rPr>
          <w:rFonts w:hint="eastAsia" w:ascii="宋体" w:hAnsi="宋体" w:eastAsia="宋体"/>
          <w:b/>
          <w:bCs/>
          <w:color w:val="auto"/>
          <w:szCs w:val="21"/>
          <w:highlight w:val="none"/>
          <w:lang w:eastAsia="zh-CN"/>
        </w:rPr>
        <w:t>（本项目需对</w:t>
      </w:r>
      <w:r>
        <w:rPr>
          <w:rFonts w:hint="eastAsia" w:ascii="宋体" w:hAnsi="宋体" w:eastAsia="宋体"/>
          <w:b/>
          <w:bCs/>
          <w:color w:val="auto"/>
          <w:szCs w:val="21"/>
          <w:highlight w:val="none"/>
          <w:lang w:val="en-US" w:eastAsia="zh-CN"/>
        </w:rPr>
        <w:t>下述系统</w:t>
      </w:r>
      <w:r>
        <w:rPr>
          <w:rFonts w:hint="eastAsia" w:ascii="宋体" w:hAnsi="宋体" w:eastAsia="宋体"/>
          <w:b/>
          <w:bCs/>
          <w:color w:val="auto"/>
          <w:szCs w:val="21"/>
          <w:highlight w:val="none"/>
          <w:lang w:eastAsia="zh-CN"/>
        </w:rPr>
        <w:t>进行维护，以保证其稳定运行）</w:t>
      </w:r>
    </w:p>
    <w:p w14:paraId="3E72E415">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官方网站维护和升级</w:t>
      </w:r>
    </w:p>
    <w:p w14:paraId="0A2FC0A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鸦片战争博物馆的官方网站是展示自我，实现在网络上对外宣传、发布单位主营业务和社会服务</w:t>
      </w:r>
      <w:r>
        <w:rPr>
          <w:rFonts w:hint="eastAsia" w:ascii="宋体" w:hAnsi="宋体" w:eastAsia="宋体"/>
          <w:color w:val="auto"/>
          <w:szCs w:val="21"/>
          <w:highlight w:val="none"/>
          <w:lang w:val="en-US" w:eastAsia="zh-CN"/>
        </w:rPr>
        <w:t>信息的平台</w:t>
      </w:r>
      <w:r>
        <w:rPr>
          <w:rFonts w:hint="eastAsia" w:ascii="宋体" w:hAnsi="宋体" w:eastAsia="宋体"/>
          <w:color w:val="auto"/>
          <w:szCs w:val="21"/>
          <w:highlight w:val="none"/>
        </w:rPr>
        <w:t>；通过网站的留言系统可以有效了解</w:t>
      </w:r>
      <w:r>
        <w:rPr>
          <w:rFonts w:hint="eastAsia" w:ascii="宋体" w:hAnsi="宋体" w:eastAsia="宋体"/>
          <w:color w:val="auto"/>
          <w:szCs w:val="21"/>
          <w:highlight w:val="none"/>
          <w:lang w:val="en-US" w:eastAsia="zh-CN"/>
        </w:rPr>
        <w:t>网友</w:t>
      </w:r>
      <w:r>
        <w:rPr>
          <w:rFonts w:hint="eastAsia" w:ascii="宋体" w:hAnsi="宋体" w:eastAsia="宋体"/>
          <w:color w:val="auto"/>
          <w:szCs w:val="21"/>
          <w:highlight w:val="none"/>
        </w:rPr>
        <w:t>的意见和建议，倾听</w:t>
      </w:r>
      <w:r>
        <w:rPr>
          <w:rFonts w:hint="eastAsia" w:ascii="宋体" w:hAnsi="宋体" w:eastAsia="宋体"/>
          <w:color w:val="auto"/>
          <w:szCs w:val="21"/>
          <w:highlight w:val="none"/>
          <w:lang w:val="en-US" w:eastAsia="zh-CN"/>
        </w:rPr>
        <w:t>网友</w:t>
      </w:r>
      <w:r>
        <w:rPr>
          <w:rFonts w:hint="eastAsia" w:ascii="宋体" w:hAnsi="宋体" w:eastAsia="宋体"/>
          <w:color w:val="auto"/>
          <w:szCs w:val="21"/>
          <w:highlight w:val="none"/>
        </w:rPr>
        <w:t>的心声，建立鸦片战争博物馆与</w:t>
      </w:r>
      <w:r>
        <w:rPr>
          <w:rFonts w:hint="eastAsia" w:ascii="宋体" w:hAnsi="宋体" w:eastAsia="宋体"/>
          <w:color w:val="auto"/>
          <w:szCs w:val="21"/>
          <w:highlight w:val="none"/>
          <w:lang w:val="en-US" w:eastAsia="zh-CN"/>
        </w:rPr>
        <w:t>网友</w:t>
      </w:r>
      <w:r>
        <w:rPr>
          <w:rFonts w:hint="eastAsia" w:ascii="宋体" w:hAnsi="宋体" w:eastAsia="宋体"/>
          <w:color w:val="auto"/>
          <w:szCs w:val="21"/>
          <w:highlight w:val="none"/>
        </w:rPr>
        <w:t>在线沟通的桥梁，</w:t>
      </w:r>
      <w:r>
        <w:rPr>
          <w:rFonts w:hint="eastAsia" w:ascii="宋体" w:hAnsi="宋体" w:eastAsia="宋体"/>
          <w:color w:val="auto"/>
          <w:szCs w:val="21"/>
          <w:highlight w:val="none"/>
          <w:lang w:val="en-US" w:eastAsia="zh-CN"/>
        </w:rPr>
        <w:t>出现</w:t>
      </w:r>
      <w:r>
        <w:rPr>
          <w:rFonts w:hint="eastAsia" w:ascii="宋体" w:hAnsi="宋体" w:eastAsia="宋体"/>
          <w:color w:val="auto"/>
          <w:szCs w:val="21"/>
          <w:highlight w:val="none"/>
        </w:rPr>
        <w:t>问题</w:t>
      </w:r>
      <w:r>
        <w:rPr>
          <w:rFonts w:hint="eastAsia" w:ascii="宋体" w:hAnsi="宋体" w:eastAsia="宋体"/>
          <w:color w:val="auto"/>
          <w:szCs w:val="21"/>
          <w:highlight w:val="none"/>
          <w:lang w:val="en-US" w:eastAsia="zh-CN"/>
        </w:rPr>
        <w:t>须</w:t>
      </w:r>
      <w:r>
        <w:rPr>
          <w:rFonts w:hint="eastAsia" w:ascii="宋体" w:hAnsi="宋体" w:eastAsia="宋体"/>
          <w:color w:val="auto"/>
          <w:szCs w:val="21"/>
          <w:highlight w:val="none"/>
        </w:rPr>
        <w:t>立即完善</w:t>
      </w:r>
      <w:r>
        <w:rPr>
          <w:rFonts w:hint="eastAsia" w:ascii="宋体" w:hAnsi="宋体" w:eastAsia="宋体"/>
          <w:color w:val="auto"/>
          <w:szCs w:val="21"/>
          <w:highlight w:val="none"/>
          <w:lang w:val="en-US" w:eastAsia="zh-CN"/>
        </w:rPr>
        <w:t>网站</w:t>
      </w:r>
      <w:r>
        <w:rPr>
          <w:rFonts w:hint="eastAsia" w:ascii="宋体" w:hAnsi="宋体" w:eastAsia="宋体"/>
          <w:color w:val="auto"/>
          <w:szCs w:val="21"/>
          <w:highlight w:val="none"/>
        </w:rPr>
        <w:t>机制，给</w:t>
      </w:r>
      <w:r>
        <w:rPr>
          <w:rFonts w:hint="eastAsia" w:ascii="宋体" w:hAnsi="宋体" w:eastAsia="宋体"/>
          <w:color w:val="auto"/>
          <w:szCs w:val="21"/>
          <w:highlight w:val="none"/>
          <w:lang w:val="en-US" w:eastAsia="zh-CN"/>
        </w:rPr>
        <w:t>浏览者</w:t>
      </w:r>
      <w:r>
        <w:rPr>
          <w:rFonts w:hint="eastAsia" w:ascii="宋体" w:hAnsi="宋体" w:eastAsia="宋体"/>
          <w:color w:val="auto"/>
          <w:szCs w:val="21"/>
          <w:highlight w:val="none"/>
        </w:rPr>
        <w:t>带来更好的用户体验。</w:t>
      </w:r>
    </w:p>
    <w:p w14:paraId="35053AC0">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官方网站包括站点管理、内容管理、政府信息公开、信息共享、模板管理、个性化门户、管理等功能。</w:t>
      </w:r>
    </w:p>
    <w:p w14:paraId="79BFAF1A">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本项目</w:t>
      </w:r>
      <w:r>
        <w:rPr>
          <w:rFonts w:hint="eastAsia" w:ascii="宋体" w:hAnsi="宋体" w:eastAsia="宋体"/>
          <w:color w:val="auto"/>
          <w:szCs w:val="21"/>
          <w:highlight w:val="none"/>
        </w:rPr>
        <w:t>需要维护官方网站的浏览、对新增需求进行开发和调整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对现有需求和功能的调整和优化</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乙方还应当</w:t>
      </w:r>
      <w:r>
        <w:rPr>
          <w:rFonts w:hint="eastAsia" w:ascii="宋体" w:hAnsi="宋体" w:eastAsia="宋体"/>
          <w:color w:val="auto"/>
          <w:szCs w:val="21"/>
          <w:highlight w:val="none"/>
        </w:rPr>
        <w:t>在规定时间内对域名进行https证书的更新；</w:t>
      </w:r>
      <w:r>
        <w:rPr>
          <w:rFonts w:hint="eastAsia" w:ascii="宋体" w:hAnsi="宋体" w:eastAsia="宋体"/>
          <w:color w:val="auto"/>
          <w:szCs w:val="21"/>
          <w:highlight w:val="none"/>
          <w:lang w:val="en-US" w:eastAsia="zh-CN"/>
        </w:rPr>
        <w:t>除上述服务内容外</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需对鸦片战争博物馆的官方网站</w:t>
      </w:r>
      <w:r>
        <w:rPr>
          <w:rFonts w:hint="eastAsia" w:ascii="宋体" w:hAnsi="宋体" w:eastAsia="宋体"/>
          <w:color w:val="auto"/>
          <w:szCs w:val="21"/>
          <w:highlight w:val="none"/>
          <w:lang w:val="en-US" w:eastAsia="zh-CN"/>
        </w:rPr>
        <w:t>进行以下功能优化：</w:t>
      </w:r>
      <w:r>
        <w:rPr>
          <w:rFonts w:hint="eastAsia" w:ascii="宋体" w:hAnsi="宋体" w:eastAsia="宋体"/>
          <w:color w:val="auto"/>
          <w:szCs w:val="21"/>
          <w:highlight w:val="none"/>
        </w:rPr>
        <w:t>网站文物自动增加水印功能、增加年代和收藏时间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网站手机版展览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活动、资讯栏目显示方式修改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网站后台发布时间调整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票务服务</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明清海防研究后台栏目调整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为一网共享提供数据源和提供对外接口等。</w:t>
      </w:r>
    </w:p>
    <w:p w14:paraId="43BD0655">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博物馆业务系统维护和升级</w:t>
      </w:r>
    </w:p>
    <w:p w14:paraId="37D27651">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博物馆业务系统是本次项目的核心，</w:t>
      </w:r>
      <w:r>
        <w:rPr>
          <w:rFonts w:hint="eastAsia" w:ascii="宋体" w:hAnsi="宋体" w:eastAsia="宋体"/>
          <w:color w:val="auto"/>
          <w:szCs w:val="21"/>
          <w:highlight w:val="none"/>
          <w:lang w:val="en-US" w:eastAsia="zh-CN"/>
        </w:rPr>
        <w:t>是甲方</w:t>
      </w:r>
      <w:r>
        <w:rPr>
          <w:rFonts w:hint="eastAsia" w:ascii="宋体" w:hAnsi="宋体" w:eastAsia="宋体"/>
          <w:color w:val="auto"/>
          <w:szCs w:val="21"/>
          <w:highlight w:val="none"/>
        </w:rPr>
        <w:t>日常办公系统，主要为各部门提供收文处理和发文处理的电子化，提高公文处理的效率。实现办公事务、公文管理、个人事务等功能，实现单位内部资源共享、增强员工协同工作能力、强化公文监控管理、实现公文流转、审核等行政事务自动处理，促进公文管理电子化、规范化，提高行政办公效率。还集成</w:t>
      </w:r>
      <w:r>
        <w:rPr>
          <w:rFonts w:hint="eastAsia" w:ascii="宋体" w:hAnsi="宋体" w:eastAsia="宋体"/>
          <w:color w:val="auto"/>
          <w:szCs w:val="21"/>
          <w:highlight w:val="none"/>
          <w:lang w:val="en-US" w:eastAsia="zh-CN"/>
        </w:rPr>
        <w:t>了</w:t>
      </w:r>
      <w:r>
        <w:rPr>
          <w:rFonts w:hint="eastAsia" w:ascii="宋体" w:hAnsi="宋体" w:eastAsia="宋体"/>
          <w:color w:val="auto"/>
          <w:szCs w:val="21"/>
          <w:highlight w:val="none"/>
        </w:rPr>
        <w:t>短信、网站、以及其他业务系统，实现与这些业务系统数据自动交换。</w:t>
      </w:r>
    </w:p>
    <w:p w14:paraId="04CADC4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本次项目需对</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业务系统进行维护，以保证其业务系统的稳定运行；</w:t>
      </w:r>
      <w:r>
        <w:rPr>
          <w:rFonts w:hint="eastAsia" w:ascii="宋体" w:hAnsi="宋体" w:eastAsia="宋体"/>
          <w:color w:val="auto"/>
          <w:szCs w:val="21"/>
          <w:highlight w:val="none"/>
          <w:lang w:val="en-US" w:eastAsia="zh-CN"/>
        </w:rPr>
        <w:t>除日常维护之外，乙方还</w:t>
      </w:r>
      <w:r>
        <w:rPr>
          <w:rFonts w:hint="eastAsia" w:ascii="宋体" w:hAnsi="宋体" w:eastAsia="宋体"/>
          <w:color w:val="auto"/>
          <w:szCs w:val="21"/>
          <w:highlight w:val="none"/>
        </w:rPr>
        <w:t>需要对</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业务系统</w:t>
      </w:r>
      <w:r>
        <w:rPr>
          <w:rFonts w:hint="eastAsia" w:ascii="宋体" w:hAnsi="宋体" w:eastAsia="宋体"/>
          <w:color w:val="auto"/>
          <w:szCs w:val="21"/>
          <w:highlight w:val="none"/>
          <w:lang w:val="en-US" w:eastAsia="zh-CN"/>
        </w:rPr>
        <w:t>进行以下功能优化：</w:t>
      </w:r>
      <w:r>
        <w:rPr>
          <w:rFonts w:hint="eastAsia" w:ascii="宋体" w:hAnsi="宋体" w:eastAsia="宋体"/>
          <w:color w:val="auto"/>
          <w:szCs w:val="21"/>
          <w:highlight w:val="none"/>
        </w:rPr>
        <w:t>办公设备保修功能</w:t>
      </w:r>
      <w:r>
        <w:rPr>
          <w:rFonts w:hint="eastAsia" w:ascii="宋体" w:hAnsi="宋体" w:eastAsia="宋体"/>
          <w:color w:val="auto"/>
          <w:szCs w:val="21"/>
          <w:highlight w:val="none"/>
          <w:lang w:val="en-US" w:eastAsia="zh-CN"/>
        </w:rPr>
        <w:t>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包括但不限于</w:t>
      </w:r>
      <w:r>
        <w:rPr>
          <w:rFonts w:hint="eastAsia" w:ascii="宋体" w:hAnsi="宋体" w:eastAsia="宋体"/>
          <w:color w:val="auto"/>
          <w:szCs w:val="21"/>
          <w:highlight w:val="none"/>
        </w:rPr>
        <w:t>栏目名称更改、在表单中增加项目</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去除备注、增加维修单上传附件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增加维修单是否完成状态并在完成后推送消息到主任和分管领导</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陪产假计算</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包括周末</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发文查询里面增加审核意见及附件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显示缩略图</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鼠标放在上面能显示全部</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加班申请流程</w:t>
      </w:r>
      <w:r>
        <w:rPr>
          <w:rFonts w:hint="eastAsia" w:ascii="宋体" w:hAnsi="宋体" w:eastAsia="宋体"/>
          <w:color w:val="auto"/>
          <w:szCs w:val="21"/>
          <w:highlight w:val="none"/>
          <w:lang w:val="en-US" w:eastAsia="zh-CN"/>
        </w:rPr>
        <w:t>增加</w:t>
      </w:r>
      <w:r>
        <w:rPr>
          <w:rFonts w:hint="eastAsia" w:ascii="宋体" w:hAnsi="宋体" w:eastAsia="宋体"/>
          <w:color w:val="auto"/>
          <w:szCs w:val="21"/>
          <w:highlight w:val="none"/>
        </w:rPr>
        <w:t>审核环节</w:t>
      </w:r>
      <w:r>
        <w:rPr>
          <w:rFonts w:hint="eastAsia" w:ascii="宋体" w:hAnsi="宋体" w:eastAsia="宋体"/>
          <w:color w:val="auto"/>
          <w:szCs w:val="21"/>
          <w:highlight w:val="none"/>
          <w:lang w:val="en-US" w:eastAsia="zh-CN"/>
        </w:rPr>
        <w:t>同时汇总</w:t>
      </w:r>
      <w:r>
        <w:rPr>
          <w:rFonts w:hint="eastAsia" w:ascii="宋体" w:hAnsi="宋体" w:eastAsia="宋体"/>
          <w:color w:val="auto"/>
          <w:szCs w:val="21"/>
          <w:highlight w:val="none"/>
        </w:rPr>
        <w:t>本部门加班</w:t>
      </w:r>
      <w:r>
        <w:rPr>
          <w:rFonts w:hint="eastAsia" w:ascii="宋体" w:hAnsi="宋体" w:eastAsia="宋体"/>
          <w:color w:val="auto"/>
          <w:szCs w:val="21"/>
          <w:highlight w:val="none"/>
          <w:lang w:val="en-US" w:eastAsia="zh-CN"/>
        </w:rPr>
        <w:t>情况</w:t>
      </w:r>
      <w:r>
        <w:rPr>
          <w:rFonts w:hint="eastAsia" w:ascii="宋体" w:hAnsi="宋体" w:eastAsia="宋体"/>
          <w:color w:val="auto"/>
          <w:szCs w:val="21"/>
          <w:highlight w:val="none"/>
        </w:rPr>
        <w:t>并统计</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人事请假查看的权限调整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公务接待审批表修改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领导分管部门修改和发文流程修改</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陈列部采购单查看权限调整</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固定资产的需求；为一网共享提供数据源和提供对外接口等。</w:t>
      </w:r>
    </w:p>
    <w:p w14:paraId="7FA832D9">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档案管理系统维护</w:t>
      </w:r>
    </w:p>
    <w:p w14:paraId="4096C58D">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鸦片战争博物馆档案系统主要功能是全宗管理、目录管理、案卷级档案管理、卷内文件管理、自动归档管理、原件扫描、智能检索等。</w:t>
      </w:r>
    </w:p>
    <w:p w14:paraId="1B6C986B">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藏品管理系统维护</w:t>
      </w:r>
    </w:p>
    <w:p w14:paraId="5F0767B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藏品管理系统是按照国家最新标准规范，基于藏品业务管理流程</w:t>
      </w:r>
      <w:r>
        <w:rPr>
          <w:rFonts w:hint="eastAsia" w:ascii="宋体" w:hAnsi="宋体" w:eastAsia="宋体"/>
          <w:color w:val="auto"/>
          <w:szCs w:val="21"/>
          <w:highlight w:val="none"/>
          <w:lang w:val="en-US" w:eastAsia="zh-CN"/>
        </w:rPr>
        <w:t>建设</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具有</w:t>
      </w:r>
      <w:r>
        <w:rPr>
          <w:rFonts w:hint="eastAsia" w:ascii="宋体" w:hAnsi="宋体" w:eastAsia="宋体"/>
          <w:color w:val="auto"/>
          <w:szCs w:val="21"/>
          <w:highlight w:val="none"/>
        </w:rPr>
        <w:t>藏品征集、藏品鉴定、账目管理等一系列的管理功能，实现藏品管理</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规范化、科学化、信息化。</w:t>
      </w:r>
    </w:p>
    <w:p w14:paraId="0DE0D03C">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票务系统维护</w:t>
      </w:r>
    </w:p>
    <w:p w14:paraId="53805D9A">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票务系统为游客提供票务预约、检票和数据管理等服务，提供门票票类管理、会员卡管理、管理卡管理、团体管理等功能。</w:t>
      </w:r>
    </w:p>
    <w:p w14:paraId="262BFB10">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知识驿站系统维护</w:t>
      </w:r>
    </w:p>
    <w:p w14:paraId="791AC45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知识驿站系统为鸦片战争展览提供文物知识的线上浏览服务，系统包括微屏触摸导览子系统、后台管理子系统、UI设计制作、博物馆展示子系统等四大模块。</w:t>
      </w:r>
    </w:p>
    <w:p w14:paraId="37B88E8F">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红色基因库展示系统维护</w:t>
      </w:r>
    </w:p>
    <w:p w14:paraId="5D9C0984">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红色基因库展示系统将提供鸦片战争博物馆陈列、虎门炮台旧址、文物藏品、视频等红色资源数据展示和浏览体验。</w:t>
      </w:r>
    </w:p>
    <w:p w14:paraId="14D9F928">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语音导览系统维护</w:t>
      </w:r>
    </w:p>
    <w:p w14:paraId="4CB0C78F">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为进一步方便社会公众对鸦片战争博物馆的认识和游览，</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已经在在鸦片战争博物馆公众号上实现鸦片战争展览语音导览的全馆展示功能。鸦片战争博物馆公众号的全馆语音导览，用于诠释或者再现展品或者展品存在环境的辅助展具，不会占据展览空间，不会打断展览体验，并且辅助展具和展品在同一视野之内，可由社会公众自主携带，可以任意形成和展品的位置以及诠释关系。鸦片战争展览的语音导览包括鸦片战争陈列、序厅、第一至第七</w:t>
      </w:r>
      <w:r>
        <w:rPr>
          <w:rFonts w:hint="eastAsia" w:ascii="宋体" w:hAnsi="宋体" w:eastAsia="宋体"/>
          <w:color w:val="auto"/>
          <w:szCs w:val="21"/>
          <w:highlight w:val="none"/>
          <w:lang w:val="en-US" w:eastAsia="zh-CN"/>
        </w:rPr>
        <w:t>部分</w:t>
      </w:r>
      <w:r>
        <w:rPr>
          <w:rFonts w:hint="eastAsia" w:ascii="宋体" w:hAnsi="宋体" w:eastAsia="宋体"/>
          <w:color w:val="auto"/>
          <w:szCs w:val="21"/>
          <w:highlight w:val="none"/>
        </w:rPr>
        <w:t>的分类、文档、视频等功能。</w:t>
      </w:r>
    </w:p>
    <w:p w14:paraId="16EAD0F3">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服务器系统维护</w:t>
      </w:r>
    </w:p>
    <w:p w14:paraId="58D1CD2C">
      <w:pPr>
        <w:pStyle w:val="27"/>
        <w:numPr>
          <w:ilvl w:val="0"/>
          <w:numId w:val="1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调研评估</w:t>
      </w:r>
    </w:p>
    <w:p w14:paraId="6526B3DF">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根据</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或应用系统运行的需求，对运维产品的调研评估提供支持，并提出处理或改进的建议和方案。</w:t>
      </w:r>
    </w:p>
    <w:p w14:paraId="29349E39">
      <w:pPr>
        <w:pStyle w:val="27"/>
        <w:numPr>
          <w:ilvl w:val="0"/>
          <w:numId w:val="1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例行操作</w:t>
      </w:r>
    </w:p>
    <w:p w14:paraId="129E8F2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预防性维护：对设备的运行状况、安全性等进行健康检查。包括硬件设备的检查、除尘、调整和坏件更</w:t>
      </w:r>
      <w:r>
        <w:rPr>
          <w:rFonts w:hint="eastAsia" w:ascii="宋体" w:hAnsi="宋体" w:eastAsia="宋体" w:cs="宋体"/>
          <w:color w:val="auto"/>
          <w:szCs w:val="21"/>
          <w:highlight w:val="none"/>
        </w:rPr>
        <w:t>换</w:t>
      </w:r>
      <w:r>
        <w:rPr>
          <w:rFonts w:hint="eastAsia" w:ascii="宋体" w:hAnsi="宋体" w:eastAsia="宋体" w:cs="宋体"/>
          <w:color w:val="auto"/>
          <w:highlight w:val="none"/>
        </w:rPr>
        <w:t>，坏件更换和设备维修的费用</w:t>
      </w:r>
      <w:r>
        <w:rPr>
          <w:rFonts w:hint="eastAsia" w:ascii="宋体" w:hAnsi="宋体" w:eastAsia="宋体" w:cs="宋体"/>
          <w:color w:val="auto"/>
          <w:highlight w:val="none"/>
          <w:lang w:val="en-US" w:eastAsia="zh-CN"/>
        </w:rPr>
        <w:t>均</w:t>
      </w:r>
      <w:r>
        <w:rPr>
          <w:rFonts w:hint="eastAsia" w:ascii="宋体" w:hAnsi="宋体" w:eastAsia="宋体" w:cs="宋体"/>
          <w:color w:val="auto"/>
          <w:highlight w:val="none"/>
        </w:rPr>
        <w:t>由</w:t>
      </w:r>
      <w:r>
        <w:rPr>
          <w:rFonts w:hint="eastAsia" w:ascii="宋体" w:hAnsi="宋体" w:eastAsia="宋体" w:cs="宋体"/>
          <w:color w:val="auto"/>
          <w:highlight w:val="none"/>
          <w:lang w:val="en-US" w:eastAsia="zh-CN"/>
        </w:rPr>
        <w:t>乙方</w:t>
      </w:r>
      <w:r>
        <w:rPr>
          <w:rFonts w:hint="eastAsia" w:ascii="宋体" w:hAnsi="宋体" w:eastAsia="宋体" w:cs="宋体"/>
          <w:color w:val="auto"/>
          <w:highlight w:val="none"/>
        </w:rPr>
        <w:t>承担</w:t>
      </w:r>
      <w:r>
        <w:rPr>
          <w:rFonts w:hint="eastAsia" w:ascii="宋体" w:hAnsi="宋体" w:eastAsia="宋体" w:cs="宋体"/>
          <w:color w:val="auto"/>
          <w:szCs w:val="21"/>
          <w:highlight w:val="none"/>
        </w:rPr>
        <w:t>。</w:t>
      </w:r>
      <w:r>
        <w:rPr>
          <w:rFonts w:hint="eastAsia" w:ascii="宋体" w:hAnsi="宋体" w:eastAsia="宋体"/>
          <w:color w:val="auto"/>
          <w:szCs w:val="21"/>
          <w:highlight w:val="none"/>
        </w:rPr>
        <w:t>运行环境、硬件配置的检查支持，以及对系统日志的检查与分析，根据系统的报错信息，发现潜在安全问题，尽早采取措施，排除隐患和安全漏洞。要求维护后提交完整的报告。</w:t>
      </w:r>
    </w:p>
    <w:p w14:paraId="3CACB495">
      <w:pPr>
        <w:pStyle w:val="27"/>
        <w:numPr>
          <w:ilvl w:val="0"/>
          <w:numId w:val="1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响应支持</w:t>
      </w:r>
    </w:p>
    <w:p w14:paraId="00CFAD18">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系统故障诊断及检修：设备出现问题，</w:t>
      </w:r>
      <w:r>
        <w:rPr>
          <w:rFonts w:hint="eastAsia" w:ascii="宋体" w:hAnsi="宋体" w:eastAsia="宋体"/>
          <w:color w:val="auto"/>
          <w:szCs w:val="21"/>
          <w:highlight w:val="none"/>
          <w:lang w:val="en-US" w:eastAsia="zh-CN"/>
        </w:rPr>
        <w:t>乙方须</w:t>
      </w:r>
      <w:r>
        <w:rPr>
          <w:rFonts w:hint="eastAsia" w:ascii="宋体" w:hAnsi="宋体" w:eastAsia="宋体"/>
          <w:color w:val="auto"/>
          <w:szCs w:val="21"/>
          <w:highlight w:val="none"/>
        </w:rPr>
        <w:t>及时对问题</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诊断、分析</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解决提供支持。</w:t>
      </w:r>
    </w:p>
    <w:p w14:paraId="731AC67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备件保修和更换：当设备出现故障时，</w:t>
      </w:r>
      <w:r>
        <w:rPr>
          <w:rFonts w:hint="eastAsia" w:ascii="宋体" w:hAnsi="宋体" w:eastAsia="宋体"/>
          <w:color w:val="auto"/>
          <w:szCs w:val="21"/>
          <w:highlight w:val="none"/>
          <w:lang w:val="en-US" w:eastAsia="zh-CN"/>
        </w:rPr>
        <w:t>乙方须</w:t>
      </w:r>
      <w:r>
        <w:rPr>
          <w:rFonts w:hint="eastAsia" w:ascii="宋体" w:hAnsi="宋体" w:eastAsia="宋体"/>
          <w:color w:val="auto"/>
          <w:szCs w:val="21"/>
          <w:highlight w:val="none"/>
        </w:rPr>
        <w:t>及时对检查、维修或更换故障部件提供支持</w:t>
      </w:r>
    </w:p>
    <w:p w14:paraId="07DC7FE5">
      <w:pPr>
        <w:pStyle w:val="27"/>
        <w:numPr>
          <w:ilvl w:val="0"/>
          <w:numId w:val="116"/>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其它要求</w:t>
      </w:r>
    </w:p>
    <w:p w14:paraId="6FA79624">
      <w:pPr>
        <w:pStyle w:val="27"/>
        <w:numPr>
          <w:ilvl w:val="0"/>
          <w:numId w:val="117"/>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提供相当于原厂服务标准的7×24小时专人运维服务支持</w:t>
      </w:r>
      <w:r>
        <w:rPr>
          <w:rFonts w:hint="eastAsia" w:ascii="宋体" w:hAnsi="宋体" w:eastAsia="宋体"/>
          <w:color w:val="auto"/>
          <w:szCs w:val="21"/>
          <w:highlight w:val="none"/>
          <w:lang w:eastAsia="zh-CN"/>
        </w:rPr>
        <w:t>；</w:t>
      </w:r>
    </w:p>
    <w:p w14:paraId="78975620">
      <w:pPr>
        <w:pStyle w:val="27"/>
        <w:numPr>
          <w:ilvl w:val="0"/>
          <w:numId w:val="117"/>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监察服务器运行日志，做好相关记录，保存相关文档；</w:t>
      </w:r>
    </w:p>
    <w:p w14:paraId="7A9A4032">
      <w:pPr>
        <w:pStyle w:val="27"/>
        <w:numPr>
          <w:ilvl w:val="0"/>
          <w:numId w:val="117"/>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对服务器日常运行进行统计，提交运行报告，进行定期分析；</w:t>
      </w:r>
    </w:p>
    <w:p w14:paraId="13E77E88">
      <w:pPr>
        <w:pStyle w:val="27"/>
        <w:numPr>
          <w:ilvl w:val="0"/>
          <w:numId w:val="117"/>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监控系统、网络、数据库和各应用系统，出现异常情况应立即向相关技术人员及时报告,并参与平台应急处理工作</w:t>
      </w:r>
      <w:r>
        <w:rPr>
          <w:rFonts w:hint="eastAsia" w:ascii="宋体" w:hAnsi="宋体" w:eastAsia="宋体"/>
          <w:color w:val="auto"/>
          <w:szCs w:val="21"/>
          <w:highlight w:val="none"/>
          <w:lang w:eastAsia="zh-CN"/>
        </w:rPr>
        <w:t>；</w:t>
      </w:r>
    </w:p>
    <w:p w14:paraId="1E881B8C">
      <w:pPr>
        <w:pStyle w:val="27"/>
        <w:numPr>
          <w:ilvl w:val="0"/>
          <w:numId w:val="117"/>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跟踪和监控服务器性能、资源占用等。</w:t>
      </w:r>
    </w:p>
    <w:p w14:paraId="1D38AAF4">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鸦片战争博物馆</w:t>
      </w:r>
      <w:r>
        <w:rPr>
          <w:rFonts w:hint="eastAsia" w:ascii="宋体" w:hAnsi="宋体" w:eastAsia="宋体"/>
          <w:color w:val="auto"/>
          <w:szCs w:val="21"/>
          <w:highlight w:val="none"/>
          <w:lang w:val="en-US" w:eastAsia="zh-CN"/>
        </w:rPr>
        <w:t>官网及业务系统</w:t>
      </w:r>
      <w:r>
        <w:rPr>
          <w:rFonts w:hint="eastAsia" w:ascii="宋体" w:hAnsi="宋体" w:eastAsia="宋体"/>
          <w:color w:val="auto"/>
          <w:szCs w:val="21"/>
          <w:highlight w:val="none"/>
        </w:rPr>
        <w:t>系统部署到政务云的迁移和调整</w:t>
      </w:r>
    </w:p>
    <w:p w14:paraId="61E0177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随着政府治理模式向数据驱动转变，垂直行业和地方政府着力解决数据共享难问题，各部委各省市专网加速向电子政务外网整合，业务加速向政务云上迁移，网络范围和安全边界扩大，这就要求政务外网建设应具备数字化、智能化、服务化的特征。</w:t>
      </w:r>
    </w:p>
    <w:p w14:paraId="0C99317F">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本次项目根据上级部门要求，</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须协助</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逐步实现将鸦片战争博物馆官方网站及业务系统迁移部署到政务云并保证其稳定运行。</w:t>
      </w:r>
    </w:p>
    <w:p w14:paraId="137FC670">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微信公众号维护</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乙方须在</w:t>
      </w:r>
      <w:r>
        <w:rPr>
          <w:rFonts w:hint="eastAsia" w:ascii="宋体" w:hAnsi="宋体" w:eastAsia="宋体"/>
          <w:color w:val="auto"/>
          <w:szCs w:val="21"/>
          <w:highlight w:val="none"/>
        </w:rPr>
        <w:t>规定时间内对公众号进行年审和续费</w:t>
      </w:r>
      <w:r>
        <w:rPr>
          <w:rFonts w:hint="eastAsia" w:ascii="宋体" w:hAnsi="宋体" w:eastAsia="宋体"/>
          <w:color w:val="auto"/>
          <w:szCs w:val="21"/>
          <w:highlight w:val="none"/>
          <w:lang w:eastAsia="zh-CN"/>
        </w:rPr>
        <w:t>）</w:t>
      </w:r>
    </w:p>
    <w:p w14:paraId="1C1B13DD">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本次项目采用模板消息来帮助公众号实现业务通知功能。开发者在模板内容中设定参数（参数以"{{"开头，以".DATA}}"结尾），调用时为这些参数赋值，维护发送的接口。</w:t>
      </w:r>
    </w:p>
    <w:p w14:paraId="22906B1B">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由于公众号只能在模板库中按照行业选择模板，而当前模板库中暂无</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所需的模板，因此，在满足要求的情况下，需要按照公众号的语言和规则，重新申请新的消息模板，充实模板库。开发并上传自定义模板，可以使用该模板向公众发送消息。</w:t>
      </w:r>
    </w:p>
    <w:p w14:paraId="30FE3A43">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新媒体小组第三方软件服务</w:t>
      </w:r>
    </w:p>
    <w:p w14:paraId="34801EDC">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为了实现网站和微信、微博等信息的及时发布，</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需要对本内容进行维护，并保证其运行正常。</w:t>
      </w:r>
    </w:p>
    <w:p w14:paraId="46045F29">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其他开发能力和技术支持要求</w:t>
      </w:r>
    </w:p>
    <w:p w14:paraId="42EE7872">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为保持系统的稳定性和技术的持续性，</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须具有OA系统的开发能力和技术实力；</w:t>
      </w:r>
    </w:p>
    <w:p w14:paraId="002DA868">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支持WebService接口，为后续OA系统和其他系统进行对接；</w:t>
      </w:r>
    </w:p>
    <w:p w14:paraId="37BB383E">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服务器端支持Window、Linux两种主流操作系统；</w:t>
      </w:r>
    </w:p>
    <w:p w14:paraId="2A8E633F">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支持Oracle、SQL Server、My SQL、DB2、Sybase四种主流数据库；</w:t>
      </w:r>
    </w:p>
    <w:p w14:paraId="11B4C8EB">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中间件支持JBOSS、Tomcat、WebSphere、Oracle WebLogic等；</w:t>
      </w:r>
    </w:p>
    <w:p w14:paraId="39E19FAA">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支持可视化表单设计，“所见即所得”的开发模式；</w:t>
      </w:r>
    </w:p>
    <w:p w14:paraId="3F336BF7">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支持丰富的表单控件如：选项卡、包含元素、视图选择框、在线拍照、百度地图、在线word、html编辑器；</w:t>
      </w:r>
    </w:p>
    <w:p w14:paraId="211DE7AA">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支持在表单设计器进行html源代码的双向切换；</w:t>
      </w:r>
    </w:p>
    <w:p w14:paraId="31DB40BC">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支持可视化流程设计，可以直接在web浏览器画流程；</w:t>
      </w:r>
    </w:p>
    <w:p w14:paraId="3A60A4AF">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支持丰富的节点属性，如并行、串行、聚合、非聚合等，同时支持回退、回撤、挂起、催办等通知；</w:t>
      </w:r>
    </w:p>
    <w:p w14:paraId="33F868C0">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支持子流程，支持流程设计器中通过代码进行复杂业务逻辑关联；</w:t>
      </w:r>
    </w:p>
    <w:p w14:paraId="1389B070">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支持提供自带的功能模块供参考和使用，如基础的OA功能模板；</w:t>
      </w:r>
    </w:p>
    <w:p w14:paraId="2859D533">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支持系统的功能模板导入导出的功能，方便后续单位系统升级时的便利性；</w:t>
      </w:r>
    </w:p>
    <w:p w14:paraId="56884E87">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提供函数库、样式库、校验库功能，方便</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内部技术人员使用自己的方法和函数；</w:t>
      </w:r>
    </w:p>
    <w:p w14:paraId="4244BE42">
      <w:pPr>
        <w:pStyle w:val="27"/>
        <w:numPr>
          <w:ilvl w:val="0"/>
          <w:numId w:val="118"/>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必须兼容主流浏览器，包括IE11以上、google chrome、搜狗浏览器。</w:t>
      </w:r>
    </w:p>
    <w:p w14:paraId="1791EE41">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网站、微网站优化改造</w:t>
      </w:r>
    </w:p>
    <w:p w14:paraId="0EEA3653">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网站内容维护包括门户网站、各子网站，包括各时期新增的专题页面及图片、flash制作。</w:t>
      </w:r>
    </w:p>
    <w:p w14:paraId="0E606E19">
      <w:pPr>
        <w:pStyle w:val="27"/>
        <w:numPr>
          <w:ilvl w:val="0"/>
          <w:numId w:val="1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应用功能组件维护</w:t>
      </w:r>
    </w:p>
    <w:p w14:paraId="4024FFF9">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维护网站交互式功能组件，保证其能正常运行。包括：网上咨询 、网上信访、领导信箱、网上调查、意见征集、信息订阅等功能性组件的维护，以及在维护期内新增的组件进行开发维护。</w:t>
      </w:r>
    </w:p>
    <w:p w14:paraId="38A85CE9">
      <w:pPr>
        <w:pStyle w:val="27"/>
        <w:numPr>
          <w:ilvl w:val="0"/>
          <w:numId w:val="1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页面美观维护</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对门户网站（子站）的图片、flash、的更新维护及节庆flash的制作。</w:t>
      </w:r>
    </w:p>
    <w:p w14:paraId="72035AD9">
      <w:pPr>
        <w:pStyle w:val="27"/>
        <w:numPr>
          <w:ilvl w:val="0"/>
          <w:numId w:val="1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模板维护</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对网站风格、版面方面的布局调整等方面的维护。</w:t>
      </w:r>
    </w:p>
    <w:p w14:paraId="3E421968">
      <w:pPr>
        <w:pStyle w:val="27"/>
        <w:numPr>
          <w:ilvl w:val="0"/>
          <w:numId w:val="1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栏目维护</w:t>
      </w:r>
    </w:p>
    <w:p w14:paraId="5830F9DB">
      <w:pPr>
        <w:pStyle w:val="27"/>
        <w:numPr>
          <w:ilvl w:val="-1"/>
          <w:numId w:val="0"/>
        </w:numPr>
        <w:snapToGrid w:val="0"/>
        <w:spacing w:line="360" w:lineRule="auto"/>
        <w:ind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对网站的栏目进行调整、合并、重定向等方面的维护。同时还包括栏目的新增、修改、删除等操作。</w:t>
      </w:r>
    </w:p>
    <w:p w14:paraId="0978E5F0">
      <w:pPr>
        <w:pStyle w:val="27"/>
        <w:numPr>
          <w:ilvl w:val="0"/>
          <w:numId w:val="119"/>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信息内容维护</w:t>
      </w:r>
    </w:p>
    <w:p w14:paraId="5FF59924">
      <w:pPr>
        <w:pStyle w:val="27"/>
        <w:numPr>
          <w:ilvl w:val="0"/>
          <w:numId w:val="120"/>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对网站的信息内容进行增、删、改等操作，以及根据用户要求对已发布的网站内容信息进行迁移。</w:t>
      </w:r>
    </w:p>
    <w:p w14:paraId="3D56EFAA">
      <w:pPr>
        <w:pStyle w:val="27"/>
        <w:numPr>
          <w:ilvl w:val="0"/>
          <w:numId w:val="120"/>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保障网站和微网站的安全和正常使用。对网站、微网站的定期备份，及时修复发现的漏洞，以免受到恶意攻击。</w:t>
      </w:r>
    </w:p>
    <w:p w14:paraId="4C6AA83D">
      <w:pPr>
        <w:pStyle w:val="27"/>
        <w:numPr>
          <w:ilvl w:val="0"/>
          <w:numId w:val="120"/>
        </w:numPr>
        <w:snapToGrid w:val="0"/>
        <w:spacing w:line="360" w:lineRule="auto"/>
        <w:ind w:left="0" w:leftChars="0" w:firstLine="420" w:firstLineChars="200"/>
        <w:contextualSpacing/>
        <w:rPr>
          <w:rFonts w:hint="eastAsia" w:ascii="宋体" w:hAnsi="宋体" w:eastAsia="宋体"/>
          <w:color w:val="auto"/>
          <w:szCs w:val="21"/>
          <w:highlight w:val="none"/>
        </w:rPr>
      </w:pPr>
      <w:r>
        <w:rPr>
          <w:rFonts w:hint="eastAsia" w:ascii="宋体" w:hAnsi="宋体" w:eastAsia="宋体"/>
          <w:color w:val="auto"/>
          <w:szCs w:val="21"/>
          <w:highlight w:val="none"/>
        </w:rPr>
        <w:t>微信公众号的信息发布的技术支持。</w:t>
      </w:r>
    </w:p>
    <w:p w14:paraId="0DFF157B">
      <w:pPr>
        <w:pStyle w:val="27"/>
        <w:numPr>
          <w:ilvl w:val="0"/>
          <w:numId w:val="115"/>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其它运维项目</w:t>
      </w:r>
    </w:p>
    <w:p w14:paraId="608E9651">
      <w:pPr>
        <w:pStyle w:val="27"/>
        <w:numPr>
          <w:ilvl w:val="0"/>
          <w:numId w:val="1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微信公众号服务号和订阅号的年审续费；</w:t>
      </w:r>
    </w:p>
    <w:p w14:paraId="35C18D02">
      <w:pPr>
        <w:pStyle w:val="27"/>
        <w:numPr>
          <w:ilvl w:val="0"/>
          <w:numId w:val="1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为</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使用的百度网盘、秀米会员、麦克表单和迅雷会员代缴相关年度费用；</w:t>
      </w:r>
    </w:p>
    <w:p w14:paraId="423D750C">
      <w:pPr>
        <w:pStyle w:val="27"/>
        <w:numPr>
          <w:ilvl w:val="0"/>
          <w:numId w:val="121"/>
        </w:numPr>
        <w:snapToGrid w:val="0"/>
        <w:spacing w:line="360" w:lineRule="auto"/>
        <w:ind w:left="425" w:leftChars="0" w:hanging="425"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实现网站系统域名续费；</w:t>
      </w:r>
    </w:p>
    <w:p w14:paraId="7A65D40F">
      <w:pPr>
        <w:pStyle w:val="27"/>
        <w:numPr>
          <w:ilvl w:val="0"/>
          <w:numId w:val="121"/>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每月至少进行一次系统的安全检查保障工作，定期备份，修复漏洞。</w:t>
      </w:r>
    </w:p>
    <w:p w14:paraId="5E176120">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网络安全维护</w:t>
      </w:r>
    </w:p>
    <w:p w14:paraId="3300A7F5">
      <w:pPr>
        <w:pStyle w:val="27"/>
        <w:widowControl/>
        <w:numPr>
          <w:ilvl w:val="0"/>
          <w:numId w:val="122"/>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服务标准及目标</w:t>
      </w:r>
    </w:p>
    <w:p w14:paraId="221AD946">
      <w:pPr>
        <w:pStyle w:val="27"/>
        <w:numPr>
          <w:ilvl w:val="0"/>
          <w:numId w:val="123"/>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服务标准（下述涉及文件，以最新版文件规定为准）</w:t>
      </w:r>
    </w:p>
    <w:p w14:paraId="588E2C73">
      <w:pPr>
        <w:pStyle w:val="27"/>
        <w:keepNext w:val="0"/>
        <w:keepLines w:val="0"/>
        <w:pageBreakBefore w:val="0"/>
        <w:widowControl w:val="0"/>
        <w:numPr>
          <w:ilvl w:val="0"/>
          <w:numId w:val="1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《中华人民共和国网络安全法》</w:t>
      </w:r>
      <w:r>
        <w:rPr>
          <w:rFonts w:hint="eastAsia" w:ascii="宋体" w:hAnsi="宋体" w:eastAsia="宋体"/>
          <w:color w:val="auto"/>
          <w:szCs w:val="21"/>
          <w:highlight w:val="none"/>
          <w:lang w:eastAsia="zh-CN"/>
        </w:rPr>
        <w:t>；</w:t>
      </w:r>
    </w:p>
    <w:p w14:paraId="6B223724">
      <w:pPr>
        <w:pStyle w:val="27"/>
        <w:keepNext w:val="0"/>
        <w:keepLines w:val="0"/>
        <w:pageBreakBefore w:val="0"/>
        <w:widowControl w:val="0"/>
        <w:numPr>
          <w:ilvl w:val="0"/>
          <w:numId w:val="1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《中华人民共和国数据安全法》</w:t>
      </w:r>
      <w:r>
        <w:rPr>
          <w:rFonts w:hint="eastAsia" w:ascii="宋体" w:hAnsi="宋体" w:eastAsia="宋体"/>
          <w:color w:val="auto"/>
          <w:szCs w:val="21"/>
          <w:highlight w:val="none"/>
          <w:lang w:eastAsia="zh-CN"/>
        </w:rPr>
        <w:t>；</w:t>
      </w:r>
    </w:p>
    <w:p w14:paraId="4DAF3009">
      <w:pPr>
        <w:pStyle w:val="27"/>
        <w:keepNext w:val="0"/>
        <w:keepLines w:val="0"/>
        <w:pageBreakBefore w:val="0"/>
        <w:widowControl w:val="0"/>
        <w:numPr>
          <w:ilvl w:val="0"/>
          <w:numId w:val="1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《中华人民共和国个人信息保护法》</w:t>
      </w:r>
      <w:r>
        <w:rPr>
          <w:rFonts w:hint="eastAsia" w:ascii="宋体" w:hAnsi="宋体" w:eastAsia="宋体"/>
          <w:color w:val="auto"/>
          <w:szCs w:val="21"/>
          <w:highlight w:val="none"/>
          <w:lang w:eastAsia="zh-CN"/>
        </w:rPr>
        <w:t>；</w:t>
      </w:r>
    </w:p>
    <w:p w14:paraId="58C5FA1B">
      <w:pPr>
        <w:pStyle w:val="27"/>
        <w:keepNext w:val="0"/>
        <w:keepLines w:val="0"/>
        <w:pageBreakBefore w:val="0"/>
        <w:widowControl w:val="0"/>
        <w:numPr>
          <w:ilvl w:val="0"/>
          <w:numId w:val="1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《信息安全等级保护管理办法》（公通字[2007]43号）</w:t>
      </w:r>
      <w:r>
        <w:rPr>
          <w:rFonts w:hint="eastAsia" w:ascii="宋体" w:hAnsi="宋体" w:eastAsia="宋体"/>
          <w:color w:val="auto"/>
          <w:szCs w:val="21"/>
          <w:highlight w:val="none"/>
          <w:lang w:eastAsia="zh-CN"/>
        </w:rPr>
        <w:t>；</w:t>
      </w:r>
    </w:p>
    <w:p w14:paraId="5C443E34">
      <w:pPr>
        <w:pStyle w:val="27"/>
        <w:keepNext w:val="0"/>
        <w:keepLines w:val="0"/>
        <w:pageBreakBefore w:val="0"/>
        <w:widowControl w:val="0"/>
        <w:numPr>
          <w:ilvl w:val="0"/>
          <w:numId w:val="1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《信息安全技术</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网络安全等级保护基本要求》（GB/T 22239-2019）</w:t>
      </w:r>
      <w:r>
        <w:rPr>
          <w:rFonts w:hint="eastAsia" w:ascii="宋体" w:hAnsi="宋体" w:eastAsia="宋体"/>
          <w:color w:val="auto"/>
          <w:szCs w:val="21"/>
          <w:highlight w:val="none"/>
          <w:lang w:eastAsia="zh-CN"/>
        </w:rPr>
        <w:t>。</w:t>
      </w:r>
    </w:p>
    <w:p w14:paraId="48B1B73E">
      <w:pPr>
        <w:pStyle w:val="27"/>
        <w:numPr>
          <w:ilvl w:val="0"/>
          <w:numId w:val="123"/>
        </w:numPr>
        <w:snapToGrid w:val="0"/>
        <w:spacing w:line="360" w:lineRule="auto"/>
        <w:ind w:left="425" w:leftChars="0" w:hanging="425" w:firstLineChars="0"/>
        <w:contextualSpacing/>
        <w:rPr>
          <w:rFonts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服务目标</w:t>
      </w:r>
    </w:p>
    <w:p w14:paraId="77023C65">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通过采购专业的网络安全运维服务，保障</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的网络、业务和数据安全，避免发生严重的网络安全事件造成重大经济损失和不良社会影响。</w:t>
      </w:r>
    </w:p>
    <w:p w14:paraId="306D97DC">
      <w:pPr>
        <w:pStyle w:val="27"/>
        <w:widowControl/>
        <w:numPr>
          <w:ilvl w:val="0"/>
          <w:numId w:val="122"/>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服务内容</w:t>
      </w:r>
    </w:p>
    <w:p w14:paraId="01F0CF35">
      <w:pPr>
        <w:pStyle w:val="27"/>
        <w:numPr>
          <w:ilvl w:val="0"/>
          <w:numId w:val="125"/>
        </w:numPr>
        <w:snapToGrid w:val="0"/>
        <w:spacing w:line="360" w:lineRule="auto"/>
        <w:ind w:left="425" w:leftChars="0" w:hanging="425" w:firstLineChars="0"/>
        <w:contextualSpacing/>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信息资产梳理服务</w:t>
      </w:r>
    </w:p>
    <w:p w14:paraId="1944972C">
      <w:pPr>
        <w:numPr>
          <w:ilvl w:val="0"/>
          <w:numId w:val="126"/>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梳理对外发布的互联网应用系统；</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梳理互联网出口及出口所使用的设备和安全措施；</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梳理网络结构(网络拓扑)；</w:t>
      </w:r>
      <w:r>
        <w:rPr>
          <w:rFonts w:hint="eastAsia" w:ascii="宋体" w:hAnsi="宋体" w:eastAsia="宋体" w:cs="宋体"/>
          <w:b w:val="0"/>
          <w:i w:val="0"/>
          <w:caps w:val="0"/>
          <w:color w:val="auto"/>
          <w:spacing w:val="0"/>
          <w:w w:val="100"/>
          <w:sz w:val="21"/>
          <w:szCs w:val="21"/>
          <w:highlight w:val="none"/>
          <w:lang w:val="en-US" w:eastAsia="zh-CN"/>
        </w:rPr>
        <w:t>④</w:t>
      </w:r>
      <w:r>
        <w:rPr>
          <w:rFonts w:hint="eastAsia" w:ascii="宋体" w:hAnsi="宋体" w:eastAsia="宋体" w:cs="宋体"/>
          <w:b w:val="0"/>
          <w:i w:val="0"/>
          <w:caps w:val="0"/>
          <w:color w:val="auto"/>
          <w:spacing w:val="0"/>
          <w:w w:val="100"/>
          <w:sz w:val="21"/>
          <w:szCs w:val="21"/>
          <w:highlight w:val="none"/>
        </w:rPr>
        <w:t>梳理重要的或需要重点保护的信息系统、应用系统各服务器之间的访问关系；</w:t>
      </w:r>
      <w:r>
        <w:rPr>
          <w:rFonts w:hint="eastAsia" w:ascii="宋体" w:hAnsi="宋体" w:eastAsia="宋体" w:cs="宋体"/>
          <w:b w:val="0"/>
          <w:i w:val="0"/>
          <w:caps w:val="0"/>
          <w:color w:val="auto"/>
          <w:spacing w:val="0"/>
          <w:w w:val="100"/>
          <w:sz w:val="21"/>
          <w:szCs w:val="21"/>
          <w:highlight w:val="none"/>
          <w:lang w:eastAsia="zh-CN"/>
        </w:rPr>
        <w:t>⑤</w:t>
      </w:r>
      <w:r>
        <w:rPr>
          <w:rFonts w:hint="eastAsia" w:ascii="宋体" w:hAnsi="宋体" w:eastAsia="宋体" w:cs="宋体"/>
          <w:b w:val="0"/>
          <w:i w:val="0"/>
          <w:caps w:val="0"/>
          <w:color w:val="auto"/>
          <w:spacing w:val="0"/>
          <w:w w:val="100"/>
          <w:sz w:val="21"/>
          <w:szCs w:val="21"/>
          <w:highlight w:val="none"/>
        </w:rPr>
        <w:t>梳理网络安全设备及网络防护情况；</w:t>
      </w:r>
      <w:r>
        <w:rPr>
          <w:rFonts w:hint="eastAsia" w:ascii="宋体" w:hAnsi="宋体" w:eastAsia="宋体" w:cs="宋体"/>
          <w:b w:val="0"/>
          <w:i w:val="0"/>
          <w:caps w:val="0"/>
          <w:color w:val="auto"/>
          <w:spacing w:val="0"/>
          <w:w w:val="100"/>
          <w:sz w:val="21"/>
          <w:szCs w:val="21"/>
          <w:highlight w:val="none"/>
          <w:lang w:val="en-US" w:eastAsia="zh-CN"/>
        </w:rPr>
        <w:t>⑥</w:t>
      </w:r>
      <w:r>
        <w:rPr>
          <w:rFonts w:hint="eastAsia" w:ascii="宋体" w:hAnsi="宋体" w:eastAsia="宋体" w:cs="宋体"/>
          <w:b w:val="0"/>
          <w:i w:val="0"/>
          <w:caps w:val="0"/>
          <w:color w:val="auto"/>
          <w:spacing w:val="0"/>
          <w:w w:val="100"/>
          <w:sz w:val="21"/>
          <w:szCs w:val="21"/>
          <w:highlight w:val="none"/>
        </w:rPr>
        <w:t>梳理 SSLVPN 和 IPSECVPN 接入情况；</w:t>
      </w:r>
      <w:r>
        <w:rPr>
          <w:rFonts w:hint="eastAsia" w:ascii="宋体" w:hAnsi="宋体" w:eastAsia="宋体" w:cs="宋体"/>
          <w:b w:val="0"/>
          <w:i w:val="0"/>
          <w:caps w:val="0"/>
          <w:color w:val="auto"/>
          <w:spacing w:val="0"/>
          <w:w w:val="100"/>
          <w:sz w:val="21"/>
          <w:szCs w:val="21"/>
          <w:highlight w:val="none"/>
          <w:lang w:eastAsia="zh-CN"/>
        </w:rPr>
        <w:t>⑦</w:t>
      </w:r>
      <w:r>
        <w:rPr>
          <w:rFonts w:hint="eastAsia" w:ascii="宋体" w:hAnsi="宋体" w:eastAsia="宋体" w:cs="宋体"/>
          <w:b w:val="0"/>
          <w:i w:val="0"/>
          <w:caps w:val="0"/>
          <w:color w:val="auto"/>
          <w:spacing w:val="0"/>
          <w:w w:val="100"/>
          <w:sz w:val="21"/>
          <w:szCs w:val="21"/>
          <w:highlight w:val="none"/>
        </w:rPr>
        <w:t>梳理完信息资产后，提出网络安全优化整改方案建议，涉及硬件的优化整改部分由</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自行采购，不涉及硬件的优化整改部分，与</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协调沟通确认后，负责完成安全整改修复工作。</w:t>
      </w:r>
    </w:p>
    <w:p w14:paraId="24101C65">
      <w:pPr>
        <w:numPr>
          <w:ilvl w:val="0"/>
          <w:numId w:val="126"/>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服务频次：每年1次。</w:t>
      </w:r>
    </w:p>
    <w:p w14:paraId="7786F9D5">
      <w:pPr>
        <w:numPr>
          <w:ilvl w:val="0"/>
          <w:numId w:val="126"/>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服务输出：《信息资产台账》《网络拓扑图》《网络安全优化整改方案》。</w:t>
      </w:r>
    </w:p>
    <w:p w14:paraId="26692C9E">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安全风险评估服务</w:t>
      </w:r>
    </w:p>
    <w:p w14:paraId="1A7825A2">
      <w:pPr>
        <w:numPr>
          <w:ilvl w:val="0"/>
          <w:numId w:val="127"/>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漏洞扫描：</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准备现场实施环境，使用漏洞扫描工具实施扫描，扫描完成后，导出原始结果；</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针对导出的原始结果进行人工分析，确保不影响业务的情况下，进行漏洞验证；</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每半年开展1次；</w:t>
      </w:r>
      <w:r>
        <w:rPr>
          <w:rFonts w:hint="eastAsia" w:ascii="宋体" w:hAnsi="宋体" w:eastAsia="宋体" w:cs="宋体"/>
          <w:b w:val="0"/>
          <w:i w:val="0"/>
          <w:caps w:val="0"/>
          <w:color w:val="auto"/>
          <w:spacing w:val="0"/>
          <w:w w:val="100"/>
          <w:sz w:val="21"/>
          <w:szCs w:val="21"/>
          <w:highlight w:val="none"/>
          <w:lang w:val="en-US" w:eastAsia="zh-CN"/>
        </w:rPr>
        <w:t>④</w:t>
      </w:r>
      <w:r>
        <w:rPr>
          <w:rFonts w:hint="eastAsia" w:ascii="宋体" w:hAnsi="宋体" w:eastAsia="宋体" w:cs="宋体"/>
          <w:b w:val="0"/>
          <w:i w:val="0"/>
          <w:caps w:val="0"/>
          <w:color w:val="auto"/>
          <w:spacing w:val="0"/>
          <w:w w:val="100"/>
          <w:sz w:val="21"/>
          <w:szCs w:val="21"/>
          <w:highlight w:val="none"/>
        </w:rPr>
        <w:t>每次输出《漏洞扫描报告》。</w:t>
      </w:r>
    </w:p>
    <w:p w14:paraId="56D33016">
      <w:pPr>
        <w:numPr>
          <w:ilvl w:val="0"/>
          <w:numId w:val="127"/>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弱口令检测：</w:t>
      </w:r>
      <w:r>
        <w:rPr>
          <w:rFonts w:hint="eastAsia" w:ascii="宋体" w:hAnsi="宋体" w:eastAsia="宋体" w:cs="宋体"/>
          <w:b w:val="0"/>
          <w:i w:val="0"/>
          <w:caps w:val="0"/>
          <w:color w:val="auto"/>
          <w:spacing w:val="0"/>
          <w:w w:val="100"/>
          <w:sz w:val="21"/>
          <w:szCs w:val="21"/>
          <w:highlight w:val="none"/>
          <w:lang w:eastAsia="zh-CN"/>
        </w:rPr>
        <w:t>①</w:t>
      </w:r>
      <w:r>
        <w:rPr>
          <w:rFonts w:hint="eastAsia" w:ascii="宋体" w:hAnsi="宋体" w:eastAsia="宋体" w:cs="宋体"/>
          <w:b w:val="0"/>
          <w:i w:val="0"/>
          <w:caps w:val="0"/>
          <w:color w:val="auto"/>
          <w:spacing w:val="0"/>
          <w:w w:val="100"/>
          <w:sz w:val="21"/>
          <w:szCs w:val="21"/>
          <w:highlight w:val="none"/>
        </w:rPr>
        <w:t>对所有设备和系统的口令进行检查，发现弱口令账号；</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每半年开展1次；</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每次输出《弱口令检测报告》。</w:t>
      </w:r>
    </w:p>
    <w:p w14:paraId="742D080B">
      <w:pPr>
        <w:numPr>
          <w:ilvl w:val="0"/>
          <w:numId w:val="127"/>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渗透测试：</w:t>
      </w:r>
      <w:r>
        <w:rPr>
          <w:rFonts w:hint="eastAsia" w:ascii="宋体" w:hAnsi="宋体" w:eastAsia="宋体" w:cs="宋体"/>
          <w:b w:val="0"/>
          <w:i w:val="0"/>
          <w:caps w:val="0"/>
          <w:color w:val="auto"/>
          <w:spacing w:val="0"/>
          <w:w w:val="100"/>
          <w:sz w:val="21"/>
          <w:szCs w:val="21"/>
          <w:highlight w:val="none"/>
          <w:lang w:eastAsia="zh-CN"/>
        </w:rPr>
        <w:t>①</w:t>
      </w:r>
      <w:r>
        <w:rPr>
          <w:rFonts w:hint="eastAsia" w:ascii="宋体" w:hAnsi="宋体" w:eastAsia="宋体" w:cs="宋体"/>
          <w:b w:val="0"/>
          <w:i w:val="0"/>
          <w:caps w:val="0"/>
          <w:color w:val="auto"/>
          <w:spacing w:val="0"/>
          <w:w w:val="100"/>
          <w:sz w:val="21"/>
          <w:szCs w:val="21"/>
          <w:highlight w:val="none"/>
        </w:rPr>
        <w:t>针对</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提供的目标系统开展非破坏性质的模拟攻击者入侵的渗透测试服务，将测试过程和成果总结编写为测试报告，提出安全整改建议，与</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协调沟通确认后，负责完成安全整改修复工作；</w:t>
      </w:r>
      <w:r>
        <w:rPr>
          <w:rFonts w:hint="eastAsia" w:ascii="宋体" w:hAnsi="宋体" w:eastAsia="宋体" w:cs="宋体"/>
          <w:b w:val="0"/>
          <w:i w:val="0"/>
          <w:caps w:val="0"/>
          <w:color w:val="auto"/>
          <w:spacing w:val="0"/>
          <w:w w:val="100"/>
          <w:sz w:val="21"/>
          <w:szCs w:val="21"/>
          <w:highlight w:val="none"/>
          <w:lang w:val="en-US" w:eastAsia="zh-CN"/>
        </w:rPr>
        <w:t>②</w:t>
      </w:r>
      <w:r>
        <w:rPr>
          <w:rFonts w:hint="eastAsia" w:ascii="宋体" w:hAnsi="宋体" w:eastAsia="宋体" w:cs="宋体"/>
          <w:b w:val="0"/>
          <w:i w:val="0"/>
          <w:caps w:val="0"/>
          <w:color w:val="auto"/>
          <w:spacing w:val="0"/>
          <w:w w:val="100"/>
          <w:sz w:val="21"/>
          <w:szCs w:val="21"/>
          <w:highlight w:val="none"/>
        </w:rPr>
        <w:t>针对2个重要系统，每年开展1次；</w:t>
      </w:r>
      <w:r>
        <w:rPr>
          <w:rFonts w:hint="eastAsia" w:ascii="宋体" w:hAnsi="宋体" w:eastAsia="宋体" w:cs="宋体"/>
          <w:b w:val="0"/>
          <w:i w:val="0"/>
          <w:caps w:val="0"/>
          <w:color w:val="auto"/>
          <w:spacing w:val="0"/>
          <w:w w:val="100"/>
          <w:sz w:val="21"/>
          <w:szCs w:val="21"/>
          <w:highlight w:val="none"/>
          <w:lang w:eastAsia="zh-CN"/>
        </w:rPr>
        <w:t>③</w:t>
      </w:r>
      <w:r>
        <w:rPr>
          <w:rFonts w:hint="eastAsia" w:ascii="宋体" w:hAnsi="宋体" w:eastAsia="宋体" w:cs="宋体"/>
          <w:b w:val="0"/>
          <w:i w:val="0"/>
          <w:caps w:val="0"/>
          <w:color w:val="auto"/>
          <w:spacing w:val="0"/>
          <w:w w:val="100"/>
          <w:sz w:val="21"/>
          <w:szCs w:val="21"/>
          <w:highlight w:val="none"/>
        </w:rPr>
        <w:t>每次输出《渗透测试报告》。</w:t>
      </w:r>
    </w:p>
    <w:p w14:paraId="5BC9D4F9">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应急响应服务</w:t>
      </w:r>
    </w:p>
    <w:p w14:paraId="6BDC3E18">
      <w:pPr>
        <w:numPr>
          <w:ilvl w:val="0"/>
          <w:numId w:val="128"/>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服务内容：当</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信息系统发生网络安全事件时，及时提供全方位的技术支持，帮助</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在最短时间内协助恢复业务正常，最大限度降低安全事件造成的影响和损失。应急结束后开展溯源分析，协助整改加固，举一反三，进一步加强防护措施。</w:t>
      </w:r>
    </w:p>
    <w:p w14:paraId="203BC7F8">
      <w:pPr>
        <w:numPr>
          <w:ilvl w:val="0"/>
          <w:numId w:val="128"/>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服务方式：安全服务人员提供7</w:t>
      </w:r>
      <w:r>
        <w:rPr>
          <w:rFonts w:hint="eastAsia" w:ascii="宋体" w:hAnsi="宋体" w:eastAsia="宋体" w:cs="宋体"/>
          <w:b w:val="0"/>
          <w:i w:val="0"/>
          <w:caps w:val="0"/>
          <w:color w:val="auto"/>
          <w:spacing w:val="0"/>
          <w:w w:val="100"/>
          <w:sz w:val="21"/>
          <w:szCs w:val="21"/>
          <w:highlight w:val="none"/>
          <w:lang w:val="en-US" w:eastAsia="zh-CN"/>
        </w:rPr>
        <w:t>×</w:t>
      </w:r>
      <w:r>
        <w:rPr>
          <w:rFonts w:hint="eastAsia" w:ascii="宋体" w:hAnsi="宋体" w:eastAsia="宋体" w:cs="宋体"/>
          <w:b w:val="0"/>
          <w:i w:val="0"/>
          <w:caps w:val="0"/>
          <w:color w:val="auto"/>
          <w:spacing w:val="0"/>
          <w:w w:val="100"/>
          <w:sz w:val="21"/>
          <w:szCs w:val="21"/>
          <w:highlight w:val="none"/>
        </w:rPr>
        <w:t>24小时应急响应服务</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b w:val="0"/>
          <w:bCs w:val="0"/>
          <w:color w:val="auto"/>
          <w:szCs w:val="21"/>
          <w:highlight w:val="none"/>
          <w:lang w:val="en-US" w:eastAsia="zh-CN"/>
        </w:rPr>
        <w:t>重大事件10分钟内响应，中小事件30分钟内响应</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cs="宋体"/>
          <w:b w:val="0"/>
          <w:i w:val="0"/>
          <w:caps w:val="0"/>
          <w:color w:val="auto"/>
          <w:spacing w:val="0"/>
          <w:w w:val="100"/>
          <w:sz w:val="21"/>
          <w:szCs w:val="21"/>
          <w:highlight w:val="none"/>
        </w:rPr>
        <w:t>，</w:t>
      </w:r>
      <w:r>
        <w:rPr>
          <w:rFonts w:hint="eastAsia" w:ascii="宋体" w:hAnsi="宋体" w:eastAsia="宋体" w:cs="宋体"/>
          <w:b w:val="0"/>
          <w:i w:val="0"/>
          <w:caps w:val="0"/>
          <w:color w:val="auto"/>
          <w:spacing w:val="0"/>
          <w:w w:val="100"/>
          <w:sz w:val="21"/>
          <w:szCs w:val="21"/>
          <w:highlight w:val="none"/>
          <w:lang w:val="en-US" w:eastAsia="zh-CN"/>
        </w:rPr>
        <w:t>3</w:t>
      </w:r>
      <w:r>
        <w:rPr>
          <w:rFonts w:hint="eastAsia" w:ascii="宋体" w:hAnsi="宋体" w:eastAsia="宋体" w:cs="宋体"/>
          <w:b w:val="0"/>
          <w:i w:val="0"/>
          <w:caps w:val="0"/>
          <w:color w:val="auto"/>
          <w:spacing w:val="0"/>
          <w:w w:val="100"/>
          <w:sz w:val="21"/>
          <w:szCs w:val="21"/>
          <w:highlight w:val="none"/>
        </w:rPr>
        <w:t>小时</w:t>
      </w:r>
      <w:r>
        <w:rPr>
          <w:rFonts w:hint="eastAsia" w:ascii="宋体" w:hAnsi="宋体" w:eastAsia="宋体" w:cs="宋体"/>
          <w:b w:val="0"/>
          <w:i w:val="0"/>
          <w:caps w:val="0"/>
          <w:color w:val="auto"/>
          <w:spacing w:val="0"/>
          <w:w w:val="100"/>
          <w:sz w:val="21"/>
          <w:szCs w:val="21"/>
          <w:highlight w:val="none"/>
          <w:lang w:val="en-US" w:eastAsia="zh-CN"/>
        </w:rPr>
        <w:t>内</w:t>
      </w:r>
      <w:r>
        <w:rPr>
          <w:rFonts w:hint="eastAsia" w:ascii="宋体" w:hAnsi="宋体" w:eastAsia="宋体" w:cs="宋体"/>
          <w:b w:val="0"/>
          <w:i w:val="0"/>
          <w:caps w:val="0"/>
          <w:color w:val="auto"/>
          <w:spacing w:val="0"/>
          <w:w w:val="100"/>
          <w:sz w:val="21"/>
          <w:szCs w:val="21"/>
          <w:highlight w:val="none"/>
        </w:rPr>
        <w:t>到达现场服务。</w:t>
      </w:r>
    </w:p>
    <w:p w14:paraId="7A84DCA0">
      <w:pPr>
        <w:numPr>
          <w:ilvl w:val="0"/>
          <w:numId w:val="128"/>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cs="宋体"/>
          <w:b w:val="0"/>
          <w:i w:val="0"/>
          <w:caps w:val="0"/>
          <w:color w:val="auto"/>
          <w:spacing w:val="0"/>
          <w:w w:val="100"/>
          <w:sz w:val="21"/>
          <w:szCs w:val="21"/>
          <w:highlight w:val="none"/>
        </w:rPr>
        <w:t>《应急响应报告》。</w:t>
      </w:r>
    </w:p>
    <w:p w14:paraId="0D83CA95">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重保值守服务</w:t>
      </w:r>
    </w:p>
    <w:p w14:paraId="225697CB">
      <w:pPr>
        <w:numPr>
          <w:ilvl w:val="0"/>
          <w:numId w:val="129"/>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服务内容：在重要保障时期为</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提供全方位的安全值守服务，包括事前的风险检测、整改加固，事中的监控预警、攻击防御，事后的分析溯源、报告撰写等服务，当</w:t>
      </w:r>
      <w:r>
        <w:rPr>
          <w:rFonts w:hint="eastAsia" w:ascii="宋体" w:hAnsi="宋体" w:eastAsia="宋体" w:cs="宋体"/>
          <w:b w:val="0"/>
          <w:i w:val="0"/>
          <w:caps w:val="0"/>
          <w:color w:val="auto"/>
          <w:spacing w:val="0"/>
          <w:w w:val="100"/>
          <w:sz w:val="21"/>
          <w:szCs w:val="21"/>
          <w:highlight w:val="none"/>
          <w:lang w:val="en-US" w:eastAsia="zh-CN"/>
        </w:rPr>
        <w:t>甲方系统</w:t>
      </w:r>
      <w:r>
        <w:rPr>
          <w:rFonts w:hint="eastAsia" w:ascii="宋体" w:hAnsi="宋体" w:eastAsia="宋体" w:cs="宋体"/>
          <w:b w:val="0"/>
          <w:i w:val="0"/>
          <w:caps w:val="0"/>
          <w:color w:val="auto"/>
          <w:spacing w:val="0"/>
          <w:w w:val="100"/>
          <w:sz w:val="21"/>
          <w:szCs w:val="21"/>
          <w:highlight w:val="none"/>
        </w:rPr>
        <w:t>遭受攻击时能够及时反映，启动应急预案，将攻击危害程度降到最低。</w:t>
      </w:r>
    </w:p>
    <w:p w14:paraId="6D7F7CBB">
      <w:pPr>
        <w:numPr>
          <w:ilvl w:val="0"/>
          <w:numId w:val="129"/>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服务方式：在两会、“莞盾”、“粤盾”、“粤网安”等重大活动期间安排安全服务工程师值班值守。</w:t>
      </w:r>
    </w:p>
    <w:p w14:paraId="677688DA">
      <w:pPr>
        <w:numPr>
          <w:ilvl w:val="0"/>
          <w:numId w:val="129"/>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服务输出：《重保值守报告》。</w:t>
      </w:r>
    </w:p>
    <w:p w14:paraId="6E5368C2">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整改加固服务</w:t>
      </w:r>
    </w:p>
    <w:p w14:paraId="3DC8EA8F">
      <w:pPr>
        <w:numPr>
          <w:ilvl w:val="0"/>
          <w:numId w:val="130"/>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服务内容：参考国内权威的系统安全配置标准，并结合</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的实际业务需求和脆弱点发现情况，负责完成对操作系统、数据库、中间件、安全设备、网络设备等进行安全配置加固和网络架构安全调优。</w:t>
      </w:r>
    </w:p>
    <w:p w14:paraId="143272B0">
      <w:pPr>
        <w:numPr>
          <w:ilvl w:val="0"/>
          <w:numId w:val="130"/>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服务输出：《整改加固报告》。</w:t>
      </w:r>
    </w:p>
    <w:p w14:paraId="5E012606">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安全巡检服务</w:t>
      </w:r>
    </w:p>
    <w:p w14:paraId="4B181030">
      <w:pPr>
        <w:numPr>
          <w:ilvl w:val="0"/>
          <w:numId w:val="131"/>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服务内容：检查设备的运行状态，检查安全设备安全防护策略，检查应用系统数据备份情况；分析安全日志，确认攻击源、攻击方法、攻击目标，提出安全防护策略整改建议，与</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协调沟通确认后，负责完成安全整改修复工作。</w:t>
      </w:r>
    </w:p>
    <w:p w14:paraId="0FA1608C">
      <w:pPr>
        <w:numPr>
          <w:ilvl w:val="0"/>
          <w:numId w:val="131"/>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服务频次：每周1次，每月输出1份报告。</w:t>
      </w:r>
    </w:p>
    <w:p w14:paraId="36A4C458">
      <w:pPr>
        <w:numPr>
          <w:ilvl w:val="0"/>
          <w:numId w:val="131"/>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服务输出：《安全巡检报告》。</w:t>
      </w:r>
    </w:p>
    <w:p w14:paraId="473821F1">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技术支持服务</w:t>
      </w:r>
    </w:p>
    <w:p w14:paraId="5B94521E">
      <w:pPr>
        <w:numPr>
          <w:ilvl w:val="0"/>
          <w:numId w:val="132"/>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服务内容：当</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开展网络安全维护工作遇到技术问题时，提供技术支持服务，包括：</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即时指导服务：由</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对技术问题进行描述后，通过网络或电话进行问题会诊，确认合适的解决方案，指导</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进行现场或远程操作，解决问题；</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现场服务：远程指导无法解决问题时，派出技术人员到现场提供技术服务，解决问题。</w:t>
      </w:r>
    </w:p>
    <w:p w14:paraId="1A755C40">
      <w:pPr>
        <w:numPr>
          <w:ilvl w:val="0"/>
          <w:numId w:val="132"/>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服务输出：《技术服务报告》。</w:t>
      </w:r>
    </w:p>
    <w:p w14:paraId="425E13D7">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代码审计服务</w:t>
      </w:r>
    </w:p>
    <w:p w14:paraId="64AD4C32">
      <w:pPr>
        <w:numPr>
          <w:ilvl w:val="0"/>
          <w:numId w:val="133"/>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lang w:val="en-US" w:eastAsia="zh-CN"/>
        </w:rPr>
        <w:t>服务内容：①</w:t>
      </w:r>
      <w:r>
        <w:rPr>
          <w:rFonts w:hint="eastAsia" w:ascii="宋体" w:hAnsi="宋体" w:eastAsia="宋体" w:cs="宋体"/>
          <w:b w:val="0"/>
          <w:i w:val="0"/>
          <w:caps w:val="0"/>
          <w:color w:val="auto"/>
          <w:spacing w:val="0"/>
          <w:w w:val="100"/>
          <w:sz w:val="21"/>
          <w:szCs w:val="21"/>
          <w:highlight w:val="none"/>
        </w:rPr>
        <w:t>提供源代码审计工具，检查重要业务系统源代码中是否存在开源组件漏洞、逻辑漏洞、代码缺陷等深层次安全隐患，需支持对C、C++、C#、Objective-C、Java、PHP、Swift、JavaScript、Python、Cobol、Go等语言开发的软件源代码进行检测，支持拉取代码仓库以及上传代码文件和上传镜像检测方式；</w:t>
      </w:r>
      <w:r>
        <w:rPr>
          <w:rFonts w:hint="eastAsia" w:ascii="宋体" w:hAnsi="宋体" w:eastAsia="宋体" w:cs="宋体"/>
          <w:b w:val="0"/>
          <w:i w:val="0"/>
          <w:caps w:val="0"/>
          <w:color w:val="auto"/>
          <w:spacing w:val="0"/>
          <w:w w:val="100"/>
          <w:sz w:val="21"/>
          <w:szCs w:val="21"/>
          <w:highlight w:val="none"/>
          <w:lang w:val="en-US" w:eastAsia="zh-CN"/>
        </w:rPr>
        <w:t>①</w:t>
      </w:r>
      <w:r>
        <w:rPr>
          <w:rFonts w:hint="eastAsia" w:ascii="宋体" w:hAnsi="宋体" w:eastAsia="宋体" w:cs="宋体"/>
          <w:b w:val="0"/>
          <w:i w:val="0"/>
          <w:caps w:val="0"/>
          <w:color w:val="auto"/>
          <w:spacing w:val="0"/>
          <w:w w:val="100"/>
          <w:sz w:val="21"/>
          <w:szCs w:val="21"/>
          <w:highlight w:val="none"/>
        </w:rPr>
        <w:t>选取</w:t>
      </w:r>
      <w:r>
        <w:rPr>
          <w:rFonts w:hint="eastAsia" w:ascii="宋体" w:hAnsi="宋体" w:eastAsia="宋体" w:cs="宋体"/>
          <w:b w:val="0"/>
          <w:i w:val="0"/>
          <w:caps w:val="0"/>
          <w:color w:val="auto"/>
          <w:spacing w:val="0"/>
          <w:w w:val="100"/>
          <w:sz w:val="21"/>
          <w:szCs w:val="21"/>
          <w:highlight w:val="none"/>
          <w:lang w:val="en-US" w:eastAsia="zh-CN"/>
        </w:rPr>
        <w:t>1</w:t>
      </w:r>
      <w:r>
        <w:rPr>
          <w:rFonts w:hint="eastAsia" w:ascii="宋体" w:hAnsi="宋体" w:eastAsia="宋体" w:cs="宋体"/>
          <w:b w:val="0"/>
          <w:i w:val="0"/>
          <w:caps w:val="0"/>
          <w:color w:val="auto"/>
          <w:spacing w:val="0"/>
          <w:w w:val="100"/>
          <w:sz w:val="21"/>
          <w:szCs w:val="21"/>
          <w:highlight w:val="none"/>
        </w:rPr>
        <w:t>个系统，重点针对攻防演练靶标系统、大数据类业务系统、新上线业务系统，</w:t>
      </w:r>
      <w:r>
        <w:rPr>
          <w:rFonts w:hint="eastAsia" w:ascii="宋体" w:hAnsi="宋体" w:eastAsia="宋体" w:cs="宋体"/>
          <w:b w:val="0"/>
          <w:i w:val="0"/>
          <w:caps w:val="0"/>
          <w:color w:val="auto"/>
          <w:spacing w:val="0"/>
          <w:w w:val="100"/>
          <w:sz w:val="21"/>
          <w:szCs w:val="21"/>
          <w:highlight w:val="none"/>
          <w:lang w:val="en-US" w:eastAsia="zh-CN"/>
        </w:rPr>
        <w:t>由</w:t>
      </w:r>
      <w:r>
        <w:rPr>
          <w:rFonts w:hint="eastAsia" w:ascii="宋体" w:hAnsi="宋体" w:eastAsia="宋体" w:cs="宋体"/>
          <w:b w:val="0"/>
          <w:i w:val="0"/>
          <w:caps w:val="0"/>
          <w:color w:val="auto"/>
          <w:spacing w:val="0"/>
          <w:w w:val="100"/>
          <w:sz w:val="21"/>
          <w:szCs w:val="21"/>
          <w:highlight w:val="none"/>
        </w:rPr>
        <w:t>源代码审计安全专家提供源代码审计服务，输出源代码审计报告，对存在的代码风险和问题提供整改建议。</w:t>
      </w:r>
    </w:p>
    <w:p w14:paraId="3B2F97AA">
      <w:pPr>
        <w:numPr>
          <w:ilvl w:val="0"/>
          <w:numId w:val="133"/>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lang w:val="en-US" w:eastAsia="zh-CN"/>
        </w:rPr>
      </w:pPr>
      <w:r>
        <w:rPr>
          <w:rFonts w:hint="eastAsia" w:ascii="宋体" w:hAnsi="宋体" w:eastAsia="宋体" w:cs="宋体"/>
          <w:b w:val="0"/>
          <w:i w:val="0"/>
          <w:caps w:val="0"/>
          <w:color w:val="auto"/>
          <w:spacing w:val="0"/>
          <w:w w:val="100"/>
          <w:sz w:val="21"/>
          <w:szCs w:val="21"/>
          <w:highlight w:val="none"/>
          <w:lang w:val="en-US" w:eastAsia="zh-CN"/>
        </w:rPr>
        <w:t>服务输出：</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cs="宋体"/>
          <w:b w:val="0"/>
          <w:i w:val="0"/>
          <w:caps w:val="0"/>
          <w:color w:val="auto"/>
          <w:spacing w:val="0"/>
          <w:w w:val="100"/>
          <w:sz w:val="21"/>
          <w:szCs w:val="21"/>
          <w:highlight w:val="none"/>
          <w:lang w:val="en-US" w:eastAsia="zh-CN"/>
        </w:rPr>
        <w:t>源代码审计报告》。</w:t>
      </w:r>
    </w:p>
    <w:p w14:paraId="51552206">
      <w:pPr>
        <w:numPr>
          <w:ilvl w:val="0"/>
          <w:numId w:val="133"/>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kern w:val="0"/>
          <w:sz w:val="21"/>
          <w:szCs w:val="21"/>
          <w:highlight w:val="none"/>
          <w:lang w:val="en-US" w:eastAsia="zh-CN" w:bidi="ar-SA"/>
        </w:rPr>
      </w:pPr>
      <w:r>
        <w:rPr>
          <w:rFonts w:hint="eastAsia" w:ascii="宋体" w:hAnsi="宋体" w:eastAsia="宋体" w:cs="宋体"/>
          <w:b w:val="0"/>
          <w:i w:val="0"/>
          <w:caps w:val="0"/>
          <w:color w:val="auto"/>
          <w:spacing w:val="0"/>
          <w:w w:val="100"/>
          <w:kern w:val="0"/>
          <w:sz w:val="21"/>
          <w:szCs w:val="21"/>
          <w:highlight w:val="none"/>
          <w:lang w:val="en-US" w:eastAsia="zh-CN" w:bidi="ar-SA"/>
        </w:rPr>
        <w:t>代码审计工具的技术要求如下：</w:t>
      </w:r>
    </w:p>
    <w:tbl>
      <w:tblPr>
        <w:tblStyle w:val="15"/>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581"/>
        <w:gridCol w:w="8503"/>
      </w:tblGrid>
      <w:tr w14:paraId="73290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320" w:type="pct"/>
            <w:vAlign w:val="center"/>
          </w:tcPr>
          <w:p w14:paraId="503DDA94">
            <w:pPr>
              <w:keepNext w:val="0"/>
              <w:keepLines w:val="0"/>
              <w:pageBreakBefore w:val="0"/>
              <w:widowControl w:val="0"/>
              <w:kinsoku/>
              <w:wordWrap/>
              <w:overflowPunct/>
              <w:topLinePunct w:val="0"/>
              <w:autoSpaceDE/>
              <w:autoSpaceDN/>
              <w:bidi w:val="0"/>
              <w:adjustRightInd/>
              <w:snapToGrid/>
              <w:spacing w:line="240" w:lineRule="auto"/>
              <w:ind w:left="82"/>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序号</w:t>
            </w:r>
          </w:p>
        </w:tc>
        <w:tc>
          <w:tcPr>
            <w:tcW w:w="4679" w:type="pct"/>
            <w:vAlign w:val="center"/>
          </w:tcPr>
          <w:p w14:paraId="2344A971">
            <w:pPr>
              <w:keepNext w:val="0"/>
              <w:keepLines w:val="0"/>
              <w:pageBreakBefore w:val="0"/>
              <w:widowControl w:val="0"/>
              <w:kinsoku/>
              <w:wordWrap/>
              <w:overflowPunct/>
              <w:topLinePunct w:val="0"/>
              <w:autoSpaceDE/>
              <w:autoSpaceDN/>
              <w:bidi w:val="0"/>
              <w:adjustRightInd/>
              <w:snapToGrid/>
              <w:spacing w:line="240" w:lineRule="auto"/>
              <w:ind w:left="82"/>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指标详细内容</w:t>
            </w:r>
          </w:p>
        </w:tc>
      </w:tr>
      <w:tr w14:paraId="500F25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320" w:type="pct"/>
            <w:vAlign w:val="center"/>
          </w:tcPr>
          <w:p w14:paraId="696535A7">
            <w:pPr>
              <w:keepNext w:val="0"/>
              <w:keepLines w:val="0"/>
              <w:pageBreakBefore w:val="0"/>
              <w:widowControl w:val="0"/>
              <w:kinsoku/>
              <w:wordWrap/>
              <w:overflowPunct/>
              <w:topLinePunct w:val="0"/>
              <w:autoSpaceDE/>
              <w:autoSpaceDN/>
              <w:bidi w:val="0"/>
              <w:adjustRightInd/>
              <w:snapToGrid/>
              <w:spacing w:line="240" w:lineRule="auto"/>
              <w:ind w:left="88"/>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w:t>
            </w:r>
          </w:p>
        </w:tc>
        <w:tc>
          <w:tcPr>
            <w:tcW w:w="4679" w:type="pct"/>
            <w:vAlign w:val="center"/>
          </w:tcPr>
          <w:p w14:paraId="6395D6C6">
            <w:pPr>
              <w:keepNext w:val="0"/>
              <w:keepLines w:val="0"/>
              <w:pageBreakBefore w:val="0"/>
              <w:widowControl w:val="0"/>
              <w:kinsoku/>
              <w:wordWrap/>
              <w:overflowPunct/>
              <w:topLinePunct w:val="0"/>
              <w:autoSpaceDE/>
              <w:autoSpaceDN/>
              <w:bidi w:val="0"/>
              <w:adjustRightInd/>
              <w:snapToGrid/>
              <w:spacing w:line="240" w:lineRule="auto"/>
              <w:ind w:left="82"/>
              <w:jc w:val="both"/>
              <w:textAlignment w:val="auto"/>
              <w:rPr>
                <w:rFonts w:hint="eastAsia" w:ascii="宋体" w:hAnsi="宋体" w:eastAsia="宋体" w:cs="宋体"/>
                <w:b w:val="0"/>
                <w:bCs w:val="0"/>
                <w:color w:val="auto"/>
                <w:kern w:val="2"/>
                <w:sz w:val="21"/>
                <w:szCs w:val="21"/>
                <w:highlight w:val="none"/>
                <w:u w:val="none"/>
                <w:lang w:val="en-US" w:eastAsia="zh-CN" w:bidi="ar-SA"/>
              </w:rPr>
            </w:pPr>
            <w:r>
              <w:rPr>
                <w:rFonts w:hint="eastAsia" w:ascii="宋体" w:hAnsi="宋体" w:eastAsia="宋体" w:cs="宋体"/>
                <w:b w:val="0"/>
                <w:bCs w:val="0"/>
                <w:color w:val="auto"/>
                <w:kern w:val="2"/>
                <w:sz w:val="21"/>
                <w:szCs w:val="21"/>
                <w:highlight w:val="none"/>
                <w:u w:val="none"/>
                <w:lang w:val="en-US" w:eastAsia="zh-CN" w:bidi="ar-SA"/>
              </w:rPr>
              <w:t>支持Java /Python/C/C++/C#/Go/PHP/JavaScript/Swift/Ruby等不少于10种主流编程语言开发的软件源代码检测；支持基于收集流量重放请求与基于代码数据流安装插桩Agent的两种模式，其中插桩模式支持Java、Golang、.NET Framework、.NET Core、Node.js、Python、PHP等七种语言。</w:t>
            </w:r>
          </w:p>
        </w:tc>
      </w:tr>
      <w:tr w14:paraId="4068E4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320" w:type="pct"/>
            <w:vAlign w:val="center"/>
          </w:tcPr>
          <w:p w14:paraId="0D2186F7">
            <w:pPr>
              <w:keepNext w:val="0"/>
              <w:keepLines w:val="0"/>
              <w:pageBreakBefore w:val="0"/>
              <w:widowControl w:val="0"/>
              <w:kinsoku/>
              <w:wordWrap/>
              <w:overflowPunct/>
              <w:topLinePunct w:val="0"/>
              <w:autoSpaceDE/>
              <w:autoSpaceDN/>
              <w:bidi w:val="0"/>
              <w:adjustRightInd/>
              <w:snapToGrid/>
              <w:spacing w:line="240" w:lineRule="auto"/>
              <w:ind w:left="88"/>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w:t>
            </w:r>
          </w:p>
        </w:tc>
        <w:tc>
          <w:tcPr>
            <w:tcW w:w="4679" w:type="pct"/>
            <w:vAlign w:val="center"/>
          </w:tcPr>
          <w:p w14:paraId="5FD0818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color w:val="auto"/>
                <w:kern w:val="2"/>
                <w:sz w:val="21"/>
                <w:szCs w:val="21"/>
                <w:highlight w:val="none"/>
                <w:u w:val="none"/>
                <w:lang w:val="en-US" w:eastAsia="zh-CN" w:bidi="ar-SA"/>
              </w:rPr>
            </w:pPr>
            <w:r>
              <w:rPr>
                <w:rFonts w:hint="eastAsia" w:ascii="宋体" w:hAnsi="宋体" w:eastAsia="宋体" w:cs="宋体"/>
                <w:b w:val="0"/>
                <w:bCs w:val="0"/>
                <w:color w:val="auto"/>
                <w:kern w:val="2"/>
                <w:sz w:val="21"/>
                <w:szCs w:val="21"/>
                <w:highlight w:val="none"/>
                <w:u w:val="none"/>
                <w:lang w:val="en-US" w:eastAsia="zh-CN" w:bidi="ar-SA"/>
              </w:rPr>
              <w:t>支持多种检测依赖分析技术，包括但不限于包管理扫描、模拟构建、代码片段扫描、镜像扫描等。</w:t>
            </w:r>
          </w:p>
        </w:tc>
      </w:tr>
      <w:tr w14:paraId="771F88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trPr>
        <w:tc>
          <w:tcPr>
            <w:tcW w:w="320" w:type="pct"/>
            <w:vAlign w:val="center"/>
          </w:tcPr>
          <w:p w14:paraId="6E431339">
            <w:pPr>
              <w:keepNext w:val="0"/>
              <w:keepLines w:val="0"/>
              <w:pageBreakBefore w:val="0"/>
              <w:widowControl w:val="0"/>
              <w:kinsoku/>
              <w:wordWrap/>
              <w:overflowPunct/>
              <w:topLinePunct w:val="0"/>
              <w:autoSpaceDE/>
              <w:autoSpaceDN/>
              <w:bidi w:val="0"/>
              <w:adjustRightInd/>
              <w:snapToGrid/>
              <w:spacing w:line="240" w:lineRule="auto"/>
              <w:ind w:left="88"/>
              <w:jc w:val="center"/>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w:t>
            </w:r>
          </w:p>
        </w:tc>
        <w:tc>
          <w:tcPr>
            <w:tcW w:w="4679" w:type="pct"/>
            <w:vAlign w:val="center"/>
          </w:tcPr>
          <w:p w14:paraId="1177D322">
            <w:pPr>
              <w:keepNext w:val="0"/>
              <w:keepLines w:val="0"/>
              <w:pageBreakBefore w:val="0"/>
              <w:widowControl w:val="0"/>
              <w:kinsoku/>
              <w:wordWrap/>
              <w:overflowPunct/>
              <w:topLinePunct w:val="0"/>
              <w:autoSpaceDE/>
              <w:autoSpaceDN/>
              <w:bidi w:val="0"/>
              <w:adjustRightInd/>
              <w:snapToGrid/>
              <w:spacing w:line="240" w:lineRule="auto"/>
              <w:ind w:left="82"/>
              <w:jc w:val="both"/>
              <w:textAlignment w:val="auto"/>
              <w:rPr>
                <w:rFonts w:hint="eastAsia" w:ascii="宋体" w:hAnsi="宋体" w:eastAsia="宋体" w:cs="宋体"/>
                <w:b w:val="0"/>
                <w:bCs w:val="0"/>
                <w:color w:val="auto"/>
                <w:kern w:val="2"/>
                <w:sz w:val="21"/>
                <w:szCs w:val="21"/>
                <w:highlight w:val="none"/>
                <w:u w:val="none"/>
                <w:lang w:val="en-US" w:eastAsia="zh-CN" w:bidi="ar-SA"/>
              </w:rPr>
            </w:pPr>
            <w:r>
              <w:rPr>
                <w:rFonts w:hint="eastAsia" w:ascii="宋体" w:hAnsi="宋体" w:eastAsia="宋体" w:cs="宋体"/>
                <w:b w:val="0"/>
                <w:bCs w:val="0"/>
                <w:color w:val="auto"/>
                <w:kern w:val="2"/>
                <w:sz w:val="21"/>
                <w:szCs w:val="21"/>
                <w:highlight w:val="none"/>
                <w:u w:val="none"/>
                <w:lang w:val="en-US" w:eastAsia="zh-CN" w:bidi="ar-SA"/>
              </w:rPr>
              <w:t>支持软件成分安全风险管理，支持CVE、CNVD、CNNVD等漏洞库相关展示，内容包括但不限于：漏洞名称、漏洞等级、威胁类型、公布时间、更新时间、CPE2.3、CVSS2.0评分、厂商、漏洞描述、参考链接等。</w:t>
            </w:r>
          </w:p>
        </w:tc>
      </w:tr>
    </w:tbl>
    <w:p w14:paraId="646A8FD8">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安全设备升级服务</w:t>
      </w:r>
    </w:p>
    <w:p w14:paraId="56809DE4">
      <w:pPr>
        <w:snapToGrid w:val="0"/>
        <w:spacing w:before="0" w:beforeAutospacing="0" w:after="0" w:afterAutospacing="0" w:line="360" w:lineRule="auto"/>
        <w:ind w:firstLine="420" w:firstLineChars="20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为</w:t>
      </w:r>
      <w:r>
        <w:rPr>
          <w:rFonts w:hint="eastAsia" w:ascii="宋体" w:hAnsi="宋体" w:eastAsia="宋体" w:cs="宋体"/>
          <w:b w:val="0"/>
          <w:i w:val="0"/>
          <w:caps w:val="0"/>
          <w:color w:val="auto"/>
          <w:spacing w:val="0"/>
          <w:w w:val="100"/>
          <w:sz w:val="21"/>
          <w:szCs w:val="21"/>
          <w:highlight w:val="none"/>
          <w:lang w:eastAsia="zh-CN"/>
        </w:rPr>
        <w:t>甲方</w:t>
      </w:r>
      <w:r>
        <w:rPr>
          <w:rFonts w:hint="eastAsia" w:ascii="宋体" w:hAnsi="宋体" w:eastAsia="宋体" w:cs="宋体"/>
          <w:b w:val="0"/>
          <w:i w:val="0"/>
          <w:caps w:val="0"/>
          <w:color w:val="auto"/>
          <w:spacing w:val="0"/>
          <w:w w:val="100"/>
          <w:sz w:val="21"/>
          <w:szCs w:val="21"/>
          <w:highlight w:val="none"/>
        </w:rPr>
        <w:t>现有的1台WEB应用防火墙（WAF5110）、2台上网行为管理（ASG5510）设备提供1年的运行维护服务，包括设备巡检、升级等。</w:t>
      </w:r>
    </w:p>
    <w:p w14:paraId="6ADF904A">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终端安全防护服务</w:t>
      </w:r>
    </w:p>
    <w:p w14:paraId="015FD77A">
      <w:pPr>
        <w:snapToGrid w:val="0"/>
        <w:spacing w:before="0" w:beforeAutospacing="0" w:after="0" w:afterAutospacing="0" w:line="360" w:lineRule="auto"/>
        <w:ind w:firstLine="420" w:firstLineChars="200"/>
        <w:jc w:val="both"/>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为</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提供终端安全防护</w:t>
      </w:r>
      <w:r>
        <w:rPr>
          <w:rFonts w:hint="eastAsia" w:ascii="宋体" w:hAnsi="宋体" w:eastAsia="宋体" w:cs="宋体"/>
          <w:b w:val="0"/>
          <w:i w:val="0"/>
          <w:caps w:val="0"/>
          <w:color w:val="auto"/>
          <w:spacing w:val="0"/>
          <w:w w:val="100"/>
          <w:sz w:val="21"/>
          <w:szCs w:val="21"/>
          <w:highlight w:val="none"/>
          <w:lang w:val="en-US" w:eastAsia="zh-CN"/>
        </w:rPr>
        <w:t>服务</w:t>
      </w:r>
      <w:r>
        <w:rPr>
          <w:rFonts w:hint="eastAsia" w:ascii="宋体" w:hAnsi="宋体" w:eastAsia="宋体" w:cs="宋体"/>
          <w:b w:val="0"/>
          <w:i w:val="0"/>
          <w:caps w:val="0"/>
          <w:color w:val="auto"/>
          <w:spacing w:val="0"/>
          <w:w w:val="100"/>
          <w:sz w:val="21"/>
          <w:szCs w:val="21"/>
          <w:highlight w:val="none"/>
        </w:rPr>
        <w:t>，</w:t>
      </w:r>
      <w:r>
        <w:rPr>
          <w:rFonts w:hint="eastAsia" w:ascii="宋体" w:hAnsi="宋体" w:eastAsia="宋体" w:cs="宋体"/>
          <w:b w:val="0"/>
          <w:i w:val="0"/>
          <w:caps w:val="0"/>
          <w:color w:val="auto"/>
          <w:spacing w:val="0"/>
          <w:w w:val="100"/>
          <w:sz w:val="21"/>
          <w:szCs w:val="21"/>
          <w:highlight w:val="none"/>
          <w:lang w:val="en-US" w:eastAsia="zh-CN"/>
        </w:rPr>
        <w:t>服务对象包括120台PC和</w:t>
      </w:r>
      <w:r>
        <w:rPr>
          <w:rFonts w:hint="eastAsia" w:ascii="宋体" w:hAnsi="宋体" w:eastAsia="宋体" w:cs="宋体"/>
          <w:b w:val="0"/>
          <w:i w:val="0"/>
          <w:caps w:val="0"/>
          <w:color w:val="auto"/>
          <w:spacing w:val="0"/>
          <w:w w:val="100"/>
          <w:sz w:val="21"/>
          <w:szCs w:val="21"/>
          <w:highlight w:val="none"/>
        </w:rPr>
        <w:t>20</w:t>
      </w:r>
      <w:r>
        <w:rPr>
          <w:rFonts w:hint="eastAsia" w:ascii="宋体" w:hAnsi="宋体" w:eastAsia="宋体" w:cs="宋体"/>
          <w:b w:val="0"/>
          <w:i w:val="0"/>
          <w:caps w:val="0"/>
          <w:color w:val="auto"/>
          <w:spacing w:val="0"/>
          <w:w w:val="100"/>
          <w:sz w:val="21"/>
          <w:szCs w:val="21"/>
          <w:highlight w:val="none"/>
          <w:lang w:val="en-US" w:eastAsia="zh-CN"/>
        </w:rPr>
        <w:t>台</w:t>
      </w:r>
      <w:r>
        <w:rPr>
          <w:rFonts w:hint="eastAsia" w:ascii="宋体" w:hAnsi="宋体" w:eastAsia="宋体" w:cs="宋体"/>
          <w:b w:val="0"/>
          <w:i w:val="0"/>
          <w:caps w:val="0"/>
          <w:color w:val="auto"/>
          <w:spacing w:val="0"/>
          <w:w w:val="100"/>
          <w:sz w:val="21"/>
          <w:szCs w:val="21"/>
          <w:highlight w:val="none"/>
        </w:rPr>
        <w:t>服务器。终端安全防护</w:t>
      </w:r>
      <w:r>
        <w:rPr>
          <w:rFonts w:hint="eastAsia" w:ascii="宋体" w:hAnsi="宋体" w:eastAsia="宋体" w:cs="宋体"/>
          <w:b w:val="0"/>
          <w:i w:val="0"/>
          <w:caps w:val="0"/>
          <w:color w:val="auto"/>
          <w:spacing w:val="0"/>
          <w:w w:val="100"/>
          <w:sz w:val="21"/>
          <w:szCs w:val="21"/>
          <w:highlight w:val="none"/>
          <w:lang w:val="en-US" w:eastAsia="zh-CN"/>
        </w:rPr>
        <w:t>服务</w:t>
      </w:r>
      <w:r>
        <w:rPr>
          <w:rFonts w:hint="eastAsia" w:ascii="宋体" w:hAnsi="宋体" w:eastAsia="宋体" w:cs="宋体"/>
          <w:b w:val="0"/>
          <w:i w:val="0"/>
          <w:caps w:val="0"/>
          <w:color w:val="auto"/>
          <w:spacing w:val="0"/>
          <w:w w:val="100"/>
          <w:sz w:val="21"/>
          <w:szCs w:val="21"/>
          <w:highlight w:val="none"/>
        </w:rPr>
        <w:t>需满足以下技术要求：</w:t>
      </w: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00"/>
        <w:gridCol w:w="7780"/>
      </w:tblGrid>
      <w:tr w14:paraId="6124E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08" w:type="pct"/>
            <w:tcBorders>
              <w:tl2br w:val="nil"/>
              <w:tr2bl w:val="nil"/>
            </w:tcBorders>
            <w:vAlign w:val="center"/>
          </w:tcPr>
          <w:p w14:paraId="021B023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技术指标</w:t>
            </w:r>
          </w:p>
        </w:tc>
        <w:tc>
          <w:tcPr>
            <w:tcW w:w="4191" w:type="pct"/>
            <w:tcBorders>
              <w:tl2br w:val="nil"/>
              <w:tr2bl w:val="nil"/>
            </w:tcBorders>
            <w:vAlign w:val="center"/>
          </w:tcPr>
          <w:p w14:paraId="05359E9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指标要求</w:t>
            </w:r>
          </w:p>
        </w:tc>
      </w:tr>
      <w:tr w14:paraId="02C77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tcBorders>
              <w:tl2br w:val="nil"/>
              <w:tr2bl w:val="nil"/>
            </w:tcBorders>
            <w:vAlign w:val="center"/>
          </w:tcPr>
          <w:p w14:paraId="0BF1E885">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云端威胁分析</w:t>
            </w:r>
          </w:p>
        </w:tc>
        <w:tc>
          <w:tcPr>
            <w:tcW w:w="4191" w:type="pct"/>
            <w:tcBorders>
              <w:tl2br w:val="nil"/>
              <w:tr2bl w:val="nil"/>
            </w:tcBorders>
            <w:vAlign w:val="center"/>
          </w:tcPr>
          <w:p w14:paraId="4985A8A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支持跳转链接至云端威胁情报中心，针对已发生的威胁提供详细的分析结果，包含威胁分析、网络行为、静态分析、分析环境和影响分析。</w:t>
            </w:r>
          </w:p>
        </w:tc>
      </w:tr>
      <w:tr w14:paraId="56315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tcBorders>
              <w:tl2br w:val="nil"/>
              <w:tr2bl w:val="nil"/>
            </w:tcBorders>
            <w:vAlign w:val="center"/>
          </w:tcPr>
          <w:p w14:paraId="05BC97A6">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rPr>
              <w:t>策略管理</w:t>
            </w:r>
          </w:p>
        </w:tc>
        <w:tc>
          <w:tcPr>
            <w:tcW w:w="4191" w:type="pct"/>
            <w:tcBorders>
              <w:tl2br w:val="nil"/>
              <w:tr2bl w:val="nil"/>
            </w:tcBorders>
            <w:vAlign w:val="center"/>
          </w:tcPr>
          <w:p w14:paraId="7680DA1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安全策略一体化配置，通过单一策略即可实现不同安全功能的配置，包括：终端病毒查杀的文件扫描配置、文件实时监控的参数配置、WebShell检测和威胁处置方式、暴力破解的威胁处置方式和Windows白名单信任目录</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2A6143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vMerge w:val="restart"/>
            <w:tcBorders>
              <w:tl2br w:val="nil"/>
              <w:tr2bl w:val="nil"/>
            </w:tcBorders>
            <w:vAlign w:val="center"/>
          </w:tcPr>
          <w:p w14:paraId="6DD5EFC9">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资产管理</w:t>
            </w:r>
          </w:p>
        </w:tc>
        <w:tc>
          <w:tcPr>
            <w:tcW w:w="4191" w:type="pct"/>
            <w:tcBorders>
              <w:tl2br w:val="nil"/>
              <w:tr2bl w:val="nil"/>
            </w:tcBorders>
            <w:vAlign w:val="center"/>
          </w:tcPr>
          <w:p w14:paraId="64DC628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支持全网视角的终端资产统一清点，便于帮助用户快速发现风险面。清点信息包括操作系统、应用软件、监听端口和终端账户，其中操作系统和监听端口支持从资产和终端两个视角进行统计和展示。</w:t>
            </w:r>
          </w:p>
        </w:tc>
      </w:tr>
      <w:tr w14:paraId="1A553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trPr>
        <w:tc>
          <w:tcPr>
            <w:tcW w:w="808" w:type="pct"/>
            <w:vMerge w:val="continue"/>
            <w:tcBorders>
              <w:tl2br w:val="nil"/>
              <w:tr2bl w:val="nil"/>
            </w:tcBorders>
            <w:vAlign w:val="center"/>
          </w:tcPr>
          <w:p w14:paraId="09266235">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l2br w:val="nil"/>
              <w:tr2bl w:val="nil"/>
            </w:tcBorders>
            <w:vAlign w:val="center"/>
          </w:tcPr>
          <w:p w14:paraId="1F6941B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支持对单个终端运行状态的监控，包括但不限于进程、服务、网络连接、计划任务和开放共享信息</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0A60C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tcBorders>
              <w:tl2br w:val="nil"/>
              <w:tr2bl w:val="nil"/>
            </w:tcBorders>
            <w:vAlign w:val="center"/>
          </w:tcPr>
          <w:p w14:paraId="087508F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终端日志报表</w:t>
            </w:r>
          </w:p>
        </w:tc>
        <w:tc>
          <w:tcPr>
            <w:tcW w:w="4191" w:type="pct"/>
            <w:tcBorders>
              <w:tl2br w:val="nil"/>
              <w:tr2bl w:val="nil"/>
            </w:tcBorders>
            <w:vAlign w:val="center"/>
          </w:tcPr>
          <w:p w14:paraId="09DE202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支持根据统计周期、终端名称、IP地址，补丁信息和漏洞等级等多维度的入侵检测日志，杀毒扫描日志，微隔离日志，合规检测日志，管理员操作日志，运维日志，联动日志等的日志查询和检测</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7FB46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808" w:type="pct"/>
            <w:tcBorders>
              <w:tl2br w:val="nil"/>
              <w:tr2bl w:val="nil"/>
            </w:tcBorders>
            <w:vAlign w:val="center"/>
          </w:tcPr>
          <w:p w14:paraId="19A1E385">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升级管理</w:t>
            </w:r>
          </w:p>
        </w:tc>
        <w:tc>
          <w:tcPr>
            <w:tcW w:w="4191" w:type="pct"/>
            <w:tcBorders>
              <w:tl2br w:val="nil"/>
              <w:tr2bl w:val="nil"/>
            </w:tcBorders>
            <w:vAlign w:val="center"/>
          </w:tcPr>
          <w:p w14:paraId="4C6382E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支持客户端的错峰升级，可根据实际情况控制客户端同时升级的最大数量，避免大量终端程序同时更新造成网络拥堵或I/O风暴</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6ACF9D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tcBorders>
              <w:tl2br w:val="nil"/>
              <w:tr2bl w:val="nil"/>
            </w:tcBorders>
            <w:vAlign w:val="center"/>
          </w:tcPr>
          <w:p w14:paraId="231CCA1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管理员管理</w:t>
            </w:r>
          </w:p>
        </w:tc>
        <w:tc>
          <w:tcPr>
            <w:tcW w:w="4191" w:type="pct"/>
            <w:tcBorders>
              <w:tl2br w:val="nil"/>
              <w:tr2bl w:val="nil"/>
            </w:tcBorders>
            <w:vAlign w:val="center"/>
          </w:tcPr>
          <w:p w14:paraId="45DC0A5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支持配置不同的权限角色，支持超级管理员、普通管理员（管理）、审计管理员（查看）三种权限，并配置可管辖的终端范围，支持管理员账号限制IP登录；支持管理员账号采用双因素认证</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69502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808" w:type="pct"/>
            <w:vMerge w:val="restart"/>
            <w:tcBorders>
              <w:tl2br w:val="nil"/>
              <w:tr2bl w:val="nil"/>
            </w:tcBorders>
            <w:vAlign w:val="center"/>
          </w:tcPr>
          <w:p w14:paraId="7F9D6B7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威胁检测</w:t>
            </w:r>
          </w:p>
        </w:tc>
        <w:tc>
          <w:tcPr>
            <w:tcW w:w="4191" w:type="pct"/>
            <w:tcBorders>
              <w:tl2br w:val="nil"/>
              <w:tr2bl w:val="nil"/>
            </w:tcBorders>
            <w:vAlign w:val="center"/>
          </w:tcPr>
          <w:p w14:paraId="009A699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具备基于人工智能的检测引擎，支持无特征检测技术，有效应对恶意代码及其变种</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5D08F5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6" w:hRule="atLeast"/>
        </w:trPr>
        <w:tc>
          <w:tcPr>
            <w:tcW w:w="808" w:type="pct"/>
            <w:vMerge w:val="continue"/>
            <w:tcBorders>
              <w:tl2br w:val="nil"/>
              <w:tr2bl w:val="nil"/>
            </w:tcBorders>
            <w:vAlign w:val="center"/>
          </w:tcPr>
          <w:p w14:paraId="4753EF2A">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l2br w:val="nil"/>
              <w:tr2bl w:val="nil"/>
            </w:tcBorders>
            <w:vAlign w:val="center"/>
          </w:tcPr>
          <w:p w14:paraId="19DA28D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通过智能识别终端环境情况（低配硬件、老旧设备、虚拟化等）和当前终端资源占用，在闲时实时监控和病毒扫描场景，都可智能调整EDR的资源占用（CPU、IO等），为业务让出资源，不卡业务，对业务零摩擦。</w:t>
            </w:r>
          </w:p>
        </w:tc>
      </w:tr>
      <w:tr w14:paraId="16C3A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tcBorders>
              <w:tl2br w:val="nil"/>
              <w:tr2bl w:val="nil"/>
            </w:tcBorders>
            <w:vAlign w:val="center"/>
          </w:tcPr>
          <w:p w14:paraId="0A3ACF3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文件实时监控</w:t>
            </w:r>
          </w:p>
        </w:tc>
        <w:tc>
          <w:tcPr>
            <w:tcW w:w="4191" w:type="pct"/>
            <w:tcBorders>
              <w:tl2br w:val="nil"/>
              <w:tr2bl w:val="nil"/>
            </w:tcBorders>
            <w:vAlign w:val="center"/>
          </w:tcPr>
          <w:p w14:paraId="2DE50C28">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可实时监控文件的状态，在文件读、写、执行或者进入主机时主动进行扫描，支持根据用户性能偏好设置高、中、低3种防护级别</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59D29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808" w:type="pct"/>
            <w:tcBorders>
              <w:tl2br w:val="nil"/>
              <w:tr2bl w:val="nil"/>
            </w:tcBorders>
            <w:vAlign w:val="center"/>
          </w:tcPr>
          <w:p w14:paraId="0C1BDC1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Webshell事件处理</w:t>
            </w:r>
          </w:p>
        </w:tc>
        <w:tc>
          <w:tcPr>
            <w:tcW w:w="4191" w:type="pct"/>
            <w:tcBorders>
              <w:tl2br w:val="nil"/>
              <w:tr2bl w:val="nil"/>
            </w:tcBorders>
            <w:vAlign w:val="center"/>
          </w:tcPr>
          <w:p w14:paraId="3373292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bidi="ar"/>
              </w:rPr>
            </w:pPr>
            <w:r>
              <w:rPr>
                <w:rFonts w:hint="eastAsia" w:ascii="宋体" w:hAnsi="宋体" w:eastAsia="宋体" w:cs="宋体"/>
                <w:b w:val="0"/>
                <w:bCs w:val="0"/>
                <w:i w:val="0"/>
                <w:caps w:val="0"/>
                <w:color w:val="auto"/>
                <w:spacing w:val="0"/>
                <w:w w:val="100"/>
                <w:sz w:val="21"/>
                <w:szCs w:val="21"/>
                <w:highlight w:val="none"/>
                <w:u w:val="none"/>
                <w:lang w:bidi="ar"/>
              </w:rPr>
              <w:t>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27E03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08" w:type="pct"/>
            <w:vMerge w:val="restart"/>
            <w:tcBorders>
              <w:tl2br w:val="nil"/>
              <w:tr2bl w:val="nil"/>
            </w:tcBorders>
            <w:vAlign w:val="center"/>
          </w:tcPr>
          <w:p w14:paraId="58D817F9">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Windows服务器加固</w:t>
            </w:r>
          </w:p>
        </w:tc>
        <w:tc>
          <w:tcPr>
            <w:tcW w:w="4191" w:type="pct"/>
            <w:tcBorders>
              <w:tl2br w:val="nil"/>
              <w:tr2bl w:val="nil"/>
            </w:tcBorders>
            <w:vAlign w:val="center"/>
          </w:tcPr>
          <w:p w14:paraId="2A0A89D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bidi="ar"/>
              </w:rPr>
            </w:pPr>
            <w:r>
              <w:rPr>
                <w:rFonts w:hint="eastAsia" w:ascii="宋体" w:hAnsi="宋体" w:eastAsia="宋体" w:cs="宋体"/>
                <w:b w:val="0"/>
                <w:bCs w:val="0"/>
                <w:i w:val="0"/>
                <w:caps w:val="0"/>
                <w:color w:val="auto"/>
                <w:spacing w:val="0"/>
                <w:w w:val="100"/>
                <w:sz w:val="21"/>
                <w:szCs w:val="21"/>
                <w:highlight w:val="none"/>
                <w:u w:val="none"/>
                <w:lang w:bidi="ar"/>
              </w:rPr>
              <w:t>提供基于可信鉴定方式的进程防护方式，通过人工智能自学习机制，自动建立信任进程名单，阻断非可信进程的运行并提供配置指引，同时支持通过模板和手动的方式添加信任进程</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6535A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808" w:type="pct"/>
            <w:vMerge w:val="continue"/>
            <w:tcBorders>
              <w:tl2br w:val="nil"/>
              <w:tr2bl w:val="nil"/>
            </w:tcBorders>
            <w:vAlign w:val="center"/>
          </w:tcPr>
          <w:p w14:paraId="4052D50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p>
        </w:tc>
        <w:tc>
          <w:tcPr>
            <w:tcW w:w="4191" w:type="pct"/>
            <w:tcBorders>
              <w:tl2br w:val="nil"/>
              <w:tr2bl w:val="nil"/>
            </w:tcBorders>
            <w:vAlign w:val="center"/>
          </w:tcPr>
          <w:p w14:paraId="3C87412F">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bidi="ar"/>
              </w:rPr>
            </w:pPr>
            <w:r>
              <w:rPr>
                <w:rFonts w:hint="eastAsia" w:ascii="宋体" w:hAnsi="宋体" w:eastAsia="宋体" w:cs="宋体"/>
                <w:b w:val="0"/>
                <w:bCs w:val="0"/>
                <w:i w:val="0"/>
                <w:caps w:val="0"/>
                <w:color w:val="auto"/>
                <w:spacing w:val="0"/>
                <w:w w:val="100"/>
                <w:sz w:val="21"/>
                <w:szCs w:val="21"/>
                <w:highlight w:val="none"/>
                <w:u w:val="none"/>
                <w:lang w:bidi="ar"/>
              </w:rPr>
              <w:t>支持windows服务器RDP远程登录保护，可开启RDP远程登录二次认证，以防止黑客对服务器的入侵</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0D6FB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808" w:type="pct"/>
            <w:vMerge w:val="restart"/>
            <w:tcBorders>
              <w:tl2br w:val="nil"/>
              <w:tr2bl w:val="nil"/>
            </w:tcBorders>
            <w:vAlign w:val="center"/>
          </w:tcPr>
          <w:p w14:paraId="5C4155DA">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勒索病毒专防</w:t>
            </w:r>
          </w:p>
        </w:tc>
        <w:tc>
          <w:tcPr>
            <w:tcW w:w="4191" w:type="pct"/>
            <w:tcBorders>
              <w:tl2br w:val="nil"/>
              <w:tr2bl w:val="nil"/>
            </w:tcBorders>
            <w:vAlign w:val="center"/>
          </w:tcPr>
          <w:p w14:paraId="196A83D4">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基于勒索病毒攻击过程，建立多维度立体防护机制，提供事前入侵防御-事中反加密-事后检测响应的完整防护体系，展示勒索病毒处置情况，对勒索病毒及变种实现专门有效防御</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5870D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trPr>
        <w:tc>
          <w:tcPr>
            <w:tcW w:w="808" w:type="pct"/>
            <w:vMerge w:val="continue"/>
            <w:tcBorders>
              <w:tl2br w:val="nil"/>
              <w:tr2bl w:val="nil"/>
            </w:tcBorders>
            <w:vAlign w:val="center"/>
          </w:tcPr>
          <w:p w14:paraId="1C868E97">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l2br w:val="nil"/>
              <w:tr2bl w:val="nil"/>
            </w:tcBorders>
            <w:vAlign w:val="center"/>
          </w:tcPr>
          <w:p w14:paraId="2B20718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支持监控诱饵文件，诱饵文件可被实时监控，当勒索病毒对该文件进行修改或加密操作时进行拦截</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663A8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vMerge w:val="continue"/>
            <w:tcBorders>
              <w:tl2br w:val="nil"/>
              <w:tr2bl w:val="nil"/>
            </w:tcBorders>
            <w:vAlign w:val="center"/>
          </w:tcPr>
          <w:p w14:paraId="31B5CF27">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l2br w:val="nil"/>
              <w:tr2bl w:val="nil"/>
            </w:tcBorders>
            <w:vAlign w:val="center"/>
          </w:tcPr>
          <w:p w14:paraId="5D215190">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支持用户直接对勒索病毒的家族名、病毒名、加密文件后缀名执行链接查询，可通过直接上传加密文件的方式确定勒索病毒类型，如果能解密可以提供必要的解密工具</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30592B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vMerge w:val="continue"/>
            <w:tcBorders>
              <w:tl2br w:val="nil"/>
              <w:tr2bl w:val="nil"/>
            </w:tcBorders>
            <w:vAlign w:val="center"/>
          </w:tcPr>
          <w:p w14:paraId="1D70B39A">
            <w:pPr>
              <w:keepNext w:val="0"/>
              <w:keepLines w:val="0"/>
              <w:pageBreakBefore w:val="0"/>
              <w:kinsoku/>
              <w:wordWrap/>
              <w:overflowPunct/>
              <w:topLinePunct w:val="0"/>
              <w:autoSpaceDE/>
              <w:autoSpaceDN/>
              <w:bidi w:val="0"/>
              <w:adjustRightInd/>
              <w:snapToGrid/>
              <w:spacing w:before="0" w:beforeAutospacing="0" w:after="0" w:afterAutospacing="0" w:line="240" w:lineRule="auto"/>
              <w:jc w:val="center"/>
              <w:textAlignment w:val="baseline"/>
              <w:rPr>
                <w:rFonts w:hint="eastAsia" w:ascii="宋体" w:hAnsi="宋体" w:eastAsia="宋体" w:cs="宋体"/>
                <w:b/>
                <w:bCs/>
                <w:i w:val="0"/>
                <w:caps w:val="0"/>
                <w:color w:val="auto"/>
                <w:spacing w:val="0"/>
                <w:w w:val="100"/>
                <w:sz w:val="21"/>
                <w:szCs w:val="21"/>
                <w:highlight w:val="none"/>
              </w:rPr>
            </w:pPr>
          </w:p>
        </w:tc>
        <w:tc>
          <w:tcPr>
            <w:tcW w:w="4191" w:type="pct"/>
            <w:tcBorders>
              <w:tl2br w:val="nil"/>
              <w:tr2bl w:val="nil"/>
            </w:tcBorders>
            <w:vAlign w:val="center"/>
          </w:tcPr>
          <w:p w14:paraId="2AD3898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bidi="ar"/>
              </w:rPr>
            </w:pPr>
            <w:r>
              <w:rPr>
                <w:rFonts w:hint="eastAsia" w:ascii="宋体" w:hAnsi="宋体" w:eastAsia="宋体" w:cs="宋体"/>
                <w:b w:val="0"/>
                <w:bCs w:val="0"/>
                <w:i w:val="0"/>
                <w:caps w:val="0"/>
                <w:color w:val="auto"/>
                <w:spacing w:val="0"/>
                <w:w w:val="100"/>
                <w:sz w:val="21"/>
                <w:szCs w:val="21"/>
                <w:highlight w:val="none"/>
                <w:u w:val="none"/>
                <w:lang w:bidi="ar"/>
              </w:rPr>
              <w:t>支持对勒索入侵的主流方式RDP暴破做全方位保护，包括RDP登录校验、RDP文件加白二次校验等功能</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04B4F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tcBorders>
              <w:tl2br w:val="nil"/>
              <w:tr2bl w:val="nil"/>
            </w:tcBorders>
            <w:vAlign w:val="center"/>
          </w:tcPr>
          <w:p w14:paraId="5281CEC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暴力破解检测</w:t>
            </w:r>
          </w:p>
        </w:tc>
        <w:tc>
          <w:tcPr>
            <w:tcW w:w="4191" w:type="pct"/>
            <w:tcBorders>
              <w:tl2br w:val="nil"/>
              <w:tr2bl w:val="nil"/>
            </w:tcBorders>
            <w:vAlign w:val="center"/>
          </w:tcPr>
          <w:p w14:paraId="310EE51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统计单个攻击源及分布式攻击源的暴力破解检测，支持按照RDP、SMB和SSH类型进行封堵并自定义爆破阈值，可对封停时间进行自设置</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10FF1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trPr>
        <w:tc>
          <w:tcPr>
            <w:tcW w:w="808" w:type="pct"/>
            <w:vMerge w:val="restart"/>
            <w:tcBorders>
              <w:tl2br w:val="nil"/>
              <w:tr2bl w:val="nil"/>
            </w:tcBorders>
            <w:vAlign w:val="center"/>
          </w:tcPr>
          <w:p w14:paraId="0DB3801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r>
              <w:rPr>
                <w:rFonts w:hint="eastAsia" w:ascii="宋体" w:hAnsi="宋体" w:eastAsia="宋体" w:cs="宋体"/>
                <w:b/>
                <w:bCs/>
                <w:i w:val="0"/>
                <w:caps w:val="0"/>
                <w:color w:val="auto"/>
                <w:spacing w:val="0"/>
                <w:w w:val="100"/>
                <w:sz w:val="21"/>
                <w:szCs w:val="21"/>
                <w:highlight w:val="none"/>
                <w:lang w:bidi="ar"/>
              </w:rPr>
              <w:t>漏洞防护</w:t>
            </w:r>
          </w:p>
        </w:tc>
        <w:tc>
          <w:tcPr>
            <w:tcW w:w="4191" w:type="pct"/>
            <w:tcBorders>
              <w:tl2br w:val="nil"/>
              <w:tr2bl w:val="nil"/>
            </w:tcBorders>
            <w:vAlign w:val="center"/>
          </w:tcPr>
          <w:p w14:paraId="6870268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top"/>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支持对Windows终端的漏洞情况进行扫描，并查看漏洞具体情况，并显示具体修复情况</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00EC6B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trPr>
        <w:tc>
          <w:tcPr>
            <w:tcW w:w="808" w:type="pct"/>
            <w:vMerge w:val="continue"/>
            <w:tcBorders>
              <w:tl2br w:val="nil"/>
              <w:tr2bl w:val="nil"/>
            </w:tcBorders>
            <w:vAlign w:val="center"/>
          </w:tcPr>
          <w:p w14:paraId="1B570EE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lang w:bidi="ar"/>
              </w:rPr>
            </w:pPr>
          </w:p>
        </w:tc>
        <w:tc>
          <w:tcPr>
            <w:tcW w:w="4191" w:type="pct"/>
            <w:tcBorders>
              <w:tl2br w:val="nil"/>
              <w:tr2bl w:val="nil"/>
            </w:tcBorders>
            <w:vAlign w:val="center"/>
          </w:tcPr>
          <w:p w14:paraId="5CA37D09">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bidi="ar"/>
              </w:rPr>
            </w:pPr>
            <w:r>
              <w:rPr>
                <w:rFonts w:hint="eastAsia" w:ascii="宋体" w:hAnsi="宋体" w:eastAsia="宋体" w:cs="宋体"/>
                <w:b w:val="0"/>
                <w:bCs w:val="0"/>
                <w:i w:val="0"/>
                <w:caps w:val="0"/>
                <w:color w:val="auto"/>
                <w:spacing w:val="0"/>
                <w:w w:val="100"/>
                <w:sz w:val="21"/>
                <w:szCs w:val="21"/>
                <w:highlight w:val="none"/>
                <w:u w:val="none"/>
                <w:lang w:bidi="ar"/>
              </w:rPr>
              <w:t>支持对Linux终端扫描系统漏洞、提供漏洞分析详情和修复建议。</w:t>
            </w:r>
          </w:p>
        </w:tc>
      </w:tr>
      <w:tr w14:paraId="0A6F24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trPr>
        <w:tc>
          <w:tcPr>
            <w:tcW w:w="808" w:type="pct"/>
            <w:tcBorders>
              <w:tl2br w:val="nil"/>
              <w:tr2bl w:val="nil"/>
            </w:tcBorders>
            <w:vAlign w:val="center"/>
          </w:tcPr>
          <w:p w14:paraId="49FBF637">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轻桌管</w:t>
            </w:r>
          </w:p>
        </w:tc>
        <w:tc>
          <w:tcPr>
            <w:tcW w:w="4191" w:type="pct"/>
            <w:tcBorders>
              <w:tl2br w:val="nil"/>
              <w:tr2bl w:val="nil"/>
            </w:tcBorders>
            <w:vAlign w:val="center"/>
          </w:tcPr>
          <w:p w14:paraId="3B2C7471">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支持Windows系统的违规外联动能，有效帮助管理员规范终端上网行为</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2F176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808" w:type="pct"/>
            <w:vMerge w:val="restart"/>
            <w:tcBorders>
              <w:tl2br w:val="nil"/>
              <w:tr2bl w:val="nil"/>
            </w:tcBorders>
            <w:vAlign w:val="center"/>
          </w:tcPr>
          <w:p w14:paraId="008428D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center"/>
              <w:rPr>
                <w:rFonts w:hint="eastAsia" w:ascii="宋体" w:hAnsi="宋体" w:eastAsia="宋体" w:cs="宋体"/>
                <w:b/>
                <w:bCs/>
                <w:i w:val="0"/>
                <w:caps w:val="0"/>
                <w:color w:val="auto"/>
                <w:spacing w:val="0"/>
                <w:w w:val="100"/>
                <w:sz w:val="21"/>
                <w:szCs w:val="21"/>
                <w:highlight w:val="none"/>
              </w:rPr>
            </w:pPr>
            <w:r>
              <w:rPr>
                <w:rFonts w:hint="eastAsia" w:ascii="宋体" w:hAnsi="宋体" w:eastAsia="宋体" w:cs="宋体"/>
                <w:b/>
                <w:bCs/>
                <w:i w:val="0"/>
                <w:caps w:val="0"/>
                <w:color w:val="auto"/>
                <w:spacing w:val="0"/>
                <w:w w:val="100"/>
                <w:sz w:val="21"/>
                <w:szCs w:val="21"/>
                <w:highlight w:val="none"/>
                <w:lang w:bidi="ar"/>
              </w:rPr>
              <w:t>windows智御</w:t>
            </w:r>
          </w:p>
        </w:tc>
        <w:tc>
          <w:tcPr>
            <w:tcW w:w="4191" w:type="pct"/>
            <w:tcBorders>
              <w:tl2br w:val="nil"/>
              <w:tr2bl w:val="nil"/>
            </w:tcBorders>
            <w:vAlign w:val="center"/>
          </w:tcPr>
          <w:p w14:paraId="372EF874">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rPr>
            </w:pPr>
            <w:r>
              <w:rPr>
                <w:rFonts w:hint="eastAsia" w:ascii="宋体" w:hAnsi="宋体" w:eastAsia="宋体" w:cs="宋体"/>
                <w:b w:val="0"/>
                <w:bCs w:val="0"/>
                <w:i w:val="0"/>
                <w:caps w:val="0"/>
                <w:color w:val="auto"/>
                <w:spacing w:val="0"/>
                <w:w w:val="100"/>
                <w:sz w:val="21"/>
                <w:szCs w:val="21"/>
                <w:highlight w:val="none"/>
                <w:u w:val="none"/>
                <w:lang w:bidi="ar"/>
              </w:rPr>
              <w:t>支持对Windows停更的系统提供专项防护，包括0day漏洞防护、文件防护、暴破入侵防护、系统脆弱点识别和风险端口封堵等多项核心功能</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7AFBF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vMerge w:val="continue"/>
            <w:tcBorders>
              <w:tl2br w:val="nil"/>
              <w:tr2bl w:val="nil"/>
            </w:tcBorders>
            <w:vAlign w:val="center"/>
          </w:tcPr>
          <w:p w14:paraId="2362B788">
            <w:pPr>
              <w:keepNext w:val="0"/>
              <w:keepLines w:val="0"/>
              <w:pageBreakBefore w:val="0"/>
              <w:kinsoku/>
              <w:wordWrap/>
              <w:overflowPunct/>
              <w:topLinePunct w:val="0"/>
              <w:autoSpaceDE/>
              <w:autoSpaceDN/>
              <w:bidi w:val="0"/>
              <w:adjustRightInd/>
              <w:snapToGrid/>
              <w:spacing w:before="0" w:beforeAutospacing="0" w:after="0" w:afterAutospacing="0" w:line="240" w:lineRule="auto"/>
              <w:jc w:val="left"/>
              <w:textAlignment w:val="baseline"/>
              <w:rPr>
                <w:rFonts w:hint="eastAsia" w:ascii="宋体" w:hAnsi="宋体" w:eastAsia="宋体" w:cs="宋体"/>
                <w:b w:val="0"/>
                <w:i w:val="0"/>
                <w:caps w:val="0"/>
                <w:color w:val="auto"/>
                <w:spacing w:val="0"/>
                <w:w w:val="100"/>
                <w:sz w:val="21"/>
                <w:szCs w:val="21"/>
                <w:highlight w:val="none"/>
              </w:rPr>
            </w:pPr>
          </w:p>
        </w:tc>
        <w:tc>
          <w:tcPr>
            <w:tcW w:w="4191" w:type="pct"/>
            <w:tcBorders>
              <w:tl2br w:val="nil"/>
              <w:tr2bl w:val="nil"/>
            </w:tcBorders>
            <w:vAlign w:val="center"/>
          </w:tcPr>
          <w:p w14:paraId="58A2F6D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eastAsia="zh-CN"/>
              </w:rPr>
            </w:pPr>
            <w:r>
              <w:rPr>
                <w:rFonts w:hint="eastAsia" w:ascii="宋体" w:hAnsi="宋体" w:eastAsia="宋体" w:cs="宋体"/>
                <w:b w:val="0"/>
                <w:bCs w:val="0"/>
                <w:i w:val="0"/>
                <w:caps w:val="0"/>
                <w:color w:val="auto"/>
                <w:spacing w:val="0"/>
                <w:w w:val="100"/>
                <w:sz w:val="21"/>
                <w:szCs w:val="21"/>
                <w:highlight w:val="none"/>
                <w:u w:val="none"/>
                <w:lang w:bidi="ar"/>
              </w:rPr>
              <w:t>支持对已停止更新的Windows系统的全网一键清点，管理员可快速筛选出全网已停止更新的Windows系统的数量和具体的终端</w:t>
            </w:r>
            <w:r>
              <w:rPr>
                <w:rFonts w:hint="eastAsia" w:ascii="宋体" w:hAnsi="宋体" w:eastAsia="宋体" w:cs="宋体"/>
                <w:b w:val="0"/>
                <w:bCs w:val="0"/>
                <w:i w:val="0"/>
                <w:caps w:val="0"/>
                <w:color w:val="auto"/>
                <w:spacing w:val="0"/>
                <w:w w:val="100"/>
                <w:sz w:val="21"/>
                <w:szCs w:val="21"/>
                <w:highlight w:val="none"/>
                <w:u w:val="none"/>
                <w:lang w:eastAsia="zh-CN" w:bidi="ar"/>
              </w:rPr>
              <w:t>。</w:t>
            </w:r>
          </w:p>
        </w:tc>
      </w:tr>
      <w:tr w14:paraId="0900E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808" w:type="pct"/>
            <w:vMerge w:val="continue"/>
            <w:tcBorders>
              <w:tl2br w:val="nil"/>
              <w:tr2bl w:val="nil"/>
            </w:tcBorders>
            <w:vAlign w:val="center"/>
          </w:tcPr>
          <w:p w14:paraId="086863DB">
            <w:pPr>
              <w:keepNext w:val="0"/>
              <w:keepLines w:val="0"/>
              <w:pageBreakBefore w:val="0"/>
              <w:kinsoku/>
              <w:wordWrap/>
              <w:overflowPunct/>
              <w:topLinePunct w:val="0"/>
              <w:autoSpaceDE/>
              <w:autoSpaceDN/>
              <w:bidi w:val="0"/>
              <w:adjustRightInd/>
              <w:snapToGrid/>
              <w:spacing w:before="0" w:beforeAutospacing="0" w:after="0" w:afterAutospacing="0" w:line="240" w:lineRule="auto"/>
              <w:jc w:val="left"/>
              <w:textAlignment w:val="baseline"/>
              <w:rPr>
                <w:rFonts w:hint="eastAsia" w:ascii="宋体" w:hAnsi="宋体" w:eastAsia="宋体" w:cs="宋体"/>
                <w:b w:val="0"/>
                <w:i w:val="0"/>
                <w:caps w:val="0"/>
                <w:color w:val="auto"/>
                <w:spacing w:val="0"/>
                <w:w w:val="100"/>
                <w:sz w:val="21"/>
                <w:szCs w:val="21"/>
                <w:highlight w:val="none"/>
              </w:rPr>
            </w:pPr>
          </w:p>
        </w:tc>
        <w:tc>
          <w:tcPr>
            <w:tcW w:w="4191" w:type="pct"/>
            <w:tcBorders>
              <w:tl2br w:val="nil"/>
              <w:tr2bl w:val="nil"/>
            </w:tcBorders>
            <w:vAlign w:val="center"/>
          </w:tcPr>
          <w:p w14:paraId="1F0C943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left"/>
              <w:textAlignment w:val="center"/>
              <w:rPr>
                <w:rFonts w:hint="eastAsia" w:ascii="宋体" w:hAnsi="宋体" w:eastAsia="宋体" w:cs="宋体"/>
                <w:b w:val="0"/>
                <w:bCs w:val="0"/>
                <w:i w:val="0"/>
                <w:caps w:val="0"/>
                <w:color w:val="auto"/>
                <w:spacing w:val="0"/>
                <w:w w:val="100"/>
                <w:sz w:val="21"/>
                <w:szCs w:val="21"/>
                <w:highlight w:val="none"/>
                <w:u w:val="none"/>
                <w:lang w:bidi="ar"/>
              </w:rPr>
            </w:pPr>
            <w:r>
              <w:rPr>
                <w:rFonts w:hint="eastAsia" w:ascii="宋体" w:hAnsi="宋体" w:eastAsia="宋体" w:cs="宋体"/>
                <w:b w:val="0"/>
                <w:bCs w:val="0"/>
                <w:i w:val="0"/>
                <w:caps w:val="0"/>
                <w:color w:val="auto"/>
                <w:spacing w:val="0"/>
                <w:w w:val="100"/>
                <w:sz w:val="21"/>
                <w:szCs w:val="21"/>
                <w:highlight w:val="none"/>
                <w:u w:val="none"/>
                <w:lang w:bidi="ar"/>
              </w:rPr>
              <w:t>支持基于应用、端口和账号的清点，可辅助</w:t>
            </w:r>
            <w:r>
              <w:rPr>
                <w:rFonts w:hint="eastAsia" w:ascii="宋体" w:hAnsi="宋体" w:eastAsia="宋体" w:cs="宋体"/>
                <w:b w:val="0"/>
                <w:bCs w:val="0"/>
                <w:i w:val="0"/>
                <w:caps w:val="0"/>
                <w:color w:val="auto"/>
                <w:spacing w:val="0"/>
                <w:w w:val="100"/>
                <w:sz w:val="21"/>
                <w:szCs w:val="21"/>
                <w:highlight w:val="none"/>
                <w:u w:val="none"/>
                <w:lang w:val="en-US" w:eastAsia="zh-CN" w:bidi="ar"/>
              </w:rPr>
              <w:t>甲方</w:t>
            </w:r>
            <w:r>
              <w:rPr>
                <w:rFonts w:hint="eastAsia" w:ascii="宋体" w:hAnsi="宋体" w:eastAsia="宋体" w:cs="宋体"/>
                <w:b w:val="0"/>
                <w:bCs w:val="0"/>
                <w:i w:val="0"/>
                <w:caps w:val="0"/>
                <w:color w:val="auto"/>
                <w:spacing w:val="0"/>
                <w:w w:val="100"/>
                <w:sz w:val="21"/>
                <w:szCs w:val="21"/>
                <w:highlight w:val="none"/>
                <w:u w:val="none"/>
                <w:lang w:bidi="ar"/>
              </w:rPr>
              <w:t>进行已停更Windows系统的风险识别。</w:t>
            </w:r>
          </w:p>
        </w:tc>
      </w:tr>
    </w:tbl>
    <w:p w14:paraId="53323DD0">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网络安全咨询服务</w:t>
      </w:r>
    </w:p>
    <w:p w14:paraId="0BD2756E">
      <w:pPr>
        <w:numPr>
          <w:ilvl w:val="0"/>
          <w:numId w:val="134"/>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服务内容：根据《网络安全法》《数据安全法》《个人信息保护法》等网络安全法律法规和上级部门的相关要求，协助</w:t>
      </w:r>
      <w:r>
        <w:rPr>
          <w:rFonts w:hint="eastAsia" w:ascii="宋体" w:hAnsi="宋体" w:eastAsia="宋体" w:cs="宋体"/>
          <w:b w:val="0"/>
          <w:i w:val="0"/>
          <w:caps w:val="0"/>
          <w:color w:val="auto"/>
          <w:spacing w:val="0"/>
          <w:w w:val="100"/>
          <w:sz w:val="21"/>
          <w:szCs w:val="21"/>
          <w:highlight w:val="none"/>
          <w:lang w:val="en-US" w:eastAsia="zh-CN"/>
        </w:rPr>
        <w:t>甲方</w:t>
      </w:r>
      <w:r>
        <w:rPr>
          <w:rFonts w:hint="eastAsia" w:ascii="宋体" w:hAnsi="宋体" w:eastAsia="宋体" w:cs="宋体"/>
          <w:b w:val="0"/>
          <w:i w:val="0"/>
          <w:caps w:val="0"/>
          <w:color w:val="auto"/>
          <w:spacing w:val="0"/>
          <w:w w:val="100"/>
          <w:sz w:val="21"/>
          <w:szCs w:val="21"/>
          <w:highlight w:val="none"/>
        </w:rPr>
        <w:t>撰写各类网络安全管理制度和相关资料；</w:t>
      </w:r>
    </w:p>
    <w:p w14:paraId="6C0E12A3">
      <w:pPr>
        <w:numPr>
          <w:ilvl w:val="0"/>
          <w:numId w:val="134"/>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服务频次：按需提供；</w:t>
      </w:r>
    </w:p>
    <w:p w14:paraId="4EA9B595">
      <w:pPr>
        <w:numPr>
          <w:ilvl w:val="0"/>
          <w:numId w:val="134"/>
        </w:numPr>
        <w:snapToGrid w:val="0"/>
        <w:spacing w:before="0" w:beforeAutospacing="0" w:after="0" w:afterAutospacing="0" w:line="360" w:lineRule="auto"/>
        <w:ind w:left="425" w:leftChars="0" w:hanging="425" w:firstLineChars="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服务输出：《网络安全管理制度》。</w:t>
      </w:r>
    </w:p>
    <w:p w14:paraId="31EC718B">
      <w:pPr>
        <w:pStyle w:val="27"/>
        <w:numPr>
          <w:ilvl w:val="0"/>
          <w:numId w:val="125"/>
        </w:numPr>
        <w:snapToGrid w:val="0"/>
        <w:spacing w:line="360" w:lineRule="auto"/>
        <w:ind w:left="425" w:leftChars="0" w:hanging="425" w:firstLineChars="0"/>
        <w:contextualSpacing/>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安全运维管理平台</w:t>
      </w:r>
      <w:r>
        <w:rPr>
          <w:rFonts w:hint="eastAsia" w:ascii="宋体" w:hAnsi="宋体" w:eastAsia="宋体" w:cs="宋体"/>
          <w:color w:val="auto"/>
          <w:sz w:val="21"/>
          <w:szCs w:val="21"/>
          <w:highlight w:val="none"/>
          <w:lang w:val="en-US" w:eastAsia="zh-CN"/>
        </w:rPr>
        <w:t>服务</w:t>
      </w:r>
    </w:p>
    <w:p w14:paraId="5C597A20">
      <w:pPr>
        <w:snapToGrid w:val="0"/>
        <w:spacing w:before="0" w:beforeAutospacing="0" w:after="0" w:afterAutospacing="0" w:line="360" w:lineRule="auto"/>
        <w:ind w:firstLine="420" w:firstLineChars="200"/>
        <w:jc w:val="left"/>
        <w:textAlignment w:val="baseline"/>
        <w:rPr>
          <w:rFonts w:hint="eastAsia" w:ascii="宋体" w:hAnsi="宋体" w:eastAsia="宋体" w:cs="宋体"/>
          <w:b w:val="0"/>
          <w:i w:val="0"/>
          <w:caps w:val="0"/>
          <w:color w:val="auto"/>
          <w:spacing w:val="0"/>
          <w:w w:val="100"/>
          <w:sz w:val="21"/>
          <w:szCs w:val="21"/>
          <w:highlight w:val="none"/>
        </w:rPr>
      </w:pPr>
      <w:r>
        <w:rPr>
          <w:rFonts w:hint="eastAsia" w:ascii="宋体" w:hAnsi="宋体" w:eastAsia="宋体" w:cs="宋体"/>
          <w:b w:val="0"/>
          <w:i w:val="0"/>
          <w:caps w:val="0"/>
          <w:color w:val="auto"/>
          <w:spacing w:val="0"/>
          <w:w w:val="100"/>
          <w:sz w:val="21"/>
          <w:szCs w:val="21"/>
          <w:highlight w:val="none"/>
        </w:rPr>
        <w:t>服务期内，提供安全运维管理服务工具，能够对网络安全维护服务过程中输出的资产、IP、安全运维数据进行集中采集和统一管理，具体包含资产管理、IP管理、安全管理和运维管理，同时需要实现数据和流程的相互融合。</w:t>
      </w:r>
    </w:p>
    <w:p w14:paraId="798E7DAE">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其他要求</w:t>
      </w:r>
    </w:p>
    <w:p w14:paraId="0168583D">
      <w:pPr>
        <w:pStyle w:val="27"/>
        <w:widowControl/>
        <w:numPr>
          <w:ilvl w:val="0"/>
          <w:numId w:val="135"/>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eastAsia="zh-CN"/>
        </w:rPr>
        <w:t>乙方</w:t>
      </w:r>
      <w:r>
        <w:rPr>
          <w:rFonts w:hint="eastAsia" w:ascii="宋体" w:hAnsi="宋体" w:eastAsia="宋体"/>
          <w:b w:val="0"/>
          <w:bCs w:val="0"/>
          <w:color w:val="auto"/>
          <w:szCs w:val="21"/>
          <w:highlight w:val="none"/>
        </w:rPr>
        <w:t>在工作过程中接触到的</w:t>
      </w:r>
      <w:r>
        <w:rPr>
          <w:rFonts w:hint="eastAsia" w:ascii="宋体" w:hAnsi="宋体" w:eastAsia="宋体"/>
          <w:b w:val="0"/>
          <w:bCs w:val="0"/>
          <w:color w:val="auto"/>
          <w:szCs w:val="21"/>
          <w:highlight w:val="none"/>
          <w:lang w:eastAsia="zh-CN"/>
        </w:rPr>
        <w:t>甲方</w:t>
      </w:r>
      <w:r>
        <w:rPr>
          <w:rFonts w:hint="eastAsia" w:ascii="宋体" w:hAnsi="宋体" w:eastAsia="宋体"/>
          <w:b w:val="0"/>
          <w:bCs w:val="0"/>
          <w:color w:val="auto"/>
          <w:szCs w:val="21"/>
          <w:highlight w:val="none"/>
        </w:rPr>
        <w:t>的任何资料、文件、数据(无论是书面的还是电子的)，以及为</w:t>
      </w:r>
      <w:r>
        <w:rPr>
          <w:rFonts w:hint="eastAsia" w:ascii="宋体" w:hAnsi="宋体" w:eastAsia="宋体"/>
          <w:b w:val="0"/>
          <w:bCs w:val="0"/>
          <w:color w:val="auto"/>
          <w:szCs w:val="21"/>
          <w:highlight w:val="none"/>
          <w:lang w:eastAsia="zh-CN"/>
        </w:rPr>
        <w:t>甲方</w:t>
      </w:r>
      <w:r>
        <w:rPr>
          <w:rFonts w:hint="eastAsia" w:ascii="宋体" w:hAnsi="宋体" w:eastAsia="宋体"/>
          <w:b w:val="0"/>
          <w:bCs w:val="0"/>
          <w:color w:val="auto"/>
          <w:szCs w:val="21"/>
          <w:highlight w:val="none"/>
        </w:rPr>
        <w:t>服务形成的任何货物，应负有为</w:t>
      </w:r>
      <w:r>
        <w:rPr>
          <w:rFonts w:hint="eastAsia" w:ascii="宋体" w:hAnsi="宋体" w:eastAsia="宋体"/>
          <w:b w:val="0"/>
          <w:bCs w:val="0"/>
          <w:color w:val="auto"/>
          <w:szCs w:val="21"/>
          <w:highlight w:val="none"/>
          <w:lang w:eastAsia="zh-CN"/>
        </w:rPr>
        <w:t>甲方</w:t>
      </w:r>
      <w:r>
        <w:rPr>
          <w:rFonts w:hint="eastAsia" w:ascii="宋体" w:hAnsi="宋体" w:eastAsia="宋体"/>
          <w:b w:val="0"/>
          <w:bCs w:val="0"/>
          <w:color w:val="auto"/>
          <w:szCs w:val="21"/>
          <w:highlight w:val="none"/>
        </w:rPr>
        <w:t>保密的责任，未经</w:t>
      </w:r>
      <w:r>
        <w:rPr>
          <w:rFonts w:hint="eastAsia" w:ascii="宋体" w:hAnsi="宋体" w:eastAsia="宋体"/>
          <w:b w:val="0"/>
          <w:bCs w:val="0"/>
          <w:color w:val="auto"/>
          <w:szCs w:val="21"/>
          <w:highlight w:val="none"/>
          <w:lang w:eastAsia="zh-CN"/>
        </w:rPr>
        <w:t>甲方</w:t>
      </w:r>
      <w:r>
        <w:rPr>
          <w:rFonts w:hint="eastAsia" w:ascii="宋体" w:hAnsi="宋体" w:eastAsia="宋体"/>
          <w:b w:val="0"/>
          <w:bCs w:val="0"/>
          <w:color w:val="auto"/>
          <w:szCs w:val="21"/>
          <w:highlight w:val="none"/>
        </w:rPr>
        <w:t>书面同意，</w:t>
      </w:r>
      <w:r>
        <w:rPr>
          <w:rFonts w:hint="eastAsia" w:ascii="宋体" w:hAnsi="宋体" w:eastAsia="宋体"/>
          <w:b w:val="0"/>
          <w:bCs w:val="0"/>
          <w:color w:val="auto"/>
          <w:szCs w:val="21"/>
          <w:highlight w:val="none"/>
          <w:lang w:eastAsia="zh-CN"/>
        </w:rPr>
        <w:t>乙方</w:t>
      </w:r>
      <w:r>
        <w:rPr>
          <w:rFonts w:hint="eastAsia" w:ascii="宋体" w:hAnsi="宋体" w:eastAsia="宋体"/>
          <w:b w:val="0"/>
          <w:bCs w:val="0"/>
          <w:color w:val="auto"/>
          <w:szCs w:val="21"/>
          <w:highlight w:val="none"/>
        </w:rPr>
        <w:t>不得以任何方式向任何第三方提供或透露。</w:t>
      </w:r>
    </w:p>
    <w:p w14:paraId="4BBB11BD">
      <w:pPr>
        <w:pStyle w:val="27"/>
        <w:widowControl/>
        <w:numPr>
          <w:ilvl w:val="0"/>
          <w:numId w:val="135"/>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乙方需为本项目业务系统运行维护及网络安全维护服务制定相应的工作计划、确定工作流程，根据甲方已有的信息化设备参数和品牌制定具有针对性的设备管理方案；乙方服务过程中应对自身服务质量有自检/自测方案，对本项目服务人员进行定期培训和考核；</w:t>
      </w:r>
    </w:p>
    <w:p w14:paraId="368E68B6">
      <w:pPr>
        <w:pStyle w:val="27"/>
        <w:widowControl/>
        <w:numPr>
          <w:ilvl w:val="0"/>
          <w:numId w:val="135"/>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本项目所涉及业务系统运行维护及网络安全维护服务均需乙方指派相关技术人员为甲方提供7×24h响应服务</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b w:val="0"/>
          <w:bCs w:val="0"/>
          <w:color w:val="auto"/>
          <w:szCs w:val="21"/>
          <w:highlight w:val="none"/>
          <w:lang w:val="en-US" w:eastAsia="zh-CN"/>
        </w:rPr>
        <w:t>重大事件10分钟内响应，中小事件30分钟内响应</w:t>
      </w:r>
      <w:r>
        <w:rPr>
          <w:rFonts w:hint="eastAsia" w:ascii="宋体" w:hAnsi="宋体" w:eastAsia="宋体" w:cs="宋体"/>
          <w:b w:val="0"/>
          <w:i w:val="0"/>
          <w:caps w:val="0"/>
          <w:color w:val="auto"/>
          <w:spacing w:val="0"/>
          <w:w w:val="100"/>
          <w:sz w:val="21"/>
          <w:szCs w:val="21"/>
          <w:highlight w:val="none"/>
          <w:lang w:eastAsia="zh-CN"/>
        </w:rPr>
        <w:t>）</w:t>
      </w:r>
      <w:r>
        <w:rPr>
          <w:rFonts w:hint="eastAsia" w:ascii="宋体" w:hAnsi="宋体" w:eastAsia="宋体"/>
          <w:b w:val="0"/>
          <w:bCs w:val="0"/>
          <w:color w:val="auto"/>
          <w:szCs w:val="21"/>
          <w:highlight w:val="none"/>
          <w:lang w:val="en-US" w:eastAsia="zh-CN"/>
        </w:rPr>
        <w:t>，若问题无法通过线上方式解决，乙方还需派遣其服务人员前往甲方指定地点处理相关技术问题，乙方需在接到甲方通知后3小时内到达甲方指定地点；乙方拟派本项目技术服务人员应当具有信息化运维或网络安全维护类项目经验，同时具有通信类或电子技术类专业相关专业背景或中级及以上职称证书；</w:t>
      </w:r>
    </w:p>
    <w:p w14:paraId="460F5277">
      <w:pPr>
        <w:pStyle w:val="27"/>
        <w:widowControl/>
        <w:numPr>
          <w:ilvl w:val="0"/>
          <w:numId w:val="135"/>
        </w:numPr>
        <w:adjustRightInd/>
        <w:snapToGrid w:val="0"/>
        <w:spacing w:line="360" w:lineRule="auto"/>
        <w:ind w:left="0" w:hanging="420" w:hanging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面对服务期内系统故障、网络安全问题、硬件故障及甲方重保时期需求，乙方应提供相应的服务承诺和应急处理方案，方案需包含但不限于服务时效性承诺、人员配备、人员组织架构及管理、排障技术服务方案等。</w:t>
      </w:r>
    </w:p>
    <w:p w14:paraId="6821BB76">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验收要求</w:t>
      </w:r>
    </w:p>
    <w:p w14:paraId="2EB9C6C0">
      <w:pPr>
        <w:pStyle w:val="27"/>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ascii="宋体" w:hAnsi="宋体" w:eastAsia="宋体"/>
          <w:b/>
          <w:color w:val="auto"/>
          <w:spacing w:val="20"/>
          <w:szCs w:val="21"/>
          <w:highlight w:val="none"/>
        </w:rPr>
      </w:pPr>
      <w:r>
        <w:rPr>
          <w:rFonts w:hint="eastAsia" w:ascii="宋体" w:hAnsi="宋体" w:eastAsia="宋体"/>
          <w:iCs/>
          <w:color w:val="auto"/>
          <w:szCs w:val="21"/>
          <w:highlight w:val="none"/>
        </w:rPr>
        <w:t>服务期内，</w:t>
      </w:r>
      <w:r>
        <w:rPr>
          <w:rFonts w:hint="eastAsia" w:ascii="宋体" w:hAnsi="宋体" w:eastAsia="宋体"/>
          <w:iCs/>
          <w:color w:val="auto"/>
          <w:szCs w:val="21"/>
          <w:highlight w:val="none"/>
          <w:lang w:val="en-US" w:eastAsia="zh-CN"/>
        </w:rPr>
        <w:t>每月</w:t>
      </w:r>
      <w:r>
        <w:rPr>
          <w:rFonts w:hint="eastAsia" w:ascii="宋体" w:hAnsi="宋体" w:eastAsia="宋体"/>
          <w:iCs/>
          <w:color w:val="auto"/>
          <w:szCs w:val="21"/>
          <w:highlight w:val="none"/>
        </w:rPr>
        <w:t>10日</w:t>
      </w:r>
      <w:r>
        <w:rPr>
          <w:rFonts w:hint="eastAsia" w:ascii="宋体" w:hAnsi="宋体" w:eastAsia="宋体"/>
          <w:iCs/>
          <w:color w:val="auto"/>
          <w:szCs w:val="21"/>
          <w:highlight w:val="none"/>
          <w:lang w:val="en-US" w:eastAsia="zh-CN"/>
        </w:rPr>
        <w:t>前</w:t>
      </w:r>
      <w:r>
        <w:rPr>
          <w:rFonts w:hint="eastAsia" w:ascii="宋体" w:hAnsi="宋体" w:eastAsia="宋体"/>
          <w:iCs/>
          <w:color w:val="auto"/>
          <w:szCs w:val="21"/>
          <w:highlight w:val="none"/>
        </w:rPr>
        <w:t>，由</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对</w:t>
      </w:r>
      <w:r>
        <w:rPr>
          <w:rFonts w:hint="eastAsia" w:ascii="宋体" w:hAnsi="宋体" w:eastAsia="宋体"/>
          <w:iCs/>
          <w:color w:val="auto"/>
          <w:szCs w:val="21"/>
          <w:highlight w:val="none"/>
          <w:lang w:val="en-US" w:eastAsia="zh-CN"/>
        </w:rPr>
        <w:t>乙方</w:t>
      </w:r>
      <w:r>
        <w:rPr>
          <w:rFonts w:hint="eastAsia" w:ascii="宋体" w:hAnsi="宋体" w:eastAsia="宋体"/>
          <w:iCs/>
          <w:color w:val="auto"/>
          <w:szCs w:val="21"/>
          <w:highlight w:val="none"/>
        </w:rPr>
        <w:t>上月运维工作进行月度</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，由</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指定</w:t>
      </w:r>
      <w:r>
        <w:rPr>
          <w:rFonts w:hint="eastAsia" w:ascii="宋体" w:hAnsi="宋体" w:eastAsia="宋体"/>
          <w:iCs/>
          <w:color w:val="auto"/>
          <w:szCs w:val="21"/>
          <w:highlight w:val="none"/>
          <w:lang w:val="en-US" w:eastAsia="zh-CN"/>
        </w:rPr>
        <w:t>负责人</w:t>
      </w:r>
      <w:r>
        <w:rPr>
          <w:rFonts w:hint="eastAsia" w:ascii="宋体" w:hAnsi="宋体" w:eastAsia="宋体"/>
          <w:iCs/>
          <w:color w:val="auto"/>
          <w:szCs w:val="21"/>
          <w:highlight w:val="none"/>
        </w:rPr>
        <w:t>组成月度</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团队，对每月的运维工作进行阶段性</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w:t>
      </w:r>
      <w:r>
        <w:rPr>
          <w:rFonts w:hint="eastAsia" w:ascii="宋体" w:hAnsi="宋体" w:eastAsia="宋体"/>
          <w:iCs/>
          <w:color w:val="auto"/>
          <w:szCs w:val="21"/>
          <w:highlight w:val="none"/>
          <w:lang w:val="en-US" w:eastAsia="zh-CN"/>
        </w:rPr>
        <w:t>验收</w:t>
      </w:r>
      <w:r>
        <w:rPr>
          <w:rFonts w:hint="eastAsia" w:ascii="宋体" w:hAnsi="宋体" w:eastAsia="宋体"/>
          <w:iCs/>
          <w:color w:val="auto"/>
          <w:szCs w:val="21"/>
          <w:highlight w:val="none"/>
        </w:rPr>
        <w:t>内容</w:t>
      </w:r>
      <w:r>
        <w:rPr>
          <w:rFonts w:hint="eastAsia" w:ascii="宋体" w:hAnsi="宋体" w:eastAsia="宋体"/>
          <w:iCs/>
          <w:color w:val="auto"/>
          <w:szCs w:val="21"/>
          <w:highlight w:val="none"/>
          <w:lang w:val="en-US" w:eastAsia="zh-CN"/>
        </w:rPr>
        <w:t>详见《服务质量考核表》</w:t>
      </w:r>
      <w:r>
        <w:rPr>
          <w:rFonts w:hint="eastAsia" w:ascii="宋体" w:hAnsi="宋体" w:eastAsia="宋体"/>
          <w:iCs/>
          <w:color w:val="auto"/>
          <w:szCs w:val="21"/>
          <w:highlight w:val="none"/>
        </w:rPr>
        <w:t>。</w:t>
      </w:r>
    </w:p>
    <w:p w14:paraId="421231EF">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《服务质量考核表》</w:t>
      </w:r>
    </w:p>
    <w:p w14:paraId="2987D41E">
      <w:pPr>
        <w:pStyle w:val="27"/>
        <w:numPr>
          <w:ilvl w:val="0"/>
          <w:numId w:val="0"/>
        </w:numPr>
        <w:snapToGrid w:val="0"/>
        <w:spacing w:line="360" w:lineRule="auto"/>
        <w:ind w:left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考核时段：    年  月  日至    年  月  日</w:t>
      </w:r>
    </w:p>
    <w:p w14:paraId="6F10EF36">
      <w:pPr>
        <w:pStyle w:val="27"/>
        <w:numPr>
          <w:ilvl w:val="0"/>
          <w:numId w:val="0"/>
        </w:numPr>
        <w:snapToGrid w:val="0"/>
        <w:spacing w:line="360" w:lineRule="auto"/>
        <w:ind w:left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考核日期：    年  月  日</w:t>
      </w:r>
    </w:p>
    <w:p w14:paraId="1BEB1494">
      <w:pPr>
        <w:pStyle w:val="27"/>
        <w:numPr>
          <w:ilvl w:val="0"/>
          <w:numId w:val="0"/>
        </w:numPr>
        <w:snapToGrid w:val="0"/>
        <w:spacing w:line="360" w:lineRule="auto"/>
        <w:ind w:leftChars="0"/>
        <w:contextualSpacing/>
        <w:rPr>
          <w:rFonts w:hint="default"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考核负责人（签字）：</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7"/>
        <w:gridCol w:w="1516"/>
        <w:gridCol w:w="899"/>
        <w:gridCol w:w="4355"/>
        <w:gridCol w:w="1089"/>
      </w:tblGrid>
      <w:tr w14:paraId="682E1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8" w:type="pct"/>
            <w:vAlign w:val="center"/>
          </w:tcPr>
          <w:p w14:paraId="248FF9A5">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考核项目</w:t>
            </w:r>
          </w:p>
        </w:tc>
        <w:tc>
          <w:tcPr>
            <w:tcW w:w="816" w:type="pct"/>
            <w:vAlign w:val="center"/>
          </w:tcPr>
          <w:p w14:paraId="0DB75D7B">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考核分项</w:t>
            </w:r>
          </w:p>
        </w:tc>
        <w:tc>
          <w:tcPr>
            <w:tcW w:w="484" w:type="pct"/>
            <w:vAlign w:val="center"/>
          </w:tcPr>
          <w:p w14:paraId="205EE6EA">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分数</w:t>
            </w:r>
          </w:p>
        </w:tc>
        <w:tc>
          <w:tcPr>
            <w:tcW w:w="2344" w:type="pct"/>
            <w:vAlign w:val="center"/>
          </w:tcPr>
          <w:p w14:paraId="45B16CEE">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扣分方法</w:t>
            </w:r>
          </w:p>
        </w:tc>
        <w:tc>
          <w:tcPr>
            <w:tcW w:w="586" w:type="pct"/>
            <w:vAlign w:val="center"/>
          </w:tcPr>
          <w:p w14:paraId="17CCA1B7">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bCs/>
                <w:color w:val="auto"/>
                <w:szCs w:val="21"/>
                <w:highlight w:val="none"/>
                <w:vertAlign w:val="baseline"/>
                <w:lang w:val="en-US" w:eastAsia="zh-CN"/>
              </w:rPr>
            </w:pPr>
            <w:r>
              <w:rPr>
                <w:rFonts w:hint="eastAsia" w:ascii="宋体" w:hAnsi="宋体" w:eastAsia="宋体"/>
                <w:b/>
                <w:bCs/>
                <w:color w:val="auto"/>
                <w:szCs w:val="21"/>
                <w:highlight w:val="none"/>
                <w:vertAlign w:val="baseline"/>
                <w:lang w:val="en-US" w:eastAsia="zh-CN"/>
              </w:rPr>
              <w:t>最终评分</w:t>
            </w:r>
          </w:p>
        </w:tc>
      </w:tr>
      <w:tr w14:paraId="42F81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restart"/>
            <w:vAlign w:val="center"/>
          </w:tcPr>
          <w:p w14:paraId="49C5AFC2">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日常网络安全运维服务</w:t>
            </w:r>
          </w:p>
          <w:p w14:paraId="0D58D0C0">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（50分）</w:t>
            </w:r>
          </w:p>
        </w:tc>
        <w:tc>
          <w:tcPr>
            <w:tcW w:w="816" w:type="pct"/>
            <w:vAlign w:val="center"/>
          </w:tcPr>
          <w:p w14:paraId="7719BBE7">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管理制度执行情况</w:t>
            </w:r>
          </w:p>
        </w:tc>
        <w:tc>
          <w:tcPr>
            <w:tcW w:w="484" w:type="pct"/>
            <w:vAlign w:val="center"/>
          </w:tcPr>
          <w:p w14:paraId="679BDF42">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10</w:t>
            </w:r>
          </w:p>
        </w:tc>
        <w:tc>
          <w:tcPr>
            <w:tcW w:w="2344" w:type="pct"/>
            <w:vAlign w:val="center"/>
          </w:tcPr>
          <w:p w14:paraId="553A663C">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按合同要求提供日常运维服务，并按甲方要求提供相应巡检服务、安全咨询、技术支持、总结汇报等，未满足要求的，每次扣1分，扣完为止。</w:t>
            </w:r>
          </w:p>
        </w:tc>
        <w:tc>
          <w:tcPr>
            <w:tcW w:w="586" w:type="pct"/>
            <w:vAlign w:val="center"/>
          </w:tcPr>
          <w:p w14:paraId="663066C2">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2E33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vAlign w:val="center"/>
          </w:tcPr>
          <w:p w14:paraId="033F1CEC">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c>
          <w:tcPr>
            <w:tcW w:w="816" w:type="pct"/>
            <w:vAlign w:val="center"/>
          </w:tcPr>
          <w:p w14:paraId="06481062">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服务响应情况</w:t>
            </w:r>
          </w:p>
        </w:tc>
        <w:tc>
          <w:tcPr>
            <w:tcW w:w="484" w:type="pct"/>
            <w:vAlign w:val="center"/>
          </w:tcPr>
          <w:p w14:paraId="37848036">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10</w:t>
            </w:r>
          </w:p>
        </w:tc>
        <w:tc>
          <w:tcPr>
            <w:tcW w:w="2344" w:type="pct"/>
            <w:vAlign w:val="center"/>
          </w:tcPr>
          <w:p w14:paraId="654834B0">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乙方服务响应情况评分，业务需求或技术支撑响应不及时的，每次扣1分，扣完为止。（重大事件10分钟内响应，中小事件30分钟内响应）</w:t>
            </w:r>
          </w:p>
        </w:tc>
        <w:tc>
          <w:tcPr>
            <w:tcW w:w="586" w:type="pct"/>
            <w:vAlign w:val="center"/>
          </w:tcPr>
          <w:p w14:paraId="242B22A7">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53C5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Merge w:val="continue"/>
            <w:vAlign w:val="center"/>
          </w:tcPr>
          <w:p w14:paraId="39ACDD15">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c>
          <w:tcPr>
            <w:tcW w:w="816" w:type="pct"/>
            <w:vAlign w:val="center"/>
          </w:tcPr>
          <w:p w14:paraId="2D2ECD9F">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日常巡检及服务交付情况</w:t>
            </w:r>
          </w:p>
        </w:tc>
        <w:tc>
          <w:tcPr>
            <w:tcW w:w="484" w:type="pct"/>
            <w:vAlign w:val="center"/>
          </w:tcPr>
          <w:p w14:paraId="4B681D18">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30</w:t>
            </w:r>
          </w:p>
        </w:tc>
        <w:tc>
          <w:tcPr>
            <w:tcW w:w="2344" w:type="pct"/>
            <w:vAlign w:val="center"/>
          </w:tcPr>
          <w:p w14:paraId="76CF350F">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运维人员按巡检计划要求进行主动和定期巡检，未按时执行的，每次扣1分；合同要求交付的各项报告及报表等交付物，每缺失1次扣3分，扣完为止。</w:t>
            </w:r>
          </w:p>
        </w:tc>
        <w:tc>
          <w:tcPr>
            <w:tcW w:w="586" w:type="pct"/>
            <w:vAlign w:val="center"/>
          </w:tcPr>
          <w:p w14:paraId="790A1878">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785C0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vAlign w:val="center"/>
          </w:tcPr>
          <w:p w14:paraId="282CD30B">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服务满意度</w:t>
            </w:r>
          </w:p>
          <w:p w14:paraId="2DD630BF">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（50分）</w:t>
            </w:r>
          </w:p>
        </w:tc>
        <w:tc>
          <w:tcPr>
            <w:tcW w:w="816" w:type="pct"/>
            <w:vAlign w:val="center"/>
          </w:tcPr>
          <w:p w14:paraId="321618FF">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r>
              <w:rPr>
                <w:rFonts w:hint="eastAsia" w:ascii="宋体" w:hAnsi="宋体" w:eastAsia="宋体"/>
                <w:b w:val="0"/>
                <w:bCs w:val="0"/>
                <w:color w:val="auto"/>
                <w:szCs w:val="21"/>
                <w:highlight w:val="none"/>
                <w:vertAlign w:val="baseline"/>
                <w:lang w:val="en-US" w:eastAsia="zh-CN"/>
              </w:rPr>
              <w:t>服务满意度</w:t>
            </w:r>
          </w:p>
        </w:tc>
        <w:tc>
          <w:tcPr>
            <w:tcW w:w="484" w:type="pct"/>
            <w:vAlign w:val="center"/>
          </w:tcPr>
          <w:p w14:paraId="013750CB">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50</w:t>
            </w:r>
          </w:p>
        </w:tc>
        <w:tc>
          <w:tcPr>
            <w:tcW w:w="2344" w:type="pct"/>
            <w:vAlign w:val="center"/>
          </w:tcPr>
          <w:p w14:paraId="590840AE">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甲方对乙方的网络安全能力、运维技术水平、技术支撑水平、服务态度等进行综合评价，45-50分为非常满意，40-45分为满意，35-40分为比较满意，30-35分为基本满意，30分以下为不满意。</w:t>
            </w:r>
          </w:p>
        </w:tc>
        <w:tc>
          <w:tcPr>
            <w:tcW w:w="586" w:type="pct"/>
            <w:vAlign w:val="center"/>
          </w:tcPr>
          <w:p w14:paraId="5D4E5B68">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r w14:paraId="6CACF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4" w:type="pct"/>
            <w:gridSpan w:val="2"/>
            <w:vAlign w:val="center"/>
          </w:tcPr>
          <w:p w14:paraId="4AAA4AB3">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r>
              <w:rPr>
                <w:rFonts w:hint="eastAsia" w:ascii="宋体" w:hAnsi="宋体" w:eastAsia="宋体"/>
                <w:b w:val="0"/>
                <w:bCs w:val="0"/>
                <w:color w:val="auto"/>
                <w:szCs w:val="21"/>
                <w:highlight w:val="none"/>
                <w:vertAlign w:val="baseline"/>
                <w:lang w:val="en-US" w:eastAsia="zh-CN"/>
              </w:rPr>
              <w:t>合计</w:t>
            </w:r>
          </w:p>
        </w:tc>
        <w:tc>
          <w:tcPr>
            <w:tcW w:w="484" w:type="pct"/>
            <w:vAlign w:val="center"/>
          </w:tcPr>
          <w:p w14:paraId="6FC498F9">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100</w:t>
            </w:r>
          </w:p>
        </w:tc>
        <w:tc>
          <w:tcPr>
            <w:tcW w:w="2344" w:type="pct"/>
            <w:vAlign w:val="center"/>
          </w:tcPr>
          <w:p w14:paraId="7A8B26CD">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b w:val="0"/>
                <w:bCs w:val="0"/>
                <w:color w:val="auto"/>
                <w:szCs w:val="21"/>
                <w:highlight w:val="none"/>
                <w:vertAlign w:val="baseline"/>
                <w:lang w:val="en-US" w:eastAsia="zh-CN"/>
              </w:rPr>
            </w:pPr>
            <w:r>
              <w:rPr>
                <w:rFonts w:hint="eastAsia" w:ascii="宋体" w:hAnsi="宋体" w:eastAsia="宋体"/>
                <w:b w:val="0"/>
                <w:bCs w:val="0"/>
                <w:color w:val="auto"/>
                <w:szCs w:val="21"/>
                <w:highlight w:val="none"/>
                <w:vertAlign w:val="baseline"/>
                <w:lang w:val="en-US" w:eastAsia="zh-CN"/>
              </w:rPr>
              <w:t>最终总得分</w:t>
            </w:r>
          </w:p>
        </w:tc>
        <w:tc>
          <w:tcPr>
            <w:tcW w:w="586" w:type="pct"/>
            <w:vAlign w:val="center"/>
          </w:tcPr>
          <w:p w14:paraId="126E07ED">
            <w:pPr>
              <w:pStyle w:val="27"/>
              <w:keepNext w:val="0"/>
              <w:keepLines w:val="0"/>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b w:val="0"/>
                <w:bCs w:val="0"/>
                <w:color w:val="auto"/>
                <w:szCs w:val="21"/>
                <w:highlight w:val="none"/>
                <w:vertAlign w:val="baseline"/>
              </w:rPr>
            </w:pPr>
          </w:p>
        </w:tc>
      </w:tr>
    </w:tbl>
    <w:p w14:paraId="6A359041">
      <w:pPr>
        <w:pStyle w:val="27"/>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200" w:firstLine="422" w:firstLineChars="200"/>
        <w:textAlignment w:val="auto"/>
        <w:rPr>
          <w:rFonts w:hint="default"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说明：本《服务质量考核表》以90分为达标分数，若考核得分≥90分，则按合同单价全额支付考核时段服务费用，若考核得分＜90分，则考核时段服务费用=考核得分÷90×合同单价，计算结果四舍五入，保留2位小数。</w:t>
      </w:r>
    </w:p>
    <w:p w14:paraId="108585A5">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分包与转包</w:t>
      </w:r>
    </w:p>
    <w:p w14:paraId="6D64D2B8">
      <w:pPr>
        <w:pStyle w:val="27"/>
        <w:keepNext w:val="0"/>
        <w:keepLines w:val="0"/>
        <w:pageBreakBefore w:val="0"/>
        <w:widowControl w:val="0"/>
        <w:numPr>
          <w:ilvl w:val="0"/>
          <w:numId w:val="13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4FF4DD7F">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32"/>
        <w:keepNext w:val="0"/>
        <w:keepLines w:val="0"/>
        <w:pageBreakBefore w:val="0"/>
        <w:widowControl w:val="0"/>
        <w:numPr>
          <w:ilvl w:val="0"/>
          <w:numId w:val="137"/>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21E55283">
      <w:pPr>
        <w:pStyle w:val="32"/>
        <w:keepNext w:val="0"/>
        <w:keepLines w:val="0"/>
        <w:pageBreakBefore w:val="0"/>
        <w:widowControl w:val="0"/>
        <w:numPr>
          <w:ilvl w:val="0"/>
          <w:numId w:val="137"/>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32"/>
        <w:keepNext w:val="0"/>
        <w:keepLines w:val="0"/>
        <w:pageBreakBefore w:val="0"/>
        <w:widowControl w:val="0"/>
        <w:numPr>
          <w:ilvl w:val="0"/>
          <w:numId w:val="137"/>
        </w:numPr>
        <w:tabs>
          <w:tab w:val="left" w:pos="840"/>
        </w:tabs>
        <w:kinsoku/>
        <w:wordWrap/>
        <w:overflowPunct/>
        <w:topLinePunct w:val="0"/>
        <w:bidi w:val="0"/>
        <w:snapToGrid w:val="0"/>
        <w:spacing w:line="360" w:lineRule="auto"/>
        <w:ind w:firstLineChars="0"/>
        <w:textAlignment w:val="auto"/>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32"/>
        <w:keepNext w:val="0"/>
        <w:keepLines w:val="0"/>
        <w:pageBreakBefore w:val="0"/>
        <w:widowControl w:val="0"/>
        <w:numPr>
          <w:ilvl w:val="0"/>
          <w:numId w:val="137"/>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甲方有权从未支付的款项中直接扣除乙方的违约金，不足的部分由乙方另行补足。</w:t>
      </w:r>
    </w:p>
    <w:p w14:paraId="388FD213">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keepNext w:val="0"/>
        <w:keepLines w:val="0"/>
        <w:pageBreakBefore w:val="0"/>
        <w:widowControl w:val="0"/>
        <w:numPr>
          <w:ilvl w:val="0"/>
          <w:numId w:val="138"/>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w:t>
      </w:r>
      <w:r>
        <w:rPr>
          <w:rFonts w:hint="eastAsia" w:ascii="宋体" w:hAnsi="宋体" w:eastAsia="宋体" w:cs="Times New Roman"/>
          <w:color w:val="auto"/>
          <w:szCs w:val="21"/>
          <w:highlight w:val="none"/>
          <w:lang w:val="en-US" w:eastAsia="zh-CN"/>
        </w:rPr>
        <w:t>甲方所在地</w:t>
      </w:r>
      <w:r>
        <w:rPr>
          <w:rFonts w:hint="eastAsia" w:ascii="宋体" w:hAnsi="宋体" w:eastAsia="宋体" w:cs="Times New Roman"/>
          <w:color w:val="auto"/>
          <w:szCs w:val="21"/>
          <w:highlight w:val="none"/>
        </w:rPr>
        <w:t>法院提出诉讼。</w:t>
      </w:r>
    </w:p>
    <w:p w14:paraId="028D9918">
      <w:pPr>
        <w:keepNext w:val="0"/>
        <w:keepLines w:val="0"/>
        <w:pageBreakBefore w:val="0"/>
        <w:widowControl w:val="0"/>
        <w:numPr>
          <w:ilvl w:val="0"/>
          <w:numId w:val="138"/>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keepNext w:val="0"/>
        <w:keepLines w:val="0"/>
        <w:pageBreakBefore w:val="0"/>
        <w:widowControl w:val="0"/>
        <w:numPr>
          <w:ilvl w:val="0"/>
          <w:numId w:val="138"/>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7"/>
        <w:keepNext w:val="0"/>
        <w:keepLines w:val="0"/>
        <w:pageBreakBefore w:val="0"/>
        <w:widowControl w:val="0"/>
        <w:numPr>
          <w:ilvl w:val="0"/>
          <w:numId w:val="101"/>
        </w:numPr>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keepNext w:val="0"/>
        <w:keepLines w:val="0"/>
        <w:pageBreakBefore w:val="0"/>
        <w:widowControl w:val="0"/>
        <w:numPr>
          <w:ilvl w:val="0"/>
          <w:numId w:val="13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keepLines w:val="0"/>
        <w:pageBreakBefore w:val="0"/>
        <w:widowControl w:val="0"/>
        <w:numPr>
          <w:ilvl w:val="0"/>
          <w:numId w:val="13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7"/>
        <w:keepNext w:val="0"/>
        <w:keepLines w:val="0"/>
        <w:pageBreakBefore w:val="0"/>
        <w:widowControl w:val="0"/>
        <w:numPr>
          <w:ilvl w:val="0"/>
          <w:numId w:val="101"/>
        </w:numPr>
        <w:tabs>
          <w:tab w:val="left" w:pos="567"/>
        </w:tabs>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7"/>
        <w:keepNext w:val="0"/>
        <w:keepLines w:val="0"/>
        <w:pageBreakBefore w:val="0"/>
        <w:widowControl w:val="0"/>
        <w:numPr>
          <w:ilvl w:val="0"/>
          <w:numId w:val="14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w:t>
      </w:r>
    </w:p>
    <w:p w14:paraId="1CE35990">
      <w:pPr>
        <w:pStyle w:val="27"/>
        <w:keepNext w:val="0"/>
        <w:keepLines w:val="0"/>
        <w:pageBreakBefore w:val="0"/>
        <w:widowControl w:val="0"/>
        <w:numPr>
          <w:ilvl w:val="0"/>
          <w:numId w:val="14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58EFA674">
      <w:pPr>
        <w:pStyle w:val="27"/>
        <w:keepNext w:val="0"/>
        <w:keepLines w:val="0"/>
        <w:pageBreakBefore w:val="0"/>
        <w:widowControl w:val="0"/>
        <w:numPr>
          <w:ilvl w:val="0"/>
          <w:numId w:val="101"/>
        </w:numPr>
        <w:tabs>
          <w:tab w:val="left" w:pos="567"/>
        </w:tabs>
        <w:kinsoku/>
        <w:wordWrap/>
        <w:overflowPunct/>
        <w:topLinePunct w:val="0"/>
        <w:bidi w:val="0"/>
        <w:snapToGrid w:val="0"/>
        <w:spacing w:before="217" w:beforeLines="50"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27"/>
        <w:keepNext w:val="0"/>
        <w:keepLines w:val="0"/>
        <w:pageBreakBefore w:val="0"/>
        <w:widowControl w:val="0"/>
        <w:numPr>
          <w:ilvl w:val="0"/>
          <w:numId w:val="14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27"/>
        <w:keepNext w:val="0"/>
        <w:keepLines w:val="0"/>
        <w:pageBreakBefore w:val="0"/>
        <w:widowControl w:val="0"/>
        <w:numPr>
          <w:ilvl w:val="0"/>
          <w:numId w:val="14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7"/>
        <w:keepNext w:val="0"/>
        <w:keepLines w:val="0"/>
        <w:pageBreakBefore w:val="0"/>
        <w:widowControl w:val="0"/>
        <w:numPr>
          <w:ilvl w:val="0"/>
          <w:numId w:val="14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695ADBF4">
      <w:pPr>
        <w:rPr>
          <w:rFonts w:ascii="宋体" w:hAnsi="宋体" w:eastAsia="宋体"/>
          <w:color w:val="auto"/>
          <w:szCs w:val="21"/>
          <w:highlight w:val="none"/>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8DD2132">
            <w:pPr>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25C6E012">
            <w:pPr>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9401703">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878389F">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3B614B20">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CC75BE7">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12B9EE4">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1652828">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427BF558">
      <w:pPr>
        <w:pStyle w:val="21"/>
        <w:rPr>
          <w:rFonts w:hint="default" w:ascii="宋体" w:hAnsi="宋体" w:eastAsia="宋体"/>
          <w:color w:val="auto"/>
          <w:sz w:val="21"/>
          <w:szCs w:val="21"/>
          <w:highlight w:val="none"/>
        </w:rPr>
      </w:pPr>
    </w:p>
    <w:p w14:paraId="25A164C6">
      <w:pPr>
        <w:pageBreakBefore/>
        <w:widowControl/>
        <w:jc w:val="center"/>
        <w:outlineLvl w:val="1"/>
        <w:rPr>
          <w:rFonts w:ascii="Calibri" w:hAnsi="Calibri" w:eastAsia="宋体" w:cs="Times New Roman"/>
          <w:color w:val="auto"/>
          <w:kern w:val="0"/>
          <w:sz w:val="20"/>
          <w:szCs w:val="20"/>
          <w:highlight w:val="none"/>
          <w:lang w:eastAsia="zh-Hans"/>
        </w:rPr>
      </w:pPr>
      <w:bookmarkStart w:id="34" w:name="_Toc169799784"/>
      <w:bookmarkStart w:id="35" w:name="_Toc9360"/>
      <w:r>
        <w:rPr>
          <w:rFonts w:ascii="Calibri" w:hAnsi="Calibri" w:eastAsia="宋体" w:cs="Times New Roman"/>
          <w:b/>
          <w:color w:val="auto"/>
          <w:kern w:val="0"/>
          <w:sz w:val="36"/>
          <w:szCs w:val="20"/>
          <w:highlight w:val="none"/>
          <w:lang w:eastAsia="zh-Hans"/>
        </w:rPr>
        <w:t>第六章 投标文件格式</w:t>
      </w:r>
      <w:bookmarkEnd w:id="34"/>
      <w:bookmarkEnd w:id="35"/>
    </w:p>
    <w:p w14:paraId="1CE5421E">
      <w:pPr>
        <w:widowControl/>
        <w:jc w:val="left"/>
        <w:rPr>
          <w:rFonts w:ascii="Calibri" w:hAnsi="Calibri" w:eastAsia="宋体" w:cs="Times New Roman"/>
          <w:color w:val="auto"/>
          <w:kern w:val="0"/>
          <w:sz w:val="20"/>
          <w:szCs w:val="20"/>
          <w:highlight w:val="none"/>
          <w:lang w:eastAsia="zh-Hans"/>
        </w:rPr>
      </w:pPr>
    </w:p>
    <w:p w14:paraId="3A556CA0">
      <w:pPr>
        <w:spacing w:before="652" w:beforeLines="150"/>
        <w:jc w:val="center"/>
        <w:rPr>
          <w:rFonts w:hint="eastAsia" w:ascii="宋体" w:hAnsi="宋体" w:eastAsia="宋体"/>
          <w:b/>
          <w:bCs/>
          <w:color w:val="auto"/>
          <w:sz w:val="80"/>
          <w:szCs w:val="80"/>
          <w:highlight w:val="none"/>
          <w:lang w:eastAsia="zh-CN"/>
        </w:rPr>
      </w:pPr>
      <w:bookmarkStart w:id="36" w:name="_Toc169799785"/>
      <w:r>
        <w:rPr>
          <w:rFonts w:hint="eastAsia" w:ascii="宋体" w:hAnsi="宋体" w:eastAsia="宋体"/>
          <w:b/>
          <w:bCs/>
          <w:color w:val="auto"/>
          <w:sz w:val="80"/>
          <w:szCs w:val="80"/>
          <w:highlight w:val="none"/>
          <w:lang w:eastAsia="zh-CN"/>
        </w:rPr>
        <w:t>鸦片战争博物馆2025—2026年业务系统运行维护及网络安全维护服务项目</w:t>
      </w:r>
    </w:p>
    <w:p w14:paraId="22263F55">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6"/>
    </w:p>
    <w:p w14:paraId="4BC6EA96">
      <w:pPr>
        <w:jc w:val="center"/>
        <w:rPr>
          <w:rFonts w:ascii="宋体" w:hAnsi="宋体" w:eastAsia="宋体"/>
          <w:b/>
          <w:bCs/>
          <w:color w:val="auto"/>
          <w:highlight w:val="none"/>
        </w:rPr>
      </w:pPr>
      <w:bookmarkStart w:id="37" w:name="_Toc169799786"/>
      <w:r>
        <w:rPr>
          <w:rFonts w:ascii="宋体" w:hAnsi="宋体" w:eastAsia="宋体"/>
          <w:b/>
          <w:bCs/>
          <w:color w:val="auto"/>
          <w:sz w:val="44"/>
          <w:szCs w:val="48"/>
          <w:highlight w:val="none"/>
        </w:rPr>
        <w:t>（正本/副本）</w:t>
      </w:r>
      <w:bookmarkEnd w:id="37"/>
    </w:p>
    <w:p w14:paraId="29225CC7">
      <w:pPr>
        <w:keepNext w:val="0"/>
        <w:keepLines w:val="0"/>
        <w:pageBreakBefore w:val="0"/>
        <w:widowControl/>
        <w:kinsoku/>
        <w:wordWrap/>
        <w:overflowPunct/>
        <w:topLinePunct w:val="0"/>
        <w:autoSpaceDE/>
        <w:autoSpaceDN/>
        <w:bidi w:val="0"/>
        <w:adjustRightInd/>
        <w:snapToGrid/>
        <w:spacing w:before="1307" w:beforeLines="3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ZHDGZC2025038</w:t>
      </w:r>
    </w:p>
    <w:p w14:paraId="1999A936">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36FD44B3">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D4156D4">
      <w:pPr>
        <w:widowControl/>
        <w:jc w:val="left"/>
        <w:rPr>
          <w:rFonts w:ascii="Calibri" w:hAnsi="Calibri" w:eastAsia="宋体" w:cs="Times New Roman"/>
          <w:color w:val="auto"/>
          <w:kern w:val="0"/>
          <w:sz w:val="20"/>
          <w:szCs w:val="20"/>
          <w:highlight w:val="none"/>
        </w:rPr>
      </w:pPr>
    </w:p>
    <w:p w14:paraId="3EACC7A6">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57413D5">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12994C4">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6BBA1CBF">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中小企业声明函</w:t>
      </w:r>
    </w:p>
    <w:p w14:paraId="0F963B8C">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监狱企业</w:t>
      </w:r>
    </w:p>
    <w:p w14:paraId="5FE1DDF1">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残疾人福利性单位声明函</w:t>
      </w:r>
    </w:p>
    <w:p w14:paraId="06801FB1">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政策适用性说明</w:t>
      </w:r>
    </w:p>
    <w:p w14:paraId="0463493B">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6FFD1DEB">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1661940">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资格条件承诺函</w:t>
      </w:r>
    </w:p>
    <w:p w14:paraId="118B6973">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C5908F1">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65C8EF60">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项目技术服务人员情况表</w:t>
      </w:r>
    </w:p>
    <w:p w14:paraId="41AFFB6B">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74D1A68">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03FAB5CB">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441CCE17">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586822DF">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▲号条款响应表</w:t>
      </w:r>
    </w:p>
    <w:p w14:paraId="201B1BAE">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048C294">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采购代理服务费支付承诺书</w:t>
      </w:r>
    </w:p>
    <w:p w14:paraId="16C153A6">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DC55D76">
      <w:pPr>
        <w:keepNext w:val="0"/>
        <w:keepLines w:val="0"/>
        <w:pageBreakBefore w:val="0"/>
        <w:widowControl/>
        <w:numPr>
          <w:ilvl w:val="0"/>
          <w:numId w:val="142"/>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Hans"/>
        </w:rPr>
        <w:t>项目实施方案、服务质量保障方案、服务人员配置方案、保密措施、故障排除及应急方案</w:t>
      </w:r>
      <w:r>
        <w:rPr>
          <w:rFonts w:ascii="Calibri" w:hAnsi="Calibri" w:eastAsia="宋体" w:cs="Times New Roman"/>
          <w:color w:val="auto"/>
          <w:kern w:val="0"/>
          <w:szCs w:val="21"/>
          <w:highlight w:val="none"/>
          <w:lang w:eastAsia="zh-Hans"/>
        </w:rPr>
        <w:t>等</w:t>
      </w:r>
    </w:p>
    <w:p w14:paraId="027687D0">
      <w:pPr>
        <w:widowControl/>
        <w:jc w:val="left"/>
        <w:rPr>
          <w:rFonts w:ascii="Calibri" w:hAnsi="Calibri" w:eastAsia="宋体" w:cs="Times New Roman"/>
          <w:color w:val="auto"/>
          <w:kern w:val="0"/>
          <w:sz w:val="20"/>
          <w:szCs w:val="20"/>
          <w:highlight w:val="none"/>
        </w:rPr>
      </w:pPr>
    </w:p>
    <w:p w14:paraId="1844F7FA">
      <w:pPr>
        <w:widowControl/>
        <w:jc w:val="left"/>
        <w:rPr>
          <w:rFonts w:ascii="Calibri" w:hAnsi="Calibri" w:eastAsia="宋体" w:cs="Times New Roman"/>
          <w:color w:val="auto"/>
          <w:kern w:val="0"/>
          <w:sz w:val="20"/>
          <w:szCs w:val="20"/>
          <w:highlight w:val="none"/>
          <w:lang w:eastAsia="zh-Hans"/>
        </w:rPr>
      </w:pPr>
    </w:p>
    <w:p w14:paraId="768B12D4">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549D6A3">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64A56D54">
            <w:pPr>
              <w:spacing w:line="360" w:lineRule="auto"/>
              <w:jc w:val="center"/>
              <w:rPr>
                <w:rFonts w:ascii="宋体" w:hAnsi="宋体" w:eastAsia="宋体"/>
                <w:b/>
                <w:bCs/>
                <w:color w:val="auto"/>
                <w:szCs w:val="21"/>
                <w:highlight w:val="none"/>
              </w:rPr>
            </w:pPr>
          </w:p>
        </w:tc>
        <w:tc>
          <w:tcPr>
            <w:tcW w:w="1470" w:type="pct"/>
            <w:vAlign w:val="center"/>
          </w:tcPr>
          <w:p w14:paraId="39601E8F">
            <w:pPr>
              <w:spacing w:line="360" w:lineRule="auto"/>
              <w:jc w:val="center"/>
              <w:rPr>
                <w:rFonts w:ascii="宋体" w:hAnsi="宋体" w:eastAsia="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502DA47E">
            <w:pPr>
              <w:spacing w:line="360" w:lineRule="auto"/>
              <w:jc w:val="center"/>
              <w:rPr>
                <w:rFonts w:ascii="宋体" w:hAnsi="宋体" w:eastAsia="宋体"/>
                <w:b/>
                <w:bCs/>
                <w:color w:val="auto"/>
                <w:szCs w:val="21"/>
                <w:highlight w:val="none"/>
              </w:rPr>
            </w:pPr>
          </w:p>
        </w:tc>
        <w:tc>
          <w:tcPr>
            <w:tcW w:w="1470" w:type="pct"/>
            <w:vAlign w:val="center"/>
          </w:tcPr>
          <w:p w14:paraId="020C48A6">
            <w:pPr>
              <w:spacing w:line="360" w:lineRule="auto"/>
              <w:jc w:val="center"/>
              <w:rPr>
                <w:rFonts w:ascii="宋体" w:hAnsi="宋体" w:eastAsia="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58DB401">
            <w:pPr>
              <w:spacing w:line="360" w:lineRule="auto"/>
              <w:jc w:val="center"/>
              <w:rPr>
                <w:rFonts w:ascii="宋体" w:hAnsi="宋体" w:eastAsia="宋体"/>
                <w:b/>
                <w:bCs/>
                <w:color w:val="auto"/>
                <w:szCs w:val="21"/>
                <w:highlight w:val="none"/>
              </w:rPr>
            </w:pPr>
          </w:p>
        </w:tc>
        <w:tc>
          <w:tcPr>
            <w:tcW w:w="1470" w:type="pct"/>
            <w:vAlign w:val="center"/>
          </w:tcPr>
          <w:p w14:paraId="383F633B">
            <w:pPr>
              <w:spacing w:line="360" w:lineRule="auto"/>
              <w:jc w:val="center"/>
              <w:rPr>
                <w:rFonts w:ascii="宋体" w:hAnsi="宋体" w:eastAsia="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16647F7">
            <w:pPr>
              <w:spacing w:line="360" w:lineRule="auto"/>
              <w:jc w:val="center"/>
              <w:rPr>
                <w:rFonts w:ascii="宋体" w:hAnsi="宋体" w:eastAsia="宋体"/>
                <w:b/>
                <w:bCs/>
                <w:color w:val="auto"/>
                <w:szCs w:val="21"/>
                <w:highlight w:val="none"/>
              </w:rPr>
            </w:pPr>
          </w:p>
        </w:tc>
        <w:tc>
          <w:tcPr>
            <w:tcW w:w="1470" w:type="pct"/>
            <w:vAlign w:val="center"/>
          </w:tcPr>
          <w:p w14:paraId="5BE3A57F">
            <w:pPr>
              <w:spacing w:line="360" w:lineRule="auto"/>
              <w:jc w:val="center"/>
              <w:rPr>
                <w:rFonts w:ascii="宋体" w:hAnsi="宋体" w:eastAsia="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5FF3A9F3">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1CBB5EE">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11C0CD4">
            <w:pPr>
              <w:spacing w:line="360" w:lineRule="auto"/>
              <w:jc w:val="center"/>
              <w:rPr>
                <w:rFonts w:ascii="宋体" w:hAnsi="宋体" w:eastAsia="宋体"/>
                <w:b/>
                <w:bCs/>
                <w:color w:val="auto"/>
                <w:szCs w:val="21"/>
                <w:highlight w:val="none"/>
              </w:rPr>
            </w:pPr>
          </w:p>
        </w:tc>
        <w:tc>
          <w:tcPr>
            <w:tcW w:w="1470" w:type="pct"/>
            <w:vAlign w:val="center"/>
          </w:tcPr>
          <w:p w14:paraId="2C24E3B4">
            <w:pPr>
              <w:spacing w:line="360" w:lineRule="auto"/>
              <w:jc w:val="center"/>
              <w:rPr>
                <w:rFonts w:ascii="宋体" w:hAnsi="宋体" w:eastAsia="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51C72C">
            <w:pPr>
              <w:spacing w:line="360" w:lineRule="auto"/>
              <w:jc w:val="center"/>
              <w:rPr>
                <w:rFonts w:ascii="宋体" w:hAnsi="宋体" w:eastAsia="宋体"/>
                <w:b/>
                <w:bCs/>
                <w:color w:val="auto"/>
                <w:szCs w:val="21"/>
                <w:highlight w:val="none"/>
              </w:rPr>
            </w:pPr>
          </w:p>
        </w:tc>
        <w:tc>
          <w:tcPr>
            <w:tcW w:w="1470" w:type="pct"/>
            <w:vAlign w:val="center"/>
          </w:tcPr>
          <w:p w14:paraId="1E52B2B6">
            <w:pPr>
              <w:spacing w:line="360" w:lineRule="auto"/>
              <w:jc w:val="center"/>
              <w:rPr>
                <w:rFonts w:ascii="宋体" w:hAnsi="宋体" w:eastAsia="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0CA82E">
            <w:pPr>
              <w:spacing w:line="360" w:lineRule="auto"/>
              <w:jc w:val="center"/>
              <w:rPr>
                <w:rFonts w:ascii="宋体" w:hAnsi="宋体" w:eastAsia="宋体"/>
                <w:b/>
                <w:bCs/>
                <w:color w:val="auto"/>
                <w:szCs w:val="21"/>
                <w:highlight w:val="none"/>
              </w:rPr>
            </w:pPr>
          </w:p>
        </w:tc>
        <w:tc>
          <w:tcPr>
            <w:tcW w:w="1470" w:type="pct"/>
            <w:vAlign w:val="center"/>
          </w:tcPr>
          <w:p w14:paraId="5B9CB5C4">
            <w:pPr>
              <w:spacing w:line="360" w:lineRule="auto"/>
              <w:jc w:val="center"/>
              <w:rPr>
                <w:rFonts w:ascii="宋体" w:hAnsi="宋体" w:eastAsia="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4A8BEEC">
            <w:pPr>
              <w:spacing w:line="360" w:lineRule="auto"/>
              <w:jc w:val="center"/>
              <w:rPr>
                <w:rFonts w:ascii="宋体" w:hAnsi="宋体" w:eastAsia="宋体"/>
                <w:b/>
                <w:bCs/>
                <w:color w:val="auto"/>
                <w:szCs w:val="21"/>
                <w:highlight w:val="none"/>
              </w:rPr>
            </w:pPr>
          </w:p>
        </w:tc>
        <w:tc>
          <w:tcPr>
            <w:tcW w:w="1470" w:type="pct"/>
            <w:vAlign w:val="center"/>
          </w:tcPr>
          <w:p w14:paraId="18B141FF">
            <w:pPr>
              <w:spacing w:line="360" w:lineRule="auto"/>
              <w:jc w:val="center"/>
              <w:rPr>
                <w:rFonts w:ascii="宋体" w:hAnsi="宋体" w:eastAsia="宋体"/>
                <w:b/>
                <w:bCs/>
                <w:color w:val="auto"/>
                <w:spacing w:val="-10"/>
                <w:szCs w:val="21"/>
                <w:highlight w:val="none"/>
              </w:rPr>
            </w:pPr>
          </w:p>
        </w:tc>
      </w:tr>
    </w:tbl>
    <w:p w14:paraId="4319FB3D">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2A2C841">
      <w:pPr>
        <w:pageBreakBefore/>
        <w:tabs>
          <w:tab w:val="left" w:pos="284"/>
          <w:tab w:val="left" w:pos="426"/>
          <w:tab w:val="left" w:pos="709"/>
        </w:tabs>
        <w:jc w:val="left"/>
        <w:rPr>
          <w:rFonts w:ascii="宋体" w:hAnsi="宋体" w:eastAsia="宋体"/>
          <w:b/>
          <w:bCs/>
          <w:color w:val="auto"/>
          <w:szCs w:val="21"/>
          <w:highlight w:val="none"/>
        </w:rPr>
      </w:pPr>
      <w:bookmarkStart w:id="38"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8"/>
      <w:r>
        <w:rPr>
          <w:rFonts w:hint="eastAsia" w:ascii="宋体" w:hAnsi="宋体" w:eastAsia="宋体"/>
          <w:b/>
          <w:bCs/>
          <w:color w:val="auto"/>
          <w:sz w:val="24"/>
          <w:szCs w:val="24"/>
          <w:highlight w:val="none"/>
        </w:rPr>
        <w:t>格式</w:t>
      </w:r>
    </w:p>
    <w:p w14:paraId="49E95316">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AA15A03">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B06E3B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25B5115">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auto"/>
                <w:szCs w:val="21"/>
                <w:highlight w:val="none"/>
              </w:rPr>
            </w:pPr>
          </w:p>
        </w:tc>
        <w:tc>
          <w:tcPr>
            <w:tcW w:w="914" w:type="pct"/>
            <w:vAlign w:val="center"/>
          </w:tcPr>
          <w:p w14:paraId="604ACE0E">
            <w:pPr>
              <w:spacing w:line="360" w:lineRule="auto"/>
              <w:jc w:val="center"/>
              <w:rPr>
                <w:rFonts w:ascii="宋体" w:hAnsi="宋体" w:eastAsia="宋体"/>
                <w:b/>
                <w:color w:val="auto"/>
                <w:szCs w:val="21"/>
                <w:highlight w:val="none"/>
              </w:rPr>
            </w:pPr>
          </w:p>
        </w:tc>
        <w:tc>
          <w:tcPr>
            <w:tcW w:w="1994" w:type="pct"/>
            <w:vAlign w:val="center"/>
          </w:tcPr>
          <w:p w14:paraId="30CFE04E">
            <w:pPr>
              <w:spacing w:line="360" w:lineRule="auto"/>
              <w:jc w:val="center"/>
              <w:rPr>
                <w:rFonts w:ascii="宋体" w:hAnsi="宋体" w:eastAsia="宋体"/>
                <w:b/>
                <w:color w:val="auto"/>
                <w:szCs w:val="21"/>
                <w:highlight w:val="none"/>
              </w:rPr>
            </w:pPr>
          </w:p>
        </w:tc>
        <w:tc>
          <w:tcPr>
            <w:tcW w:w="1445" w:type="pct"/>
            <w:vAlign w:val="center"/>
          </w:tcPr>
          <w:p w14:paraId="31DCD56C">
            <w:pPr>
              <w:spacing w:line="360" w:lineRule="auto"/>
              <w:jc w:val="center"/>
              <w:rPr>
                <w:rFonts w:ascii="宋体" w:hAnsi="宋体" w:eastAsia="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auto"/>
                <w:szCs w:val="21"/>
                <w:highlight w:val="none"/>
              </w:rPr>
            </w:pPr>
          </w:p>
        </w:tc>
        <w:tc>
          <w:tcPr>
            <w:tcW w:w="914" w:type="pct"/>
            <w:vAlign w:val="center"/>
          </w:tcPr>
          <w:p w14:paraId="73F52E4F">
            <w:pPr>
              <w:spacing w:line="360" w:lineRule="auto"/>
              <w:jc w:val="center"/>
              <w:rPr>
                <w:rFonts w:ascii="宋体" w:hAnsi="宋体" w:eastAsia="宋体"/>
                <w:b/>
                <w:color w:val="auto"/>
                <w:szCs w:val="21"/>
                <w:highlight w:val="none"/>
              </w:rPr>
            </w:pPr>
          </w:p>
        </w:tc>
        <w:tc>
          <w:tcPr>
            <w:tcW w:w="1994" w:type="pct"/>
            <w:vAlign w:val="center"/>
          </w:tcPr>
          <w:p w14:paraId="1FFE8F3A">
            <w:pPr>
              <w:spacing w:line="360" w:lineRule="auto"/>
              <w:jc w:val="center"/>
              <w:rPr>
                <w:rFonts w:ascii="宋体" w:hAnsi="宋体" w:eastAsia="宋体"/>
                <w:b/>
                <w:color w:val="auto"/>
                <w:szCs w:val="21"/>
                <w:highlight w:val="none"/>
              </w:rPr>
            </w:pPr>
          </w:p>
        </w:tc>
        <w:tc>
          <w:tcPr>
            <w:tcW w:w="1445" w:type="pct"/>
            <w:vAlign w:val="center"/>
          </w:tcPr>
          <w:p w14:paraId="03C967BC">
            <w:pPr>
              <w:spacing w:line="360" w:lineRule="auto"/>
              <w:jc w:val="center"/>
              <w:rPr>
                <w:rFonts w:ascii="宋体" w:hAnsi="宋体" w:eastAsia="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auto"/>
                <w:szCs w:val="21"/>
                <w:highlight w:val="none"/>
              </w:rPr>
            </w:pPr>
          </w:p>
        </w:tc>
        <w:tc>
          <w:tcPr>
            <w:tcW w:w="914" w:type="pct"/>
            <w:vAlign w:val="center"/>
          </w:tcPr>
          <w:p w14:paraId="3648FD22">
            <w:pPr>
              <w:spacing w:line="360" w:lineRule="auto"/>
              <w:jc w:val="center"/>
              <w:rPr>
                <w:rFonts w:ascii="宋体" w:hAnsi="宋体" w:eastAsia="宋体"/>
                <w:b/>
                <w:color w:val="auto"/>
                <w:szCs w:val="21"/>
                <w:highlight w:val="none"/>
              </w:rPr>
            </w:pPr>
          </w:p>
        </w:tc>
        <w:tc>
          <w:tcPr>
            <w:tcW w:w="1994" w:type="pct"/>
            <w:vAlign w:val="center"/>
          </w:tcPr>
          <w:p w14:paraId="2923D3B3">
            <w:pPr>
              <w:spacing w:line="360" w:lineRule="auto"/>
              <w:jc w:val="center"/>
              <w:rPr>
                <w:rFonts w:ascii="宋体" w:hAnsi="宋体" w:eastAsia="宋体"/>
                <w:b/>
                <w:color w:val="auto"/>
                <w:szCs w:val="21"/>
                <w:highlight w:val="none"/>
              </w:rPr>
            </w:pPr>
          </w:p>
        </w:tc>
        <w:tc>
          <w:tcPr>
            <w:tcW w:w="1445" w:type="pct"/>
            <w:vAlign w:val="center"/>
          </w:tcPr>
          <w:p w14:paraId="5E7D4567">
            <w:pPr>
              <w:spacing w:line="360" w:lineRule="auto"/>
              <w:jc w:val="center"/>
              <w:rPr>
                <w:rFonts w:ascii="宋体" w:hAnsi="宋体" w:eastAsia="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auto"/>
                <w:szCs w:val="21"/>
                <w:highlight w:val="none"/>
              </w:rPr>
            </w:pPr>
          </w:p>
        </w:tc>
        <w:tc>
          <w:tcPr>
            <w:tcW w:w="914" w:type="pct"/>
            <w:vAlign w:val="center"/>
          </w:tcPr>
          <w:p w14:paraId="2396D7CE">
            <w:pPr>
              <w:spacing w:line="360" w:lineRule="auto"/>
              <w:jc w:val="center"/>
              <w:rPr>
                <w:rFonts w:ascii="宋体" w:hAnsi="宋体" w:eastAsia="宋体"/>
                <w:b/>
                <w:color w:val="auto"/>
                <w:szCs w:val="21"/>
                <w:highlight w:val="none"/>
              </w:rPr>
            </w:pPr>
          </w:p>
        </w:tc>
        <w:tc>
          <w:tcPr>
            <w:tcW w:w="1994" w:type="pct"/>
            <w:vAlign w:val="center"/>
          </w:tcPr>
          <w:p w14:paraId="6CE1BAB9">
            <w:pPr>
              <w:spacing w:line="360" w:lineRule="auto"/>
              <w:jc w:val="center"/>
              <w:rPr>
                <w:rFonts w:ascii="宋体" w:hAnsi="宋体" w:eastAsia="宋体"/>
                <w:b/>
                <w:color w:val="auto"/>
                <w:szCs w:val="21"/>
                <w:highlight w:val="none"/>
              </w:rPr>
            </w:pPr>
          </w:p>
        </w:tc>
        <w:tc>
          <w:tcPr>
            <w:tcW w:w="1445" w:type="pct"/>
            <w:vAlign w:val="center"/>
          </w:tcPr>
          <w:p w14:paraId="2AC53096">
            <w:pPr>
              <w:spacing w:line="360" w:lineRule="auto"/>
              <w:jc w:val="center"/>
              <w:rPr>
                <w:rFonts w:ascii="宋体" w:hAnsi="宋体" w:eastAsia="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B61281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94B411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70DB1B4">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auto"/>
                <w:szCs w:val="21"/>
                <w:highlight w:val="none"/>
              </w:rPr>
            </w:pPr>
          </w:p>
        </w:tc>
        <w:tc>
          <w:tcPr>
            <w:tcW w:w="914" w:type="pct"/>
            <w:vAlign w:val="center"/>
          </w:tcPr>
          <w:p w14:paraId="55893841">
            <w:pPr>
              <w:spacing w:line="360" w:lineRule="auto"/>
              <w:jc w:val="center"/>
              <w:rPr>
                <w:rFonts w:ascii="宋体" w:hAnsi="宋体" w:eastAsia="宋体"/>
                <w:b/>
                <w:color w:val="auto"/>
                <w:szCs w:val="21"/>
                <w:highlight w:val="none"/>
              </w:rPr>
            </w:pPr>
          </w:p>
        </w:tc>
        <w:tc>
          <w:tcPr>
            <w:tcW w:w="1994" w:type="pct"/>
            <w:vAlign w:val="center"/>
          </w:tcPr>
          <w:p w14:paraId="0C3FF5D3">
            <w:pPr>
              <w:spacing w:line="360" w:lineRule="auto"/>
              <w:jc w:val="center"/>
              <w:rPr>
                <w:rFonts w:ascii="宋体" w:hAnsi="宋体" w:eastAsia="宋体"/>
                <w:b/>
                <w:color w:val="auto"/>
                <w:szCs w:val="21"/>
                <w:highlight w:val="none"/>
              </w:rPr>
            </w:pPr>
          </w:p>
        </w:tc>
        <w:tc>
          <w:tcPr>
            <w:tcW w:w="1445" w:type="pct"/>
            <w:vAlign w:val="center"/>
          </w:tcPr>
          <w:p w14:paraId="0CC65BD3">
            <w:pPr>
              <w:spacing w:line="360" w:lineRule="auto"/>
              <w:jc w:val="center"/>
              <w:rPr>
                <w:rFonts w:ascii="宋体" w:hAnsi="宋体" w:eastAsia="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auto"/>
                <w:szCs w:val="21"/>
                <w:highlight w:val="none"/>
              </w:rPr>
            </w:pPr>
          </w:p>
        </w:tc>
        <w:tc>
          <w:tcPr>
            <w:tcW w:w="914" w:type="pct"/>
            <w:vAlign w:val="center"/>
          </w:tcPr>
          <w:p w14:paraId="15C5FAC5">
            <w:pPr>
              <w:spacing w:line="360" w:lineRule="auto"/>
              <w:jc w:val="center"/>
              <w:rPr>
                <w:rFonts w:ascii="宋体" w:hAnsi="宋体" w:eastAsia="宋体"/>
                <w:b/>
                <w:color w:val="auto"/>
                <w:szCs w:val="21"/>
                <w:highlight w:val="none"/>
              </w:rPr>
            </w:pPr>
          </w:p>
        </w:tc>
        <w:tc>
          <w:tcPr>
            <w:tcW w:w="1994" w:type="pct"/>
            <w:vAlign w:val="center"/>
          </w:tcPr>
          <w:p w14:paraId="67320A71">
            <w:pPr>
              <w:spacing w:line="360" w:lineRule="auto"/>
              <w:jc w:val="center"/>
              <w:rPr>
                <w:rFonts w:ascii="宋体" w:hAnsi="宋体" w:eastAsia="宋体"/>
                <w:b/>
                <w:color w:val="auto"/>
                <w:szCs w:val="21"/>
                <w:highlight w:val="none"/>
              </w:rPr>
            </w:pPr>
          </w:p>
        </w:tc>
        <w:tc>
          <w:tcPr>
            <w:tcW w:w="1445" w:type="pct"/>
            <w:vAlign w:val="center"/>
          </w:tcPr>
          <w:p w14:paraId="05C777B5">
            <w:pPr>
              <w:spacing w:line="360" w:lineRule="auto"/>
              <w:jc w:val="center"/>
              <w:rPr>
                <w:rFonts w:ascii="宋体" w:hAnsi="宋体" w:eastAsia="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auto"/>
                <w:szCs w:val="21"/>
                <w:highlight w:val="none"/>
              </w:rPr>
            </w:pPr>
          </w:p>
        </w:tc>
        <w:tc>
          <w:tcPr>
            <w:tcW w:w="914" w:type="pct"/>
            <w:vAlign w:val="center"/>
          </w:tcPr>
          <w:p w14:paraId="3C7A04BA">
            <w:pPr>
              <w:spacing w:line="360" w:lineRule="auto"/>
              <w:jc w:val="center"/>
              <w:rPr>
                <w:rFonts w:ascii="宋体" w:hAnsi="宋体" w:eastAsia="宋体"/>
                <w:b/>
                <w:color w:val="auto"/>
                <w:szCs w:val="21"/>
                <w:highlight w:val="none"/>
              </w:rPr>
            </w:pPr>
          </w:p>
        </w:tc>
        <w:tc>
          <w:tcPr>
            <w:tcW w:w="1994" w:type="pct"/>
            <w:vAlign w:val="center"/>
          </w:tcPr>
          <w:p w14:paraId="30142B03">
            <w:pPr>
              <w:spacing w:line="360" w:lineRule="auto"/>
              <w:jc w:val="center"/>
              <w:rPr>
                <w:rFonts w:ascii="宋体" w:hAnsi="宋体" w:eastAsia="宋体"/>
                <w:b/>
                <w:color w:val="auto"/>
                <w:szCs w:val="21"/>
                <w:highlight w:val="none"/>
              </w:rPr>
            </w:pPr>
          </w:p>
        </w:tc>
        <w:tc>
          <w:tcPr>
            <w:tcW w:w="1445" w:type="pct"/>
            <w:vAlign w:val="center"/>
          </w:tcPr>
          <w:p w14:paraId="10C2EAF5">
            <w:pPr>
              <w:spacing w:line="360" w:lineRule="auto"/>
              <w:jc w:val="center"/>
              <w:rPr>
                <w:rFonts w:ascii="宋体" w:hAnsi="宋体" w:eastAsia="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auto"/>
                <w:szCs w:val="21"/>
                <w:highlight w:val="none"/>
              </w:rPr>
            </w:pPr>
          </w:p>
        </w:tc>
        <w:tc>
          <w:tcPr>
            <w:tcW w:w="914" w:type="pct"/>
            <w:vAlign w:val="center"/>
          </w:tcPr>
          <w:p w14:paraId="6497B49C">
            <w:pPr>
              <w:spacing w:line="360" w:lineRule="auto"/>
              <w:jc w:val="center"/>
              <w:rPr>
                <w:rFonts w:ascii="宋体" w:hAnsi="宋体" w:eastAsia="宋体"/>
                <w:b/>
                <w:color w:val="auto"/>
                <w:szCs w:val="21"/>
                <w:highlight w:val="none"/>
              </w:rPr>
            </w:pPr>
          </w:p>
        </w:tc>
        <w:tc>
          <w:tcPr>
            <w:tcW w:w="1994" w:type="pct"/>
            <w:vAlign w:val="center"/>
          </w:tcPr>
          <w:p w14:paraId="2AF8BE48">
            <w:pPr>
              <w:spacing w:line="360" w:lineRule="auto"/>
              <w:jc w:val="center"/>
              <w:rPr>
                <w:rFonts w:ascii="宋体" w:hAnsi="宋体" w:eastAsia="宋体"/>
                <w:b/>
                <w:color w:val="auto"/>
                <w:szCs w:val="21"/>
                <w:highlight w:val="none"/>
              </w:rPr>
            </w:pPr>
          </w:p>
        </w:tc>
        <w:tc>
          <w:tcPr>
            <w:tcW w:w="1445" w:type="pct"/>
            <w:vAlign w:val="center"/>
          </w:tcPr>
          <w:p w14:paraId="23A8A26E">
            <w:pPr>
              <w:spacing w:line="360" w:lineRule="auto"/>
              <w:jc w:val="center"/>
              <w:rPr>
                <w:rFonts w:ascii="宋体" w:hAnsi="宋体" w:eastAsia="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auto"/>
                <w:szCs w:val="21"/>
                <w:highlight w:val="none"/>
              </w:rPr>
            </w:pPr>
          </w:p>
        </w:tc>
        <w:tc>
          <w:tcPr>
            <w:tcW w:w="914" w:type="pct"/>
            <w:vAlign w:val="center"/>
          </w:tcPr>
          <w:p w14:paraId="1159211B">
            <w:pPr>
              <w:spacing w:line="360" w:lineRule="auto"/>
              <w:jc w:val="center"/>
              <w:rPr>
                <w:rFonts w:ascii="宋体" w:hAnsi="宋体" w:eastAsia="宋体"/>
                <w:b/>
                <w:color w:val="auto"/>
                <w:szCs w:val="21"/>
                <w:highlight w:val="none"/>
              </w:rPr>
            </w:pPr>
          </w:p>
        </w:tc>
        <w:tc>
          <w:tcPr>
            <w:tcW w:w="1994" w:type="pct"/>
            <w:vAlign w:val="center"/>
          </w:tcPr>
          <w:p w14:paraId="2357B89D">
            <w:pPr>
              <w:spacing w:line="360" w:lineRule="auto"/>
              <w:jc w:val="center"/>
              <w:rPr>
                <w:rFonts w:ascii="宋体" w:hAnsi="宋体" w:eastAsia="宋体"/>
                <w:b/>
                <w:color w:val="auto"/>
                <w:szCs w:val="21"/>
                <w:highlight w:val="none"/>
              </w:rPr>
            </w:pPr>
          </w:p>
        </w:tc>
        <w:tc>
          <w:tcPr>
            <w:tcW w:w="1445" w:type="pct"/>
            <w:vAlign w:val="center"/>
          </w:tcPr>
          <w:p w14:paraId="77523486">
            <w:pPr>
              <w:spacing w:line="360" w:lineRule="auto"/>
              <w:jc w:val="center"/>
              <w:rPr>
                <w:rFonts w:ascii="宋体" w:hAnsi="宋体" w:eastAsia="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auto"/>
                <w:szCs w:val="21"/>
                <w:highlight w:val="none"/>
              </w:rPr>
            </w:pPr>
          </w:p>
        </w:tc>
        <w:tc>
          <w:tcPr>
            <w:tcW w:w="914" w:type="pct"/>
            <w:vAlign w:val="center"/>
          </w:tcPr>
          <w:p w14:paraId="088D2C38">
            <w:pPr>
              <w:spacing w:line="360" w:lineRule="auto"/>
              <w:jc w:val="center"/>
              <w:rPr>
                <w:rFonts w:ascii="宋体" w:hAnsi="宋体" w:eastAsia="宋体"/>
                <w:b/>
                <w:color w:val="auto"/>
                <w:szCs w:val="21"/>
                <w:highlight w:val="none"/>
              </w:rPr>
            </w:pPr>
          </w:p>
        </w:tc>
        <w:tc>
          <w:tcPr>
            <w:tcW w:w="1994" w:type="pct"/>
            <w:vAlign w:val="center"/>
          </w:tcPr>
          <w:p w14:paraId="2AE6122C">
            <w:pPr>
              <w:spacing w:line="360" w:lineRule="auto"/>
              <w:jc w:val="center"/>
              <w:rPr>
                <w:rFonts w:ascii="宋体" w:hAnsi="宋体" w:eastAsia="宋体"/>
                <w:b/>
                <w:color w:val="auto"/>
                <w:szCs w:val="21"/>
                <w:highlight w:val="none"/>
              </w:rPr>
            </w:pPr>
          </w:p>
        </w:tc>
        <w:tc>
          <w:tcPr>
            <w:tcW w:w="1445" w:type="pct"/>
            <w:vAlign w:val="center"/>
          </w:tcPr>
          <w:p w14:paraId="5753F3CE">
            <w:pPr>
              <w:spacing w:line="360" w:lineRule="auto"/>
              <w:jc w:val="center"/>
              <w:rPr>
                <w:rFonts w:ascii="宋体" w:hAnsi="宋体" w:eastAsia="宋体"/>
                <w:b/>
                <w:color w:val="auto"/>
                <w:szCs w:val="21"/>
                <w:highlight w:val="none"/>
              </w:rPr>
            </w:pPr>
          </w:p>
        </w:tc>
      </w:tr>
    </w:tbl>
    <w:p w14:paraId="51AECA3D">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8E9FB41">
      <w:pPr>
        <w:pageBreakBefore/>
        <w:rPr>
          <w:rFonts w:ascii="宋体" w:hAnsi="宋体" w:eastAsia="宋体"/>
          <w:b/>
          <w:bCs/>
          <w:color w:val="auto"/>
          <w:highlight w:val="none"/>
        </w:rPr>
      </w:pPr>
      <w:bookmarkStart w:id="39" w:name="_Toc169799787"/>
      <w:r>
        <w:rPr>
          <w:rFonts w:ascii="宋体" w:hAnsi="宋体" w:eastAsia="宋体"/>
          <w:b/>
          <w:bCs/>
          <w:color w:val="auto"/>
          <w:sz w:val="24"/>
          <w:szCs w:val="28"/>
          <w:highlight w:val="none"/>
        </w:rPr>
        <w:t>格式一：</w:t>
      </w:r>
      <w:bookmarkEnd w:id="39"/>
    </w:p>
    <w:p w14:paraId="3358B765">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6D805BCE">
      <w:pPr>
        <w:widowControl/>
        <w:spacing w:after="217" w:afterLines="50"/>
        <w:jc w:val="left"/>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致</w:t>
      </w:r>
      <w:r>
        <w:rPr>
          <w:rFonts w:hint="eastAsia" w:ascii="Calibri" w:hAnsi="Calibri" w:eastAsia="宋体" w:cs="Times New Roman"/>
          <w:b/>
          <w:bCs/>
          <w:color w:val="auto"/>
          <w:kern w:val="0"/>
          <w:sz w:val="21"/>
          <w:szCs w:val="21"/>
          <w:highlight w:val="none"/>
          <w:lang w:eastAsia="zh-Hans"/>
        </w:rPr>
        <w:t>：</w:t>
      </w:r>
      <w:r>
        <w:rPr>
          <w:rFonts w:ascii="Calibri" w:hAnsi="Calibri" w:eastAsia="宋体" w:cs="Times New Roman"/>
          <w:b/>
          <w:bCs/>
          <w:color w:val="auto"/>
          <w:kern w:val="0"/>
          <w:sz w:val="21"/>
          <w:szCs w:val="21"/>
          <w:highlight w:val="none"/>
          <w:lang w:eastAsia="zh-Hans"/>
        </w:rPr>
        <w:t>广东智汇城市招标采购有限公司</w:t>
      </w:r>
    </w:p>
    <w:p w14:paraId="704EDDE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CA4C31D">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的招标文件的全部内容。</w:t>
      </w:r>
    </w:p>
    <w:p w14:paraId="77DDE64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val="en-US" w:eastAsia="zh-CN"/>
        </w:rPr>
        <w:t>采购</w:t>
      </w:r>
      <w:r>
        <w:rPr>
          <w:rFonts w:hint="eastAsia" w:ascii="宋体" w:hAnsi="宋体" w:eastAsia="宋体" w:cs="Times New Roman"/>
          <w:color w:val="auto"/>
          <w:kern w:val="0"/>
          <w:szCs w:val="21"/>
          <w:highlight w:val="none"/>
          <w:lang w:eastAsia="zh-Hans"/>
        </w:rPr>
        <w:t>代理</w:t>
      </w:r>
      <w:r>
        <w:rPr>
          <w:rFonts w:ascii="宋体" w:hAnsi="宋体" w:eastAsia="宋体" w:cs="Times New Roman"/>
          <w:color w:val="auto"/>
          <w:kern w:val="0"/>
          <w:szCs w:val="21"/>
          <w:highlight w:val="none"/>
          <w:lang w:eastAsia="zh-Hans"/>
        </w:rPr>
        <w:t>服务费。</w:t>
      </w:r>
    </w:p>
    <w:p w14:paraId="36215652">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37F94635">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71071E7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929AD4D">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EEA41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B23024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9FDFCA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52C6F8A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3D7C21">
      <w:pPr>
        <w:widowControl/>
        <w:jc w:val="left"/>
        <w:rPr>
          <w:rFonts w:ascii="Calibri" w:hAnsi="Calibri" w:eastAsia="宋体" w:cs="Times New Roman"/>
          <w:color w:val="auto"/>
          <w:kern w:val="0"/>
          <w:sz w:val="20"/>
          <w:szCs w:val="20"/>
          <w:highlight w:val="none"/>
          <w:lang w:eastAsia="zh-Hans"/>
        </w:rPr>
      </w:pPr>
    </w:p>
    <w:p w14:paraId="6FCFBB94">
      <w:pPr>
        <w:pageBreakBefore/>
        <w:rPr>
          <w:rFonts w:ascii="Calibri" w:hAnsi="Calibri" w:eastAsia="宋体" w:cs="Times New Roman"/>
          <w:color w:val="auto"/>
          <w:kern w:val="0"/>
          <w:sz w:val="20"/>
          <w:szCs w:val="20"/>
          <w:highlight w:val="none"/>
          <w:lang w:eastAsia="zh-Hans"/>
        </w:rPr>
      </w:pPr>
      <w:bookmarkStart w:id="40" w:name="_Toc169799788"/>
      <w:r>
        <w:rPr>
          <w:rFonts w:ascii="宋体" w:hAnsi="宋体" w:eastAsia="宋体"/>
          <w:b/>
          <w:bCs/>
          <w:color w:val="auto"/>
          <w:sz w:val="24"/>
          <w:szCs w:val="28"/>
          <w:highlight w:val="none"/>
        </w:rPr>
        <w:t>格式二：</w:t>
      </w:r>
      <w:bookmarkEnd w:id="40"/>
    </w:p>
    <w:p w14:paraId="57D6959F">
      <w:pPr>
        <w:widowControl/>
        <w:jc w:val="center"/>
        <w:outlineLvl w:val="3"/>
        <w:rPr>
          <w:rFonts w:ascii="Calibri" w:hAnsi="Calibri" w:eastAsia="宋体" w:cs="Times New Roman"/>
          <w:b/>
          <w:color w:val="auto"/>
          <w:kern w:val="0"/>
          <w:sz w:val="32"/>
          <w:highlight w:val="none"/>
          <w:lang w:eastAsia="zh-Hans"/>
        </w:rPr>
      </w:pPr>
      <w:r>
        <w:rPr>
          <w:rFonts w:ascii="Calibri" w:hAnsi="Calibri" w:eastAsia="宋体" w:cs="Times New Roman"/>
          <w:b/>
          <w:color w:val="auto"/>
          <w:kern w:val="0"/>
          <w:sz w:val="32"/>
          <w:highlight w:val="none"/>
          <w:lang w:eastAsia="zh-Hans"/>
        </w:rPr>
        <w:t>开标一览表</w:t>
      </w:r>
    </w:p>
    <w:p w14:paraId="241F0F34">
      <w:pPr>
        <w:widowControl/>
        <w:jc w:val="center"/>
        <w:outlineLvl w:val="3"/>
        <w:rPr>
          <w:rFonts w:ascii="Calibri" w:hAnsi="Calibri" w:eastAsia="宋体" w:cs="Times New Roman"/>
          <w:b/>
          <w:color w:val="auto"/>
          <w:kern w:val="0"/>
          <w:sz w:val="32"/>
          <w:highlight w:val="none"/>
          <w:lang w:eastAsia="zh-Hans"/>
        </w:rPr>
      </w:pPr>
    </w:p>
    <w:p w14:paraId="5E36D62B">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78C30E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E123CBE">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4856E37">
      <w:pPr>
        <w:widowControl/>
        <w:jc w:val="left"/>
        <w:rPr>
          <w:rFonts w:ascii="Calibri" w:hAnsi="Calibri" w:eastAsia="宋体" w:cs="Times New Roman"/>
          <w:color w:val="auto"/>
          <w:kern w:val="0"/>
          <w:szCs w:val="21"/>
          <w:highlight w:val="none"/>
        </w:rPr>
      </w:pPr>
    </w:p>
    <w:tbl>
      <w:tblPr>
        <w:tblStyle w:val="15"/>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28"/>
        <w:gridCol w:w="2321"/>
        <w:gridCol w:w="1899"/>
        <w:gridCol w:w="3240"/>
        <w:gridCol w:w="991"/>
      </w:tblGrid>
      <w:tr w14:paraId="7B027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446" w:type="pct"/>
            <w:tcBorders>
              <w:top w:val="single" w:color="auto" w:sz="4" w:space="0"/>
              <w:left w:val="single" w:color="auto" w:sz="4" w:space="0"/>
              <w:right w:val="single" w:color="auto" w:sz="4" w:space="0"/>
            </w:tcBorders>
            <w:vAlign w:val="center"/>
          </w:tcPr>
          <w:p w14:paraId="5B556F45">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1250" w:type="pct"/>
            <w:tcBorders>
              <w:top w:val="single" w:color="auto" w:sz="4" w:space="0"/>
              <w:left w:val="single" w:color="auto" w:sz="4" w:space="0"/>
              <w:right w:val="single" w:color="auto" w:sz="4" w:space="0"/>
            </w:tcBorders>
            <w:vAlign w:val="center"/>
          </w:tcPr>
          <w:p w14:paraId="779A894C">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项目名称及项目编号</w:t>
            </w:r>
          </w:p>
        </w:tc>
        <w:tc>
          <w:tcPr>
            <w:tcW w:w="1023" w:type="pct"/>
            <w:tcBorders>
              <w:top w:val="single" w:color="auto" w:sz="4" w:space="0"/>
              <w:left w:val="single" w:color="auto" w:sz="4" w:space="0"/>
              <w:bottom w:val="single" w:color="auto" w:sz="4" w:space="0"/>
              <w:right w:val="single" w:color="auto" w:sz="4" w:space="0"/>
            </w:tcBorders>
            <w:vAlign w:val="center"/>
          </w:tcPr>
          <w:p w14:paraId="7E9223A3">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投标单价</w:t>
            </w:r>
          </w:p>
          <w:p w14:paraId="476E2E4F">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（单位：元/月）</w:t>
            </w:r>
          </w:p>
        </w:tc>
        <w:tc>
          <w:tcPr>
            <w:tcW w:w="1745" w:type="pct"/>
            <w:tcBorders>
              <w:top w:val="single" w:color="auto" w:sz="4" w:space="0"/>
              <w:left w:val="single" w:color="auto" w:sz="4" w:space="0"/>
              <w:right w:val="single" w:color="auto" w:sz="4" w:space="0"/>
            </w:tcBorders>
            <w:vAlign w:val="center"/>
          </w:tcPr>
          <w:p w14:paraId="68F35D8B">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总报价</w:t>
            </w:r>
          </w:p>
          <w:p w14:paraId="5B589D53">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（单位：元）</w:t>
            </w:r>
          </w:p>
        </w:tc>
        <w:tc>
          <w:tcPr>
            <w:tcW w:w="534" w:type="pct"/>
            <w:tcBorders>
              <w:top w:val="single" w:color="auto" w:sz="4" w:space="0"/>
              <w:left w:val="single" w:color="auto" w:sz="4" w:space="0"/>
              <w:right w:val="single" w:color="auto" w:sz="4" w:space="0"/>
            </w:tcBorders>
            <w:vAlign w:val="center"/>
          </w:tcPr>
          <w:p w14:paraId="71984E58">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备注</w:t>
            </w:r>
          </w:p>
        </w:tc>
      </w:tr>
      <w:tr w14:paraId="6311E1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446" w:type="pct"/>
            <w:tcBorders>
              <w:top w:val="single" w:color="auto" w:sz="4" w:space="0"/>
              <w:left w:val="single" w:color="auto" w:sz="4" w:space="0"/>
              <w:bottom w:val="single" w:color="auto" w:sz="4" w:space="0"/>
              <w:right w:val="single" w:color="auto" w:sz="4" w:space="0"/>
            </w:tcBorders>
            <w:vAlign w:val="center"/>
          </w:tcPr>
          <w:p w14:paraId="28279716">
            <w:pPr>
              <w:overflowPunct w:val="0"/>
              <w:adjustRightInd w:val="0"/>
              <w:spacing w:line="46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1250" w:type="pct"/>
            <w:tcBorders>
              <w:top w:val="single" w:color="auto" w:sz="4" w:space="0"/>
              <w:left w:val="single" w:color="auto" w:sz="4" w:space="0"/>
              <w:bottom w:val="single" w:color="auto" w:sz="4" w:space="0"/>
              <w:right w:val="single" w:color="auto" w:sz="4" w:space="0"/>
            </w:tcBorders>
            <w:vAlign w:val="center"/>
          </w:tcPr>
          <w:p w14:paraId="11DBDE11">
            <w:pPr>
              <w:overflowPunct w:val="0"/>
              <w:adjustRightInd w:val="0"/>
              <w:spacing w:line="460" w:lineRule="exact"/>
              <w:jc w:val="center"/>
              <w:rPr>
                <w:rFonts w:hint="eastAsia" w:ascii="宋体" w:hAnsi="宋体" w:eastAsia="宋体"/>
                <w:color w:val="auto"/>
                <w:szCs w:val="21"/>
                <w:highlight w:val="none"/>
              </w:rPr>
            </w:pPr>
          </w:p>
        </w:tc>
        <w:tc>
          <w:tcPr>
            <w:tcW w:w="1023" w:type="pct"/>
            <w:tcBorders>
              <w:top w:val="single" w:color="auto" w:sz="4" w:space="0"/>
              <w:left w:val="single" w:color="auto" w:sz="4" w:space="0"/>
              <w:bottom w:val="single" w:color="auto" w:sz="4" w:space="0"/>
              <w:right w:val="single" w:color="auto" w:sz="4" w:space="0"/>
            </w:tcBorders>
            <w:vAlign w:val="center"/>
          </w:tcPr>
          <w:p w14:paraId="3AE2F90F">
            <w:pPr>
              <w:overflowPunct w:val="0"/>
              <w:adjustRightInd w:val="0"/>
              <w:spacing w:line="460" w:lineRule="exact"/>
              <w:jc w:val="left"/>
              <w:rPr>
                <w:rFonts w:hint="eastAsia"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307987D8">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415D49AD">
            <w:pPr>
              <w:overflowPunct w:val="0"/>
              <w:adjustRightInd w:val="0"/>
              <w:spacing w:line="460" w:lineRule="exact"/>
              <w:jc w:val="left"/>
              <w:rPr>
                <w:rFonts w:hint="eastAsia" w:ascii="宋体" w:hAnsi="宋体" w:eastAsia="宋体"/>
                <w:color w:val="auto"/>
                <w:szCs w:val="21"/>
                <w:highlight w:val="none"/>
                <w:u w:val="singl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534" w:type="pct"/>
            <w:tcBorders>
              <w:top w:val="single" w:color="auto" w:sz="4" w:space="0"/>
              <w:left w:val="single" w:color="auto" w:sz="4" w:space="0"/>
              <w:bottom w:val="single" w:color="auto" w:sz="4" w:space="0"/>
              <w:right w:val="single" w:color="auto" w:sz="4" w:space="0"/>
            </w:tcBorders>
            <w:vAlign w:val="center"/>
          </w:tcPr>
          <w:p w14:paraId="32E05461">
            <w:pPr>
              <w:overflowPunct w:val="0"/>
              <w:adjustRightInd w:val="0"/>
              <w:spacing w:line="460" w:lineRule="exact"/>
              <w:jc w:val="center"/>
              <w:rPr>
                <w:rFonts w:hint="eastAsia" w:ascii="宋体" w:hAnsi="宋体" w:eastAsia="宋体"/>
                <w:color w:val="auto"/>
                <w:szCs w:val="21"/>
                <w:highlight w:val="none"/>
              </w:rPr>
            </w:pPr>
          </w:p>
        </w:tc>
      </w:tr>
    </w:tbl>
    <w:p w14:paraId="4008E561">
      <w:pPr>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30548D8F">
      <w:pPr>
        <w:pStyle w:val="27"/>
        <w:numPr>
          <w:ilvl w:val="0"/>
          <w:numId w:val="143"/>
        </w:numPr>
        <w:snapToGrid w:val="0"/>
        <w:spacing w:line="48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投标总价栏须用文字和数字两种方式表示的投标总价。</w:t>
      </w:r>
    </w:p>
    <w:p w14:paraId="36C78031">
      <w:pPr>
        <w:pStyle w:val="27"/>
        <w:numPr>
          <w:ilvl w:val="0"/>
          <w:numId w:val="143"/>
        </w:numPr>
        <w:snapToGrid w:val="0"/>
        <w:spacing w:line="48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开标一览表内容与投标文件中相应内容不一致的，以开标一览表为准。</w:t>
      </w:r>
    </w:p>
    <w:p w14:paraId="1E8D9817">
      <w:pPr>
        <w:pStyle w:val="27"/>
        <w:numPr>
          <w:ilvl w:val="0"/>
          <w:numId w:val="143"/>
        </w:numPr>
        <w:snapToGrid w:val="0"/>
        <w:spacing w:line="48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大写金额和小写金额不一致的，以大写金额为准。</w:t>
      </w:r>
    </w:p>
    <w:p w14:paraId="39107E5A">
      <w:pPr>
        <w:pStyle w:val="27"/>
        <w:numPr>
          <w:ilvl w:val="0"/>
          <w:numId w:val="143"/>
        </w:numPr>
        <w:snapToGrid w:val="0"/>
        <w:spacing w:line="480" w:lineRule="auto"/>
        <w:ind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本项目服务期共计12个月，投标人须按服务期及投标单价填写总报价。</w:t>
      </w:r>
    </w:p>
    <w:p w14:paraId="55ED4F6A">
      <w:pPr>
        <w:widowControl/>
        <w:jc w:val="left"/>
        <w:rPr>
          <w:rFonts w:ascii="Calibri" w:hAnsi="Calibri" w:eastAsia="宋体" w:cs="Times New Roman"/>
          <w:color w:val="auto"/>
          <w:kern w:val="0"/>
          <w:szCs w:val="21"/>
          <w:highlight w:val="none"/>
        </w:rPr>
      </w:pP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5B4D6B6">
      <w:pPr>
        <w:widowControl/>
        <w:jc w:val="left"/>
        <w:rPr>
          <w:rFonts w:ascii="Calibri" w:hAnsi="Calibri" w:eastAsia="宋体" w:cs="Times New Roman"/>
          <w:color w:val="auto"/>
          <w:kern w:val="0"/>
          <w:sz w:val="20"/>
          <w:szCs w:val="20"/>
          <w:highlight w:val="none"/>
          <w:lang w:eastAsia="zh-Hans"/>
        </w:rPr>
      </w:pPr>
    </w:p>
    <w:p w14:paraId="1DEF22EB">
      <w:pPr>
        <w:widowControl/>
        <w:jc w:val="left"/>
        <w:rPr>
          <w:rFonts w:ascii="Calibri" w:hAnsi="Calibri" w:eastAsia="宋体" w:cs="Times New Roman"/>
          <w:color w:val="auto"/>
          <w:kern w:val="0"/>
          <w:sz w:val="20"/>
          <w:szCs w:val="20"/>
          <w:highlight w:val="none"/>
          <w:lang w:eastAsia="zh-Hans"/>
        </w:rPr>
      </w:pPr>
    </w:p>
    <w:p w14:paraId="71FE5E8F">
      <w:pPr>
        <w:pageBreakBefore/>
        <w:rPr>
          <w:rFonts w:ascii="宋体" w:hAnsi="宋体" w:eastAsia="宋体" w:cs="Times New Roman"/>
          <w:color w:val="auto"/>
          <w:kern w:val="0"/>
          <w:szCs w:val="21"/>
          <w:highlight w:val="none"/>
          <w:lang w:eastAsia="zh-Hans"/>
        </w:rPr>
      </w:pPr>
      <w:bookmarkStart w:id="41"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三</w:t>
      </w:r>
      <w:r>
        <w:rPr>
          <w:rFonts w:ascii="宋体" w:hAnsi="宋体" w:eastAsia="宋体"/>
          <w:b/>
          <w:bCs/>
          <w:color w:val="auto"/>
          <w:sz w:val="24"/>
          <w:szCs w:val="28"/>
          <w:highlight w:val="none"/>
        </w:rPr>
        <w:t>：</w:t>
      </w:r>
      <w:bookmarkEnd w:id="41"/>
    </w:p>
    <w:p w14:paraId="467E84B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4E9FCFE7">
      <w:pPr>
        <w:keepNext w:val="0"/>
        <w:keepLines w:val="0"/>
        <w:pageBreakBefore w:val="0"/>
        <w:widowControl/>
        <w:kinsoku/>
        <w:wordWrap/>
        <w:overflowPunct/>
        <w:topLinePunct w:val="0"/>
        <w:autoSpaceDE/>
        <w:autoSpaceDN/>
        <w:bidi w:val="0"/>
        <w:adjustRightInd/>
        <w:snapToGrid/>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329D60C6">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5677ABF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480DE6B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8590A91">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21324415">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06A9AAB">
      <w:pPr>
        <w:keepNext w:val="0"/>
        <w:keepLines w:val="0"/>
        <w:pageBreakBefore w:val="0"/>
        <w:widowControl/>
        <w:kinsoku/>
        <w:wordWrap/>
        <w:overflowPunct/>
        <w:topLinePunct w:val="0"/>
        <w:autoSpaceDE/>
        <w:autoSpaceDN/>
        <w:bidi w:val="0"/>
        <w:adjustRightInd/>
        <w:snapToGrid/>
        <w:spacing w:before="2177" w:beforeLines="50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34BC5F13">
      <w:pPr>
        <w:widowControl/>
        <w:jc w:val="left"/>
        <w:rPr>
          <w:rFonts w:ascii="宋体" w:hAnsi="宋体" w:eastAsia="宋体" w:cs="Times New Roman"/>
          <w:color w:val="auto"/>
          <w:kern w:val="0"/>
          <w:szCs w:val="21"/>
          <w:highlight w:val="none"/>
          <w:lang w:eastAsia="zh-Hans"/>
        </w:rPr>
      </w:pPr>
    </w:p>
    <w:p w14:paraId="1CB4C9D5">
      <w:pPr>
        <w:pageBreakBefore/>
        <w:rPr>
          <w:rFonts w:ascii="宋体" w:hAnsi="宋体" w:eastAsia="宋体" w:cs="Times New Roman"/>
          <w:color w:val="auto"/>
          <w:kern w:val="0"/>
          <w:szCs w:val="21"/>
          <w:highlight w:val="none"/>
          <w:lang w:eastAsia="zh-Hans"/>
        </w:rPr>
      </w:pPr>
      <w:bookmarkStart w:id="42"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四</w:t>
      </w:r>
      <w:r>
        <w:rPr>
          <w:rFonts w:ascii="宋体" w:hAnsi="宋体" w:eastAsia="宋体"/>
          <w:b/>
          <w:bCs/>
          <w:color w:val="auto"/>
          <w:sz w:val="24"/>
          <w:szCs w:val="28"/>
          <w:highlight w:val="none"/>
        </w:rPr>
        <w:t>：</w:t>
      </w:r>
      <w:bookmarkEnd w:id="42"/>
    </w:p>
    <w:p w14:paraId="5EAFA4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347B912">
      <w:pPr>
        <w:widowControl/>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41939BD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56CE58B4">
      <w:pPr>
        <w:widowControl/>
        <w:jc w:val="left"/>
        <w:rPr>
          <w:rFonts w:ascii="宋体" w:hAnsi="宋体" w:eastAsia="宋体" w:cs="Times New Roman"/>
          <w:color w:val="auto"/>
          <w:kern w:val="0"/>
          <w:szCs w:val="21"/>
          <w:highlight w:val="none"/>
          <w:lang w:eastAsia="zh-Hans"/>
        </w:rPr>
      </w:pPr>
    </w:p>
    <w:p w14:paraId="694DBFF2">
      <w:pPr>
        <w:rPr>
          <w:rFonts w:ascii="宋体" w:hAnsi="宋体" w:eastAsia="宋体"/>
          <w:b/>
          <w:bCs/>
          <w:color w:val="auto"/>
          <w:sz w:val="24"/>
          <w:szCs w:val="28"/>
          <w:highlight w:val="none"/>
        </w:rPr>
      </w:pPr>
      <w:bookmarkStart w:id="43" w:name="_Toc169799792"/>
      <w:r>
        <w:rPr>
          <w:rFonts w:ascii="宋体" w:hAnsi="宋体" w:eastAsia="宋体"/>
          <w:b/>
          <w:bCs/>
          <w:color w:val="auto"/>
          <w:sz w:val="24"/>
          <w:szCs w:val="28"/>
          <w:highlight w:val="none"/>
        </w:rPr>
        <w:br w:type="page"/>
      </w:r>
    </w:p>
    <w:p w14:paraId="452DC3D0">
      <w:pPr>
        <w:keepLines/>
        <w:spacing w:before="652" w:beforeLines="150"/>
        <w:rPr>
          <w:rFonts w:ascii="宋体" w:hAnsi="宋体" w:eastAsia="宋体" w:cs="Times New Roman"/>
          <w:color w:val="auto"/>
          <w:kern w:val="0"/>
          <w:szCs w:val="21"/>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五</w:t>
      </w:r>
      <w:r>
        <w:rPr>
          <w:rFonts w:ascii="宋体" w:hAnsi="宋体" w:eastAsia="宋体"/>
          <w:b/>
          <w:bCs/>
          <w:color w:val="auto"/>
          <w:sz w:val="24"/>
          <w:szCs w:val="28"/>
          <w:highlight w:val="none"/>
        </w:rPr>
        <w:t>：</w:t>
      </w:r>
      <w:bookmarkEnd w:id="43"/>
    </w:p>
    <w:p w14:paraId="07BDD4E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75F647A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230C81B8">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36F407F1">
      <w:pPr>
        <w:pageBreakBefore/>
        <w:rPr>
          <w:rFonts w:ascii="Calibri" w:hAnsi="Calibri" w:eastAsia="宋体" w:cs="Times New Roman"/>
          <w:color w:val="auto"/>
          <w:kern w:val="0"/>
          <w:szCs w:val="21"/>
          <w:highlight w:val="none"/>
          <w:lang w:eastAsia="zh-Hans"/>
        </w:rPr>
      </w:pPr>
      <w:bookmarkStart w:id="44"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44"/>
    </w:p>
    <w:p w14:paraId="4AE1792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46F277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0D345E9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2D1E83F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6B8F6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00C5B10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B24A61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0803BC3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2572C7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565F8435">
            <w:pPr>
              <w:jc w:val="center"/>
              <w:rPr>
                <w:rFonts w:ascii="宋体" w:hAnsi="宋体" w:eastAsia="宋体" w:cs="Times New Roman"/>
                <w:color w:val="auto"/>
                <w:szCs w:val="21"/>
                <w:highlight w:val="none"/>
              </w:rPr>
            </w:pPr>
          </w:p>
        </w:tc>
        <w:tc>
          <w:tcPr>
            <w:tcW w:w="614" w:type="pct"/>
            <w:vAlign w:val="center"/>
          </w:tcPr>
          <w:p w14:paraId="295FC0F8">
            <w:pPr>
              <w:jc w:val="center"/>
              <w:rPr>
                <w:rFonts w:ascii="宋体" w:hAnsi="宋体" w:eastAsia="宋体" w:cs="Times New Roman"/>
                <w:color w:val="auto"/>
                <w:szCs w:val="21"/>
                <w:highlight w:val="none"/>
              </w:rPr>
            </w:pPr>
          </w:p>
        </w:tc>
        <w:tc>
          <w:tcPr>
            <w:tcW w:w="614" w:type="pct"/>
            <w:vAlign w:val="center"/>
          </w:tcPr>
          <w:p w14:paraId="597AAA28">
            <w:pPr>
              <w:jc w:val="center"/>
              <w:rPr>
                <w:rFonts w:ascii="宋体" w:hAnsi="宋体" w:eastAsia="宋体" w:cs="Times New Roman"/>
                <w:color w:val="auto"/>
                <w:szCs w:val="21"/>
                <w:highlight w:val="none"/>
              </w:rPr>
            </w:pPr>
          </w:p>
        </w:tc>
        <w:tc>
          <w:tcPr>
            <w:tcW w:w="613" w:type="pct"/>
            <w:vAlign w:val="center"/>
          </w:tcPr>
          <w:p w14:paraId="51DEA5FC">
            <w:pPr>
              <w:jc w:val="center"/>
              <w:rPr>
                <w:rFonts w:ascii="宋体" w:hAnsi="宋体" w:eastAsia="宋体" w:cs="Times New Roman"/>
                <w:color w:val="auto"/>
                <w:szCs w:val="21"/>
                <w:highlight w:val="none"/>
              </w:rPr>
            </w:pPr>
          </w:p>
        </w:tc>
        <w:tc>
          <w:tcPr>
            <w:tcW w:w="614" w:type="pct"/>
            <w:vAlign w:val="center"/>
          </w:tcPr>
          <w:p w14:paraId="65928C23">
            <w:pPr>
              <w:jc w:val="center"/>
              <w:rPr>
                <w:rFonts w:ascii="宋体" w:hAnsi="宋体" w:eastAsia="宋体" w:cs="Times New Roman"/>
                <w:color w:val="auto"/>
                <w:szCs w:val="21"/>
                <w:highlight w:val="none"/>
              </w:rPr>
            </w:pPr>
          </w:p>
        </w:tc>
        <w:tc>
          <w:tcPr>
            <w:tcW w:w="540" w:type="pct"/>
            <w:vAlign w:val="center"/>
          </w:tcPr>
          <w:p w14:paraId="42170184">
            <w:pPr>
              <w:jc w:val="center"/>
              <w:rPr>
                <w:rFonts w:ascii="宋体" w:hAnsi="宋体" w:eastAsia="宋体" w:cs="Times New Roman"/>
                <w:color w:val="auto"/>
                <w:szCs w:val="21"/>
                <w:highlight w:val="none"/>
              </w:rPr>
            </w:pPr>
          </w:p>
        </w:tc>
        <w:tc>
          <w:tcPr>
            <w:tcW w:w="624" w:type="pct"/>
            <w:vAlign w:val="center"/>
          </w:tcPr>
          <w:p w14:paraId="07A206E3">
            <w:pPr>
              <w:jc w:val="center"/>
              <w:rPr>
                <w:rFonts w:ascii="宋体" w:hAnsi="宋体" w:eastAsia="宋体" w:cs="Times New Roman"/>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74E8A389">
            <w:pPr>
              <w:jc w:val="center"/>
              <w:rPr>
                <w:rFonts w:ascii="宋体" w:hAnsi="宋体" w:eastAsia="宋体" w:cs="Times New Roman"/>
                <w:color w:val="auto"/>
                <w:szCs w:val="21"/>
                <w:highlight w:val="none"/>
              </w:rPr>
            </w:pPr>
          </w:p>
        </w:tc>
        <w:tc>
          <w:tcPr>
            <w:tcW w:w="614" w:type="pct"/>
            <w:vAlign w:val="center"/>
          </w:tcPr>
          <w:p w14:paraId="1BD6BB28">
            <w:pPr>
              <w:jc w:val="center"/>
              <w:rPr>
                <w:rFonts w:ascii="宋体" w:hAnsi="宋体" w:eastAsia="宋体" w:cs="Times New Roman"/>
                <w:color w:val="auto"/>
                <w:szCs w:val="21"/>
                <w:highlight w:val="none"/>
              </w:rPr>
            </w:pPr>
          </w:p>
        </w:tc>
        <w:tc>
          <w:tcPr>
            <w:tcW w:w="614" w:type="pct"/>
            <w:vAlign w:val="center"/>
          </w:tcPr>
          <w:p w14:paraId="17D6A5CE">
            <w:pPr>
              <w:jc w:val="center"/>
              <w:rPr>
                <w:rFonts w:ascii="宋体" w:hAnsi="宋体" w:eastAsia="宋体" w:cs="Times New Roman"/>
                <w:color w:val="auto"/>
                <w:szCs w:val="21"/>
                <w:highlight w:val="none"/>
              </w:rPr>
            </w:pPr>
          </w:p>
        </w:tc>
        <w:tc>
          <w:tcPr>
            <w:tcW w:w="613" w:type="pct"/>
            <w:vAlign w:val="center"/>
          </w:tcPr>
          <w:p w14:paraId="20A39320">
            <w:pPr>
              <w:jc w:val="center"/>
              <w:rPr>
                <w:rFonts w:ascii="宋体" w:hAnsi="宋体" w:eastAsia="宋体" w:cs="Times New Roman"/>
                <w:color w:val="auto"/>
                <w:szCs w:val="21"/>
                <w:highlight w:val="none"/>
              </w:rPr>
            </w:pPr>
          </w:p>
        </w:tc>
        <w:tc>
          <w:tcPr>
            <w:tcW w:w="614" w:type="pct"/>
            <w:vAlign w:val="center"/>
          </w:tcPr>
          <w:p w14:paraId="3E4FEA72">
            <w:pPr>
              <w:jc w:val="center"/>
              <w:rPr>
                <w:rFonts w:ascii="宋体" w:hAnsi="宋体" w:eastAsia="宋体" w:cs="Times New Roman"/>
                <w:color w:val="auto"/>
                <w:szCs w:val="21"/>
                <w:highlight w:val="none"/>
              </w:rPr>
            </w:pPr>
          </w:p>
        </w:tc>
        <w:tc>
          <w:tcPr>
            <w:tcW w:w="540" w:type="pct"/>
            <w:vAlign w:val="center"/>
          </w:tcPr>
          <w:p w14:paraId="1AE1FD9E">
            <w:pPr>
              <w:jc w:val="center"/>
              <w:rPr>
                <w:rFonts w:ascii="宋体" w:hAnsi="宋体" w:eastAsia="宋体" w:cs="Times New Roman"/>
                <w:color w:val="auto"/>
                <w:szCs w:val="21"/>
                <w:highlight w:val="none"/>
              </w:rPr>
            </w:pPr>
          </w:p>
        </w:tc>
        <w:tc>
          <w:tcPr>
            <w:tcW w:w="624" w:type="pct"/>
            <w:vAlign w:val="center"/>
          </w:tcPr>
          <w:p w14:paraId="6ACB66F2">
            <w:pPr>
              <w:jc w:val="center"/>
              <w:rPr>
                <w:rFonts w:ascii="宋体" w:hAnsi="宋体" w:eastAsia="宋体" w:cs="Times New Roman"/>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212BFB64">
            <w:pPr>
              <w:jc w:val="center"/>
              <w:rPr>
                <w:rFonts w:ascii="宋体" w:hAnsi="宋体" w:eastAsia="宋体" w:cs="Times New Roman"/>
                <w:color w:val="auto"/>
                <w:szCs w:val="21"/>
                <w:highlight w:val="none"/>
              </w:rPr>
            </w:pPr>
          </w:p>
        </w:tc>
        <w:tc>
          <w:tcPr>
            <w:tcW w:w="614" w:type="pct"/>
            <w:vAlign w:val="center"/>
          </w:tcPr>
          <w:p w14:paraId="2F57FD87">
            <w:pPr>
              <w:jc w:val="center"/>
              <w:rPr>
                <w:rFonts w:ascii="宋体" w:hAnsi="宋体" w:eastAsia="宋体" w:cs="Times New Roman"/>
                <w:color w:val="auto"/>
                <w:szCs w:val="21"/>
                <w:highlight w:val="none"/>
              </w:rPr>
            </w:pPr>
          </w:p>
        </w:tc>
        <w:tc>
          <w:tcPr>
            <w:tcW w:w="614" w:type="pct"/>
            <w:vAlign w:val="center"/>
          </w:tcPr>
          <w:p w14:paraId="5DA5E17C">
            <w:pPr>
              <w:jc w:val="center"/>
              <w:rPr>
                <w:rFonts w:ascii="宋体" w:hAnsi="宋体" w:eastAsia="宋体" w:cs="Times New Roman"/>
                <w:color w:val="auto"/>
                <w:szCs w:val="21"/>
                <w:highlight w:val="none"/>
              </w:rPr>
            </w:pPr>
          </w:p>
        </w:tc>
        <w:tc>
          <w:tcPr>
            <w:tcW w:w="613" w:type="pct"/>
            <w:vAlign w:val="center"/>
          </w:tcPr>
          <w:p w14:paraId="3FC829CA">
            <w:pPr>
              <w:jc w:val="center"/>
              <w:rPr>
                <w:rFonts w:ascii="宋体" w:hAnsi="宋体" w:eastAsia="宋体" w:cs="Times New Roman"/>
                <w:color w:val="auto"/>
                <w:szCs w:val="21"/>
                <w:highlight w:val="none"/>
              </w:rPr>
            </w:pPr>
          </w:p>
        </w:tc>
        <w:tc>
          <w:tcPr>
            <w:tcW w:w="614" w:type="pct"/>
            <w:vAlign w:val="center"/>
          </w:tcPr>
          <w:p w14:paraId="7CF7F8C1">
            <w:pPr>
              <w:jc w:val="center"/>
              <w:rPr>
                <w:rFonts w:ascii="宋体" w:hAnsi="宋体" w:eastAsia="宋体" w:cs="Times New Roman"/>
                <w:color w:val="auto"/>
                <w:szCs w:val="21"/>
                <w:highlight w:val="none"/>
              </w:rPr>
            </w:pPr>
          </w:p>
        </w:tc>
        <w:tc>
          <w:tcPr>
            <w:tcW w:w="540" w:type="pct"/>
            <w:vAlign w:val="center"/>
          </w:tcPr>
          <w:p w14:paraId="500F042A">
            <w:pPr>
              <w:jc w:val="center"/>
              <w:rPr>
                <w:rFonts w:ascii="宋体" w:hAnsi="宋体" w:eastAsia="宋体" w:cs="Times New Roman"/>
                <w:color w:val="auto"/>
                <w:szCs w:val="21"/>
                <w:highlight w:val="none"/>
              </w:rPr>
            </w:pPr>
          </w:p>
        </w:tc>
        <w:tc>
          <w:tcPr>
            <w:tcW w:w="624" w:type="pct"/>
            <w:vAlign w:val="center"/>
          </w:tcPr>
          <w:p w14:paraId="6B1FA96E">
            <w:pPr>
              <w:jc w:val="center"/>
              <w:rPr>
                <w:rFonts w:ascii="宋体" w:hAnsi="宋体" w:eastAsia="宋体" w:cs="Times New Roman"/>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47FE0D4B">
            <w:pPr>
              <w:jc w:val="center"/>
              <w:rPr>
                <w:rFonts w:ascii="宋体" w:hAnsi="宋体" w:eastAsia="宋体" w:cs="Times New Roman"/>
                <w:color w:val="auto"/>
                <w:szCs w:val="21"/>
                <w:highlight w:val="none"/>
              </w:rPr>
            </w:pPr>
          </w:p>
        </w:tc>
        <w:tc>
          <w:tcPr>
            <w:tcW w:w="614" w:type="pct"/>
            <w:vAlign w:val="center"/>
          </w:tcPr>
          <w:p w14:paraId="7850C18C">
            <w:pPr>
              <w:jc w:val="center"/>
              <w:rPr>
                <w:rFonts w:ascii="宋体" w:hAnsi="宋体" w:eastAsia="宋体" w:cs="Times New Roman"/>
                <w:color w:val="auto"/>
                <w:szCs w:val="21"/>
                <w:highlight w:val="none"/>
              </w:rPr>
            </w:pPr>
          </w:p>
        </w:tc>
        <w:tc>
          <w:tcPr>
            <w:tcW w:w="614" w:type="pct"/>
            <w:vAlign w:val="center"/>
          </w:tcPr>
          <w:p w14:paraId="4D1E06C1">
            <w:pPr>
              <w:jc w:val="center"/>
              <w:rPr>
                <w:rFonts w:ascii="宋体" w:hAnsi="宋体" w:eastAsia="宋体" w:cs="Times New Roman"/>
                <w:color w:val="auto"/>
                <w:szCs w:val="21"/>
                <w:highlight w:val="none"/>
              </w:rPr>
            </w:pPr>
          </w:p>
        </w:tc>
        <w:tc>
          <w:tcPr>
            <w:tcW w:w="613" w:type="pct"/>
            <w:vAlign w:val="center"/>
          </w:tcPr>
          <w:p w14:paraId="13F5ED5D">
            <w:pPr>
              <w:jc w:val="center"/>
              <w:rPr>
                <w:rFonts w:ascii="宋体" w:hAnsi="宋体" w:eastAsia="宋体" w:cs="Times New Roman"/>
                <w:color w:val="auto"/>
                <w:szCs w:val="21"/>
                <w:highlight w:val="none"/>
              </w:rPr>
            </w:pPr>
          </w:p>
        </w:tc>
        <w:tc>
          <w:tcPr>
            <w:tcW w:w="614" w:type="pct"/>
            <w:vAlign w:val="center"/>
          </w:tcPr>
          <w:p w14:paraId="5C9FB4B1">
            <w:pPr>
              <w:jc w:val="center"/>
              <w:rPr>
                <w:rFonts w:ascii="宋体" w:hAnsi="宋体" w:eastAsia="宋体" w:cs="Times New Roman"/>
                <w:color w:val="auto"/>
                <w:szCs w:val="21"/>
                <w:highlight w:val="none"/>
              </w:rPr>
            </w:pPr>
          </w:p>
        </w:tc>
        <w:tc>
          <w:tcPr>
            <w:tcW w:w="540" w:type="pct"/>
            <w:vAlign w:val="center"/>
          </w:tcPr>
          <w:p w14:paraId="75E3D512">
            <w:pPr>
              <w:jc w:val="center"/>
              <w:rPr>
                <w:rFonts w:ascii="宋体" w:hAnsi="宋体" w:eastAsia="宋体" w:cs="Times New Roman"/>
                <w:color w:val="auto"/>
                <w:szCs w:val="21"/>
                <w:highlight w:val="none"/>
              </w:rPr>
            </w:pPr>
          </w:p>
        </w:tc>
        <w:tc>
          <w:tcPr>
            <w:tcW w:w="624" w:type="pct"/>
            <w:vAlign w:val="center"/>
          </w:tcPr>
          <w:p w14:paraId="40720D86">
            <w:pPr>
              <w:jc w:val="center"/>
              <w:rPr>
                <w:rFonts w:ascii="宋体" w:hAnsi="宋体" w:eastAsia="宋体" w:cs="Times New Roman"/>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57E6FE2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53B00DA1">
            <w:pPr>
              <w:jc w:val="center"/>
              <w:rPr>
                <w:rFonts w:ascii="宋体" w:hAnsi="宋体" w:eastAsia="宋体" w:cs="Times New Roman"/>
                <w:color w:val="auto"/>
                <w:szCs w:val="21"/>
                <w:highlight w:val="none"/>
              </w:rPr>
            </w:pPr>
          </w:p>
        </w:tc>
        <w:tc>
          <w:tcPr>
            <w:tcW w:w="614" w:type="pct"/>
            <w:vAlign w:val="center"/>
          </w:tcPr>
          <w:p w14:paraId="2407CAEF">
            <w:pPr>
              <w:jc w:val="center"/>
              <w:rPr>
                <w:rFonts w:ascii="宋体" w:hAnsi="宋体" w:eastAsia="宋体" w:cs="Times New Roman"/>
                <w:color w:val="auto"/>
                <w:szCs w:val="21"/>
                <w:highlight w:val="none"/>
              </w:rPr>
            </w:pPr>
          </w:p>
        </w:tc>
        <w:tc>
          <w:tcPr>
            <w:tcW w:w="614" w:type="pct"/>
            <w:vAlign w:val="center"/>
          </w:tcPr>
          <w:p w14:paraId="5A00E673">
            <w:pPr>
              <w:jc w:val="center"/>
              <w:rPr>
                <w:rFonts w:ascii="宋体" w:hAnsi="宋体" w:eastAsia="宋体" w:cs="Times New Roman"/>
                <w:color w:val="auto"/>
                <w:szCs w:val="21"/>
                <w:highlight w:val="none"/>
              </w:rPr>
            </w:pPr>
          </w:p>
        </w:tc>
        <w:tc>
          <w:tcPr>
            <w:tcW w:w="613" w:type="pct"/>
            <w:vAlign w:val="center"/>
          </w:tcPr>
          <w:p w14:paraId="6F95A962">
            <w:pPr>
              <w:jc w:val="center"/>
              <w:rPr>
                <w:rFonts w:ascii="宋体" w:hAnsi="宋体" w:eastAsia="宋体" w:cs="Times New Roman"/>
                <w:color w:val="auto"/>
                <w:szCs w:val="21"/>
                <w:highlight w:val="none"/>
              </w:rPr>
            </w:pPr>
          </w:p>
        </w:tc>
        <w:tc>
          <w:tcPr>
            <w:tcW w:w="614" w:type="pct"/>
            <w:vAlign w:val="center"/>
          </w:tcPr>
          <w:p w14:paraId="5B900C1C">
            <w:pPr>
              <w:jc w:val="center"/>
              <w:rPr>
                <w:rFonts w:ascii="宋体" w:hAnsi="宋体" w:eastAsia="宋体" w:cs="Times New Roman"/>
                <w:color w:val="auto"/>
                <w:szCs w:val="21"/>
                <w:highlight w:val="none"/>
              </w:rPr>
            </w:pPr>
          </w:p>
        </w:tc>
        <w:tc>
          <w:tcPr>
            <w:tcW w:w="540" w:type="pct"/>
            <w:vAlign w:val="center"/>
          </w:tcPr>
          <w:p w14:paraId="402D8396">
            <w:pPr>
              <w:jc w:val="center"/>
              <w:rPr>
                <w:rFonts w:ascii="宋体" w:hAnsi="宋体" w:eastAsia="宋体" w:cs="Times New Roman"/>
                <w:color w:val="auto"/>
                <w:szCs w:val="21"/>
                <w:highlight w:val="none"/>
              </w:rPr>
            </w:pPr>
          </w:p>
        </w:tc>
        <w:tc>
          <w:tcPr>
            <w:tcW w:w="624" w:type="pct"/>
            <w:vAlign w:val="center"/>
          </w:tcPr>
          <w:p w14:paraId="2D1DDD2C">
            <w:pPr>
              <w:jc w:val="center"/>
              <w:rPr>
                <w:rFonts w:ascii="宋体" w:hAnsi="宋体" w:eastAsia="宋体" w:cs="Times New Roman"/>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1B5505F1">
            <w:pPr>
              <w:jc w:val="center"/>
              <w:rPr>
                <w:rFonts w:ascii="宋体" w:hAnsi="宋体" w:eastAsia="宋体" w:cs="Times New Roman"/>
                <w:color w:val="auto"/>
                <w:szCs w:val="21"/>
                <w:highlight w:val="none"/>
              </w:rPr>
            </w:pPr>
          </w:p>
        </w:tc>
        <w:tc>
          <w:tcPr>
            <w:tcW w:w="614" w:type="pct"/>
            <w:vAlign w:val="center"/>
          </w:tcPr>
          <w:p w14:paraId="27D1A15B">
            <w:pPr>
              <w:jc w:val="center"/>
              <w:rPr>
                <w:rFonts w:ascii="宋体" w:hAnsi="宋体" w:eastAsia="宋体" w:cs="Times New Roman"/>
                <w:color w:val="auto"/>
                <w:szCs w:val="21"/>
                <w:highlight w:val="none"/>
              </w:rPr>
            </w:pPr>
          </w:p>
        </w:tc>
        <w:tc>
          <w:tcPr>
            <w:tcW w:w="614" w:type="pct"/>
            <w:vAlign w:val="center"/>
          </w:tcPr>
          <w:p w14:paraId="3027D961">
            <w:pPr>
              <w:jc w:val="center"/>
              <w:rPr>
                <w:rFonts w:ascii="宋体" w:hAnsi="宋体" w:eastAsia="宋体" w:cs="Times New Roman"/>
                <w:color w:val="auto"/>
                <w:szCs w:val="21"/>
                <w:highlight w:val="none"/>
              </w:rPr>
            </w:pPr>
          </w:p>
        </w:tc>
        <w:tc>
          <w:tcPr>
            <w:tcW w:w="613" w:type="pct"/>
            <w:vAlign w:val="center"/>
          </w:tcPr>
          <w:p w14:paraId="03CB365C">
            <w:pPr>
              <w:jc w:val="center"/>
              <w:rPr>
                <w:rFonts w:ascii="宋体" w:hAnsi="宋体" w:eastAsia="宋体" w:cs="Times New Roman"/>
                <w:color w:val="auto"/>
                <w:szCs w:val="21"/>
                <w:highlight w:val="none"/>
              </w:rPr>
            </w:pPr>
          </w:p>
        </w:tc>
        <w:tc>
          <w:tcPr>
            <w:tcW w:w="614" w:type="pct"/>
            <w:vAlign w:val="center"/>
          </w:tcPr>
          <w:p w14:paraId="25F10BEA">
            <w:pPr>
              <w:jc w:val="center"/>
              <w:rPr>
                <w:rFonts w:ascii="宋体" w:hAnsi="宋体" w:eastAsia="宋体" w:cs="Times New Roman"/>
                <w:color w:val="auto"/>
                <w:szCs w:val="21"/>
                <w:highlight w:val="none"/>
              </w:rPr>
            </w:pPr>
          </w:p>
        </w:tc>
        <w:tc>
          <w:tcPr>
            <w:tcW w:w="540" w:type="pct"/>
            <w:vAlign w:val="center"/>
          </w:tcPr>
          <w:p w14:paraId="2B62D518">
            <w:pPr>
              <w:jc w:val="center"/>
              <w:rPr>
                <w:rFonts w:ascii="宋体" w:hAnsi="宋体" w:eastAsia="宋体" w:cs="Times New Roman"/>
                <w:color w:val="auto"/>
                <w:szCs w:val="21"/>
                <w:highlight w:val="none"/>
              </w:rPr>
            </w:pPr>
          </w:p>
        </w:tc>
        <w:tc>
          <w:tcPr>
            <w:tcW w:w="624" w:type="pct"/>
            <w:vAlign w:val="center"/>
          </w:tcPr>
          <w:p w14:paraId="0995BF55">
            <w:pPr>
              <w:jc w:val="center"/>
              <w:rPr>
                <w:rFonts w:ascii="宋体" w:hAnsi="宋体" w:eastAsia="宋体" w:cs="Times New Roman"/>
                <w:color w:val="auto"/>
                <w:szCs w:val="21"/>
                <w:highlight w:val="none"/>
              </w:rPr>
            </w:pPr>
          </w:p>
        </w:tc>
      </w:tr>
    </w:tbl>
    <w:p w14:paraId="3C9B692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346A80F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74E27A3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768A4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076141E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color w:val="auto"/>
          <w:kern w:val="0"/>
          <w:szCs w:val="21"/>
          <w:highlight w:val="none"/>
          <w:lang w:eastAsia="zh-Hans"/>
        </w:rPr>
      </w:pPr>
      <w:bookmarkStart w:id="45"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C13781">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5"/>
    </w:p>
    <w:p w14:paraId="637B47E6">
      <w:pPr>
        <w:pageBreakBefore/>
        <w:rPr>
          <w:rFonts w:ascii="Calibri" w:hAnsi="Calibri" w:eastAsia="宋体" w:cs="Times New Roman"/>
          <w:color w:val="auto"/>
          <w:kern w:val="0"/>
          <w:sz w:val="20"/>
          <w:szCs w:val="20"/>
          <w:highlight w:val="none"/>
          <w:lang w:eastAsia="zh-Hans"/>
        </w:rPr>
      </w:pPr>
      <w:bookmarkStart w:id="46"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七</w:t>
      </w:r>
      <w:r>
        <w:rPr>
          <w:rFonts w:ascii="宋体" w:hAnsi="宋体" w:eastAsia="宋体"/>
          <w:b/>
          <w:bCs/>
          <w:color w:val="auto"/>
          <w:sz w:val="24"/>
          <w:szCs w:val="28"/>
          <w:highlight w:val="none"/>
        </w:rPr>
        <w:t>：</w:t>
      </w:r>
      <w:bookmarkEnd w:id="46"/>
    </w:p>
    <w:p w14:paraId="1CE9597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F18EA4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9DFFE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1375A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38D155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678CC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134DFE8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22B092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80B74F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2A92E0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5FA849A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25FFB79">
      <w:pPr>
        <w:spacing w:before="217" w:beforeLines="50" w:after="217" w:afterLines="50" w:line="360" w:lineRule="auto"/>
        <w:rPr>
          <w:rFonts w:ascii="宋体" w:hAnsi="宋体" w:eastAsia="宋体"/>
          <w:color w:val="auto"/>
          <w:szCs w:val="21"/>
          <w:highlight w:val="none"/>
        </w:rPr>
      </w:pPr>
    </w:p>
    <w:p w14:paraId="516D0C36">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3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74B7B39E">
            <w:pPr>
              <w:pStyle w:val="3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561E437D">
      <w:pPr>
        <w:widowControl/>
        <w:jc w:val="left"/>
        <w:rPr>
          <w:rFonts w:ascii="Calibri" w:hAnsi="Calibri" w:eastAsia="宋体" w:cs="Times New Roman"/>
          <w:color w:val="auto"/>
          <w:kern w:val="0"/>
          <w:sz w:val="20"/>
          <w:szCs w:val="20"/>
          <w:highlight w:val="none"/>
          <w:lang w:eastAsia="zh-Hans"/>
        </w:rPr>
      </w:pPr>
    </w:p>
    <w:p w14:paraId="620FF89C">
      <w:pPr>
        <w:pageBreakBefore/>
        <w:rPr>
          <w:rFonts w:ascii="Calibri" w:hAnsi="Calibri" w:eastAsia="宋体" w:cs="Times New Roman"/>
          <w:color w:val="auto"/>
          <w:kern w:val="0"/>
          <w:sz w:val="20"/>
          <w:szCs w:val="20"/>
          <w:highlight w:val="none"/>
          <w:lang w:eastAsia="zh-Hans"/>
        </w:rPr>
      </w:pPr>
      <w:bookmarkStart w:id="47"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ascii="宋体" w:hAnsi="宋体" w:eastAsia="宋体"/>
          <w:b/>
          <w:bCs/>
          <w:color w:val="auto"/>
          <w:sz w:val="24"/>
          <w:szCs w:val="28"/>
          <w:highlight w:val="none"/>
        </w:rPr>
        <w:t>：</w:t>
      </w:r>
      <w:bookmarkEnd w:id="47"/>
    </w:p>
    <w:p w14:paraId="09FE8A4F">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245374F4">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30BA83E1">
      <w:pPr>
        <w:pStyle w:val="30"/>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755E250">
      <w:pPr>
        <w:pStyle w:val="30"/>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4D7FA1D">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CA32FA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B691D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AABD0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C7AD0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B976B8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9D4C75A">
      <w:pPr>
        <w:pStyle w:val="30"/>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7FBF1C8F">
      <w:pPr>
        <w:pStyle w:val="30"/>
        <w:spacing w:line="360" w:lineRule="auto"/>
        <w:ind w:firstLine="0" w:firstLineChars="0"/>
        <w:rPr>
          <w:rFonts w:ascii="宋体" w:eastAsia="宋体"/>
          <w:color w:val="auto"/>
          <w:sz w:val="21"/>
          <w:szCs w:val="21"/>
          <w:highlight w:val="none"/>
        </w:rPr>
      </w:pPr>
    </w:p>
    <w:p w14:paraId="61B7A769">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5"/>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3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20939725">
            <w:pPr>
              <w:pStyle w:val="3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B377C95">
      <w:pPr>
        <w:widowControl/>
        <w:jc w:val="left"/>
        <w:rPr>
          <w:rFonts w:ascii="Calibri" w:hAnsi="Calibri" w:eastAsia="宋体" w:cs="Times New Roman"/>
          <w:color w:val="auto"/>
          <w:kern w:val="0"/>
          <w:sz w:val="20"/>
          <w:szCs w:val="20"/>
          <w:highlight w:val="none"/>
          <w:lang w:eastAsia="zh-Hans"/>
        </w:rPr>
      </w:pPr>
    </w:p>
    <w:p w14:paraId="344FA3E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九</w:t>
      </w:r>
      <w:r>
        <w:rPr>
          <w:rFonts w:hint="eastAsia" w:ascii="宋体" w:hAnsi="宋体" w:eastAsia="宋体"/>
          <w:b/>
          <w:bCs/>
          <w:color w:val="auto"/>
          <w:sz w:val="24"/>
          <w:szCs w:val="28"/>
          <w:highlight w:val="none"/>
        </w:rPr>
        <w:t>：</w:t>
      </w:r>
    </w:p>
    <w:p w14:paraId="6E50D479">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2DF41F31">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0BB0FF9">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7"/>
        <w:widowControl/>
        <w:numPr>
          <w:ilvl w:val="0"/>
          <w:numId w:val="144"/>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70A1B9C8">
      <w:pPr>
        <w:rPr>
          <w:rFonts w:ascii="宋体" w:hAnsi="宋体" w:eastAsia="宋体" w:cs="Times New Roman"/>
          <w:color w:val="auto"/>
          <w:szCs w:val="21"/>
          <w:highlight w:val="none"/>
        </w:rPr>
      </w:pPr>
    </w:p>
    <w:p w14:paraId="076116A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2AE0AC3">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DFA05F">
      <w:pPr>
        <w:rPr>
          <w:rFonts w:ascii="宋体" w:hAnsi="宋体" w:eastAsia="宋体" w:cs="Times New Roman"/>
          <w:color w:val="auto"/>
          <w:szCs w:val="21"/>
          <w:highlight w:val="none"/>
        </w:rPr>
      </w:pPr>
    </w:p>
    <w:p w14:paraId="773149AF">
      <w:pPr>
        <w:pageBreakBefore/>
        <w:rPr>
          <w:rFonts w:ascii="Calibri" w:hAnsi="Calibri" w:eastAsia="宋体" w:cs="Times New Roman"/>
          <w:color w:val="auto"/>
          <w:kern w:val="0"/>
          <w:szCs w:val="21"/>
          <w:highlight w:val="none"/>
          <w:lang w:eastAsia="zh-Hans"/>
        </w:rPr>
      </w:pPr>
      <w:bookmarkStart w:id="48"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ascii="宋体" w:hAnsi="宋体" w:eastAsia="宋体"/>
          <w:b/>
          <w:bCs/>
          <w:color w:val="auto"/>
          <w:sz w:val="24"/>
          <w:szCs w:val="28"/>
          <w:highlight w:val="none"/>
        </w:rPr>
        <w:t>：</w:t>
      </w:r>
      <w:bookmarkEnd w:id="48"/>
    </w:p>
    <w:p w14:paraId="52F4D93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highlight w:val="none"/>
          <w:lang w:eastAsia="zh-Hans"/>
        </w:rPr>
      </w:pPr>
    </w:p>
    <w:p w14:paraId="62C3C2D4">
      <w:pPr>
        <w:pageBreakBefore/>
        <w:rPr>
          <w:rFonts w:ascii="宋体" w:hAnsi="宋体" w:eastAsia="宋体"/>
          <w:b/>
          <w:bCs/>
          <w:color w:val="auto"/>
          <w:highlight w:val="none"/>
        </w:rPr>
      </w:pPr>
      <w:bookmarkStart w:id="49" w:name="_Toc391627770"/>
      <w:bookmarkStart w:id="50" w:name="_Toc405313974"/>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一</w:t>
      </w:r>
      <w:r>
        <w:rPr>
          <w:rFonts w:hint="eastAsia" w:ascii="宋体" w:hAnsi="宋体" w:eastAsia="宋体"/>
          <w:b/>
          <w:bCs/>
          <w:color w:val="auto"/>
          <w:sz w:val="24"/>
          <w:szCs w:val="28"/>
          <w:highlight w:val="none"/>
        </w:rPr>
        <w:t>：</w:t>
      </w:r>
    </w:p>
    <w:p w14:paraId="0B1632C9">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3817DDF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06AC361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7A4AC0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2368A34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olor w:val="auto"/>
                <w:szCs w:val="21"/>
                <w:highlight w:val="none"/>
              </w:rPr>
            </w:pPr>
          </w:p>
        </w:tc>
        <w:tc>
          <w:tcPr>
            <w:tcW w:w="1563" w:type="pct"/>
            <w:vAlign w:val="center"/>
          </w:tcPr>
          <w:p w14:paraId="6B01071C">
            <w:pPr>
              <w:jc w:val="center"/>
              <w:rPr>
                <w:rFonts w:ascii="宋体" w:hAnsi="宋体" w:eastAsia="宋体"/>
                <w:color w:val="auto"/>
                <w:szCs w:val="21"/>
                <w:highlight w:val="none"/>
              </w:rPr>
            </w:pPr>
          </w:p>
        </w:tc>
        <w:tc>
          <w:tcPr>
            <w:tcW w:w="1164" w:type="pct"/>
            <w:vAlign w:val="center"/>
          </w:tcPr>
          <w:p w14:paraId="217AAAA0">
            <w:pPr>
              <w:jc w:val="center"/>
              <w:rPr>
                <w:rFonts w:ascii="宋体" w:hAnsi="宋体" w:eastAsia="宋体"/>
                <w:color w:val="auto"/>
                <w:szCs w:val="21"/>
                <w:highlight w:val="none"/>
              </w:rPr>
            </w:pPr>
          </w:p>
        </w:tc>
        <w:tc>
          <w:tcPr>
            <w:tcW w:w="732" w:type="pct"/>
            <w:vAlign w:val="center"/>
          </w:tcPr>
          <w:p w14:paraId="79F085ED">
            <w:pPr>
              <w:jc w:val="center"/>
              <w:rPr>
                <w:rFonts w:ascii="宋体" w:hAnsi="宋体" w:eastAsia="宋体"/>
                <w:color w:val="auto"/>
                <w:szCs w:val="21"/>
                <w:highlight w:val="none"/>
              </w:rPr>
            </w:pPr>
          </w:p>
        </w:tc>
        <w:tc>
          <w:tcPr>
            <w:tcW w:w="1009" w:type="pct"/>
            <w:vAlign w:val="center"/>
          </w:tcPr>
          <w:p w14:paraId="1B4ED215">
            <w:pPr>
              <w:jc w:val="center"/>
              <w:rPr>
                <w:rFonts w:ascii="宋体" w:hAnsi="宋体" w:eastAsia="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olor w:val="auto"/>
                <w:szCs w:val="21"/>
                <w:highlight w:val="none"/>
              </w:rPr>
            </w:pPr>
          </w:p>
        </w:tc>
        <w:tc>
          <w:tcPr>
            <w:tcW w:w="1563" w:type="pct"/>
            <w:vAlign w:val="center"/>
          </w:tcPr>
          <w:p w14:paraId="52011562">
            <w:pPr>
              <w:jc w:val="center"/>
              <w:rPr>
                <w:rFonts w:ascii="宋体" w:hAnsi="宋体" w:eastAsia="宋体"/>
                <w:color w:val="auto"/>
                <w:szCs w:val="21"/>
                <w:highlight w:val="none"/>
              </w:rPr>
            </w:pPr>
          </w:p>
        </w:tc>
        <w:tc>
          <w:tcPr>
            <w:tcW w:w="1164" w:type="pct"/>
            <w:vAlign w:val="center"/>
          </w:tcPr>
          <w:p w14:paraId="0E9E40B3">
            <w:pPr>
              <w:jc w:val="center"/>
              <w:rPr>
                <w:rFonts w:ascii="宋体" w:hAnsi="宋体" w:eastAsia="宋体"/>
                <w:color w:val="auto"/>
                <w:szCs w:val="21"/>
                <w:highlight w:val="none"/>
              </w:rPr>
            </w:pPr>
          </w:p>
        </w:tc>
        <w:tc>
          <w:tcPr>
            <w:tcW w:w="732" w:type="pct"/>
            <w:vAlign w:val="center"/>
          </w:tcPr>
          <w:p w14:paraId="6824BC50">
            <w:pPr>
              <w:jc w:val="center"/>
              <w:rPr>
                <w:rFonts w:ascii="宋体" w:hAnsi="宋体" w:eastAsia="宋体"/>
                <w:color w:val="auto"/>
                <w:szCs w:val="21"/>
                <w:highlight w:val="none"/>
              </w:rPr>
            </w:pPr>
          </w:p>
        </w:tc>
        <w:tc>
          <w:tcPr>
            <w:tcW w:w="1009" w:type="pct"/>
            <w:vAlign w:val="center"/>
          </w:tcPr>
          <w:p w14:paraId="6459261F">
            <w:pPr>
              <w:jc w:val="center"/>
              <w:rPr>
                <w:rFonts w:ascii="宋体" w:hAnsi="宋体" w:eastAsia="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olor w:val="auto"/>
                <w:szCs w:val="21"/>
                <w:highlight w:val="none"/>
              </w:rPr>
            </w:pPr>
          </w:p>
        </w:tc>
        <w:tc>
          <w:tcPr>
            <w:tcW w:w="1563" w:type="pct"/>
            <w:vAlign w:val="center"/>
          </w:tcPr>
          <w:p w14:paraId="1565DAD5">
            <w:pPr>
              <w:jc w:val="center"/>
              <w:rPr>
                <w:rFonts w:ascii="宋体" w:hAnsi="宋体" w:eastAsia="宋体"/>
                <w:color w:val="auto"/>
                <w:szCs w:val="21"/>
                <w:highlight w:val="none"/>
              </w:rPr>
            </w:pPr>
          </w:p>
        </w:tc>
        <w:tc>
          <w:tcPr>
            <w:tcW w:w="1164" w:type="pct"/>
            <w:vAlign w:val="center"/>
          </w:tcPr>
          <w:p w14:paraId="7F88EB27">
            <w:pPr>
              <w:jc w:val="center"/>
              <w:rPr>
                <w:rFonts w:ascii="宋体" w:hAnsi="宋体" w:eastAsia="宋体"/>
                <w:color w:val="auto"/>
                <w:szCs w:val="21"/>
                <w:highlight w:val="none"/>
              </w:rPr>
            </w:pPr>
          </w:p>
        </w:tc>
        <w:tc>
          <w:tcPr>
            <w:tcW w:w="732" w:type="pct"/>
            <w:vAlign w:val="center"/>
          </w:tcPr>
          <w:p w14:paraId="42B23CD7">
            <w:pPr>
              <w:jc w:val="center"/>
              <w:rPr>
                <w:rFonts w:ascii="宋体" w:hAnsi="宋体" w:eastAsia="宋体"/>
                <w:color w:val="auto"/>
                <w:szCs w:val="21"/>
                <w:highlight w:val="none"/>
              </w:rPr>
            </w:pPr>
          </w:p>
        </w:tc>
        <w:tc>
          <w:tcPr>
            <w:tcW w:w="1009" w:type="pct"/>
            <w:vAlign w:val="center"/>
          </w:tcPr>
          <w:p w14:paraId="4AD4DFBE">
            <w:pPr>
              <w:jc w:val="center"/>
              <w:rPr>
                <w:rFonts w:ascii="宋体" w:hAnsi="宋体" w:eastAsia="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olor w:val="auto"/>
                <w:szCs w:val="21"/>
                <w:highlight w:val="none"/>
              </w:rPr>
            </w:pPr>
          </w:p>
        </w:tc>
        <w:tc>
          <w:tcPr>
            <w:tcW w:w="1563" w:type="pct"/>
            <w:vAlign w:val="center"/>
          </w:tcPr>
          <w:p w14:paraId="2F582632">
            <w:pPr>
              <w:jc w:val="center"/>
              <w:rPr>
                <w:rFonts w:ascii="宋体" w:hAnsi="宋体" w:eastAsia="宋体"/>
                <w:color w:val="auto"/>
                <w:szCs w:val="21"/>
                <w:highlight w:val="none"/>
              </w:rPr>
            </w:pPr>
          </w:p>
        </w:tc>
        <w:tc>
          <w:tcPr>
            <w:tcW w:w="1164" w:type="pct"/>
            <w:vAlign w:val="center"/>
          </w:tcPr>
          <w:p w14:paraId="63BE101F">
            <w:pPr>
              <w:jc w:val="center"/>
              <w:rPr>
                <w:rFonts w:ascii="宋体" w:hAnsi="宋体" w:eastAsia="宋体"/>
                <w:color w:val="auto"/>
                <w:szCs w:val="21"/>
                <w:highlight w:val="none"/>
              </w:rPr>
            </w:pPr>
          </w:p>
        </w:tc>
        <w:tc>
          <w:tcPr>
            <w:tcW w:w="732" w:type="pct"/>
            <w:vAlign w:val="center"/>
          </w:tcPr>
          <w:p w14:paraId="0D7D6BCD">
            <w:pPr>
              <w:jc w:val="center"/>
              <w:rPr>
                <w:rFonts w:ascii="宋体" w:hAnsi="宋体" w:eastAsia="宋体"/>
                <w:color w:val="auto"/>
                <w:szCs w:val="21"/>
                <w:highlight w:val="none"/>
              </w:rPr>
            </w:pPr>
          </w:p>
        </w:tc>
        <w:tc>
          <w:tcPr>
            <w:tcW w:w="1009" w:type="pct"/>
            <w:vAlign w:val="center"/>
          </w:tcPr>
          <w:p w14:paraId="1F9D5896">
            <w:pPr>
              <w:jc w:val="center"/>
              <w:rPr>
                <w:rFonts w:ascii="宋体" w:hAnsi="宋体" w:eastAsia="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olor w:val="auto"/>
                <w:szCs w:val="21"/>
                <w:highlight w:val="none"/>
              </w:rPr>
            </w:pPr>
          </w:p>
        </w:tc>
        <w:tc>
          <w:tcPr>
            <w:tcW w:w="1563" w:type="pct"/>
            <w:vAlign w:val="center"/>
          </w:tcPr>
          <w:p w14:paraId="59578F53">
            <w:pPr>
              <w:jc w:val="center"/>
              <w:rPr>
                <w:rFonts w:ascii="宋体" w:hAnsi="宋体" w:eastAsia="宋体"/>
                <w:color w:val="auto"/>
                <w:szCs w:val="21"/>
                <w:highlight w:val="none"/>
              </w:rPr>
            </w:pPr>
          </w:p>
        </w:tc>
        <w:tc>
          <w:tcPr>
            <w:tcW w:w="1164" w:type="pct"/>
            <w:vAlign w:val="center"/>
          </w:tcPr>
          <w:p w14:paraId="0F22411E">
            <w:pPr>
              <w:jc w:val="center"/>
              <w:rPr>
                <w:rFonts w:ascii="宋体" w:hAnsi="宋体" w:eastAsia="宋体"/>
                <w:color w:val="auto"/>
                <w:szCs w:val="21"/>
                <w:highlight w:val="none"/>
              </w:rPr>
            </w:pPr>
          </w:p>
        </w:tc>
        <w:tc>
          <w:tcPr>
            <w:tcW w:w="732" w:type="pct"/>
            <w:vAlign w:val="center"/>
          </w:tcPr>
          <w:p w14:paraId="3028C6D5">
            <w:pPr>
              <w:jc w:val="center"/>
              <w:rPr>
                <w:rFonts w:ascii="宋体" w:hAnsi="宋体" w:eastAsia="宋体"/>
                <w:color w:val="auto"/>
                <w:szCs w:val="21"/>
                <w:highlight w:val="none"/>
              </w:rPr>
            </w:pPr>
          </w:p>
        </w:tc>
        <w:tc>
          <w:tcPr>
            <w:tcW w:w="1009" w:type="pct"/>
            <w:vAlign w:val="center"/>
          </w:tcPr>
          <w:p w14:paraId="2760B64B">
            <w:pPr>
              <w:jc w:val="center"/>
              <w:rPr>
                <w:rFonts w:ascii="宋体" w:hAnsi="宋体" w:eastAsia="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olor w:val="auto"/>
                <w:szCs w:val="21"/>
                <w:highlight w:val="none"/>
              </w:rPr>
            </w:pPr>
          </w:p>
        </w:tc>
        <w:tc>
          <w:tcPr>
            <w:tcW w:w="1563" w:type="pct"/>
            <w:vAlign w:val="center"/>
          </w:tcPr>
          <w:p w14:paraId="05755403">
            <w:pPr>
              <w:jc w:val="center"/>
              <w:rPr>
                <w:rFonts w:ascii="宋体" w:hAnsi="宋体" w:eastAsia="宋体"/>
                <w:color w:val="auto"/>
                <w:szCs w:val="21"/>
                <w:highlight w:val="none"/>
              </w:rPr>
            </w:pPr>
          </w:p>
        </w:tc>
        <w:tc>
          <w:tcPr>
            <w:tcW w:w="1164" w:type="pct"/>
            <w:vAlign w:val="center"/>
          </w:tcPr>
          <w:p w14:paraId="0124A58D">
            <w:pPr>
              <w:jc w:val="center"/>
              <w:rPr>
                <w:rFonts w:ascii="宋体" w:hAnsi="宋体" w:eastAsia="宋体"/>
                <w:color w:val="auto"/>
                <w:szCs w:val="21"/>
                <w:highlight w:val="none"/>
              </w:rPr>
            </w:pPr>
          </w:p>
        </w:tc>
        <w:tc>
          <w:tcPr>
            <w:tcW w:w="732" w:type="pct"/>
            <w:vAlign w:val="center"/>
          </w:tcPr>
          <w:p w14:paraId="75EFB702">
            <w:pPr>
              <w:jc w:val="center"/>
              <w:rPr>
                <w:rFonts w:ascii="宋体" w:hAnsi="宋体" w:eastAsia="宋体"/>
                <w:color w:val="auto"/>
                <w:szCs w:val="21"/>
                <w:highlight w:val="none"/>
              </w:rPr>
            </w:pPr>
          </w:p>
        </w:tc>
        <w:tc>
          <w:tcPr>
            <w:tcW w:w="1009" w:type="pct"/>
            <w:vAlign w:val="center"/>
          </w:tcPr>
          <w:p w14:paraId="084CCF0D">
            <w:pPr>
              <w:jc w:val="center"/>
              <w:rPr>
                <w:rFonts w:ascii="宋体" w:hAnsi="宋体" w:eastAsia="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olor w:val="auto"/>
                <w:szCs w:val="21"/>
                <w:highlight w:val="none"/>
              </w:rPr>
            </w:pPr>
          </w:p>
        </w:tc>
        <w:tc>
          <w:tcPr>
            <w:tcW w:w="1563" w:type="pct"/>
            <w:vAlign w:val="center"/>
          </w:tcPr>
          <w:p w14:paraId="7CB689AC">
            <w:pPr>
              <w:jc w:val="center"/>
              <w:rPr>
                <w:rFonts w:ascii="宋体" w:hAnsi="宋体" w:eastAsia="宋体"/>
                <w:color w:val="auto"/>
                <w:szCs w:val="21"/>
                <w:highlight w:val="none"/>
              </w:rPr>
            </w:pPr>
          </w:p>
        </w:tc>
        <w:tc>
          <w:tcPr>
            <w:tcW w:w="1164" w:type="pct"/>
            <w:vAlign w:val="center"/>
          </w:tcPr>
          <w:p w14:paraId="01CC754A">
            <w:pPr>
              <w:jc w:val="center"/>
              <w:rPr>
                <w:rFonts w:ascii="宋体" w:hAnsi="宋体" w:eastAsia="宋体"/>
                <w:color w:val="auto"/>
                <w:szCs w:val="21"/>
                <w:highlight w:val="none"/>
              </w:rPr>
            </w:pPr>
          </w:p>
        </w:tc>
        <w:tc>
          <w:tcPr>
            <w:tcW w:w="732" w:type="pct"/>
            <w:vAlign w:val="center"/>
          </w:tcPr>
          <w:p w14:paraId="1BBC3748">
            <w:pPr>
              <w:jc w:val="center"/>
              <w:rPr>
                <w:rFonts w:ascii="宋体" w:hAnsi="宋体" w:eastAsia="宋体"/>
                <w:color w:val="auto"/>
                <w:szCs w:val="21"/>
                <w:highlight w:val="none"/>
              </w:rPr>
            </w:pPr>
          </w:p>
        </w:tc>
        <w:tc>
          <w:tcPr>
            <w:tcW w:w="1009" w:type="pct"/>
            <w:vAlign w:val="center"/>
          </w:tcPr>
          <w:p w14:paraId="1EA17CC2">
            <w:pPr>
              <w:jc w:val="center"/>
              <w:rPr>
                <w:rFonts w:ascii="宋体" w:hAnsi="宋体" w:eastAsia="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olor w:val="auto"/>
                <w:szCs w:val="21"/>
                <w:highlight w:val="none"/>
              </w:rPr>
            </w:pPr>
          </w:p>
        </w:tc>
        <w:tc>
          <w:tcPr>
            <w:tcW w:w="1563" w:type="pct"/>
            <w:vAlign w:val="center"/>
          </w:tcPr>
          <w:p w14:paraId="0EEF5E5A">
            <w:pPr>
              <w:jc w:val="center"/>
              <w:rPr>
                <w:rFonts w:ascii="宋体" w:hAnsi="宋体" w:eastAsia="宋体"/>
                <w:color w:val="auto"/>
                <w:szCs w:val="21"/>
                <w:highlight w:val="none"/>
              </w:rPr>
            </w:pPr>
          </w:p>
        </w:tc>
        <w:tc>
          <w:tcPr>
            <w:tcW w:w="1164" w:type="pct"/>
            <w:vAlign w:val="center"/>
          </w:tcPr>
          <w:p w14:paraId="10036CA7">
            <w:pPr>
              <w:jc w:val="center"/>
              <w:rPr>
                <w:rFonts w:ascii="宋体" w:hAnsi="宋体" w:eastAsia="宋体"/>
                <w:color w:val="auto"/>
                <w:szCs w:val="21"/>
                <w:highlight w:val="none"/>
              </w:rPr>
            </w:pPr>
          </w:p>
        </w:tc>
        <w:tc>
          <w:tcPr>
            <w:tcW w:w="732" w:type="pct"/>
            <w:vAlign w:val="center"/>
          </w:tcPr>
          <w:p w14:paraId="6E6C00DB">
            <w:pPr>
              <w:jc w:val="center"/>
              <w:rPr>
                <w:rFonts w:ascii="宋体" w:hAnsi="宋体" w:eastAsia="宋体"/>
                <w:color w:val="auto"/>
                <w:szCs w:val="21"/>
                <w:highlight w:val="none"/>
              </w:rPr>
            </w:pPr>
          </w:p>
        </w:tc>
        <w:tc>
          <w:tcPr>
            <w:tcW w:w="1009" w:type="pct"/>
            <w:vAlign w:val="center"/>
          </w:tcPr>
          <w:p w14:paraId="4069C89F">
            <w:pPr>
              <w:jc w:val="center"/>
              <w:rPr>
                <w:rFonts w:ascii="宋体" w:hAnsi="宋体" w:eastAsia="宋体"/>
                <w:color w:val="auto"/>
                <w:szCs w:val="21"/>
                <w:highlight w:val="none"/>
              </w:rPr>
            </w:pPr>
          </w:p>
        </w:tc>
      </w:tr>
    </w:tbl>
    <w:p w14:paraId="759D3C9E">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E1D17A">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9"/>
    <w:bookmarkEnd w:id="50"/>
    <w:p w14:paraId="022E1B87">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w:t>
      </w:r>
    </w:p>
    <w:p w14:paraId="3DE2BFB1">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FFBA122">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0361656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4A7AED6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68F2D7A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4748A4FF">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48EE975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olor w:val="auto"/>
                <w:szCs w:val="21"/>
                <w:highlight w:val="none"/>
              </w:rPr>
            </w:pPr>
          </w:p>
        </w:tc>
        <w:tc>
          <w:tcPr>
            <w:tcW w:w="653" w:type="pct"/>
            <w:vAlign w:val="center"/>
          </w:tcPr>
          <w:p w14:paraId="3AB8EE80">
            <w:pPr>
              <w:jc w:val="center"/>
              <w:rPr>
                <w:rFonts w:ascii="宋体" w:hAnsi="宋体" w:eastAsia="宋体"/>
                <w:color w:val="auto"/>
                <w:szCs w:val="21"/>
                <w:highlight w:val="none"/>
              </w:rPr>
            </w:pPr>
          </w:p>
        </w:tc>
        <w:tc>
          <w:tcPr>
            <w:tcW w:w="739" w:type="pct"/>
            <w:vAlign w:val="center"/>
          </w:tcPr>
          <w:p w14:paraId="63A272CC">
            <w:pPr>
              <w:jc w:val="center"/>
              <w:rPr>
                <w:rFonts w:ascii="宋体" w:hAnsi="宋体" w:eastAsia="宋体"/>
                <w:color w:val="auto"/>
                <w:szCs w:val="21"/>
                <w:highlight w:val="none"/>
              </w:rPr>
            </w:pPr>
          </w:p>
        </w:tc>
        <w:tc>
          <w:tcPr>
            <w:tcW w:w="1081" w:type="pct"/>
            <w:vAlign w:val="center"/>
          </w:tcPr>
          <w:p w14:paraId="6A1AF531">
            <w:pPr>
              <w:jc w:val="center"/>
              <w:rPr>
                <w:rFonts w:ascii="宋体" w:hAnsi="宋体" w:eastAsia="宋体"/>
                <w:color w:val="auto"/>
                <w:szCs w:val="21"/>
                <w:highlight w:val="none"/>
              </w:rPr>
            </w:pPr>
          </w:p>
        </w:tc>
        <w:tc>
          <w:tcPr>
            <w:tcW w:w="830" w:type="pct"/>
          </w:tcPr>
          <w:p w14:paraId="273D4706">
            <w:pPr>
              <w:jc w:val="center"/>
              <w:rPr>
                <w:rFonts w:ascii="宋体" w:hAnsi="宋体" w:eastAsia="宋体"/>
                <w:color w:val="auto"/>
                <w:szCs w:val="21"/>
                <w:highlight w:val="none"/>
              </w:rPr>
            </w:pPr>
          </w:p>
        </w:tc>
        <w:tc>
          <w:tcPr>
            <w:tcW w:w="582" w:type="pct"/>
            <w:vAlign w:val="center"/>
          </w:tcPr>
          <w:p w14:paraId="74DA6C12">
            <w:pPr>
              <w:jc w:val="center"/>
              <w:rPr>
                <w:rFonts w:ascii="宋体" w:hAnsi="宋体" w:eastAsia="宋体"/>
                <w:color w:val="auto"/>
                <w:szCs w:val="21"/>
                <w:highlight w:val="none"/>
              </w:rPr>
            </w:pPr>
          </w:p>
        </w:tc>
        <w:tc>
          <w:tcPr>
            <w:tcW w:w="699" w:type="pct"/>
          </w:tcPr>
          <w:p w14:paraId="7A70E5E6">
            <w:pPr>
              <w:jc w:val="center"/>
              <w:rPr>
                <w:rFonts w:ascii="宋体" w:hAnsi="宋体" w:eastAsia="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olor w:val="auto"/>
                <w:szCs w:val="21"/>
                <w:highlight w:val="none"/>
              </w:rPr>
            </w:pPr>
          </w:p>
        </w:tc>
        <w:tc>
          <w:tcPr>
            <w:tcW w:w="653" w:type="pct"/>
            <w:vAlign w:val="center"/>
          </w:tcPr>
          <w:p w14:paraId="0C9CA726">
            <w:pPr>
              <w:jc w:val="center"/>
              <w:rPr>
                <w:rFonts w:ascii="宋体" w:hAnsi="宋体" w:eastAsia="宋体"/>
                <w:color w:val="auto"/>
                <w:szCs w:val="21"/>
                <w:highlight w:val="none"/>
              </w:rPr>
            </w:pPr>
          </w:p>
        </w:tc>
        <w:tc>
          <w:tcPr>
            <w:tcW w:w="739" w:type="pct"/>
            <w:vAlign w:val="center"/>
          </w:tcPr>
          <w:p w14:paraId="70C51E5D">
            <w:pPr>
              <w:jc w:val="center"/>
              <w:rPr>
                <w:rFonts w:ascii="宋体" w:hAnsi="宋体" w:eastAsia="宋体"/>
                <w:color w:val="auto"/>
                <w:szCs w:val="21"/>
                <w:highlight w:val="none"/>
              </w:rPr>
            </w:pPr>
          </w:p>
        </w:tc>
        <w:tc>
          <w:tcPr>
            <w:tcW w:w="1081" w:type="pct"/>
            <w:vAlign w:val="center"/>
          </w:tcPr>
          <w:p w14:paraId="552AD384">
            <w:pPr>
              <w:jc w:val="center"/>
              <w:rPr>
                <w:rFonts w:ascii="宋体" w:hAnsi="宋体" w:eastAsia="宋体"/>
                <w:color w:val="auto"/>
                <w:szCs w:val="21"/>
                <w:highlight w:val="none"/>
              </w:rPr>
            </w:pPr>
          </w:p>
        </w:tc>
        <w:tc>
          <w:tcPr>
            <w:tcW w:w="830" w:type="pct"/>
          </w:tcPr>
          <w:p w14:paraId="670140FF">
            <w:pPr>
              <w:jc w:val="center"/>
              <w:rPr>
                <w:rFonts w:ascii="宋体" w:hAnsi="宋体" w:eastAsia="宋体"/>
                <w:color w:val="auto"/>
                <w:szCs w:val="21"/>
                <w:highlight w:val="none"/>
              </w:rPr>
            </w:pPr>
          </w:p>
        </w:tc>
        <w:tc>
          <w:tcPr>
            <w:tcW w:w="582" w:type="pct"/>
            <w:vAlign w:val="center"/>
          </w:tcPr>
          <w:p w14:paraId="362772DE">
            <w:pPr>
              <w:jc w:val="center"/>
              <w:rPr>
                <w:rFonts w:ascii="宋体" w:hAnsi="宋体" w:eastAsia="宋体"/>
                <w:color w:val="auto"/>
                <w:szCs w:val="21"/>
                <w:highlight w:val="none"/>
              </w:rPr>
            </w:pPr>
          </w:p>
        </w:tc>
        <w:tc>
          <w:tcPr>
            <w:tcW w:w="699" w:type="pct"/>
          </w:tcPr>
          <w:p w14:paraId="226E8EA2">
            <w:pPr>
              <w:jc w:val="center"/>
              <w:rPr>
                <w:rFonts w:ascii="宋体" w:hAnsi="宋体" w:eastAsia="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olor w:val="auto"/>
                <w:szCs w:val="21"/>
                <w:highlight w:val="none"/>
              </w:rPr>
            </w:pPr>
          </w:p>
        </w:tc>
        <w:tc>
          <w:tcPr>
            <w:tcW w:w="653" w:type="pct"/>
            <w:vAlign w:val="center"/>
          </w:tcPr>
          <w:p w14:paraId="46703EAB">
            <w:pPr>
              <w:jc w:val="center"/>
              <w:rPr>
                <w:rFonts w:ascii="宋体" w:hAnsi="宋体" w:eastAsia="宋体"/>
                <w:color w:val="auto"/>
                <w:szCs w:val="21"/>
                <w:highlight w:val="none"/>
              </w:rPr>
            </w:pPr>
          </w:p>
        </w:tc>
        <w:tc>
          <w:tcPr>
            <w:tcW w:w="739" w:type="pct"/>
            <w:vAlign w:val="center"/>
          </w:tcPr>
          <w:p w14:paraId="5B210401">
            <w:pPr>
              <w:jc w:val="center"/>
              <w:rPr>
                <w:rFonts w:ascii="宋体" w:hAnsi="宋体" w:eastAsia="宋体"/>
                <w:color w:val="auto"/>
                <w:szCs w:val="21"/>
                <w:highlight w:val="none"/>
              </w:rPr>
            </w:pPr>
          </w:p>
        </w:tc>
        <w:tc>
          <w:tcPr>
            <w:tcW w:w="1081" w:type="pct"/>
            <w:vAlign w:val="center"/>
          </w:tcPr>
          <w:p w14:paraId="1CA38B0F">
            <w:pPr>
              <w:jc w:val="center"/>
              <w:rPr>
                <w:rFonts w:ascii="宋体" w:hAnsi="宋体" w:eastAsia="宋体"/>
                <w:color w:val="auto"/>
                <w:szCs w:val="21"/>
                <w:highlight w:val="none"/>
              </w:rPr>
            </w:pPr>
          </w:p>
        </w:tc>
        <w:tc>
          <w:tcPr>
            <w:tcW w:w="830" w:type="pct"/>
          </w:tcPr>
          <w:p w14:paraId="491A791E">
            <w:pPr>
              <w:jc w:val="center"/>
              <w:rPr>
                <w:rFonts w:ascii="宋体" w:hAnsi="宋体" w:eastAsia="宋体"/>
                <w:color w:val="auto"/>
                <w:szCs w:val="21"/>
                <w:highlight w:val="none"/>
              </w:rPr>
            </w:pPr>
          </w:p>
        </w:tc>
        <w:tc>
          <w:tcPr>
            <w:tcW w:w="582" w:type="pct"/>
            <w:vAlign w:val="center"/>
          </w:tcPr>
          <w:p w14:paraId="17A5565B">
            <w:pPr>
              <w:jc w:val="center"/>
              <w:rPr>
                <w:rFonts w:ascii="宋体" w:hAnsi="宋体" w:eastAsia="宋体"/>
                <w:color w:val="auto"/>
                <w:szCs w:val="21"/>
                <w:highlight w:val="none"/>
              </w:rPr>
            </w:pPr>
          </w:p>
        </w:tc>
        <w:tc>
          <w:tcPr>
            <w:tcW w:w="699" w:type="pct"/>
          </w:tcPr>
          <w:p w14:paraId="3CEEAE76">
            <w:pPr>
              <w:jc w:val="center"/>
              <w:rPr>
                <w:rFonts w:ascii="宋体" w:hAnsi="宋体" w:eastAsia="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olor w:val="auto"/>
                <w:szCs w:val="21"/>
                <w:highlight w:val="none"/>
              </w:rPr>
            </w:pPr>
          </w:p>
        </w:tc>
        <w:tc>
          <w:tcPr>
            <w:tcW w:w="653" w:type="pct"/>
            <w:vAlign w:val="center"/>
          </w:tcPr>
          <w:p w14:paraId="38F0906F">
            <w:pPr>
              <w:jc w:val="center"/>
              <w:rPr>
                <w:rFonts w:ascii="宋体" w:hAnsi="宋体" w:eastAsia="宋体"/>
                <w:color w:val="auto"/>
                <w:szCs w:val="21"/>
                <w:highlight w:val="none"/>
              </w:rPr>
            </w:pPr>
          </w:p>
        </w:tc>
        <w:tc>
          <w:tcPr>
            <w:tcW w:w="739" w:type="pct"/>
            <w:vAlign w:val="center"/>
          </w:tcPr>
          <w:p w14:paraId="7FE1C737">
            <w:pPr>
              <w:jc w:val="center"/>
              <w:rPr>
                <w:rFonts w:ascii="宋体" w:hAnsi="宋体" w:eastAsia="宋体"/>
                <w:color w:val="auto"/>
                <w:szCs w:val="21"/>
                <w:highlight w:val="none"/>
              </w:rPr>
            </w:pPr>
          </w:p>
        </w:tc>
        <w:tc>
          <w:tcPr>
            <w:tcW w:w="1081" w:type="pct"/>
            <w:vAlign w:val="center"/>
          </w:tcPr>
          <w:p w14:paraId="13A48178">
            <w:pPr>
              <w:jc w:val="center"/>
              <w:rPr>
                <w:rFonts w:ascii="宋体" w:hAnsi="宋体" w:eastAsia="宋体"/>
                <w:color w:val="auto"/>
                <w:szCs w:val="21"/>
                <w:highlight w:val="none"/>
              </w:rPr>
            </w:pPr>
          </w:p>
        </w:tc>
        <w:tc>
          <w:tcPr>
            <w:tcW w:w="830" w:type="pct"/>
          </w:tcPr>
          <w:p w14:paraId="29078F11">
            <w:pPr>
              <w:jc w:val="center"/>
              <w:rPr>
                <w:rFonts w:ascii="宋体" w:hAnsi="宋体" w:eastAsia="宋体"/>
                <w:color w:val="auto"/>
                <w:szCs w:val="21"/>
                <w:highlight w:val="none"/>
              </w:rPr>
            </w:pPr>
          </w:p>
        </w:tc>
        <w:tc>
          <w:tcPr>
            <w:tcW w:w="582" w:type="pct"/>
            <w:vAlign w:val="center"/>
          </w:tcPr>
          <w:p w14:paraId="22085B0A">
            <w:pPr>
              <w:jc w:val="center"/>
              <w:rPr>
                <w:rFonts w:ascii="宋体" w:hAnsi="宋体" w:eastAsia="宋体"/>
                <w:color w:val="auto"/>
                <w:szCs w:val="21"/>
                <w:highlight w:val="none"/>
              </w:rPr>
            </w:pPr>
          </w:p>
        </w:tc>
        <w:tc>
          <w:tcPr>
            <w:tcW w:w="699" w:type="pct"/>
          </w:tcPr>
          <w:p w14:paraId="35995CA2">
            <w:pPr>
              <w:jc w:val="center"/>
              <w:rPr>
                <w:rFonts w:ascii="宋体" w:hAnsi="宋体" w:eastAsia="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olor w:val="auto"/>
                <w:szCs w:val="21"/>
                <w:highlight w:val="none"/>
              </w:rPr>
            </w:pPr>
          </w:p>
        </w:tc>
        <w:tc>
          <w:tcPr>
            <w:tcW w:w="653" w:type="pct"/>
            <w:vAlign w:val="center"/>
          </w:tcPr>
          <w:p w14:paraId="7A6C4DEC">
            <w:pPr>
              <w:jc w:val="center"/>
              <w:rPr>
                <w:rFonts w:ascii="宋体" w:hAnsi="宋体" w:eastAsia="宋体"/>
                <w:color w:val="auto"/>
                <w:szCs w:val="21"/>
                <w:highlight w:val="none"/>
              </w:rPr>
            </w:pPr>
          </w:p>
        </w:tc>
        <w:tc>
          <w:tcPr>
            <w:tcW w:w="739" w:type="pct"/>
            <w:vAlign w:val="center"/>
          </w:tcPr>
          <w:p w14:paraId="27F65C55">
            <w:pPr>
              <w:jc w:val="center"/>
              <w:rPr>
                <w:rFonts w:ascii="宋体" w:hAnsi="宋体" w:eastAsia="宋体"/>
                <w:color w:val="auto"/>
                <w:szCs w:val="21"/>
                <w:highlight w:val="none"/>
              </w:rPr>
            </w:pPr>
          </w:p>
        </w:tc>
        <w:tc>
          <w:tcPr>
            <w:tcW w:w="1081" w:type="pct"/>
            <w:vAlign w:val="center"/>
          </w:tcPr>
          <w:p w14:paraId="3140FDA0">
            <w:pPr>
              <w:widowControl/>
              <w:tabs>
                <w:tab w:val="right" w:leader="dot" w:pos="8302"/>
              </w:tabs>
              <w:jc w:val="center"/>
              <w:rPr>
                <w:rFonts w:ascii="宋体" w:hAnsi="宋体" w:eastAsia="宋体"/>
                <w:color w:val="auto"/>
                <w:kern w:val="0"/>
                <w:szCs w:val="21"/>
                <w:highlight w:val="none"/>
              </w:rPr>
            </w:pPr>
          </w:p>
        </w:tc>
        <w:tc>
          <w:tcPr>
            <w:tcW w:w="830" w:type="pct"/>
          </w:tcPr>
          <w:p w14:paraId="254EA750">
            <w:pPr>
              <w:jc w:val="center"/>
              <w:rPr>
                <w:rFonts w:ascii="宋体" w:hAnsi="宋体" w:eastAsia="宋体"/>
                <w:color w:val="auto"/>
                <w:szCs w:val="21"/>
                <w:highlight w:val="none"/>
              </w:rPr>
            </w:pPr>
          </w:p>
        </w:tc>
        <w:tc>
          <w:tcPr>
            <w:tcW w:w="582" w:type="pct"/>
            <w:vAlign w:val="center"/>
          </w:tcPr>
          <w:p w14:paraId="557566C7">
            <w:pPr>
              <w:jc w:val="center"/>
              <w:rPr>
                <w:rFonts w:ascii="宋体" w:hAnsi="宋体" w:eastAsia="宋体"/>
                <w:color w:val="auto"/>
                <w:szCs w:val="21"/>
                <w:highlight w:val="none"/>
              </w:rPr>
            </w:pPr>
          </w:p>
        </w:tc>
        <w:tc>
          <w:tcPr>
            <w:tcW w:w="699" w:type="pct"/>
          </w:tcPr>
          <w:p w14:paraId="13F4BB69">
            <w:pPr>
              <w:jc w:val="center"/>
              <w:rPr>
                <w:rFonts w:ascii="宋体" w:hAnsi="宋体" w:eastAsia="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olor w:val="auto"/>
                <w:szCs w:val="21"/>
                <w:highlight w:val="none"/>
              </w:rPr>
            </w:pPr>
          </w:p>
        </w:tc>
        <w:tc>
          <w:tcPr>
            <w:tcW w:w="653" w:type="pct"/>
            <w:vAlign w:val="center"/>
          </w:tcPr>
          <w:p w14:paraId="2576C1B7">
            <w:pPr>
              <w:jc w:val="center"/>
              <w:rPr>
                <w:rFonts w:ascii="宋体" w:hAnsi="宋体" w:eastAsia="宋体"/>
                <w:color w:val="auto"/>
                <w:szCs w:val="21"/>
                <w:highlight w:val="none"/>
              </w:rPr>
            </w:pPr>
          </w:p>
        </w:tc>
        <w:tc>
          <w:tcPr>
            <w:tcW w:w="739" w:type="pct"/>
            <w:vAlign w:val="center"/>
          </w:tcPr>
          <w:p w14:paraId="57F23FBA">
            <w:pPr>
              <w:jc w:val="center"/>
              <w:rPr>
                <w:rFonts w:ascii="宋体" w:hAnsi="宋体" w:eastAsia="宋体"/>
                <w:color w:val="auto"/>
                <w:szCs w:val="21"/>
                <w:highlight w:val="none"/>
              </w:rPr>
            </w:pPr>
          </w:p>
        </w:tc>
        <w:tc>
          <w:tcPr>
            <w:tcW w:w="1081" w:type="pct"/>
            <w:vAlign w:val="center"/>
          </w:tcPr>
          <w:p w14:paraId="0383AFE5">
            <w:pPr>
              <w:widowControl/>
              <w:tabs>
                <w:tab w:val="right" w:leader="dot" w:pos="8302"/>
              </w:tabs>
              <w:jc w:val="center"/>
              <w:rPr>
                <w:rFonts w:ascii="宋体" w:hAnsi="宋体" w:eastAsia="宋体"/>
                <w:color w:val="auto"/>
                <w:kern w:val="0"/>
                <w:szCs w:val="21"/>
                <w:highlight w:val="none"/>
              </w:rPr>
            </w:pPr>
          </w:p>
        </w:tc>
        <w:tc>
          <w:tcPr>
            <w:tcW w:w="830" w:type="pct"/>
          </w:tcPr>
          <w:p w14:paraId="6DFF9830">
            <w:pPr>
              <w:jc w:val="center"/>
              <w:rPr>
                <w:rFonts w:ascii="宋体" w:hAnsi="宋体" w:eastAsia="宋体"/>
                <w:color w:val="auto"/>
                <w:szCs w:val="21"/>
                <w:highlight w:val="none"/>
              </w:rPr>
            </w:pPr>
          </w:p>
        </w:tc>
        <w:tc>
          <w:tcPr>
            <w:tcW w:w="582" w:type="pct"/>
            <w:vAlign w:val="center"/>
          </w:tcPr>
          <w:p w14:paraId="017E6BE4">
            <w:pPr>
              <w:jc w:val="center"/>
              <w:rPr>
                <w:rFonts w:ascii="宋体" w:hAnsi="宋体" w:eastAsia="宋体"/>
                <w:color w:val="auto"/>
                <w:szCs w:val="21"/>
                <w:highlight w:val="none"/>
              </w:rPr>
            </w:pPr>
          </w:p>
        </w:tc>
        <w:tc>
          <w:tcPr>
            <w:tcW w:w="699" w:type="pct"/>
          </w:tcPr>
          <w:p w14:paraId="69FDC671">
            <w:pPr>
              <w:jc w:val="center"/>
              <w:rPr>
                <w:rFonts w:ascii="宋体" w:hAnsi="宋体" w:eastAsia="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olor w:val="auto"/>
                <w:szCs w:val="21"/>
                <w:highlight w:val="none"/>
              </w:rPr>
            </w:pPr>
          </w:p>
        </w:tc>
        <w:tc>
          <w:tcPr>
            <w:tcW w:w="653" w:type="pct"/>
            <w:vAlign w:val="center"/>
          </w:tcPr>
          <w:p w14:paraId="6766E312">
            <w:pPr>
              <w:jc w:val="center"/>
              <w:rPr>
                <w:rFonts w:ascii="宋体" w:hAnsi="宋体" w:eastAsia="宋体"/>
                <w:color w:val="auto"/>
                <w:szCs w:val="21"/>
                <w:highlight w:val="none"/>
              </w:rPr>
            </w:pPr>
          </w:p>
        </w:tc>
        <w:tc>
          <w:tcPr>
            <w:tcW w:w="739" w:type="pct"/>
            <w:vAlign w:val="center"/>
          </w:tcPr>
          <w:p w14:paraId="712229AA">
            <w:pPr>
              <w:jc w:val="center"/>
              <w:rPr>
                <w:rFonts w:ascii="宋体" w:hAnsi="宋体" w:eastAsia="宋体"/>
                <w:color w:val="auto"/>
                <w:szCs w:val="21"/>
                <w:highlight w:val="none"/>
              </w:rPr>
            </w:pPr>
          </w:p>
        </w:tc>
        <w:tc>
          <w:tcPr>
            <w:tcW w:w="1081" w:type="pct"/>
            <w:vAlign w:val="center"/>
          </w:tcPr>
          <w:p w14:paraId="46A54FD3">
            <w:pPr>
              <w:jc w:val="center"/>
              <w:rPr>
                <w:rFonts w:ascii="宋体" w:hAnsi="宋体" w:eastAsia="宋体"/>
                <w:color w:val="auto"/>
                <w:szCs w:val="21"/>
                <w:highlight w:val="none"/>
              </w:rPr>
            </w:pPr>
          </w:p>
        </w:tc>
        <w:tc>
          <w:tcPr>
            <w:tcW w:w="830" w:type="pct"/>
          </w:tcPr>
          <w:p w14:paraId="4EF42F3D">
            <w:pPr>
              <w:jc w:val="center"/>
              <w:rPr>
                <w:rFonts w:ascii="宋体" w:hAnsi="宋体" w:eastAsia="宋体"/>
                <w:color w:val="auto"/>
                <w:szCs w:val="21"/>
                <w:highlight w:val="none"/>
              </w:rPr>
            </w:pPr>
          </w:p>
        </w:tc>
        <w:tc>
          <w:tcPr>
            <w:tcW w:w="582" w:type="pct"/>
            <w:vAlign w:val="center"/>
          </w:tcPr>
          <w:p w14:paraId="08C50BFC">
            <w:pPr>
              <w:jc w:val="center"/>
              <w:rPr>
                <w:rFonts w:ascii="宋体" w:hAnsi="宋体" w:eastAsia="宋体"/>
                <w:color w:val="auto"/>
                <w:szCs w:val="21"/>
                <w:highlight w:val="none"/>
              </w:rPr>
            </w:pPr>
          </w:p>
        </w:tc>
        <w:tc>
          <w:tcPr>
            <w:tcW w:w="699" w:type="pct"/>
          </w:tcPr>
          <w:p w14:paraId="0A696757">
            <w:pPr>
              <w:jc w:val="center"/>
              <w:rPr>
                <w:rFonts w:ascii="宋体" w:hAnsi="宋体" w:eastAsia="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olor w:val="auto"/>
                <w:szCs w:val="21"/>
                <w:highlight w:val="none"/>
              </w:rPr>
            </w:pPr>
          </w:p>
        </w:tc>
        <w:tc>
          <w:tcPr>
            <w:tcW w:w="653" w:type="pct"/>
            <w:vAlign w:val="center"/>
          </w:tcPr>
          <w:p w14:paraId="76F5D1F9">
            <w:pPr>
              <w:jc w:val="center"/>
              <w:rPr>
                <w:rFonts w:ascii="宋体" w:hAnsi="宋体" w:eastAsia="宋体"/>
                <w:color w:val="auto"/>
                <w:szCs w:val="21"/>
                <w:highlight w:val="none"/>
              </w:rPr>
            </w:pPr>
          </w:p>
        </w:tc>
        <w:tc>
          <w:tcPr>
            <w:tcW w:w="739" w:type="pct"/>
            <w:vAlign w:val="center"/>
          </w:tcPr>
          <w:p w14:paraId="4F852F46">
            <w:pPr>
              <w:jc w:val="center"/>
              <w:rPr>
                <w:rFonts w:ascii="宋体" w:hAnsi="宋体" w:eastAsia="宋体"/>
                <w:color w:val="auto"/>
                <w:szCs w:val="21"/>
                <w:highlight w:val="none"/>
              </w:rPr>
            </w:pPr>
          </w:p>
        </w:tc>
        <w:tc>
          <w:tcPr>
            <w:tcW w:w="1081" w:type="pct"/>
            <w:vAlign w:val="center"/>
          </w:tcPr>
          <w:p w14:paraId="437366F9">
            <w:pPr>
              <w:jc w:val="center"/>
              <w:rPr>
                <w:rFonts w:ascii="宋体" w:hAnsi="宋体" w:eastAsia="宋体"/>
                <w:color w:val="auto"/>
                <w:szCs w:val="21"/>
                <w:highlight w:val="none"/>
              </w:rPr>
            </w:pPr>
          </w:p>
        </w:tc>
        <w:tc>
          <w:tcPr>
            <w:tcW w:w="830" w:type="pct"/>
          </w:tcPr>
          <w:p w14:paraId="3D42306E">
            <w:pPr>
              <w:jc w:val="center"/>
              <w:rPr>
                <w:rFonts w:ascii="宋体" w:hAnsi="宋体" w:eastAsia="宋体"/>
                <w:color w:val="auto"/>
                <w:szCs w:val="21"/>
                <w:highlight w:val="none"/>
              </w:rPr>
            </w:pPr>
          </w:p>
        </w:tc>
        <w:tc>
          <w:tcPr>
            <w:tcW w:w="582" w:type="pct"/>
            <w:vAlign w:val="center"/>
          </w:tcPr>
          <w:p w14:paraId="2F48BADD">
            <w:pPr>
              <w:jc w:val="center"/>
              <w:rPr>
                <w:rFonts w:ascii="宋体" w:hAnsi="宋体" w:eastAsia="宋体"/>
                <w:color w:val="auto"/>
                <w:szCs w:val="21"/>
                <w:highlight w:val="none"/>
              </w:rPr>
            </w:pPr>
          </w:p>
        </w:tc>
        <w:tc>
          <w:tcPr>
            <w:tcW w:w="699" w:type="pct"/>
          </w:tcPr>
          <w:p w14:paraId="14356E07">
            <w:pPr>
              <w:jc w:val="center"/>
              <w:rPr>
                <w:rFonts w:ascii="宋体" w:hAnsi="宋体" w:eastAsia="宋体"/>
                <w:color w:val="auto"/>
                <w:szCs w:val="21"/>
                <w:highlight w:val="none"/>
              </w:rPr>
            </w:pPr>
          </w:p>
        </w:tc>
      </w:tr>
    </w:tbl>
    <w:p w14:paraId="585052B7">
      <w:pPr>
        <w:spacing w:line="360" w:lineRule="auto"/>
        <w:rPr>
          <w:rFonts w:ascii="黑体" w:hAnsi="黑体" w:eastAsia="黑体"/>
          <w:color w:val="auto"/>
          <w:highlight w:val="none"/>
        </w:rPr>
      </w:pPr>
    </w:p>
    <w:p w14:paraId="16EB79C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AC528F">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C820B74">
      <w:pPr>
        <w:spacing w:line="360" w:lineRule="auto"/>
        <w:rPr>
          <w:rFonts w:ascii="黑体" w:hAnsi="黑体" w:eastAsia="黑体"/>
          <w:color w:val="auto"/>
          <w:highlight w:val="none"/>
        </w:rPr>
      </w:pPr>
    </w:p>
    <w:p w14:paraId="6C399DC8">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三</w:t>
      </w:r>
      <w:r>
        <w:rPr>
          <w:rFonts w:hint="eastAsia" w:ascii="宋体" w:hAnsi="宋体" w:eastAsia="宋体"/>
          <w:b/>
          <w:bCs/>
          <w:color w:val="auto"/>
          <w:sz w:val="24"/>
          <w:szCs w:val="28"/>
          <w:highlight w:val="none"/>
        </w:rPr>
        <w:t>：</w:t>
      </w:r>
    </w:p>
    <w:p w14:paraId="7966E96E">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907632">
            <w:pPr>
              <w:jc w:val="center"/>
              <w:rPr>
                <w:rFonts w:ascii="宋体" w:hAnsi="宋体" w:eastAsia="宋体"/>
                <w:color w:val="auto"/>
                <w:szCs w:val="21"/>
                <w:highlight w:val="none"/>
              </w:rPr>
            </w:pPr>
          </w:p>
        </w:tc>
        <w:tc>
          <w:tcPr>
            <w:tcW w:w="480" w:type="pct"/>
            <w:vAlign w:val="center"/>
          </w:tcPr>
          <w:p w14:paraId="42134CA2">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796FAF0D">
            <w:pPr>
              <w:jc w:val="center"/>
              <w:rPr>
                <w:rFonts w:ascii="宋体" w:hAnsi="宋体" w:eastAsia="宋体"/>
                <w:color w:val="auto"/>
                <w:szCs w:val="21"/>
                <w:highlight w:val="none"/>
              </w:rPr>
            </w:pPr>
          </w:p>
        </w:tc>
        <w:tc>
          <w:tcPr>
            <w:tcW w:w="617" w:type="pct"/>
            <w:gridSpan w:val="2"/>
            <w:vAlign w:val="center"/>
          </w:tcPr>
          <w:p w14:paraId="4C9B7B82">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03DE18C0">
            <w:pPr>
              <w:jc w:val="center"/>
              <w:rPr>
                <w:rFonts w:ascii="宋体" w:hAnsi="宋体" w:eastAsia="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0FA0FF9">
            <w:pPr>
              <w:jc w:val="center"/>
              <w:rPr>
                <w:rFonts w:ascii="宋体" w:hAnsi="宋体" w:eastAsia="宋体"/>
                <w:color w:val="auto"/>
                <w:szCs w:val="21"/>
                <w:highlight w:val="none"/>
              </w:rPr>
            </w:pPr>
          </w:p>
        </w:tc>
        <w:tc>
          <w:tcPr>
            <w:tcW w:w="480" w:type="pct"/>
            <w:vAlign w:val="center"/>
          </w:tcPr>
          <w:p w14:paraId="6443894A">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DF6C0D1">
            <w:pPr>
              <w:jc w:val="center"/>
              <w:rPr>
                <w:rFonts w:ascii="宋体" w:hAnsi="宋体" w:eastAsia="宋体"/>
                <w:color w:val="auto"/>
                <w:szCs w:val="21"/>
                <w:highlight w:val="none"/>
              </w:rPr>
            </w:pPr>
          </w:p>
        </w:tc>
        <w:tc>
          <w:tcPr>
            <w:tcW w:w="617" w:type="pct"/>
            <w:gridSpan w:val="2"/>
            <w:vAlign w:val="center"/>
          </w:tcPr>
          <w:p w14:paraId="4E4FB8BD">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636F07F2">
            <w:pPr>
              <w:jc w:val="center"/>
              <w:rPr>
                <w:rFonts w:ascii="宋体" w:hAnsi="宋体" w:eastAsia="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5012BB6D">
            <w:pPr>
              <w:jc w:val="center"/>
              <w:rPr>
                <w:rFonts w:ascii="宋体" w:hAnsi="宋体" w:eastAsia="宋体"/>
                <w:color w:val="auto"/>
                <w:szCs w:val="21"/>
                <w:highlight w:val="none"/>
              </w:rPr>
            </w:pPr>
          </w:p>
        </w:tc>
        <w:tc>
          <w:tcPr>
            <w:tcW w:w="1502" w:type="pct"/>
            <w:gridSpan w:val="5"/>
            <w:vAlign w:val="center"/>
          </w:tcPr>
          <w:p w14:paraId="79AD2E2B">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3D12534">
            <w:pPr>
              <w:jc w:val="center"/>
              <w:rPr>
                <w:rFonts w:ascii="宋体" w:hAnsi="宋体" w:eastAsia="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13D9E3A1">
            <w:pPr>
              <w:jc w:val="center"/>
              <w:rPr>
                <w:rFonts w:ascii="宋体" w:hAnsi="宋体" w:eastAsia="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917148B">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257BC801">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18B487FC">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60D19C2C">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olor w:val="auto"/>
                <w:szCs w:val="21"/>
                <w:highlight w:val="none"/>
              </w:rPr>
            </w:pPr>
          </w:p>
        </w:tc>
        <w:tc>
          <w:tcPr>
            <w:tcW w:w="962" w:type="pct"/>
            <w:gridSpan w:val="2"/>
            <w:vAlign w:val="center"/>
          </w:tcPr>
          <w:p w14:paraId="59D4CC7B">
            <w:pPr>
              <w:jc w:val="center"/>
              <w:rPr>
                <w:rFonts w:ascii="宋体" w:hAnsi="宋体" w:eastAsia="宋体"/>
                <w:color w:val="auto"/>
                <w:szCs w:val="21"/>
                <w:highlight w:val="none"/>
              </w:rPr>
            </w:pPr>
          </w:p>
        </w:tc>
        <w:tc>
          <w:tcPr>
            <w:tcW w:w="903" w:type="pct"/>
            <w:gridSpan w:val="4"/>
            <w:vAlign w:val="center"/>
          </w:tcPr>
          <w:p w14:paraId="53B57B73">
            <w:pPr>
              <w:jc w:val="center"/>
              <w:rPr>
                <w:rFonts w:ascii="宋体" w:hAnsi="宋体" w:eastAsia="宋体"/>
                <w:color w:val="auto"/>
                <w:szCs w:val="21"/>
                <w:highlight w:val="none"/>
              </w:rPr>
            </w:pPr>
          </w:p>
        </w:tc>
        <w:tc>
          <w:tcPr>
            <w:tcW w:w="892" w:type="pct"/>
            <w:gridSpan w:val="2"/>
            <w:vAlign w:val="center"/>
          </w:tcPr>
          <w:p w14:paraId="744DD2C6">
            <w:pPr>
              <w:jc w:val="center"/>
              <w:rPr>
                <w:rFonts w:ascii="宋体" w:hAnsi="宋体" w:eastAsia="宋体"/>
                <w:color w:val="auto"/>
                <w:szCs w:val="21"/>
                <w:highlight w:val="none"/>
              </w:rPr>
            </w:pPr>
          </w:p>
        </w:tc>
        <w:tc>
          <w:tcPr>
            <w:tcW w:w="1399" w:type="pct"/>
            <w:gridSpan w:val="3"/>
            <w:vAlign w:val="center"/>
          </w:tcPr>
          <w:p w14:paraId="689BFAA0">
            <w:pPr>
              <w:jc w:val="center"/>
              <w:rPr>
                <w:rFonts w:ascii="宋体" w:hAnsi="宋体" w:eastAsia="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42E198E1">
            <w:pPr>
              <w:jc w:val="center"/>
              <w:rPr>
                <w:rFonts w:ascii="宋体" w:hAnsi="宋体" w:eastAsia="宋体"/>
                <w:color w:val="auto"/>
                <w:szCs w:val="21"/>
                <w:highlight w:val="none"/>
              </w:rPr>
            </w:pPr>
          </w:p>
        </w:tc>
        <w:tc>
          <w:tcPr>
            <w:tcW w:w="962" w:type="pct"/>
            <w:gridSpan w:val="2"/>
            <w:vAlign w:val="center"/>
          </w:tcPr>
          <w:p w14:paraId="63B2D052">
            <w:pPr>
              <w:jc w:val="center"/>
              <w:rPr>
                <w:rFonts w:ascii="宋体" w:hAnsi="宋体" w:eastAsia="宋体"/>
                <w:color w:val="auto"/>
                <w:szCs w:val="21"/>
                <w:highlight w:val="none"/>
              </w:rPr>
            </w:pPr>
          </w:p>
        </w:tc>
        <w:tc>
          <w:tcPr>
            <w:tcW w:w="903" w:type="pct"/>
            <w:gridSpan w:val="4"/>
            <w:vAlign w:val="center"/>
          </w:tcPr>
          <w:p w14:paraId="5DEEB8CC">
            <w:pPr>
              <w:jc w:val="center"/>
              <w:rPr>
                <w:rFonts w:ascii="宋体" w:hAnsi="宋体" w:eastAsia="宋体"/>
                <w:color w:val="auto"/>
                <w:szCs w:val="21"/>
                <w:highlight w:val="none"/>
              </w:rPr>
            </w:pPr>
          </w:p>
        </w:tc>
        <w:tc>
          <w:tcPr>
            <w:tcW w:w="892" w:type="pct"/>
            <w:gridSpan w:val="2"/>
            <w:vAlign w:val="center"/>
          </w:tcPr>
          <w:p w14:paraId="2A34503D">
            <w:pPr>
              <w:jc w:val="center"/>
              <w:rPr>
                <w:rFonts w:ascii="宋体" w:hAnsi="宋体" w:eastAsia="宋体"/>
                <w:color w:val="auto"/>
                <w:szCs w:val="21"/>
                <w:highlight w:val="none"/>
              </w:rPr>
            </w:pPr>
          </w:p>
        </w:tc>
        <w:tc>
          <w:tcPr>
            <w:tcW w:w="1399" w:type="pct"/>
            <w:gridSpan w:val="3"/>
            <w:vAlign w:val="center"/>
          </w:tcPr>
          <w:p w14:paraId="33F6FDBE">
            <w:pPr>
              <w:jc w:val="center"/>
              <w:rPr>
                <w:rFonts w:ascii="宋体" w:hAnsi="宋体" w:eastAsia="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845" w:type="pct"/>
            <w:gridSpan w:val="2"/>
            <w:vAlign w:val="center"/>
          </w:tcPr>
          <w:p w14:paraId="0074C89B">
            <w:pPr>
              <w:jc w:val="center"/>
              <w:rPr>
                <w:rFonts w:ascii="宋体" w:hAnsi="宋体" w:eastAsia="宋体"/>
                <w:color w:val="auto"/>
                <w:szCs w:val="21"/>
                <w:highlight w:val="none"/>
              </w:rPr>
            </w:pPr>
          </w:p>
        </w:tc>
        <w:tc>
          <w:tcPr>
            <w:tcW w:w="962" w:type="pct"/>
            <w:gridSpan w:val="2"/>
            <w:vAlign w:val="center"/>
          </w:tcPr>
          <w:p w14:paraId="1B40859A">
            <w:pPr>
              <w:jc w:val="center"/>
              <w:rPr>
                <w:rFonts w:ascii="宋体" w:hAnsi="宋体" w:eastAsia="宋体"/>
                <w:color w:val="auto"/>
                <w:szCs w:val="21"/>
                <w:highlight w:val="none"/>
              </w:rPr>
            </w:pPr>
          </w:p>
        </w:tc>
        <w:tc>
          <w:tcPr>
            <w:tcW w:w="903" w:type="pct"/>
            <w:gridSpan w:val="4"/>
            <w:vAlign w:val="center"/>
          </w:tcPr>
          <w:p w14:paraId="15522DA1">
            <w:pPr>
              <w:jc w:val="center"/>
              <w:rPr>
                <w:rFonts w:ascii="宋体" w:hAnsi="宋体" w:eastAsia="宋体"/>
                <w:color w:val="auto"/>
                <w:szCs w:val="21"/>
                <w:highlight w:val="none"/>
              </w:rPr>
            </w:pPr>
          </w:p>
        </w:tc>
        <w:tc>
          <w:tcPr>
            <w:tcW w:w="892" w:type="pct"/>
            <w:gridSpan w:val="2"/>
            <w:vAlign w:val="center"/>
          </w:tcPr>
          <w:p w14:paraId="0CAD3FD0">
            <w:pPr>
              <w:jc w:val="center"/>
              <w:rPr>
                <w:rFonts w:ascii="宋体" w:hAnsi="宋体" w:eastAsia="宋体"/>
                <w:color w:val="auto"/>
                <w:szCs w:val="21"/>
                <w:highlight w:val="none"/>
              </w:rPr>
            </w:pPr>
          </w:p>
        </w:tc>
        <w:tc>
          <w:tcPr>
            <w:tcW w:w="1399" w:type="pct"/>
            <w:gridSpan w:val="3"/>
            <w:vAlign w:val="center"/>
          </w:tcPr>
          <w:p w14:paraId="6D75C0E0">
            <w:pPr>
              <w:jc w:val="center"/>
              <w:rPr>
                <w:rFonts w:ascii="宋体" w:hAnsi="宋体" w:eastAsia="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olor w:val="auto"/>
                <w:szCs w:val="21"/>
                <w:highlight w:val="none"/>
              </w:rPr>
            </w:pPr>
          </w:p>
        </w:tc>
        <w:tc>
          <w:tcPr>
            <w:tcW w:w="962" w:type="pct"/>
            <w:gridSpan w:val="2"/>
            <w:vAlign w:val="center"/>
          </w:tcPr>
          <w:p w14:paraId="6C354A75">
            <w:pPr>
              <w:jc w:val="center"/>
              <w:rPr>
                <w:rFonts w:ascii="宋体" w:hAnsi="宋体" w:eastAsia="宋体"/>
                <w:color w:val="auto"/>
                <w:szCs w:val="21"/>
                <w:highlight w:val="none"/>
              </w:rPr>
            </w:pPr>
          </w:p>
        </w:tc>
        <w:tc>
          <w:tcPr>
            <w:tcW w:w="903" w:type="pct"/>
            <w:gridSpan w:val="4"/>
            <w:vAlign w:val="center"/>
          </w:tcPr>
          <w:p w14:paraId="5376537B">
            <w:pPr>
              <w:jc w:val="center"/>
              <w:rPr>
                <w:rFonts w:ascii="宋体" w:hAnsi="宋体" w:eastAsia="宋体"/>
                <w:color w:val="auto"/>
                <w:szCs w:val="21"/>
                <w:highlight w:val="none"/>
              </w:rPr>
            </w:pPr>
          </w:p>
        </w:tc>
        <w:tc>
          <w:tcPr>
            <w:tcW w:w="892" w:type="pct"/>
            <w:gridSpan w:val="2"/>
            <w:vAlign w:val="center"/>
          </w:tcPr>
          <w:p w14:paraId="7D6D7284">
            <w:pPr>
              <w:jc w:val="center"/>
              <w:rPr>
                <w:rFonts w:ascii="宋体" w:hAnsi="宋体" w:eastAsia="宋体"/>
                <w:color w:val="auto"/>
                <w:szCs w:val="21"/>
                <w:highlight w:val="none"/>
              </w:rPr>
            </w:pPr>
          </w:p>
        </w:tc>
        <w:tc>
          <w:tcPr>
            <w:tcW w:w="1399" w:type="pct"/>
            <w:gridSpan w:val="3"/>
            <w:vAlign w:val="center"/>
          </w:tcPr>
          <w:p w14:paraId="6ACF342D">
            <w:pPr>
              <w:jc w:val="center"/>
              <w:rPr>
                <w:rFonts w:ascii="宋体" w:hAnsi="宋体" w:eastAsia="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olor w:val="auto"/>
                <w:szCs w:val="21"/>
                <w:highlight w:val="none"/>
              </w:rPr>
            </w:pPr>
          </w:p>
        </w:tc>
        <w:tc>
          <w:tcPr>
            <w:tcW w:w="962" w:type="pct"/>
            <w:gridSpan w:val="2"/>
            <w:vAlign w:val="center"/>
          </w:tcPr>
          <w:p w14:paraId="37FC9F82">
            <w:pPr>
              <w:jc w:val="center"/>
              <w:rPr>
                <w:rFonts w:ascii="宋体" w:hAnsi="宋体" w:eastAsia="宋体"/>
                <w:color w:val="auto"/>
                <w:szCs w:val="21"/>
                <w:highlight w:val="none"/>
              </w:rPr>
            </w:pPr>
          </w:p>
        </w:tc>
        <w:tc>
          <w:tcPr>
            <w:tcW w:w="903" w:type="pct"/>
            <w:gridSpan w:val="4"/>
            <w:vAlign w:val="center"/>
          </w:tcPr>
          <w:p w14:paraId="71801AC3">
            <w:pPr>
              <w:jc w:val="center"/>
              <w:rPr>
                <w:rFonts w:ascii="宋体" w:hAnsi="宋体" w:eastAsia="宋体"/>
                <w:color w:val="auto"/>
                <w:szCs w:val="21"/>
                <w:highlight w:val="none"/>
              </w:rPr>
            </w:pPr>
          </w:p>
        </w:tc>
        <w:tc>
          <w:tcPr>
            <w:tcW w:w="892" w:type="pct"/>
            <w:gridSpan w:val="2"/>
            <w:vAlign w:val="center"/>
          </w:tcPr>
          <w:p w14:paraId="5A8F9131">
            <w:pPr>
              <w:jc w:val="center"/>
              <w:rPr>
                <w:rFonts w:ascii="宋体" w:hAnsi="宋体" w:eastAsia="宋体"/>
                <w:color w:val="auto"/>
                <w:szCs w:val="21"/>
                <w:highlight w:val="none"/>
              </w:rPr>
            </w:pPr>
          </w:p>
        </w:tc>
        <w:tc>
          <w:tcPr>
            <w:tcW w:w="1399" w:type="pct"/>
            <w:gridSpan w:val="3"/>
            <w:vAlign w:val="center"/>
          </w:tcPr>
          <w:p w14:paraId="50C1E36F">
            <w:pPr>
              <w:jc w:val="center"/>
              <w:rPr>
                <w:rFonts w:ascii="宋体" w:hAnsi="宋体" w:eastAsia="宋体"/>
                <w:color w:val="auto"/>
                <w:szCs w:val="21"/>
                <w:highlight w:val="none"/>
              </w:rPr>
            </w:pPr>
          </w:p>
        </w:tc>
      </w:tr>
    </w:tbl>
    <w:p w14:paraId="1764458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CCCC1E1">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80EB6D">
      <w:pPr>
        <w:pageBreakBefore/>
        <w:rPr>
          <w:rFonts w:ascii="Calibri" w:hAnsi="Calibri" w:eastAsia="宋体" w:cs="Times New Roman"/>
          <w:color w:val="auto"/>
          <w:kern w:val="0"/>
          <w:sz w:val="20"/>
          <w:szCs w:val="20"/>
          <w:highlight w:val="none"/>
        </w:rPr>
      </w:pPr>
      <w:bookmarkStart w:id="51"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四</w:t>
      </w:r>
      <w:r>
        <w:rPr>
          <w:rFonts w:ascii="宋体" w:hAnsi="宋体" w:eastAsia="宋体"/>
          <w:b/>
          <w:bCs/>
          <w:color w:val="auto"/>
          <w:sz w:val="24"/>
          <w:szCs w:val="28"/>
          <w:highlight w:val="none"/>
        </w:rPr>
        <w:t>：</w:t>
      </w:r>
      <w:bookmarkEnd w:id="51"/>
    </w:p>
    <w:p w14:paraId="27D4AAB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642303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2E4DA03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7308D23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472A2F1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4769A6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450EEB7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A46D0CD">
            <w:pPr>
              <w:rPr>
                <w:rFonts w:ascii="宋体" w:hAnsi="宋体" w:eastAsia="宋体" w:cs="Times New Roman"/>
                <w:color w:val="auto"/>
                <w:szCs w:val="21"/>
                <w:highlight w:val="none"/>
              </w:rPr>
            </w:pPr>
          </w:p>
        </w:tc>
        <w:tc>
          <w:tcPr>
            <w:tcW w:w="1113" w:type="pct"/>
          </w:tcPr>
          <w:p w14:paraId="59C4F175">
            <w:pPr>
              <w:rPr>
                <w:rFonts w:ascii="宋体" w:hAnsi="宋体" w:eastAsia="宋体" w:cs="Times New Roman"/>
                <w:color w:val="auto"/>
                <w:szCs w:val="21"/>
                <w:highlight w:val="none"/>
              </w:rPr>
            </w:pPr>
          </w:p>
        </w:tc>
        <w:tc>
          <w:tcPr>
            <w:tcW w:w="704" w:type="pct"/>
          </w:tcPr>
          <w:p w14:paraId="736FFD0D">
            <w:pPr>
              <w:rPr>
                <w:rFonts w:ascii="宋体" w:hAnsi="宋体" w:eastAsia="宋体" w:cs="Times New Roman"/>
                <w:color w:val="auto"/>
                <w:szCs w:val="21"/>
                <w:highlight w:val="none"/>
              </w:rPr>
            </w:pPr>
          </w:p>
        </w:tc>
        <w:tc>
          <w:tcPr>
            <w:tcW w:w="627" w:type="pct"/>
          </w:tcPr>
          <w:p w14:paraId="11C97A5F">
            <w:pPr>
              <w:rPr>
                <w:rFonts w:ascii="宋体" w:hAnsi="宋体" w:eastAsia="宋体" w:cs="Times New Roman"/>
                <w:color w:val="auto"/>
                <w:szCs w:val="21"/>
                <w:highlight w:val="none"/>
              </w:rPr>
            </w:pPr>
          </w:p>
        </w:tc>
        <w:tc>
          <w:tcPr>
            <w:tcW w:w="705" w:type="pct"/>
          </w:tcPr>
          <w:p w14:paraId="2A4BDCFA">
            <w:pPr>
              <w:rPr>
                <w:rFonts w:ascii="宋体" w:hAnsi="宋体" w:eastAsia="宋体" w:cs="Times New Roman"/>
                <w:color w:val="auto"/>
                <w:szCs w:val="21"/>
                <w:highlight w:val="none"/>
              </w:rPr>
            </w:pPr>
          </w:p>
        </w:tc>
        <w:tc>
          <w:tcPr>
            <w:tcW w:w="855" w:type="pct"/>
          </w:tcPr>
          <w:p w14:paraId="3B692309">
            <w:pPr>
              <w:rPr>
                <w:rFonts w:ascii="宋体" w:hAnsi="宋体" w:eastAsia="宋体" w:cs="Times New Roman"/>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39F74D8E">
            <w:pPr>
              <w:rPr>
                <w:rFonts w:ascii="宋体" w:hAnsi="宋体" w:eastAsia="宋体" w:cs="Times New Roman"/>
                <w:color w:val="auto"/>
                <w:szCs w:val="21"/>
                <w:highlight w:val="none"/>
              </w:rPr>
            </w:pPr>
          </w:p>
        </w:tc>
        <w:tc>
          <w:tcPr>
            <w:tcW w:w="1113" w:type="pct"/>
          </w:tcPr>
          <w:p w14:paraId="5F671B79">
            <w:pPr>
              <w:rPr>
                <w:rFonts w:ascii="宋体" w:hAnsi="宋体" w:eastAsia="宋体" w:cs="Times New Roman"/>
                <w:color w:val="auto"/>
                <w:szCs w:val="21"/>
                <w:highlight w:val="none"/>
              </w:rPr>
            </w:pPr>
          </w:p>
        </w:tc>
        <w:tc>
          <w:tcPr>
            <w:tcW w:w="704" w:type="pct"/>
          </w:tcPr>
          <w:p w14:paraId="1195D776">
            <w:pPr>
              <w:rPr>
                <w:rFonts w:ascii="宋体" w:hAnsi="宋体" w:eastAsia="宋体" w:cs="Times New Roman"/>
                <w:color w:val="auto"/>
                <w:szCs w:val="21"/>
                <w:highlight w:val="none"/>
              </w:rPr>
            </w:pPr>
          </w:p>
        </w:tc>
        <w:tc>
          <w:tcPr>
            <w:tcW w:w="627" w:type="pct"/>
          </w:tcPr>
          <w:p w14:paraId="315925D5">
            <w:pPr>
              <w:rPr>
                <w:rFonts w:ascii="宋体" w:hAnsi="宋体" w:eastAsia="宋体" w:cs="Times New Roman"/>
                <w:color w:val="auto"/>
                <w:szCs w:val="21"/>
                <w:highlight w:val="none"/>
              </w:rPr>
            </w:pPr>
          </w:p>
        </w:tc>
        <w:tc>
          <w:tcPr>
            <w:tcW w:w="705" w:type="pct"/>
          </w:tcPr>
          <w:p w14:paraId="3C778FED">
            <w:pPr>
              <w:rPr>
                <w:rFonts w:ascii="宋体" w:hAnsi="宋体" w:eastAsia="宋体" w:cs="Times New Roman"/>
                <w:color w:val="auto"/>
                <w:szCs w:val="21"/>
                <w:highlight w:val="none"/>
              </w:rPr>
            </w:pPr>
          </w:p>
        </w:tc>
        <w:tc>
          <w:tcPr>
            <w:tcW w:w="855" w:type="pct"/>
          </w:tcPr>
          <w:p w14:paraId="51D94A91">
            <w:pPr>
              <w:rPr>
                <w:rFonts w:ascii="宋体" w:hAnsi="宋体" w:eastAsia="宋体" w:cs="Times New Roman"/>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1420AF0E">
            <w:pPr>
              <w:rPr>
                <w:rFonts w:ascii="宋体" w:hAnsi="宋体" w:eastAsia="宋体" w:cs="Times New Roman"/>
                <w:color w:val="auto"/>
                <w:szCs w:val="21"/>
                <w:highlight w:val="none"/>
              </w:rPr>
            </w:pPr>
          </w:p>
        </w:tc>
        <w:tc>
          <w:tcPr>
            <w:tcW w:w="1113" w:type="pct"/>
          </w:tcPr>
          <w:p w14:paraId="44E87058">
            <w:pPr>
              <w:rPr>
                <w:rFonts w:ascii="宋体" w:hAnsi="宋体" w:eastAsia="宋体" w:cs="Times New Roman"/>
                <w:color w:val="auto"/>
                <w:szCs w:val="21"/>
                <w:highlight w:val="none"/>
              </w:rPr>
            </w:pPr>
          </w:p>
        </w:tc>
        <w:tc>
          <w:tcPr>
            <w:tcW w:w="704" w:type="pct"/>
          </w:tcPr>
          <w:p w14:paraId="242ACC04">
            <w:pPr>
              <w:rPr>
                <w:rFonts w:ascii="宋体" w:hAnsi="宋体" w:eastAsia="宋体" w:cs="Times New Roman"/>
                <w:color w:val="auto"/>
                <w:szCs w:val="21"/>
                <w:highlight w:val="none"/>
              </w:rPr>
            </w:pPr>
          </w:p>
        </w:tc>
        <w:tc>
          <w:tcPr>
            <w:tcW w:w="627" w:type="pct"/>
          </w:tcPr>
          <w:p w14:paraId="46877AD0">
            <w:pPr>
              <w:rPr>
                <w:rFonts w:ascii="宋体" w:hAnsi="宋体" w:eastAsia="宋体" w:cs="Times New Roman"/>
                <w:color w:val="auto"/>
                <w:szCs w:val="21"/>
                <w:highlight w:val="none"/>
              </w:rPr>
            </w:pPr>
          </w:p>
        </w:tc>
        <w:tc>
          <w:tcPr>
            <w:tcW w:w="705" w:type="pct"/>
          </w:tcPr>
          <w:p w14:paraId="18E18C73">
            <w:pPr>
              <w:rPr>
                <w:rFonts w:ascii="宋体" w:hAnsi="宋体" w:eastAsia="宋体" w:cs="Times New Roman"/>
                <w:color w:val="auto"/>
                <w:szCs w:val="21"/>
                <w:highlight w:val="none"/>
              </w:rPr>
            </w:pPr>
          </w:p>
        </w:tc>
        <w:tc>
          <w:tcPr>
            <w:tcW w:w="855" w:type="pct"/>
          </w:tcPr>
          <w:p w14:paraId="1FD5C6D6">
            <w:pPr>
              <w:rPr>
                <w:rFonts w:ascii="宋体" w:hAnsi="宋体" w:eastAsia="宋体" w:cs="Times New Roman"/>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4C217FE8">
            <w:pPr>
              <w:rPr>
                <w:rFonts w:ascii="宋体" w:hAnsi="宋体" w:eastAsia="宋体" w:cs="Times New Roman"/>
                <w:color w:val="auto"/>
                <w:szCs w:val="21"/>
                <w:highlight w:val="none"/>
              </w:rPr>
            </w:pPr>
          </w:p>
        </w:tc>
        <w:tc>
          <w:tcPr>
            <w:tcW w:w="1113" w:type="pct"/>
          </w:tcPr>
          <w:p w14:paraId="3C34C2FE">
            <w:pPr>
              <w:rPr>
                <w:rFonts w:ascii="宋体" w:hAnsi="宋体" w:eastAsia="宋体" w:cs="Times New Roman"/>
                <w:color w:val="auto"/>
                <w:szCs w:val="21"/>
                <w:highlight w:val="none"/>
              </w:rPr>
            </w:pPr>
          </w:p>
        </w:tc>
        <w:tc>
          <w:tcPr>
            <w:tcW w:w="704" w:type="pct"/>
          </w:tcPr>
          <w:p w14:paraId="4F2970B3">
            <w:pPr>
              <w:rPr>
                <w:rFonts w:ascii="宋体" w:hAnsi="宋体" w:eastAsia="宋体" w:cs="Times New Roman"/>
                <w:color w:val="auto"/>
                <w:szCs w:val="21"/>
                <w:highlight w:val="none"/>
              </w:rPr>
            </w:pPr>
          </w:p>
        </w:tc>
        <w:tc>
          <w:tcPr>
            <w:tcW w:w="627" w:type="pct"/>
          </w:tcPr>
          <w:p w14:paraId="6F850DDD">
            <w:pPr>
              <w:rPr>
                <w:rFonts w:ascii="宋体" w:hAnsi="宋体" w:eastAsia="宋体" w:cs="Times New Roman"/>
                <w:color w:val="auto"/>
                <w:szCs w:val="21"/>
                <w:highlight w:val="none"/>
              </w:rPr>
            </w:pPr>
          </w:p>
        </w:tc>
        <w:tc>
          <w:tcPr>
            <w:tcW w:w="705" w:type="pct"/>
          </w:tcPr>
          <w:p w14:paraId="03D5687C">
            <w:pPr>
              <w:rPr>
                <w:rFonts w:ascii="宋体" w:hAnsi="宋体" w:eastAsia="宋体" w:cs="Times New Roman"/>
                <w:color w:val="auto"/>
                <w:szCs w:val="21"/>
                <w:highlight w:val="none"/>
              </w:rPr>
            </w:pPr>
          </w:p>
        </w:tc>
        <w:tc>
          <w:tcPr>
            <w:tcW w:w="855" w:type="pct"/>
          </w:tcPr>
          <w:p w14:paraId="2D160E47">
            <w:pPr>
              <w:rPr>
                <w:rFonts w:ascii="宋体" w:hAnsi="宋体" w:eastAsia="宋体" w:cs="Times New Roman"/>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7804D822">
            <w:pPr>
              <w:rPr>
                <w:rFonts w:ascii="宋体" w:hAnsi="宋体" w:eastAsia="宋体" w:cs="Times New Roman"/>
                <w:color w:val="auto"/>
                <w:szCs w:val="21"/>
                <w:highlight w:val="none"/>
              </w:rPr>
            </w:pPr>
          </w:p>
        </w:tc>
        <w:tc>
          <w:tcPr>
            <w:tcW w:w="1113" w:type="pct"/>
          </w:tcPr>
          <w:p w14:paraId="6CE47906">
            <w:pPr>
              <w:rPr>
                <w:rFonts w:ascii="宋体" w:hAnsi="宋体" w:eastAsia="宋体" w:cs="Times New Roman"/>
                <w:color w:val="auto"/>
                <w:szCs w:val="21"/>
                <w:highlight w:val="none"/>
              </w:rPr>
            </w:pPr>
          </w:p>
        </w:tc>
        <w:tc>
          <w:tcPr>
            <w:tcW w:w="704" w:type="pct"/>
          </w:tcPr>
          <w:p w14:paraId="1403D1F2">
            <w:pPr>
              <w:rPr>
                <w:rFonts w:ascii="宋体" w:hAnsi="宋体" w:eastAsia="宋体" w:cs="Times New Roman"/>
                <w:color w:val="auto"/>
                <w:szCs w:val="21"/>
                <w:highlight w:val="none"/>
              </w:rPr>
            </w:pPr>
          </w:p>
        </w:tc>
        <w:tc>
          <w:tcPr>
            <w:tcW w:w="627" w:type="pct"/>
          </w:tcPr>
          <w:p w14:paraId="4BA1DEFE">
            <w:pPr>
              <w:rPr>
                <w:rFonts w:ascii="宋体" w:hAnsi="宋体" w:eastAsia="宋体" w:cs="Times New Roman"/>
                <w:color w:val="auto"/>
                <w:szCs w:val="21"/>
                <w:highlight w:val="none"/>
              </w:rPr>
            </w:pPr>
          </w:p>
        </w:tc>
        <w:tc>
          <w:tcPr>
            <w:tcW w:w="705" w:type="pct"/>
          </w:tcPr>
          <w:p w14:paraId="7199E0A4">
            <w:pPr>
              <w:rPr>
                <w:rFonts w:ascii="宋体" w:hAnsi="宋体" w:eastAsia="宋体" w:cs="Times New Roman"/>
                <w:color w:val="auto"/>
                <w:szCs w:val="21"/>
                <w:highlight w:val="none"/>
              </w:rPr>
            </w:pPr>
          </w:p>
        </w:tc>
        <w:tc>
          <w:tcPr>
            <w:tcW w:w="855" w:type="pct"/>
          </w:tcPr>
          <w:p w14:paraId="374BE878">
            <w:pPr>
              <w:rPr>
                <w:rFonts w:ascii="宋体" w:hAnsi="宋体" w:eastAsia="宋体" w:cs="Times New Roman"/>
                <w:color w:val="auto"/>
                <w:szCs w:val="21"/>
                <w:highlight w:val="none"/>
              </w:rPr>
            </w:pPr>
          </w:p>
        </w:tc>
      </w:tr>
    </w:tbl>
    <w:p w14:paraId="122127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highlight w:val="none"/>
          <w:lang w:eastAsia="zh-Hans"/>
        </w:rPr>
      </w:pPr>
    </w:p>
    <w:p w14:paraId="7E992DC3">
      <w:pPr>
        <w:widowControl/>
        <w:jc w:val="left"/>
        <w:rPr>
          <w:rFonts w:ascii="Calibri" w:hAnsi="Calibri" w:eastAsia="宋体" w:cs="Times New Roman"/>
          <w:color w:val="auto"/>
          <w:kern w:val="0"/>
          <w:sz w:val="20"/>
          <w:szCs w:val="20"/>
          <w:highlight w:val="none"/>
        </w:rPr>
      </w:pPr>
    </w:p>
    <w:p w14:paraId="5B3403C4">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0530F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928401">
      <w:pPr>
        <w:pageBreakBefore/>
        <w:rPr>
          <w:rFonts w:ascii="Calibri" w:hAnsi="Calibri" w:eastAsia="宋体" w:cs="Times New Roman"/>
          <w:color w:val="auto"/>
          <w:kern w:val="0"/>
          <w:sz w:val="20"/>
          <w:szCs w:val="20"/>
          <w:highlight w:val="none"/>
          <w:lang w:eastAsia="zh-Hans"/>
        </w:rPr>
      </w:pPr>
      <w:bookmarkStart w:id="52"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五</w:t>
      </w:r>
      <w:r>
        <w:rPr>
          <w:rFonts w:ascii="宋体" w:hAnsi="宋体" w:eastAsia="宋体"/>
          <w:b/>
          <w:bCs/>
          <w:color w:val="auto"/>
          <w:sz w:val="24"/>
          <w:szCs w:val="28"/>
          <w:highlight w:val="none"/>
        </w:rPr>
        <w:t>：</w:t>
      </w:r>
      <w:bookmarkEnd w:id="52"/>
    </w:p>
    <w:p w14:paraId="77DEE211">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2B30E9C">
            <w:pPr>
              <w:jc w:val="center"/>
              <w:rPr>
                <w:rFonts w:ascii="Calibri" w:hAnsi="Calibri" w:eastAsia="宋体" w:cs="Times New Roman"/>
                <w:color w:val="auto"/>
                <w:szCs w:val="24"/>
                <w:highlight w:val="none"/>
              </w:rPr>
            </w:pPr>
          </w:p>
        </w:tc>
        <w:tc>
          <w:tcPr>
            <w:tcW w:w="842" w:type="pct"/>
          </w:tcPr>
          <w:p w14:paraId="1A444041">
            <w:pPr>
              <w:jc w:val="center"/>
              <w:rPr>
                <w:rFonts w:ascii="Calibri" w:hAnsi="Calibri" w:eastAsia="宋体" w:cs="Times New Roman"/>
                <w:color w:val="auto"/>
                <w:szCs w:val="24"/>
                <w:highlight w:val="none"/>
              </w:rPr>
            </w:pPr>
          </w:p>
        </w:tc>
        <w:tc>
          <w:tcPr>
            <w:tcW w:w="673" w:type="pct"/>
          </w:tcPr>
          <w:p w14:paraId="4761BF53">
            <w:pPr>
              <w:jc w:val="center"/>
              <w:rPr>
                <w:rFonts w:ascii="Calibri" w:hAnsi="Calibri" w:eastAsia="宋体" w:cs="Times New Roman"/>
                <w:color w:val="auto"/>
                <w:szCs w:val="24"/>
                <w:highlight w:val="none"/>
              </w:rPr>
            </w:pPr>
          </w:p>
        </w:tc>
        <w:tc>
          <w:tcPr>
            <w:tcW w:w="673" w:type="pct"/>
          </w:tcPr>
          <w:p w14:paraId="0BF5B875">
            <w:pPr>
              <w:jc w:val="center"/>
              <w:rPr>
                <w:rFonts w:ascii="Calibri" w:hAnsi="Calibri" w:eastAsia="宋体" w:cs="Times New Roman"/>
                <w:color w:val="auto"/>
                <w:szCs w:val="24"/>
                <w:highlight w:val="none"/>
              </w:rPr>
            </w:pPr>
          </w:p>
        </w:tc>
        <w:tc>
          <w:tcPr>
            <w:tcW w:w="757" w:type="pct"/>
          </w:tcPr>
          <w:p w14:paraId="6CB22A28">
            <w:pPr>
              <w:jc w:val="center"/>
              <w:rPr>
                <w:rFonts w:ascii="Calibri" w:hAnsi="Calibri" w:eastAsia="宋体" w:cs="Times New Roman"/>
                <w:color w:val="auto"/>
                <w:szCs w:val="24"/>
                <w:highlight w:val="none"/>
              </w:rPr>
            </w:pPr>
          </w:p>
        </w:tc>
        <w:tc>
          <w:tcPr>
            <w:tcW w:w="674" w:type="pct"/>
          </w:tcPr>
          <w:p w14:paraId="0A082F94">
            <w:pPr>
              <w:jc w:val="center"/>
              <w:rPr>
                <w:rFonts w:ascii="Calibri" w:hAnsi="Calibri" w:eastAsia="宋体" w:cs="Times New Roman"/>
                <w:color w:val="auto"/>
                <w:szCs w:val="24"/>
                <w:highlight w:val="none"/>
              </w:rPr>
            </w:pPr>
          </w:p>
        </w:tc>
        <w:tc>
          <w:tcPr>
            <w:tcW w:w="455" w:type="pct"/>
          </w:tcPr>
          <w:p w14:paraId="7715FBBB">
            <w:pPr>
              <w:jc w:val="center"/>
              <w:rPr>
                <w:rFonts w:ascii="Calibri" w:hAnsi="Calibri" w:eastAsia="宋体" w:cs="Times New Roman"/>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18A69C00">
            <w:pPr>
              <w:jc w:val="center"/>
              <w:rPr>
                <w:rFonts w:ascii="Calibri" w:hAnsi="Calibri" w:eastAsia="宋体" w:cs="Times New Roman"/>
                <w:color w:val="auto"/>
                <w:szCs w:val="24"/>
                <w:highlight w:val="none"/>
              </w:rPr>
            </w:pPr>
          </w:p>
        </w:tc>
        <w:tc>
          <w:tcPr>
            <w:tcW w:w="842" w:type="pct"/>
          </w:tcPr>
          <w:p w14:paraId="4ABB5D74">
            <w:pPr>
              <w:jc w:val="center"/>
              <w:rPr>
                <w:rFonts w:ascii="Calibri" w:hAnsi="Calibri" w:eastAsia="宋体" w:cs="Times New Roman"/>
                <w:color w:val="auto"/>
                <w:szCs w:val="24"/>
                <w:highlight w:val="none"/>
              </w:rPr>
            </w:pPr>
          </w:p>
        </w:tc>
        <w:tc>
          <w:tcPr>
            <w:tcW w:w="673" w:type="pct"/>
          </w:tcPr>
          <w:p w14:paraId="10FD007D">
            <w:pPr>
              <w:jc w:val="center"/>
              <w:rPr>
                <w:rFonts w:ascii="Calibri" w:hAnsi="Calibri" w:eastAsia="宋体" w:cs="Times New Roman"/>
                <w:color w:val="auto"/>
                <w:szCs w:val="24"/>
                <w:highlight w:val="none"/>
              </w:rPr>
            </w:pPr>
          </w:p>
        </w:tc>
        <w:tc>
          <w:tcPr>
            <w:tcW w:w="673" w:type="pct"/>
          </w:tcPr>
          <w:p w14:paraId="55086A9D">
            <w:pPr>
              <w:jc w:val="center"/>
              <w:rPr>
                <w:rFonts w:ascii="Calibri" w:hAnsi="Calibri" w:eastAsia="宋体" w:cs="Times New Roman"/>
                <w:color w:val="auto"/>
                <w:szCs w:val="24"/>
                <w:highlight w:val="none"/>
              </w:rPr>
            </w:pPr>
          </w:p>
        </w:tc>
        <w:tc>
          <w:tcPr>
            <w:tcW w:w="757" w:type="pct"/>
          </w:tcPr>
          <w:p w14:paraId="3EEEF382">
            <w:pPr>
              <w:jc w:val="center"/>
              <w:rPr>
                <w:rFonts w:ascii="Calibri" w:hAnsi="Calibri" w:eastAsia="宋体" w:cs="Times New Roman"/>
                <w:color w:val="auto"/>
                <w:szCs w:val="24"/>
                <w:highlight w:val="none"/>
              </w:rPr>
            </w:pPr>
          </w:p>
        </w:tc>
        <w:tc>
          <w:tcPr>
            <w:tcW w:w="674" w:type="pct"/>
          </w:tcPr>
          <w:p w14:paraId="7000A055">
            <w:pPr>
              <w:jc w:val="center"/>
              <w:rPr>
                <w:rFonts w:ascii="Calibri" w:hAnsi="Calibri" w:eastAsia="宋体" w:cs="Times New Roman"/>
                <w:color w:val="auto"/>
                <w:szCs w:val="24"/>
                <w:highlight w:val="none"/>
              </w:rPr>
            </w:pPr>
          </w:p>
        </w:tc>
        <w:tc>
          <w:tcPr>
            <w:tcW w:w="455" w:type="pct"/>
          </w:tcPr>
          <w:p w14:paraId="6313E279">
            <w:pPr>
              <w:jc w:val="center"/>
              <w:rPr>
                <w:rFonts w:ascii="Calibri" w:hAnsi="Calibri" w:eastAsia="宋体" w:cs="Times New Roman"/>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728229E">
            <w:pPr>
              <w:jc w:val="center"/>
              <w:rPr>
                <w:rFonts w:ascii="Calibri" w:hAnsi="Calibri" w:eastAsia="宋体" w:cs="Times New Roman"/>
                <w:color w:val="auto"/>
                <w:szCs w:val="24"/>
                <w:highlight w:val="none"/>
              </w:rPr>
            </w:pPr>
          </w:p>
        </w:tc>
        <w:tc>
          <w:tcPr>
            <w:tcW w:w="842" w:type="pct"/>
          </w:tcPr>
          <w:p w14:paraId="29C4B615">
            <w:pPr>
              <w:jc w:val="center"/>
              <w:rPr>
                <w:rFonts w:ascii="Calibri" w:hAnsi="Calibri" w:eastAsia="宋体" w:cs="Times New Roman"/>
                <w:color w:val="auto"/>
                <w:szCs w:val="24"/>
                <w:highlight w:val="none"/>
              </w:rPr>
            </w:pPr>
          </w:p>
        </w:tc>
        <w:tc>
          <w:tcPr>
            <w:tcW w:w="673" w:type="pct"/>
          </w:tcPr>
          <w:p w14:paraId="7A89FD52">
            <w:pPr>
              <w:jc w:val="center"/>
              <w:rPr>
                <w:rFonts w:ascii="Calibri" w:hAnsi="Calibri" w:eastAsia="宋体" w:cs="Times New Roman"/>
                <w:color w:val="auto"/>
                <w:szCs w:val="24"/>
                <w:highlight w:val="none"/>
              </w:rPr>
            </w:pPr>
          </w:p>
        </w:tc>
        <w:tc>
          <w:tcPr>
            <w:tcW w:w="673" w:type="pct"/>
          </w:tcPr>
          <w:p w14:paraId="1AC82DC0">
            <w:pPr>
              <w:jc w:val="center"/>
              <w:rPr>
                <w:rFonts w:ascii="Calibri" w:hAnsi="Calibri" w:eastAsia="宋体" w:cs="Times New Roman"/>
                <w:color w:val="auto"/>
                <w:szCs w:val="24"/>
                <w:highlight w:val="none"/>
              </w:rPr>
            </w:pPr>
          </w:p>
        </w:tc>
        <w:tc>
          <w:tcPr>
            <w:tcW w:w="757" w:type="pct"/>
          </w:tcPr>
          <w:p w14:paraId="0C8FD514">
            <w:pPr>
              <w:jc w:val="center"/>
              <w:rPr>
                <w:rFonts w:ascii="Calibri" w:hAnsi="Calibri" w:eastAsia="宋体" w:cs="Times New Roman"/>
                <w:color w:val="auto"/>
                <w:szCs w:val="24"/>
                <w:highlight w:val="none"/>
              </w:rPr>
            </w:pPr>
          </w:p>
        </w:tc>
        <w:tc>
          <w:tcPr>
            <w:tcW w:w="674" w:type="pct"/>
          </w:tcPr>
          <w:p w14:paraId="04EE07D5">
            <w:pPr>
              <w:jc w:val="center"/>
              <w:rPr>
                <w:rFonts w:ascii="Calibri" w:hAnsi="Calibri" w:eastAsia="宋体" w:cs="Times New Roman"/>
                <w:color w:val="auto"/>
                <w:szCs w:val="24"/>
                <w:highlight w:val="none"/>
              </w:rPr>
            </w:pPr>
          </w:p>
        </w:tc>
        <w:tc>
          <w:tcPr>
            <w:tcW w:w="455" w:type="pct"/>
          </w:tcPr>
          <w:p w14:paraId="3AAF2642">
            <w:pPr>
              <w:jc w:val="center"/>
              <w:rPr>
                <w:rFonts w:ascii="Calibri" w:hAnsi="Calibri" w:eastAsia="宋体" w:cs="Times New Roman"/>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75E715A6">
            <w:pPr>
              <w:jc w:val="center"/>
              <w:rPr>
                <w:rFonts w:ascii="Calibri" w:hAnsi="Calibri" w:eastAsia="宋体" w:cs="Times New Roman"/>
                <w:color w:val="auto"/>
                <w:szCs w:val="24"/>
                <w:highlight w:val="none"/>
              </w:rPr>
            </w:pPr>
          </w:p>
        </w:tc>
        <w:tc>
          <w:tcPr>
            <w:tcW w:w="842" w:type="pct"/>
          </w:tcPr>
          <w:p w14:paraId="3D366722">
            <w:pPr>
              <w:jc w:val="center"/>
              <w:rPr>
                <w:rFonts w:ascii="Calibri" w:hAnsi="Calibri" w:eastAsia="宋体" w:cs="Times New Roman"/>
                <w:color w:val="auto"/>
                <w:szCs w:val="24"/>
                <w:highlight w:val="none"/>
              </w:rPr>
            </w:pPr>
          </w:p>
        </w:tc>
        <w:tc>
          <w:tcPr>
            <w:tcW w:w="673" w:type="pct"/>
          </w:tcPr>
          <w:p w14:paraId="6B1F577E">
            <w:pPr>
              <w:jc w:val="center"/>
              <w:rPr>
                <w:rFonts w:ascii="Calibri" w:hAnsi="Calibri" w:eastAsia="宋体" w:cs="Times New Roman"/>
                <w:color w:val="auto"/>
                <w:szCs w:val="24"/>
                <w:highlight w:val="none"/>
              </w:rPr>
            </w:pPr>
          </w:p>
        </w:tc>
        <w:tc>
          <w:tcPr>
            <w:tcW w:w="673" w:type="pct"/>
          </w:tcPr>
          <w:p w14:paraId="2C6C7C4E">
            <w:pPr>
              <w:jc w:val="center"/>
              <w:rPr>
                <w:rFonts w:ascii="Calibri" w:hAnsi="Calibri" w:eastAsia="宋体" w:cs="Times New Roman"/>
                <w:color w:val="auto"/>
                <w:szCs w:val="24"/>
                <w:highlight w:val="none"/>
              </w:rPr>
            </w:pPr>
          </w:p>
        </w:tc>
        <w:tc>
          <w:tcPr>
            <w:tcW w:w="757" w:type="pct"/>
          </w:tcPr>
          <w:p w14:paraId="58E975CE">
            <w:pPr>
              <w:jc w:val="center"/>
              <w:rPr>
                <w:rFonts w:ascii="Calibri" w:hAnsi="Calibri" w:eastAsia="宋体" w:cs="Times New Roman"/>
                <w:color w:val="auto"/>
                <w:szCs w:val="24"/>
                <w:highlight w:val="none"/>
              </w:rPr>
            </w:pPr>
          </w:p>
        </w:tc>
        <w:tc>
          <w:tcPr>
            <w:tcW w:w="674" w:type="pct"/>
          </w:tcPr>
          <w:p w14:paraId="0F5945E4">
            <w:pPr>
              <w:jc w:val="center"/>
              <w:rPr>
                <w:rFonts w:ascii="Calibri" w:hAnsi="Calibri" w:eastAsia="宋体" w:cs="Times New Roman"/>
                <w:color w:val="auto"/>
                <w:szCs w:val="24"/>
                <w:highlight w:val="none"/>
              </w:rPr>
            </w:pPr>
          </w:p>
        </w:tc>
        <w:tc>
          <w:tcPr>
            <w:tcW w:w="455" w:type="pct"/>
          </w:tcPr>
          <w:p w14:paraId="6EDAFE70">
            <w:pPr>
              <w:jc w:val="center"/>
              <w:rPr>
                <w:rFonts w:ascii="Calibri" w:hAnsi="Calibri" w:eastAsia="宋体" w:cs="Times New Roman"/>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303FFEA">
            <w:pPr>
              <w:jc w:val="center"/>
              <w:rPr>
                <w:rFonts w:ascii="Calibri" w:hAnsi="Calibri" w:eastAsia="宋体" w:cs="Times New Roman"/>
                <w:color w:val="auto"/>
                <w:szCs w:val="24"/>
                <w:highlight w:val="none"/>
              </w:rPr>
            </w:pPr>
          </w:p>
        </w:tc>
        <w:tc>
          <w:tcPr>
            <w:tcW w:w="842" w:type="pct"/>
          </w:tcPr>
          <w:p w14:paraId="5B7D9351">
            <w:pPr>
              <w:jc w:val="center"/>
              <w:rPr>
                <w:rFonts w:ascii="Calibri" w:hAnsi="Calibri" w:eastAsia="宋体" w:cs="Times New Roman"/>
                <w:color w:val="auto"/>
                <w:szCs w:val="24"/>
                <w:highlight w:val="none"/>
              </w:rPr>
            </w:pPr>
          </w:p>
        </w:tc>
        <w:tc>
          <w:tcPr>
            <w:tcW w:w="673" w:type="pct"/>
          </w:tcPr>
          <w:p w14:paraId="7B89660F">
            <w:pPr>
              <w:jc w:val="center"/>
              <w:rPr>
                <w:rFonts w:ascii="Calibri" w:hAnsi="Calibri" w:eastAsia="宋体" w:cs="Times New Roman"/>
                <w:color w:val="auto"/>
                <w:szCs w:val="24"/>
                <w:highlight w:val="none"/>
              </w:rPr>
            </w:pPr>
          </w:p>
        </w:tc>
        <w:tc>
          <w:tcPr>
            <w:tcW w:w="673" w:type="pct"/>
          </w:tcPr>
          <w:p w14:paraId="611D5345">
            <w:pPr>
              <w:jc w:val="center"/>
              <w:rPr>
                <w:rFonts w:ascii="Calibri" w:hAnsi="Calibri" w:eastAsia="宋体" w:cs="Times New Roman"/>
                <w:color w:val="auto"/>
                <w:szCs w:val="24"/>
                <w:highlight w:val="none"/>
              </w:rPr>
            </w:pPr>
          </w:p>
        </w:tc>
        <w:tc>
          <w:tcPr>
            <w:tcW w:w="757" w:type="pct"/>
          </w:tcPr>
          <w:p w14:paraId="3D1067CA">
            <w:pPr>
              <w:jc w:val="center"/>
              <w:rPr>
                <w:rFonts w:ascii="Calibri" w:hAnsi="Calibri" w:eastAsia="宋体" w:cs="Times New Roman"/>
                <w:color w:val="auto"/>
                <w:szCs w:val="24"/>
                <w:highlight w:val="none"/>
              </w:rPr>
            </w:pPr>
          </w:p>
        </w:tc>
        <w:tc>
          <w:tcPr>
            <w:tcW w:w="674" w:type="pct"/>
          </w:tcPr>
          <w:p w14:paraId="396A9589">
            <w:pPr>
              <w:jc w:val="center"/>
              <w:rPr>
                <w:rFonts w:ascii="Calibri" w:hAnsi="Calibri" w:eastAsia="宋体" w:cs="Times New Roman"/>
                <w:color w:val="auto"/>
                <w:szCs w:val="24"/>
                <w:highlight w:val="none"/>
              </w:rPr>
            </w:pPr>
          </w:p>
        </w:tc>
        <w:tc>
          <w:tcPr>
            <w:tcW w:w="455" w:type="pct"/>
          </w:tcPr>
          <w:p w14:paraId="48F78ADA">
            <w:pPr>
              <w:jc w:val="center"/>
              <w:rPr>
                <w:rFonts w:ascii="Calibri" w:hAnsi="Calibri" w:eastAsia="宋体" w:cs="Times New Roman"/>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8F3EA5">
            <w:pPr>
              <w:jc w:val="center"/>
              <w:rPr>
                <w:rFonts w:ascii="Calibri" w:hAnsi="Calibri" w:eastAsia="宋体" w:cs="Times New Roman"/>
                <w:color w:val="auto"/>
                <w:szCs w:val="24"/>
                <w:highlight w:val="none"/>
              </w:rPr>
            </w:pPr>
          </w:p>
        </w:tc>
        <w:tc>
          <w:tcPr>
            <w:tcW w:w="842" w:type="pct"/>
          </w:tcPr>
          <w:p w14:paraId="2C632F24">
            <w:pPr>
              <w:jc w:val="center"/>
              <w:rPr>
                <w:rFonts w:ascii="Calibri" w:hAnsi="Calibri" w:eastAsia="宋体" w:cs="Times New Roman"/>
                <w:color w:val="auto"/>
                <w:szCs w:val="24"/>
                <w:highlight w:val="none"/>
              </w:rPr>
            </w:pPr>
          </w:p>
        </w:tc>
        <w:tc>
          <w:tcPr>
            <w:tcW w:w="673" w:type="pct"/>
          </w:tcPr>
          <w:p w14:paraId="74143178">
            <w:pPr>
              <w:jc w:val="center"/>
              <w:rPr>
                <w:rFonts w:ascii="Calibri" w:hAnsi="Calibri" w:eastAsia="宋体" w:cs="Times New Roman"/>
                <w:color w:val="auto"/>
                <w:szCs w:val="24"/>
                <w:highlight w:val="none"/>
              </w:rPr>
            </w:pPr>
          </w:p>
        </w:tc>
        <w:tc>
          <w:tcPr>
            <w:tcW w:w="673" w:type="pct"/>
          </w:tcPr>
          <w:p w14:paraId="45BACE0B">
            <w:pPr>
              <w:jc w:val="center"/>
              <w:rPr>
                <w:rFonts w:ascii="Calibri" w:hAnsi="Calibri" w:eastAsia="宋体" w:cs="Times New Roman"/>
                <w:color w:val="auto"/>
                <w:szCs w:val="24"/>
                <w:highlight w:val="none"/>
              </w:rPr>
            </w:pPr>
          </w:p>
        </w:tc>
        <w:tc>
          <w:tcPr>
            <w:tcW w:w="757" w:type="pct"/>
          </w:tcPr>
          <w:p w14:paraId="2A7F42CE">
            <w:pPr>
              <w:jc w:val="center"/>
              <w:rPr>
                <w:rFonts w:ascii="Calibri" w:hAnsi="Calibri" w:eastAsia="宋体" w:cs="Times New Roman"/>
                <w:color w:val="auto"/>
                <w:szCs w:val="24"/>
                <w:highlight w:val="none"/>
              </w:rPr>
            </w:pPr>
          </w:p>
        </w:tc>
        <w:tc>
          <w:tcPr>
            <w:tcW w:w="674" w:type="pct"/>
          </w:tcPr>
          <w:p w14:paraId="6F32A543">
            <w:pPr>
              <w:jc w:val="center"/>
              <w:rPr>
                <w:rFonts w:ascii="Calibri" w:hAnsi="Calibri" w:eastAsia="宋体" w:cs="Times New Roman"/>
                <w:color w:val="auto"/>
                <w:szCs w:val="24"/>
                <w:highlight w:val="none"/>
              </w:rPr>
            </w:pPr>
          </w:p>
        </w:tc>
        <w:tc>
          <w:tcPr>
            <w:tcW w:w="455" w:type="pct"/>
          </w:tcPr>
          <w:p w14:paraId="04FADFAC">
            <w:pPr>
              <w:jc w:val="center"/>
              <w:rPr>
                <w:rFonts w:ascii="Calibri" w:hAnsi="Calibri" w:eastAsia="宋体" w:cs="Times New Roman"/>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CE3F31D">
            <w:pPr>
              <w:jc w:val="center"/>
              <w:rPr>
                <w:rFonts w:ascii="Calibri" w:hAnsi="Calibri" w:eastAsia="宋体" w:cs="Times New Roman"/>
                <w:color w:val="auto"/>
                <w:szCs w:val="24"/>
                <w:highlight w:val="none"/>
              </w:rPr>
            </w:pPr>
          </w:p>
        </w:tc>
        <w:tc>
          <w:tcPr>
            <w:tcW w:w="842" w:type="pct"/>
          </w:tcPr>
          <w:p w14:paraId="5FF286DC">
            <w:pPr>
              <w:jc w:val="center"/>
              <w:rPr>
                <w:rFonts w:ascii="Calibri" w:hAnsi="Calibri" w:eastAsia="宋体" w:cs="Times New Roman"/>
                <w:color w:val="auto"/>
                <w:szCs w:val="24"/>
                <w:highlight w:val="none"/>
              </w:rPr>
            </w:pPr>
          </w:p>
        </w:tc>
        <w:tc>
          <w:tcPr>
            <w:tcW w:w="673" w:type="pct"/>
          </w:tcPr>
          <w:p w14:paraId="762C9244">
            <w:pPr>
              <w:jc w:val="center"/>
              <w:rPr>
                <w:rFonts w:ascii="Calibri" w:hAnsi="Calibri" w:eastAsia="宋体" w:cs="Times New Roman"/>
                <w:color w:val="auto"/>
                <w:szCs w:val="24"/>
                <w:highlight w:val="none"/>
              </w:rPr>
            </w:pPr>
          </w:p>
        </w:tc>
        <w:tc>
          <w:tcPr>
            <w:tcW w:w="673" w:type="pct"/>
          </w:tcPr>
          <w:p w14:paraId="26F42D92">
            <w:pPr>
              <w:jc w:val="center"/>
              <w:rPr>
                <w:rFonts w:ascii="Calibri" w:hAnsi="Calibri" w:eastAsia="宋体" w:cs="Times New Roman"/>
                <w:color w:val="auto"/>
                <w:szCs w:val="24"/>
                <w:highlight w:val="none"/>
              </w:rPr>
            </w:pPr>
          </w:p>
        </w:tc>
        <w:tc>
          <w:tcPr>
            <w:tcW w:w="757" w:type="pct"/>
          </w:tcPr>
          <w:p w14:paraId="0084FF0D">
            <w:pPr>
              <w:jc w:val="center"/>
              <w:rPr>
                <w:rFonts w:ascii="Calibri" w:hAnsi="Calibri" w:eastAsia="宋体" w:cs="Times New Roman"/>
                <w:color w:val="auto"/>
                <w:szCs w:val="24"/>
                <w:highlight w:val="none"/>
              </w:rPr>
            </w:pPr>
          </w:p>
        </w:tc>
        <w:tc>
          <w:tcPr>
            <w:tcW w:w="674" w:type="pct"/>
          </w:tcPr>
          <w:p w14:paraId="0939545E">
            <w:pPr>
              <w:jc w:val="center"/>
              <w:rPr>
                <w:rFonts w:ascii="Calibri" w:hAnsi="Calibri" w:eastAsia="宋体" w:cs="Times New Roman"/>
                <w:color w:val="auto"/>
                <w:szCs w:val="24"/>
                <w:highlight w:val="none"/>
              </w:rPr>
            </w:pPr>
          </w:p>
        </w:tc>
        <w:tc>
          <w:tcPr>
            <w:tcW w:w="455" w:type="pct"/>
          </w:tcPr>
          <w:p w14:paraId="776647EE">
            <w:pPr>
              <w:jc w:val="center"/>
              <w:rPr>
                <w:rFonts w:ascii="Calibri" w:hAnsi="Calibri" w:eastAsia="宋体" w:cs="Times New Roman"/>
                <w:color w:val="auto"/>
                <w:szCs w:val="24"/>
                <w:highlight w:val="none"/>
              </w:rPr>
            </w:pPr>
          </w:p>
        </w:tc>
      </w:tr>
    </w:tbl>
    <w:p w14:paraId="6BA86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BB1D7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AA621E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8"/>
          <w:rFonts w:ascii="宋体" w:hAnsi="宋体" w:eastAsia="宋体" w:cs="Arial"/>
          <w:i w:val="0"/>
          <w:iCs w:val="0"/>
          <w:color w:val="auto"/>
          <w:szCs w:val="21"/>
          <w:highlight w:val="none"/>
          <w:shd w:val="clear" w:color="auto" w:fill="FFFFFF"/>
        </w:rPr>
        <w:t>/</w:t>
      </w:r>
      <w:r>
        <w:rPr>
          <w:rStyle w:val="18"/>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8"/>
          <w:rFonts w:ascii="宋体" w:hAnsi="宋体" w:eastAsia="宋体" w:cs="Arial"/>
          <w:i w:val="0"/>
          <w:iCs w:val="0"/>
          <w:color w:val="auto"/>
          <w:szCs w:val="21"/>
          <w:highlight w:val="none"/>
          <w:shd w:val="clear" w:color="auto" w:fill="FFFFFF"/>
        </w:rPr>
        <w:t>。</w:t>
      </w:r>
    </w:p>
    <w:p w14:paraId="278EC07C">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3" w:name="_Hlk169717981"/>
      <w:r>
        <w:rPr>
          <w:rFonts w:ascii="宋体" w:hAnsi="宋体" w:eastAsia="宋体" w:cs="Times New Roman"/>
          <w:color w:val="auto"/>
          <w:kern w:val="0"/>
          <w:szCs w:val="21"/>
          <w:highlight w:val="none"/>
          <w:lang w:eastAsia="zh-Hans"/>
        </w:rPr>
        <w:t>“备注”</w:t>
      </w:r>
      <w:bookmarkEnd w:id="53"/>
      <w:r>
        <w:rPr>
          <w:rFonts w:ascii="宋体" w:hAnsi="宋体" w:eastAsia="宋体" w:cs="Times New Roman"/>
          <w:color w:val="auto"/>
          <w:kern w:val="0"/>
          <w:szCs w:val="21"/>
          <w:highlight w:val="none"/>
          <w:lang w:eastAsia="zh-Hans"/>
        </w:rPr>
        <w:t>处可填写偏离情况的说明。</w:t>
      </w:r>
    </w:p>
    <w:p w14:paraId="4BA0B68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FC5EE8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5CED2F">
      <w:pPr>
        <w:pageBreakBefore/>
        <w:rPr>
          <w:rFonts w:ascii="Calibri" w:hAnsi="Calibri" w:eastAsia="宋体" w:cs="Times New Roman"/>
          <w:color w:val="auto"/>
          <w:kern w:val="0"/>
          <w:sz w:val="20"/>
          <w:szCs w:val="20"/>
          <w:highlight w:val="none"/>
          <w:lang w:eastAsia="zh-Hans"/>
        </w:rPr>
      </w:pPr>
      <w:bookmarkStart w:id="54"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54"/>
    </w:p>
    <w:p w14:paraId="4304281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6EE34BC8">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0DF371D">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E5205F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1BBB919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5CC7AC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8E53D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4F4A561">
            <w:pPr>
              <w:rPr>
                <w:rFonts w:ascii="宋体" w:hAnsi="宋体" w:eastAsia="宋体" w:cs="Times New Roman"/>
                <w:color w:val="auto"/>
                <w:szCs w:val="21"/>
                <w:highlight w:val="none"/>
              </w:rPr>
            </w:pPr>
          </w:p>
        </w:tc>
        <w:tc>
          <w:tcPr>
            <w:tcW w:w="850" w:type="pct"/>
          </w:tcPr>
          <w:p w14:paraId="587938BA">
            <w:pPr>
              <w:rPr>
                <w:rFonts w:ascii="宋体" w:hAnsi="宋体" w:eastAsia="宋体" w:cs="Times New Roman"/>
                <w:color w:val="auto"/>
                <w:szCs w:val="21"/>
                <w:highlight w:val="none"/>
              </w:rPr>
            </w:pPr>
          </w:p>
        </w:tc>
        <w:tc>
          <w:tcPr>
            <w:tcW w:w="896" w:type="pct"/>
          </w:tcPr>
          <w:p w14:paraId="3D822424">
            <w:pPr>
              <w:rPr>
                <w:rFonts w:ascii="宋体" w:hAnsi="宋体" w:eastAsia="宋体" w:cs="Times New Roman"/>
                <w:color w:val="auto"/>
                <w:szCs w:val="21"/>
                <w:highlight w:val="none"/>
              </w:rPr>
            </w:pPr>
          </w:p>
        </w:tc>
        <w:tc>
          <w:tcPr>
            <w:tcW w:w="712" w:type="pct"/>
          </w:tcPr>
          <w:p w14:paraId="44B15A7C">
            <w:pPr>
              <w:rPr>
                <w:rFonts w:ascii="宋体" w:hAnsi="宋体" w:eastAsia="宋体" w:cs="Times New Roman"/>
                <w:color w:val="auto"/>
                <w:szCs w:val="21"/>
                <w:highlight w:val="none"/>
              </w:rPr>
            </w:pPr>
          </w:p>
        </w:tc>
        <w:tc>
          <w:tcPr>
            <w:tcW w:w="712" w:type="pct"/>
          </w:tcPr>
          <w:p w14:paraId="62E925FB">
            <w:pPr>
              <w:rPr>
                <w:rFonts w:ascii="宋体" w:hAnsi="宋体" w:eastAsia="宋体" w:cs="Times New Roman"/>
                <w:color w:val="auto"/>
                <w:szCs w:val="21"/>
                <w:highlight w:val="none"/>
              </w:rPr>
            </w:pPr>
          </w:p>
        </w:tc>
        <w:tc>
          <w:tcPr>
            <w:tcW w:w="712" w:type="pct"/>
          </w:tcPr>
          <w:p w14:paraId="2562ED58">
            <w:pPr>
              <w:rPr>
                <w:rFonts w:ascii="宋体" w:hAnsi="宋体" w:eastAsia="宋体" w:cs="Times New Roman"/>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57CB21D">
            <w:pPr>
              <w:rPr>
                <w:rFonts w:ascii="宋体" w:hAnsi="宋体" w:eastAsia="宋体" w:cs="Times New Roman"/>
                <w:color w:val="auto"/>
                <w:szCs w:val="21"/>
                <w:highlight w:val="none"/>
              </w:rPr>
            </w:pPr>
          </w:p>
        </w:tc>
        <w:tc>
          <w:tcPr>
            <w:tcW w:w="850" w:type="pct"/>
          </w:tcPr>
          <w:p w14:paraId="5BC9E0CB">
            <w:pPr>
              <w:rPr>
                <w:rFonts w:ascii="宋体" w:hAnsi="宋体" w:eastAsia="宋体" w:cs="Times New Roman"/>
                <w:color w:val="auto"/>
                <w:szCs w:val="21"/>
                <w:highlight w:val="none"/>
              </w:rPr>
            </w:pPr>
          </w:p>
        </w:tc>
        <w:tc>
          <w:tcPr>
            <w:tcW w:w="896" w:type="pct"/>
          </w:tcPr>
          <w:p w14:paraId="6AC1B8EA">
            <w:pPr>
              <w:rPr>
                <w:rFonts w:ascii="宋体" w:hAnsi="宋体" w:eastAsia="宋体" w:cs="Times New Roman"/>
                <w:color w:val="auto"/>
                <w:szCs w:val="21"/>
                <w:highlight w:val="none"/>
              </w:rPr>
            </w:pPr>
          </w:p>
        </w:tc>
        <w:tc>
          <w:tcPr>
            <w:tcW w:w="712" w:type="pct"/>
          </w:tcPr>
          <w:p w14:paraId="24DFDBCD">
            <w:pPr>
              <w:rPr>
                <w:rFonts w:ascii="宋体" w:hAnsi="宋体" w:eastAsia="宋体" w:cs="Times New Roman"/>
                <w:color w:val="auto"/>
                <w:szCs w:val="21"/>
                <w:highlight w:val="none"/>
              </w:rPr>
            </w:pPr>
          </w:p>
        </w:tc>
        <w:tc>
          <w:tcPr>
            <w:tcW w:w="712" w:type="pct"/>
          </w:tcPr>
          <w:p w14:paraId="3B000570">
            <w:pPr>
              <w:rPr>
                <w:rFonts w:ascii="宋体" w:hAnsi="宋体" w:eastAsia="宋体" w:cs="Times New Roman"/>
                <w:color w:val="auto"/>
                <w:szCs w:val="21"/>
                <w:highlight w:val="none"/>
              </w:rPr>
            </w:pPr>
          </w:p>
        </w:tc>
        <w:tc>
          <w:tcPr>
            <w:tcW w:w="712" w:type="pct"/>
          </w:tcPr>
          <w:p w14:paraId="0ADD7BD9">
            <w:pPr>
              <w:rPr>
                <w:rFonts w:ascii="宋体" w:hAnsi="宋体" w:eastAsia="宋体" w:cs="Times New Roman"/>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091DBBBF">
            <w:pPr>
              <w:rPr>
                <w:rFonts w:ascii="宋体" w:hAnsi="宋体" w:eastAsia="宋体" w:cs="Times New Roman"/>
                <w:color w:val="auto"/>
                <w:szCs w:val="21"/>
                <w:highlight w:val="none"/>
              </w:rPr>
            </w:pPr>
          </w:p>
        </w:tc>
        <w:tc>
          <w:tcPr>
            <w:tcW w:w="850" w:type="pct"/>
          </w:tcPr>
          <w:p w14:paraId="54B852DF">
            <w:pPr>
              <w:rPr>
                <w:rFonts w:ascii="宋体" w:hAnsi="宋体" w:eastAsia="宋体" w:cs="Times New Roman"/>
                <w:color w:val="auto"/>
                <w:szCs w:val="21"/>
                <w:highlight w:val="none"/>
              </w:rPr>
            </w:pPr>
          </w:p>
        </w:tc>
        <w:tc>
          <w:tcPr>
            <w:tcW w:w="896" w:type="pct"/>
          </w:tcPr>
          <w:p w14:paraId="3E501B1A">
            <w:pPr>
              <w:rPr>
                <w:rFonts w:ascii="宋体" w:hAnsi="宋体" w:eastAsia="宋体" w:cs="Times New Roman"/>
                <w:color w:val="auto"/>
                <w:szCs w:val="21"/>
                <w:highlight w:val="none"/>
              </w:rPr>
            </w:pPr>
          </w:p>
        </w:tc>
        <w:tc>
          <w:tcPr>
            <w:tcW w:w="712" w:type="pct"/>
          </w:tcPr>
          <w:p w14:paraId="222C8DC3">
            <w:pPr>
              <w:rPr>
                <w:rFonts w:ascii="宋体" w:hAnsi="宋体" w:eastAsia="宋体" w:cs="Times New Roman"/>
                <w:color w:val="auto"/>
                <w:szCs w:val="21"/>
                <w:highlight w:val="none"/>
              </w:rPr>
            </w:pPr>
          </w:p>
        </w:tc>
        <w:tc>
          <w:tcPr>
            <w:tcW w:w="712" w:type="pct"/>
          </w:tcPr>
          <w:p w14:paraId="22473919">
            <w:pPr>
              <w:rPr>
                <w:rFonts w:ascii="宋体" w:hAnsi="宋体" w:eastAsia="宋体" w:cs="Times New Roman"/>
                <w:color w:val="auto"/>
                <w:szCs w:val="21"/>
                <w:highlight w:val="none"/>
              </w:rPr>
            </w:pPr>
          </w:p>
        </w:tc>
        <w:tc>
          <w:tcPr>
            <w:tcW w:w="712" w:type="pct"/>
          </w:tcPr>
          <w:p w14:paraId="216643F5">
            <w:pPr>
              <w:rPr>
                <w:rFonts w:ascii="宋体" w:hAnsi="宋体" w:eastAsia="宋体" w:cs="Times New Roman"/>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7CEB763D">
            <w:pPr>
              <w:rPr>
                <w:rFonts w:ascii="宋体" w:hAnsi="宋体" w:eastAsia="宋体" w:cs="Times New Roman"/>
                <w:color w:val="auto"/>
                <w:szCs w:val="21"/>
                <w:highlight w:val="none"/>
              </w:rPr>
            </w:pPr>
          </w:p>
        </w:tc>
        <w:tc>
          <w:tcPr>
            <w:tcW w:w="850" w:type="pct"/>
          </w:tcPr>
          <w:p w14:paraId="7023FC4A">
            <w:pPr>
              <w:rPr>
                <w:rFonts w:ascii="宋体" w:hAnsi="宋体" w:eastAsia="宋体" w:cs="Times New Roman"/>
                <w:color w:val="auto"/>
                <w:szCs w:val="21"/>
                <w:highlight w:val="none"/>
              </w:rPr>
            </w:pPr>
          </w:p>
        </w:tc>
        <w:tc>
          <w:tcPr>
            <w:tcW w:w="896" w:type="pct"/>
          </w:tcPr>
          <w:p w14:paraId="2F92A615">
            <w:pPr>
              <w:rPr>
                <w:rFonts w:ascii="宋体" w:hAnsi="宋体" w:eastAsia="宋体" w:cs="Times New Roman"/>
                <w:color w:val="auto"/>
                <w:szCs w:val="21"/>
                <w:highlight w:val="none"/>
              </w:rPr>
            </w:pPr>
          </w:p>
        </w:tc>
        <w:tc>
          <w:tcPr>
            <w:tcW w:w="712" w:type="pct"/>
          </w:tcPr>
          <w:p w14:paraId="27FA4F91">
            <w:pPr>
              <w:rPr>
                <w:rFonts w:ascii="宋体" w:hAnsi="宋体" w:eastAsia="宋体" w:cs="Times New Roman"/>
                <w:color w:val="auto"/>
                <w:szCs w:val="21"/>
                <w:highlight w:val="none"/>
              </w:rPr>
            </w:pPr>
          </w:p>
        </w:tc>
        <w:tc>
          <w:tcPr>
            <w:tcW w:w="712" w:type="pct"/>
          </w:tcPr>
          <w:p w14:paraId="48CB42A5">
            <w:pPr>
              <w:rPr>
                <w:rFonts w:ascii="宋体" w:hAnsi="宋体" w:eastAsia="宋体" w:cs="Times New Roman"/>
                <w:color w:val="auto"/>
                <w:szCs w:val="21"/>
                <w:highlight w:val="none"/>
              </w:rPr>
            </w:pPr>
          </w:p>
        </w:tc>
        <w:tc>
          <w:tcPr>
            <w:tcW w:w="712" w:type="pct"/>
          </w:tcPr>
          <w:p w14:paraId="38C88D08">
            <w:pPr>
              <w:rPr>
                <w:rFonts w:ascii="宋体" w:hAnsi="宋体" w:eastAsia="宋体" w:cs="Times New Roman"/>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3BB91E7B">
            <w:pPr>
              <w:rPr>
                <w:rFonts w:ascii="宋体" w:hAnsi="宋体" w:eastAsia="宋体" w:cs="Times New Roman"/>
                <w:color w:val="auto"/>
                <w:szCs w:val="21"/>
                <w:highlight w:val="none"/>
              </w:rPr>
            </w:pPr>
          </w:p>
        </w:tc>
        <w:tc>
          <w:tcPr>
            <w:tcW w:w="850" w:type="pct"/>
          </w:tcPr>
          <w:p w14:paraId="47D328C1">
            <w:pPr>
              <w:rPr>
                <w:rFonts w:ascii="宋体" w:hAnsi="宋体" w:eastAsia="宋体" w:cs="Times New Roman"/>
                <w:color w:val="auto"/>
                <w:szCs w:val="21"/>
                <w:highlight w:val="none"/>
              </w:rPr>
            </w:pPr>
          </w:p>
        </w:tc>
        <w:tc>
          <w:tcPr>
            <w:tcW w:w="896" w:type="pct"/>
          </w:tcPr>
          <w:p w14:paraId="0ACF4650">
            <w:pPr>
              <w:rPr>
                <w:rFonts w:ascii="宋体" w:hAnsi="宋体" w:eastAsia="宋体" w:cs="Times New Roman"/>
                <w:color w:val="auto"/>
                <w:szCs w:val="21"/>
                <w:highlight w:val="none"/>
              </w:rPr>
            </w:pPr>
          </w:p>
        </w:tc>
        <w:tc>
          <w:tcPr>
            <w:tcW w:w="712" w:type="pct"/>
          </w:tcPr>
          <w:p w14:paraId="4CC92881">
            <w:pPr>
              <w:rPr>
                <w:rFonts w:ascii="宋体" w:hAnsi="宋体" w:eastAsia="宋体" w:cs="Times New Roman"/>
                <w:color w:val="auto"/>
                <w:szCs w:val="21"/>
                <w:highlight w:val="none"/>
              </w:rPr>
            </w:pPr>
          </w:p>
        </w:tc>
        <w:tc>
          <w:tcPr>
            <w:tcW w:w="712" w:type="pct"/>
          </w:tcPr>
          <w:p w14:paraId="5C23B49A">
            <w:pPr>
              <w:rPr>
                <w:rFonts w:ascii="宋体" w:hAnsi="宋体" w:eastAsia="宋体" w:cs="Times New Roman"/>
                <w:color w:val="auto"/>
                <w:szCs w:val="21"/>
                <w:highlight w:val="none"/>
              </w:rPr>
            </w:pPr>
          </w:p>
        </w:tc>
        <w:tc>
          <w:tcPr>
            <w:tcW w:w="712" w:type="pct"/>
          </w:tcPr>
          <w:p w14:paraId="60D46CAF">
            <w:pPr>
              <w:rPr>
                <w:rFonts w:ascii="宋体" w:hAnsi="宋体" w:eastAsia="宋体" w:cs="Times New Roman"/>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EE75553">
            <w:pPr>
              <w:rPr>
                <w:rFonts w:ascii="宋体" w:hAnsi="宋体" w:eastAsia="宋体" w:cs="Times New Roman"/>
                <w:color w:val="auto"/>
                <w:szCs w:val="21"/>
                <w:highlight w:val="none"/>
              </w:rPr>
            </w:pPr>
          </w:p>
        </w:tc>
        <w:tc>
          <w:tcPr>
            <w:tcW w:w="850" w:type="pct"/>
          </w:tcPr>
          <w:p w14:paraId="5BC0F843">
            <w:pPr>
              <w:rPr>
                <w:rFonts w:ascii="宋体" w:hAnsi="宋体" w:eastAsia="宋体" w:cs="Times New Roman"/>
                <w:color w:val="auto"/>
                <w:szCs w:val="21"/>
                <w:highlight w:val="none"/>
              </w:rPr>
            </w:pPr>
          </w:p>
        </w:tc>
        <w:tc>
          <w:tcPr>
            <w:tcW w:w="896" w:type="pct"/>
          </w:tcPr>
          <w:p w14:paraId="15011B80">
            <w:pPr>
              <w:rPr>
                <w:rFonts w:ascii="宋体" w:hAnsi="宋体" w:eastAsia="宋体" w:cs="Times New Roman"/>
                <w:color w:val="auto"/>
                <w:szCs w:val="21"/>
                <w:highlight w:val="none"/>
              </w:rPr>
            </w:pPr>
          </w:p>
        </w:tc>
        <w:tc>
          <w:tcPr>
            <w:tcW w:w="712" w:type="pct"/>
          </w:tcPr>
          <w:p w14:paraId="6688CC53">
            <w:pPr>
              <w:rPr>
                <w:rFonts w:ascii="宋体" w:hAnsi="宋体" w:eastAsia="宋体" w:cs="Times New Roman"/>
                <w:color w:val="auto"/>
                <w:szCs w:val="21"/>
                <w:highlight w:val="none"/>
              </w:rPr>
            </w:pPr>
          </w:p>
        </w:tc>
        <w:tc>
          <w:tcPr>
            <w:tcW w:w="712" w:type="pct"/>
          </w:tcPr>
          <w:p w14:paraId="2913694A">
            <w:pPr>
              <w:rPr>
                <w:rFonts w:ascii="宋体" w:hAnsi="宋体" w:eastAsia="宋体" w:cs="Times New Roman"/>
                <w:color w:val="auto"/>
                <w:szCs w:val="21"/>
                <w:highlight w:val="none"/>
              </w:rPr>
            </w:pPr>
          </w:p>
        </w:tc>
        <w:tc>
          <w:tcPr>
            <w:tcW w:w="712" w:type="pct"/>
          </w:tcPr>
          <w:p w14:paraId="68BB0D41">
            <w:pPr>
              <w:rPr>
                <w:rFonts w:ascii="宋体" w:hAnsi="宋体" w:eastAsia="宋体" w:cs="Times New Roman"/>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4" w:type="pct"/>
          </w:tcPr>
          <w:p w14:paraId="54B4727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2998C94D">
            <w:pPr>
              <w:rPr>
                <w:rFonts w:ascii="宋体" w:hAnsi="宋体" w:eastAsia="宋体" w:cs="Times New Roman"/>
                <w:color w:val="auto"/>
                <w:szCs w:val="21"/>
                <w:highlight w:val="none"/>
              </w:rPr>
            </w:pPr>
          </w:p>
        </w:tc>
        <w:tc>
          <w:tcPr>
            <w:tcW w:w="850" w:type="pct"/>
          </w:tcPr>
          <w:p w14:paraId="656F6909">
            <w:pPr>
              <w:rPr>
                <w:rFonts w:ascii="宋体" w:hAnsi="宋体" w:eastAsia="宋体" w:cs="Times New Roman"/>
                <w:color w:val="auto"/>
                <w:szCs w:val="21"/>
                <w:highlight w:val="none"/>
              </w:rPr>
            </w:pPr>
          </w:p>
        </w:tc>
        <w:tc>
          <w:tcPr>
            <w:tcW w:w="896" w:type="pct"/>
          </w:tcPr>
          <w:p w14:paraId="7E1D64D8">
            <w:pPr>
              <w:rPr>
                <w:rFonts w:ascii="宋体" w:hAnsi="宋体" w:eastAsia="宋体" w:cs="Times New Roman"/>
                <w:color w:val="auto"/>
                <w:szCs w:val="21"/>
                <w:highlight w:val="none"/>
              </w:rPr>
            </w:pPr>
          </w:p>
        </w:tc>
        <w:tc>
          <w:tcPr>
            <w:tcW w:w="712" w:type="pct"/>
          </w:tcPr>
          <w:p w14:paraId="48B2A5DC">
            <w:pPr>
              <w:rPr>
                <w:rFonts w:ascii="宋体" w:hAnsi="宋体" w:eastAsia="宋体" w:cs="Times New Roman"/>
                <w:color w:val="auto"/>
                <w:szCs w:val="21"/>
                <w:highlight w:val="none"/>
              </w:rPr>
            </w:pPr>
          </w:p>
        </w:tc>
        <w:tc>
          <w:tcPr>
            <w:tcW w:w="712" w:type="pct"/>
          </w:tcPr>
          <w:p w14:paraId="0891B846">
            <w:pPr>
              <w:rPr>
                <w:rFonts w:ascii="宋体" w:hAnsi="宋体" w:eastAsia="宋体" w:cs="Times New Roman"/>
                <w:color w:val="auto"/>
                <w:szCs w:val="21"/>
                <w:highlight w:val="none"/>
              </w:rPr>
            </w:pPr>
          </w:p>
        </w:tc>
        <w:tc>
          <w:tcPr>
            <w:tcW w:w="712" w:type="pct"/>
          </w:tcPr>
          <w:p w14:paraId="5957169E">
            <w:pPr>
              <w:rPr>
                <w:rFonts w:ascii="宋体" w:hAnsi="宋体" w:eastAsia="宋体" w:cs="Times New Roman"/>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269AFD3D">
            <w:pPr>
              <w:rPr>
                <w:rFonts w:ascii="宋体" w:hAnsi="宋体" w:eastAsia="宋体" w:cs="Times New Roman"/>
                <w:color w:val="auto"/>
                <w:szCs w:val="21"/>
                <w:highlight w:val="none"/>
              </w:rPr>
            </w:pPr>
          </w:p>
        </w:tc>
        <w:tc>
          <w:tcPr>
            <w:tcW w:w="850" w:type="pct"/>
          </w:tcPr>
          <w:p w14:paraId="22F1E0A2">
            <w:pPr>
              <w:rPr>
                <w:rFonts w:ascii="宋体" w:hAnsi="宋体" w:eastAsia="宋体" w:cs="Times New Roman"/>
                <w:color w:val="auto"/>
                <w:szCs w:val="21"/>
                <w:highlight w:val="none"/>
              </w:rPr>
            </w:pPr>
          </w:p>
        </w:tc>
        <w:tc>
          <w:tcPr>
            <w:tcW w:w="896" w:type="pct"/>
          </w:tcPr>
          <w:p w14:paraId="344367AA">
            <w:pPr>
              <w:rPr>
                <w:rFonts w:ascii="宋体" w:hAnsi="宋体" w:eastAsia="宋体" w:cs="Times New Roman"/>
                <w:color w:val="auto"/>
                <w:szCs w:val="21"/>
                <w:highlight w:val="none"/>
              </w:rPr>
            </w:pPr>
          </w:p>
        </w:tc>
        <w:tc>
          <w:tcPr>
            <w:tcW w:w="712" w:type="pct"/>
          </w:tcPr>
          <w:p w14:paraId="18ECC32C">
            <w:pPr>
              <w:rPr>
                <w:rFonts w:ascii="宋体" w:hAnsi="宋体" w:eastAsia="宋体" w:cs="Times New Roman"/>
                <w:color w:val="auto"/>
                <w:szCs w:val="21"/>
                <w:highlight w:val="none"/>
              </w:rPr>
            </w:pPr>
          </w:p>
        </w:tc>
        <w:tc>
          <w:tcPr>
            <w:tcW w:w="712" w:type="pct"/>
          </w:tcPr>
          <w:p w14:paraId="4E081D5D">
            <w:pPr>
              <w:rPr>
                <w:rFonts w:ascii="宋体" w:hAnsi="宋体" w:eastAsia="宋体" w:cs="Times New Roman"/>
                <w:color w:val="auto"/>
                <w:szCs w:val="21"/>
                <w:highlight w:val="none"/>
              </w:rPr>
            </w:pPr>
          </w:p>
        </w:tc>
        <w:tc>
          <w:tcPr>
            <w:tcW w:w="712" w:type="pct"/>
          </w:tcPr>
          <w:p w14:paraId="285B6356">
            <w:pPr>
              <w:rPr>
                <w:rFonts w:ascii="宋体" w:hAnsi="宋体" w:eastAsia="宋体" w:cs="Times New Roman"/>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1DCB5F0">
            <w:pPr>
              <w:rPr>
                <w:rFonts w:ascii="宋体" w:hAnsi="宋体" w:eastAsia="宋体" w:cs="Times New Roman"/>
                <w:color w:val="auto"/>
                <w:szCs w:val="21"/>
                <w:highlight w:val="none"/>
              </w:rPr>
            </w:pPr>
          </w:p>
        </w:tc>
        <w:tc>
          <w:tcPr>
            <w:tcW w:w="850" w:type="pct"/>
          </w:tcPr>
          <w:p w14:paraId="3B3CBE9C">
            <w:pPr>
              <w:rPr>
                <w:rFonts w:ascii="宋体" w:hAnsi="宋体" w:eastAsia="宋体" w:cs="Times New Roman"/>
                <w:color w:val="auto"/>
                <w:szCs w:val="21"/>
                <w:highlight w:val="none"/>
              </w:rPr>
            </w:pPr>
          </w:p>
        </w:tc>
        <w:tc>
          <w:tcPr>
            <w:tcW w:w="896" w:type="pct"/>
          </w:tcPr>
          <w:p w14:paraId="24693B6B">
            <w:pPr>
              <w:rPr>
                <w:rFonts w:ascii="宋体" w:hAnsi="宋体" w:eastAsia="宋体" w:cs="Times New Roman"/>
                <w:color w:val="auto"/>
                <w:szCs w:val="21"/>
                <w:highlight w:val="none"/>
              </w:rPr>
            </w:pPr>
          </w:p>
        </w:tc>
        <w:tc>
          <w:tcPr>
            <w:tcW w:w="712" w:type="pct"/>
          </w:tcPr>
          <w:p w14:paraId="74193C0E">
            <w:pPr>
              <w:rPr>
                <w:rFonts w:ascii="宋体" w:hAnsi="宋体" w:eastAsia="宋体" w:cs="Times New Roman"/>
                <w:color w:val="auto"/>
                <w:szCs w:val="21"/>
                <w:highlight w:val="none"/>
              </w:rPr>
            </w:pPr>
          </w:p>
        </w:tc>
        <w:tc>
          <w:tcPr>
            <w:tcW w:w="712" w:type="pct"/>
          </w:tcPr>
          <w:p w14:paraId="0721CA2B">
            <w:pPr>
              <w:rPr>
                <w:rFonts w:ascii="宋体" w:hAnsi="宋体" w:eastAsia="宋体" w:cs="Times New Roman"/>
                <w:color w:val="auto"/>
                <w:szCs w:val="21"/>
                <w:highlight w:val="none"/>
              </w:rPr>
            </w:pPr>
          </w:p>
        </w:tc>
        <w:tc>
          <w:tcPr>
            <w:tcW w:w="712" w:type="pct"/>
          </w:tcPr>
          <w:p w14:paraId="36558872">
            <w:pPr>
              <w:rPr>
                <w:rFonts w:ascii="宋体" w:hAnsi="宋体" w:eastAsia="宋体" w:cs="Times New Roman"/>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785D0ABC">
            <w:pPr>
              <w:rPr>
                <w:rFonts w:ascii="宋体" w:hAnsi="宋体" w:eastAsia="宋体" w:cs="Times New Roman"/>
                <w:color w:val="auto"/>
                <w:szCs w:val="21"/>
                <w:highlight w:val="none"/>
              </w:rPr>
            </w:pPr>
          </w:p>
        </w:tc>
        <w:tc>
          <w:tcPr>
            <w:tcW w:w="850" w:type="pct"/>
          </w:tcPr>
          <w:p w14:paraId="2471CDC0">
            <w:pPr>
              <w:rPr>
                <w:rFonts w:ascii="宋体" w:hAnsi="宋体" w:eastAsia="宋体" w:cs="Times New Roman"/>
                <w:color w:val="auto"/>
                <w:szCs w:val="21"/>
                <w:highlight w:val="none"/>
              </w:rPr>
            </w:pPr>
          </w:p>
        </w:tc>
        <w:tc>
          <w:tcPr>
            <w:tcW w:w="896" w:type="pct"/>
          </w:tcPr>
          <w:p w14:paraId="3CEF178A">
            <w:pPr>
              <w:rPr>
                <w:rFonts w:ascii="宋体" w:hAnsi="宋体" w:eastAsia="宋体" w:cs="Times New Roman"/>
                <w:color w:val="auto"/>
                <w:szCs w:val="21"/>
                <w:highlight w:val="none"/>
              </w:rPr>
            </w:pPr>
          </w:p>
        </w:tc>
        <w:tc>
          <w:tcPr>
            <w:tcW w:w="712" w:type="pct"/>
          </w:tcPr>
          <w:p w14:paraId="3B66EC57">
            <w:pPr>
              <w:rPr>
                <w:rFonts w:ascii="宋体" w:hAnsi="宋体" w:eastAsia="宋体" w:cs="Times New Roman"/>
                <w:color w:val="auto"/>
                <w:szCs w:val="21"/>
                <w:highlight w:val="none"/>
              </w:rPr>
            </w:pPr>
          </w:p>
        </w:tc>
        <w:tc>
          <w:tcPr>
            <w:tcW w:w="712" w:type="pct"/>
          </w:tcPr>
          <w:p w14:paraId="76858BF6">
            <w:pPr>
              <w:rPr>
                <w:rFonts w:ascii="宋体" w:hAnsi="宋体" w:eastAsia="宋体" w:cs="Times New Roman"/>
                <w:color w:val="auto"/>
                <w:szCs w:val="21"/>
                <w:highlight w:val="none"/>
              </w:rPr>
            </w:pPr>
          </w:p>
        </w:tc>
        <w:tc>
          <w:tcPr>
            <w:tcW w:w="712" w:type="pct"/>
          </w:tcPr>
          <w:p w14:paraId="7C574BB5">
            <w:pPr>
              <w:rPr>
                <w:rFonts w:ascii="宋体" w:hAnsi="宋体" w:eastAsia="宋体" w:cs="Times New Roman"/>
                <w:color w:val="auto"/>
                <w:szCs w:val="21"/>
                <w:highlight w:val="none"/>
              </w:rPr>
            </w:pPr>
          </w:p>
        </w:tc>
      </w:tr>
    </w:tbl>
    <w:p w14:paraId="74D4B3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1F0750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22900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7C2AD033">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9B70F4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7A6D9D1">
      <w:pPr>
        <w:rPr>
          <w:rFonts w:ascii="宋体" w:hAnsi="宋体" w:eastAsia="宋体"/>
          <w:b/>
          <w:bCs/>
          <w:color w:val="auto"/>
          <w:sz w:val="24"/>
          <w:szCs w:val="28"/>
          <w:highlight w:val="none"/>
        </w:rPr>
      </w:pPr>
      <w:bookmarkStart w:id="55" w:name="_Toc169799802"/>
      <w:r>
        <w:rPr>
          <w:rFonts w:ascii="宋体" w:hAnsi="宋体" w:eastAsia="宋体"/>
          <w:b/>
          <w:bCs/>
          <w:color w:val="auto"/>
          <w:sz w:val="24"/>
          <w:szCs w:val="28"/>
          <w:highlight w:val="none"/>
        </w:rPr>
        <w:br w:type="page"/>
      </w:r>
    </w:p>
    <w:p w14:paraId="6E49CD41">
      <w:pPr>
        <w:pageBreakBefore/>
        <w:rPr>
          <w:rFonts w:ascii="Calibri" w:hAnsi="Calibri" w:eastAsia="宋体" w:cs="Times New Roman"/>
          <w:color w:val="auto"/>
          <w:kern w:val="0"/>
          <w:sz w:val="20"/>
          <w:szCs w:val="20"/>
          <w:highlight w:val="none"/>
          <w:lang w:eastAsia="zh-Hans"/>
        </w:rPr>
      </w:pPr>
      <w:bookmarkStart w:id="56" w:name="_Hlk8238559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十七</w:t>
      </w:r>
      <w:r>
        <w:rPr>
          <w:rFonts w:ascii="宋体" w:hAnsi="宋体" w:eastAsia="宋体"/>
          <w:b/>
          <w:bCs/>
          <w:color w:val="auto"/>
          <w:sz w:val="24"/>
          <w:szCs w:val="28"/>
          <w:highlight w:val="none"/>
        </w:rPr>
        <w:t>：</w:t>
      </w:r>
    </w:p>
    <w:p w14:paraId="3B9F291C">
      <w:pPr>
        <w:spacing w:before="312" w:beforeLines="100" w:after="312" w:afterLines="100"/>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pacing w:val="20"/>
          <w:sz w:val="30"/>
          <w:szCs w:val="30"/>
          <w:highlight w:val="none"/>
        </w:rPr>
        <w:t>▲号条款</w:t>
      </w:r>
      <w:bookmarkEnd w:id="56"/>
      <w:r>
        <w:rPr>
          <w:rFonts w:hint="eastAsia" w:ascii="宋体" w:hAnsi="宋体" w:eastAsia="宋体" w:cs="宋体"/>
          <w:b/>
          <w:color w:val="auto"/>
          <w:spacing w:val="20"/>
          <w:sz w:val="30"/>
          <w:szCs w:val="30"/>
          <w:highlight w:val="none"/>
        </w:rPr>
        <w:t>响应表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2584"/>
        <w:gridCol w:w="2942"/>
        <w:gridCol w:w="2071"/>
        <w:gridCol w:w="1195"/>
      </w:tblGrid>
      <w:tr w14:paraId="6EA8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264" w:type="pct"/>
            <w:vAlign w:val="center"/>
          </w:tcPr>
          <w:p w14:paraId="63F8D91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391" w:type="pct"/>
            <w:vAlign w:val="center"/>
          </w:tcPr>
          <w:p w14:paraId="5CADDB04">
            <w:pPr>
              <w:jc w:val="center"/>
              <w:rPr>
                <w:rFonts w:hint="eastAsia" w:ascii="宋体" w:hAnsi="宋体" w:eastAsia="宋体" w:cs="宋体"/>
                <w:b/>
                <w:bCs/>
                <w:color w:val="auto"/>
                <w:szCs w:val="21"/>
                <w:highlight w:val="none"/>
              </w:rPr>
            </w:pPr>
            <w:r>
              <w:rPr>
                <w:rFonts w:hint="eastAsia" w:ascii="宋体" w:hAnsi="宋体" w:eastAsia="宋体" w:cs="宋体"/>
                <w:b/>
                <w:bCs/>
                <w:color w:val="auto"/>
                <w:highlight w:val="none"/>
              </w:rPr>
              <w:t>采购需求▲号条款</w:t>
            </w:r>
          </w:p>
        </w:tc>
        <w:tc>
          <w:tcPr>
            <w:tcW w:w="1584" w:type="pct"/>
            <w:vAlign w:val="center"/>
          </w:tcPr>
          <w:p w14:paraId="73B557F9">
            <w:pPr>
              <w:widowControl/>
              <w:jc w:val="center"/>
              <w:rPr>
                <w:rFonts w:hint="eastAsia" w:ascii="宋体" w:hAnsi="宋体" w:eastAsia="宋体" w:cs="宋体"/>
                <w:b/>
                <w:bCs/>
                <w:color w:val="auto"/>
                <w:szCs w:val="21"/>
                <w:highlight w:val="none"/>
              </w:rPr>
            </w:pPr>
            <w:r>
              <w:rPr>
                <w:rFonts w:ascii="宋体" w:hAnsi="宋体" w:eastAsia="宋体" w:cs="Times New Roman"/>
                <w:b/>
                <w:bCs/>
                <w:color w:val="auto"/>
                <w:kern w:val="0"/>
                <w:szCs w:val="21"/>
                <w:highlight w:val="none"/>
                <w:lang w:eastAsia="zh-Hans"/>
              </w:rPr>
              <w:t>投标文件响应的具体内容</w:t>
            </w:r>
          </w:p>
        </w:tc>
        <w:tc>
          <w:tcPr>
            <w:tcW w:w="1115" w:type="pct"/>
            <w:vAlign w:val="center"/>
          </w:tcPr>
          <w:p w14:paraId="0EFCE871">
            <w:pPr>
              <w:widowControl/>
              <w:jc w:val="center"/>
              <w:rPr>
                <w:rFonts w:hint="eastAsia" w:ascii="宋体" w:hAnsi="宋体" w:eastAsia="宋体" w:cs="宋体"/>
                <w:b/>
                <w:bCs/>
                <w:color w:val="auto"/>
                <w:highlight w:val="none"/>
              </w:rPr>
            </w:pPr>
            <w:r>
              <w:rPr>
                <w:rFonts w:ascii="宋体" w:hAnsi="宋体" w:eastAsia="宋体" w:cs="Times New Roman"/>
                <w:b/>
                <w:bCs/>
                <w:color w:val="auto"/>
                <w:kern w:val="0"/>
                <w:szCs w:val="21"/>
                <w:highlight w:val="none"/>
                <w:lang w:eastAsia="zh-Hans"/>
              </w:rPr>
              <w:t>是否偏离</w:t>
            </w:r>
          </w:p>
        </w:tc>
        <w:tc>
          <w:tcPr>
            <w:tcW w:w="643" w:type="pct"/>
            <w:vAlign w:val="center"/>
          </w:tcPr>
          <w:p w14:paraId="176DE9A1">
            <w:pPr>
              <w:widowControl/>
              <w:jc w:val="center"/>
              <w:rPr>
                <w:rFonts w:hint="eastAsia" w:ascii="宋体" w:hAnsi="宋体" w:eastAsia="宋体" w:cs="宋体"/>
                <w:b/>
                <w:bCs/>
                <w:color w:val="auto"/>
                <w:highlight w:val="none"/>
              </w:rPr>
            </w:pPr>
            <w:r>
              <w:rPr>
                <w:rFonts w:ascii="宋体" w:hAnsi="宋体" w:eastAsia="宋体" w:cs="Times New Roman"/>
                <w:b/>
                <w:bCs/>
                <w:color w:val="auto"/>
                <w:kern w:val="0"/>
                <w:szCs w:val="21"/>
                <w:highlight w:val="none"/>
                <w:lang w:eastAsia="zh-Hans"/>
              </w:rPr>
              <w:t>证明文件所在位置</w:t>
            </w:r>
          </w:p>
        </w:tc>
      </w:tr>
      <w:tr w14:paraId="15B8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64" w:type="pct"/>
            <w:vAlign w:val="center"/>
          </w:tcPr>
          <w:p w14:paraId="53B3652E">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1391" w:type="pct"/>
            <w:vAlign w:val="center"/>
          </w:tcPr>
          <w:p w14:paraId="243D85E1">
            <w:pPr>
              <w:jc w:val="center"/>
              <w:rPr>
                <w:rFonts w:hint="eastAsia" w:ascii="宋体" w:hAnsi="宋体" w:eastAsia="宋体" w:cs="宋体"/>
                <w:color w:val="auto"/>
                <w:sz w:val="21"/>
                <w:szCs w:val="21"/>
                <w:highlight w:val="none"/>
              </w:rPr>
            </w:pPr>
          </w:p>
        </w:tc>
        <w:tc>
          <w:tcPr>
            <w:tcW w:w="1584" w:type="pct"/>
            <w:vAlign w:val="center"/>
          </w:tcPr>
          <w:p w14:paraId="6745DF5A">
            <w:pPr>
              <w:jc w:val="center"/>
              <w:rPr>
                <w:rFonts w:hint="eastAsia" w:ascii="宋体" w:hAnsi="宋体" w:eastAsia="宋体" w:cs="宋体"/>
                <w:color w:val="auto"/>
                <w:sz w:val="21"/>
                <w:szCs w:val="21"/>
                <w:highlight w:val="none"/>
              </w:rPr>
            </w:pPr>
          </w:p>
        </w:tc>
        <w:tc>
          <w:tcPr>
            <w:tcW w:w="1115" w:type="pct"/>
            <w:vAlign w:val="center"/>
          </w:tcPr>
          <w:p w14:paraId="7E967EFF">
            <w:pPr>
              <w:jc w:val="center"/>
              <w:rPr>
                <w:rFonts w:hint="eastAsia" w:ascii="宋体" w:hAnsi="宋体" w:eastAsia="宋体" w:cs="宋体"/>
                <w:color w:val="auto"/>
                <w:sz w:val="21"/>
                <w:szCs w:val="21"/>
                <w:highlight w:val="none"/>
              </w:rPr>
            </w:pPr>
          </w:p>
        </w:tc>
        <w:tc>
          <w:tcPr>
            <w:tcW w:w="643" w:type="pct"/>
            <w:vAlign w:val="center"/>
          </w:tcPr>
          <w:p w14:paraId="6E92EDC7">
            <w:pPr>
              <w:jc w:val="center"/>
              <w:rPr>
                <w:rFonts w:hint="eastAsia" w:ascii="宋体" w:hAnsi="宋体" w:eastAsia="宋体" w:cs="宋体"/>
                <w:color w:val="auto"/>
                <w:sz w:val="21"/>
                <w:szCs w:val="21"/>
                <w:highlight w:val="none"/>
              </w:rPr>
            </w:pPr>
          </w:p>
        </w:tc>
      </w:tr>
      <w:tr w14:paraId="786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64" w:type="pct"/>
            <w:vAlign w:val="center"/>
          </w:tcPr>
          <w:p w14:paraId="6E0D6879">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1391" w:type="pct"/>
            <w:vAlign w:val="center"/>
          </w:tcPr>
          <w:p w14:paraId="136DDEB3">
            <w:pPr>
              <w:jc w:val="center"/>
              <w:rPr>
                <w:rFonts w:hint="eastAsia" w:ascii="宋体" w:hAnsi="宋体" w:eastAsia="宋体" w:cs="宋体"/>
                <w:color w:val="auto"/>
                <w:sz w:val="21"/>
                <w:szCs w:val="21"/>
                <w:highlight w:val="none"/>
              </w:rPr>
            </w:pPr>
          </w:p>
        </w:tc>
        <w:tc>
          <w:tcPr>
            <w:tcW w:w="1584" w:type="pct"/>
            <w:vAlign w:val="center"/>
          </w:tcPr>
          <w:p w14:paraId="79052C80">
            <w:pPr>
              <w:jc w:val="center"/>
              <w:rPr>
                <w:rFonts w:hint="eastAsia" w:ascii="宋体" w:hAnsi="宋体" w:eastAsia="宋体" w:cs="宋体"/>
                <w:color w:val="auto"/>
                <w:sz w:val="21"/>
                <w:szCs w:val="21"/>
                <w:highlight w:val="none"/>
              </w:rPr>
            </w:pPr>
          </w:p>
        </w:tc>
        <w:tc>
          <w:tcPr>
            <w:tcW w:w="1115" w:type="pct"/>
            <w:vAlign w:val="center"/>
          </w:tcPr>
          <w:p w14:paraId="56892289">
            <w:pPr>
              <w:jc w:val="center"/>
              <w:rPr>
                <w:rFonts w:hint="eastAsia" w:ascii="宋体" w:hAnsi="宋体" w:eastAsia="宋体" w:cs="宋体"/>
                <w:color w:val="auto"/>
                <w:sz w:val="21"/>
                <w:szCs w:val="21"/>
                <w:highlight w:val="none"/>
              </w:rPr>
            </w:pPr>
          </w:p>
        </w:tc>
        <w:tc>
          <w:tcPr>
            <w:tcW w:w="643" w:type="pct"/>
            <w:vAlign w:val="center"/>
          </w:tcPr>
          <w:p w14:paraId="65FEBB4F">
            <w:pPr>
              <w:jc w:val="center"/>
              <w:rPr>
                <w:rFonts w:hint="eastAsia" w:ascii="宋体" w:hAnsi="宋体" w:eastAsia="宋体" w:cs="宋体"/>
                <w:color w:val="auto"/>
                <w:sz w:val="21"/>
                <w:szCs w:val="21"/>
                <w:highlight w:val="none"/>
              </w:rPr>
            </w:pPr>
          </w:p>
        </w:tc>
      </w:tr>
      <w:tr w14:paraId="781C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264" w:type="pct"/>
            <w:vAlign w:val="center"/>
          </w:tcPr>
          <w:p w14:paraId="47A25ECC">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1391" w:type="pct"/>
            <w:vAlign w:val="center"/>
          </w:tcPr>
          <w:p w14:paraId="3B1B84E9">
            <w:pPr>
              <w:jc w:val="center"/>
              <w:rPr>
                <w:rFonts w:hint="eastAsia" w:ascii="宋体" w:hAnsi="宋体" w:eastAsia="宋体" w:cs="宋体"/>
                <w:color w:val="auto"/>
                <w:sz w:val="21"/>
                <w:szCs w:val="21"/>
                <w:highlight w:val="none"/>
              </w:rPr>
            </w:pPr>
          </w:p>
        </w:tc>
        <w:tc>
          <w:tcPr>
            <w:tcW w:w="1584" w:type="pct"/>
            <w:vAlign w:val="center"/>
          </w:tcPr>
          <w:p w14:paraId="29C6BF74">
            <w:pPr>
              <w:jc w:val="center"/>
              <w:rPr>
                <w:rFonts w:hint="eastAsia" w:ascii="宋体" w:hAnsi="宋体" w:eastAsia="宋体" w:cs="宋体"/>
                <w:color w:val="auto"/>
                <w:sz w:val="21"/>
                <w:szCs w:val="21"/>
                <w:highlight w:val="none"/>
              </w:rPr>
            </w:pPr>
          </w:p>
        </w:tc>
        <w:tc>
          <w:tcPr>
            <w:tcW w:w="1115" w:type="pct"/>
            <w:vAlign w:val="center"/>
          </w:tcPr>
          <w:p w14:paraId="48AB92B1">
            <w:pPr>
              <w:jc w:val="center"/>
              <w:rPr>
                <w:rFonts w:hint="eastAsia" w:ascii="宋体" w:hAnsi="宋体" w:eastAsia="宋体" w:cs="宋体"/>
                <w:color w:val="auto"/>
                <w:sz w:val="21"/>
                <w:szCs w:val="21"/>
                <w:highlight w:val="none"/>
              </w:rPr>
            </w:pPr>
          </w:p>
        </w:tc>
        <w:tc>
          <w:tcPr>
            <w:tcW w:w="643" w:type="pct"/>
            <w:vAlign w:val="center"/>
          </w:tcPr>
          <w:p w14:paraId="79276A10">
            <w:pPr>
              <w:jc w:val="center"/>
              <w:rPr>
                <w:rFonts w:hint="eastAsia" w:ascii="宋体" w:hAnsi="宋体" w:eastAsia="宋体" w:cs="宋体"/>
                <w:color w:val="auto"/>
                <w:sz w:val="21"/>
                <w:szCs w:val="21"/>
                <w:highlight w:val="none"/>
              </w:rPr>
            </w:pPr>
          </w:p>
        </w:tc>
      </w:tr>
      <w:tr w14:paraId="4DE4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64" w:type="pct"/>
            <w:vAlign w:val="center"/>
          </w:tcPr>
          <w:p w14:paraId="05B90D54">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p>
        </w:tc>
        <w:tc>
          <w:tcPr>
            <w:tcW w:w="1391" w:type="pct"/>
            <w:vAlign w:val="center"/>
          </w:tcPr>
          <w:p w14:paraId="2740FE0C">
            <w:pPr>
              <w:jc w:val="center"/>
              <w:rPr>
                <w:rFonts w:hint="eastAsia" w:ascii="宋体" w:hAnsi="宋体" w:eastAsia="宋体" w:cs="宋体"/>
                <w:color w:val="auto"/>
                <w:sz w:val="21"/>
                <w:szCs w:val="21"/>
                <w:highlight w:val="none"/>
              </w:rPr>
            </w:pPr>
          </w:p>
        </w:tc>
        <w:tc>
          <w:tcPr>
            <w:tcW w:w="1584" w:type="pct"/>
            <w:vAlign w:val="center"/>
          </w:tcPr>
          <w:p w14:paraId="035EE47C">
            <w:pPr>
              <w:jc w:val="center"/>
              <w:rPr>
                <w:rFonts w:hint="eastAsia" w:ascii="宋体" w:hAnsi="宋体" w:eastAsia="宋体" w:cs="宋体"/>
                <w:color w:val="auto"/>
                <w:sz w:val="21"/>
                <w:szCs w:val="21"/>
                <w:highlight w:val="none"/>
              </w:rPr>
            </w:pPr>
          </w:p>
        </w:tc>
        <w:tc>
          <w:tcPr>
            <w:tcW w:w="1115" w:type="pct"/>
            <w:vAlign w:val="center"/>
          </w:tcPr>
          <w:p w14:paraId="6A701F84">
            <w:pPr>
              <w:jc w:val="center"/>
              <w:rPr>
                <w:rFonts w:hint="eastAsia" w:ascii="宋体" w:hAnsi="宋体" w:eastAsia="宋体" w:cs="宋体"/>
                <w:color w:val="auto"/>
                <w:sz w:val="21"/>
                <w:szCs w:val="21"/>
                <w:highlight w:val="none"/>
              </w:rPr>
            </w:pPr>
          </w:p>
        </w:tc>
        <w:tc>
          <w:tcPr>
            <w:tcW w:w="643" w:type="pct"/>
            <w:vAlign w:val="center"/>
          </w:tcPr>
          <w:p w14:paraId="6A760D2D">
            <w:pPr>
              <w:jc w:val="center"/>
              <w:rPr>
                <w:rFonts w:hint="eastAsia" w:ascii="宋体" w:hAnsi="宋体" w:eastAsia="宋体" w:cs="宋体"/>
                <w:color w:val="auto"/>
                <w:sz w:val="21"/>
                <w:szCs w:val="21"/>
                <w:highlight w:val="none"/>
              </w:rPr>
            </w:pPr>
          </w:p>
        </w:tc>
      </w:tr>
    </w:tbl>
    <w:p w14:paraId="4F050254">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说明：</w:t>
      </w:r>
    </w:p>
    <w:p w14:paraId="0E3728DC">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Hans"/>
        </w:rPr>
        <w:t>1.</w:t>
      </w:r>
      <w:r>
        <w:rPr>
          <w:rFonts w:hint="eastAsia" w:ascii="宋体" w:hAnsi="宋体" w:eastAsia="宋体" w:cs="宋体"/>
          <w:color w:val="auto"/>
          <w:kern w:val="0"/>
          <w:sz w:val="21"/>
          <w:szCs w:val="21"/>
          <w:highlight w:val="none"/>
          <w:lang w:val="en-US" w:eastAsia="zh-CN"/>
        </w:rPr>
        <w:t>投标人必须对应招标文件</w:t>
      </w:r>
      <w:r>
        <w:rPr>
          <w:rFonts w:hint="eastAsia" w:ascii="宋体" w:hAnsi="宋体" w:eastAsia="宋体" w:cs="宋体"/>
          <w:b/>
          <w:bCs/>
          <w:color w:val="auto"/>
          <w:kern w:val="0"/>
          <w:sz w:val="21"/>
          <w:szCs w:val="21"/>
          <w:highlight w:val="none"/>
          <w:lang w:val="en-US" w:eastAsia="zh-CN"/>
        </w:rPr>
        <w:t>“采购需求”</w:t>
      </w:r>
      <w:r>
        <w:rPr>
          <w:rFonts w:hint="eastAsia" w:ascii="宋体" w:hAnsi="宋体" w:eastAsia="宋体" w:cs="宋体"/>
          <w:color w:val="auto"/>
          <w:kern w:val="0"/>
          <w:sz w:val="21"/>
          <w:szCs w:val="21"/>
          <w:highlight w:val="none"/>
          <w:lang w:val="en-US" w:eastAsia="zh-CN"/>
        </w:rPr>
        <w:t>要求的</w:t>
      </w:r>
      <w:bookmarkStart w:id="57" w:name="_Hlk82385546"/>
      <w:r>
        <w:rPr>
          <w:rFonts w:hint="eastAsia" w:ascii="宋体" w:hAnsi="宋体" w:eastAsia="宋体" w:cs="宋体"/>
          <w:color w:val="auto"/>
          <w:kern w:val="0"/>
          <w:sz w:val="21"/>
          <w:szCs w:val="21"/>
          <w:highlight w:val="none"/>
          <w:lang w:val="en-US" w:eastAsia="zh-CN"/>
        </w:rPr>
        <w:t>▲号条款</w:t>
      </w:r>
      <w:bookmarkEnd w:id="57"/>
      <w:r>
        <w:rPr>
          <w:rFonts w:hint="eastAsia" w:ascii="宋体" w:hAnsi="宋体" w:eastAsia="宋体" w:cs="宋体"/>
          <w:color w:val="auto"/>
          <w:kern w:val="0"/>
          <w:sz w:val="21"/>
          <w:szCs w:val="21"/>
          <w:highlight w:val="none"/>
          <w:lang w:val="en-US" w:eastAsia="zh-CN"/>
        </w:rPr>
        <w:t>逐条应答并按要求填写表格。</w:t>
      </w:r>
    </w:p>
    <w:p w14:paraId="75273950">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Hans"/>
        </w:rPr>
        <w:t>.</w:t>
      </w:r>
      <w:r>
        <w:rPr>
          <w:rFonts w:hint="eastAsia" w:ascii="宋体" w:hAnsi="宋体" w:eastAsia="宋体" w:cs="宋体"/>
          <w:color w:val="auto"/>
          <w:kern w:val="0"/>
          <w:sz w:val="21"/>
          <w:szCs w:val="21"/>
          <w:highlight w:val="none"/>
          <w:lang w:val="en-US" w:eastAsia="zh-CN"/>
        </w:rPr>
        <w:t>需提供证明资料内容详见（</w:t>
      </w:r>
      <w:r>
        <w:rPr>
          <w:rFonts w:hint="eastAsia" w:ascii="宋体" w:hAnsi="宋体" w:eastAsia="宋体" w:cs="宋体"/>
          <w:b/>
          <w:bCs/>
          <w:color w:val="auto"/>
          <w:kern w:val="0"/>
          <w:sz w:val="21"/>
          <w:szCs w:val="21"/>
          <w:highlight w:val="none"/>
          <w:lang w:val="en-US" w:eastAsia="zh-CN"/>
        </w:rPr>
        <w:t>招标文件《第四章 评审》</w:t>
      </w:r>
      <w:r>
        <w:rPr>
          <w:rFonts w:hint="eastAsia" w:ascii="宋体" w:hAnsi="宋体" w:eastAsia="宋体" w:cs="宋体"/>
          <w:color w:val="auto"/>
          <w:kern w:val="0"/>
          <w:sz w:val="21"/>
          <w:szCs w:val="21"/>
          <w:highlight w:val="none"/>
          <w:lang w:val="en-US" w:eastAsia="zh-CN"/>
        </w:rPr>
        <w:t>详细评审表相对应条款），提供的证明资料作为附件附于表格后。未按要求提供或未提供完整的，视为负偏离处理。</w:t>
      </w:r>
    </w:p>
    <w:p w14:paraId="6B38DF5F">
      <w:pPr>
        <w:widowControl/>
        <w:spacing w:before="435" w:beforeLines="100" w:line="300" w:lineRule="auto"/>
        <w:jc w:val="left"/>
        <w:rPr>
          <w:rFonts w:ascii="宋体" w:hAnsi="宋体" w:eastAsia="宋体" w:cs="Times New Roman"/>
          <w:color w:val="auto"/>
          <w:kern w:val="0"/>
          <w:sz w:val="21"/>
          <w:szCs w:val="21"/>
          <w:highlight w:val="none"/>
          <w:lang w:eastAsia="zh-Hans"/>
        </w:rPr>
      </w:pPr>
    </w:p>
    <w:p w14:paraId="37603476">
      <w:pPr>
        <w:widowControl/>
        <w:spacing w:before="435" w:beforeLines="100" w:line="300" w:lineRule="auto"/>
        <w:jc w:val="left"/>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投标人名称</w:t>
      </w:r>
      <w:r>
        <w:rPr>
          <w:rFonts w:hint="eastAsia" w:ascii="宋体" w:hAnsi="宋体" w:eastAsia="宋体"/>
          <w:color w:val="auto"/>
          <w:sz w:val="21"/>
          <w:szCs w:val="21"/>
          <w:highlight w:val="none"/>
        </w:rPr>
        <w:t>（加盖公章）</w:t>
      </w:r>
      <w:r>
        <w:rPr>
          <w:rFonts w:ascii="宋体" w:hAnsi="宋体" w:eastAsia="宋体" w:cs="Times New Roman"/>
          <w:color w:val="auto"/>
          <w:kern w:val="0"/>
          <w:sz w:val="21"/>
          <w:szCs w:val="21"/>
          <w:highlight w:val="none"/>
          <w:lang w:eastAsia="zh-Hans"/>
        </w:rPr>
        <w:t>：__________________</w:t>
      </w:r>
    </w:p>
    <w:p w14:paraId="66E5E8E0">
      <w:pPr>
        <w:widowControl/>
        <w:jc w:val="left"/>
        <w:rPr>
          <w:rFonts w:ascii="Calibri" w:hAnsi="Calibri"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 xml:space="preserve">日期： </w:t>
      </w:r>
      <w:r>
        <w:rPr>
          <w:rFonts w:hint="eastAsia" w:ascii="宋体" w:hAnsi="宋体" w:eastAsia="宋体" w:cs="Times New Roman"/>
          <w:color w:val="auto"/>
          <w:kern w:val="0"/>
          <w:sz w:val="21"/>
          <w:szCs w:val="21"/>
          <w:highlight w:val="none"/>
        </w:rPr>
        <w:t xml:space="preserve">   </w:t>
      </w:r>
      <w:r>
        <w:rPr>
          <w:rFonts w:ascii="宋体" w:hAnsi="宋体" w:eastAsia="宋体" w:cs="Times New Roman"/>
          <w:color w:val="auto"/>
          <w:kern w:val="0"/>
          <w:sz w:val="21"/>
          <w:szCs w:val="21"/>
          <w:highlight w:val="none"/>
          <w:lang w:eastAsia="zh-Hans"/>
        </w:rPr>
        <w:t xml:space="preserve">年 </w:t>
      </w:r>
      <w:r>
        <w:rPr>
          <w:rFonts w:hint="eastAsia" w:ascii="宋体" w:hAnsi="宋体" w:eastAsia="宋体" w:cs="Times New Roman"/>
          <w:color w:val="auto"/>
          <w:kern w:val="0"/>
          <w:sz w:val="21"/>
          <w:szCs w:val="21"/>
          <w:highlight w:val="none"/>
        </w:rPr>
        <w:t xml:space="preserve"> </w:t>
      </w:r>
      <w:r>
        <w:rPr>
          <w:rFonts w:ascii="宋体" w:hAnsi="宋体" w:eastAsia="宋体" w:cs="Times New Roman"/>
          <w:color w:val="auto"/>
          <w:kern w:val="0"/>
          <w:sz w:val="21"/>
          <w:szCs w:val="21"/>
          <w:highlight w:val="none"/>
          <w:lang w:eastAsia="zh-Hans"/>
        </w:rPr>
        <w:t xml:space="preserve">月 </w:t>
      </w:r>
      <w:r>
        <w:rPr>
          <w:rFonts w:hint="eastAsia" w:ascii="宋体" w:hAnsi="宋体" w:eastAsia="宋体" w:cs="Times New Roman"/>
          <w:color w:val="auto"/>
          <w:kern w:val="0"/>
          <w:sz w:val="21"/>
          <w:szCs w:val="21"/>
          <w:highlight w:val="none"/>
        </w:rPr>
        <w:t xml:space="preserve"> </w:t>
      </w:r>
      <w:r>
        <w:rPr>
          <w:rFonts w:ascii="宋体" w:hAnsi="宋体" w:eastAsia="宋体" w:cs="Times New Roman"/>
          <w:color w:val="auto"/>
          <w:kern w:val="0"/>
          <w:sz w:val="21"/>
          <w:szCs w:val="21"/>
          <w:highlight w:val="none"/>
          <w:lang w:eastAsia="zh-Hans"/>
        </w:rPr>
        <w:t>日</w:t>
      </w:r>
    </w:p>
    <w:p w14:paraId="05A3DA27">
      <w:pPr>
        <w:spacing w:line="360" w:lineRule="auto"/>
        <w:rPr>
          <w:rFonts w:hint="eastAsia" w:ascii="宋体" w:hAnsi="宋体" w:eastAsia="宋体" w:cs="宋体"/>
          <w:color w:val="auto"/>
          <w:sz w:val="21"/>
          <w:szCs w:val="21"/>
          <w:highlight w:val="none"/>
        </w:rPr>
      </w:pPr>
    </w:p>
    <w:p w14:paraId="6D337859">
      <w:pPr>
        <w:rPr>
          <w:rFonts w:ascii="宋体" w:hAnsi="宋体" w:eastAsia="宋体"/>
          <w:b/>
          <w:bCs/>
          <w:color w:val="auto"/>
          <w:sz w:val="24"/>
          <w:szCs w:val="28"/>
          <w:highlight w:val="none"/>
        </w:rPr>
      </w:pPr>
      <w:r>
        <w:rPr>
          <w:rFonts w:ascii="宋体" w:hAnsi="宋体" w:eastAsia="宋体"/>
          <w:b/>
          <w:bCs/>
          <w:color w:val="auto"/>
          <w:sz w:val="24"/>
          <w:szCs w:val="28"/>
          <w:highlight w:val="none"/>
        </w:rPr>
        <w:br w:type="page"/>
      </w:r>
    </w:p>
    <w:p w14:paraId="6ED281EA">
      <w:pPr>
        <w:pageBreakBefore/>
        <w:rPr>
          <w:rFonts w:ascii="Calibri" w:hAnsi="Calibri" w:eastAsia="宋体" w:cs="Times New Roman"/>
          <w:color w:val="auto"/>
          <w:kern w:val="0"/>
          <w:sz w:val="20"/>
          <w:szCs w:val="20"/>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十八</w:t>
      </w:r>
      <w:r>
        <w:rPr>
          <w:rFonts w:ascii="宋体" w:hAnsi="宋体" w:eastAsia="宋体"/>
          <w:b/>
          <w:bCs/>
          <w:color w:val="auto"/>
          <w:sz w:val="24"/>
          <w:szCs w:val="28"/>
          <w:highlight w:val="none"/>
        </w:rPr>
        <w:t>：</w:t>
      </w:r>
      <w:bookmarkEnd w:id="55"/>
    </w:p>
    <w:p w14:paraId="1CCEEDC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CD1D7C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49509B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3463C6D9">
      <w:pPr>
        <w:widowControl/>
        <w:jc w:val="left"/>
        <w:rPr>
          <w:rFonts w:ascii="Calibri" w:hAnsi="Calibri" w:eastAsia="宋体" w:cs="Times New Roman"/>
          <w:color w:val="auto"/>
          <w:kern w:val="0"/>
          <w:sz w:val="20"/>
          <w:szCs w:val="20"/>
          <w:highlight w:val="none"/>
          <w:lang w:eastAsia="zh-Hans"/>
        </w:rPr>
      </w:pPr>
    </w:p>
    <w:p w14:paraId="72D04ACC">
      <w:pPr>
        <w:pageBreakBefore/>
        <w:rPr>
          <w:rFonts w:ascii="Calibri" w:hAnsi="Calibri" w:eastAsia="宋体" w:cs="Times New Roman"/>
          <w:color w:val="auto"/>
          <w:kern w:val="0"/>
          <w:sz w:val="20"/>
          <w:szCs w:val="20"/>
          <w:highlight w:val="none"/>
          <w:lang w:eastAsia="zh-Hans"/>
        </w:rPr>
      </w:pPr>
      <w:bookmarkStart w:id="58" w:name="_Toc169799803"/>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bookmarkEnd w:id="58"/>
    </w:p>
    <w:p w14:paraId="3BD25764">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0F6F64BB">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3F7825C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76C58B4">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6293AB15">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6173F96">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54EF3A1A">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03190D92">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A1D1B5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9AF5F61">
      <w:pPr>
        <w:pageBreakBefore/>
        <w:rPr>
          <w:rFonts w:ascii="Calibri" w:hAnsi="Calibri" w:eastAsia="宋体" w:cs="Times New Roman"/>
          <w:color w:val="auto"/>
          <w:kern w:val="0"/>
          <w:sz w:val="20"/>
          <w:szCs w:val="20"/>
          <w:highlight w:val="none"/>
          <w:lang w:eastAsia="zh-Hans"/>
        </w:rPr>
      </w:pPr>
      <w:bookmarkStart w:id="59" w:name="_Toc169799804"/>
      <w:r>
        <w:rPr>
          <w:rFonts w:ascii="宋体" w:hAnsi="宋体" w:eastAsia="宋体"/>
          <w:b/>
          <w:bCs/>
          <w:color w:val="auto"/>
          <w:sz w:val="24"/>
          <w:szCs w:val="28"/>
          <w:highlight w:val="none"/>
        </w:rPr>
        <w:t>格式二十：</w:t>
      </w:r>
      <w:bookmarkEnd w:id="59"/>
    </w:p>
    <w:p w14:paraId="67EAE6A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583F45B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B32EBFA">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48D7E72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DCBFF8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2FCD3BA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3D2D958F">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69EDC84B">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6229C2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70D3B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51A6328E">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1286613">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05E0A0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158961A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527468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6C7574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1ADF3E7">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424B4A5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D70AE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6DC662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04751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1B10DD0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0FC15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11D5C0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5050D0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475EB28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16F2D88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D6A83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A3CC2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07FB76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8D6D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4F27879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A89AB9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4E894DE5">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047E3C50">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79DC6E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188EC3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346264A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3DBC47F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7B228F4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7CB916B6">
      <w:pPr>
        <w:widowControl/>
        <w:jc w:val="left"/>
        <w:rPr>
          <w:rFonts w:ascii="宋体" w:hAnsi="宋体" w:eastAsia="宋体" w:cs="Times New Roman"/>
          <w:color w:val="auto"/>
          <w:kern w:val="0"/>
          <w:szCs w:val="21"/>
          <w:highlight w:val="none"/>
          <w:lang w:eastAsia="zh-Hans"/>
        </w:rPr>
      </w:pPr>
      <w:bookmarkStart w:id="60" w:name="_Hlk170136144"/>
      <w:r>
        <w:rPr>
          <w:rFonts w:ascii="宋体" w:hAnsi="宋体" w:eastAsia="宋体" w:cs="Times New Roman"/>
          <w:color w:val="auto"/>
          <w:kern w:val="0"/>
          <w:szCs w:val="21"/>
          <w:highlight w:val="none"/>
          <w:lang w:eastAsia="zh-Hans"/>
        </w:rPr>
        <w:t>一、投诉相关主体基本情况</w:t>
      </w:r>
    </w:p>
    <w:p w14:paraId="63A946C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00DAB3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76D61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1A47F80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603968F">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B3E0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9BCB9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482F0F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06C112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CDA3C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B57F9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90C304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23A48F7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B1FF41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3E3CA8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DCA0E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F14FF2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238C669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25840424">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5ED4955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6E61E8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1F58B2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73E97F8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5FCF89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37EC63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2AB79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076EDF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38C0D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6EE7D1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4E5B35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C1D217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49992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29C8C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3AB5B81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86373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A47D5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BE2DBF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591CDE4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4388444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5DB1172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0"/>
    <w:p w14:paraId="10008520">
      <w:pPr>
        <w:pageBreakBefore/>
        <w:rPr>
          <w:rFonts w:ascii="Calibri" w:hAnsi="Calibri" w:eastAsia="宋体" w:cs="Times New Roman"/>
          <w:color w:val="auto"/>
          <w:kern w:val="0"/>
          <w:sz w:val="20"/>
          <w:szCs w:val="20"/>
          <w:highlight w:val="none"/>
          <w:lang w:eastAsia="zh-Hans"/>
        </w:rPr>
      </w:pPr>
      <w:bookmarkStart w:id="61"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eastAsia="zh-CN"/>
        </w:rPr>
        <w:t>一</w:t>
      </w:r>
      <w:r>
        <w:rPr>
          <w:rFonts w:ascii="宋体" w:hAnsi="宋体" w:eastAsia="宋体"/>
          <w:b/>
          <w:bCs/>
          <w:color w:val="auto"/>
          <w:sz w:val="24"/>
          <w:szCs w:val="28"/>
          <w:highlight w:val="none"/>
        </w:rPr>
        <w:t>：</w:t>
      </w:r>
      <w:bookmarkEnd w:id="61"/>
    </w:p>
    <w:p w14:paraId="7EFFC828">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55BBCC38">
      <w:pPr>
        <w:pStyle w:val="21"/>
        <w:rPr>
          <w:rFonts w:hint="default" w:ascii="Calibri" w:hAnsi="Calibri" w:eastAsia="宋体" w:cs="Times New Roman"/>
          <w:color w:val="auto"/>
          <w:highlight w:val="none"/>
        </w:rPr>
      </w:pPr>
      <w:r>
        <w:rPr>
          <w:rFonts w:hint="eastAsia" w:ascii="Calibri" w:hAnsi="Calibri" w:eastAsia="宋体" w:cs="Times New Roman"/>
          <w:color w:val="auto"/>
          <w:highlight w:val="none"/>
        </w:rPr>
        <w:t>项目实施方案、服务质量保障方案、服务人员配置方案、保密措施、故障排除及应急方案</w:t>
      </w:r>
      <w:r>
        <w:rPr>
          <w:rFonts w:ascii="Calibri" w:hAnsi="Calibri" w:eastAsia="宋体" w:cs="Times New Roman"/>
          <w:color w:val="auto"/>
          <w:highlight w:val="none"/>
        </w:rPr>
        <w:t>等内容和格式自拟。</w:t>
      </w:r>
    </w:p>
    <w:p w14:paraId="718F3F21">
      <w:pPr>
        <w:rPr>
          <w:color w:val="auto"/>
          <w:highlight w:val="none"/>
        </w:rPr>
      </w:pPr>
    </w:p>
    <w:p w14:paraId="0524BA46">
      <w:pPr>
        <w:rPr>
          <w:rFonts w:ascii="Calibri" w:hAnsi="Calibri" w:eastAsia="宋体" w:cs="Times New Roman"/>
          <w:color w:val="auto"/>
          <w:kern w:val="0"/>
          <w:sz w:val="20"/>
          <w:szCs w:val="20"/>
          <w:highlight w:val="none"/>
          <w:lang w:eastAsia="zh-Hans"/>
        </w:rPr>
      </w:pPr>
    </w:p>
    <w:p w14:paraId="7380E788">
      <w:pPr>
        <w:pageBreakBefore/>
        <w:rPr>
          <w:bCs/>
          <w:color w:val="auto"/>
          <w:highlight w:val="none"/>
        </w:rPr>
      </w:pPr>
      <w:r>
        <w:rPr>
          <w:rFonts w:hint="eastAsia" w:ascii="宋体" w:hAnsi="宋体" w:eastAsia="宋体"/>
          <w:b/>
          <w:bCs/>
          <w:color w:val="auto"/>
          <w:sz w:val="24"/>
          <w:szCs w:val="28"/>
          <w:highlight w:val="none"/>
        </w:rPr>
        <w:t>唱标信封格式</w:t>
      </w:r>
    </w:p>
    <w:p w14:paraId="333F3E4C">
      <w:pPr>
        <w:spacing w:before="652" w:beforeLines="150"/>
        <w:jc w:val="center"/>
        <w:rPr>
          <w:rFonts w:hint="eastAsia" w:ascii="宋体" w:hAnsi="宋体" w:eastAsia="宋体"/>
          <w:b/>
          <w:bCs/>
          <w:color w:val="auto"/>
          <w:sz w:val="80"/>
          <w:szCs w:val="80"/>
          <w:highlight w:val="none"/>
          <w:lang w:eastAsia="zh-CN"/>
        </w:rPr>
      </w:pPr>
      <w:r>
        <w:rPr>
          <w:rFonts w:hint="eastAsia" w:ascii="宋体" w:hAnsi="宋体" w:eastAsia="宋体"/>
          <w:b/>
          <w:bCs/>
          <w:color w:val="auto"/>
          <w:sz w:val="80"/>
          <w:szCs w:val="80"/>
          <w:highlight w:val="none"/>
          <w:lang w:eastAsia="zh-CN"/>
        </w:rPr>
        <w:t>鸦片战争博物馆2025—2026年业务系统运行维护及网络安全维护服务项目</w:t>
      </w:r>
    </w:p>
    <w:p w14:paraId="1C45C70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3BF1DE3E">
      <w:pPr>
        <w:jc w:val="center"/>
        <w:rPr>
          <w:rFonts w:ascii="宋体" w:hAnsi="宋体" w:eastAsia="宋体"/>
          <w:b/>
          <w:bCs/>
          <w:color w:val="auto"/>
          <w:highlight w:val="none"/>
        </w:rPr>
      </w:pPr>
      <w:r>
        <w:rPr>
          <w:rFonts w:ascii="宋体" w:hAnsi="宋体" w:eastAsia="宋体"/>
          <w:b/>
          <w:bCs/>
          <w:color w:val="auto"/>
          <w:highlight w:val="none"/>
        </w:rPr>
        <w:br w:type="textWrapping"/>
      </w:r>
    </w:p>
    <w:p w14:paraId="48E7C3EB">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ZHDGZC2025038</w:t>
      </w:r>
    </w:p>
    <w:p w14:paraId="7E53EE93">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4F4864B">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63D0E60D">
      <w:pPr>
        <w:spacing w:line="360" w:lineRule="auto"/>
        <w:jc w:val="center"/>
        <w:rPr>
          <w:rFonts w:ascii="黑体" w:hAnsi="黑体" w:eastAsia="黑体"/>
          <w:bCs/>
          <w:color w:val="auto"/>
          <w:sz w:val="50"/>
          <w:szCs w:val="50"/>
          <w:highlight w:val="none"/>
        </w:rPr>
      </w:pPr>
    </w:p>
    <w:p w14:paraId="601675D5">
      <w:pPr>
        <w:pStyle w:val="27"/>
        <w:numPr>
          <w:ilvl w:val="0"/>
          <w:numId w:val="145"/>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52E698CE">
      <w:pPr>
        <w:pStyle w:val="27"/>
        <w:numPr>
          <w:ilvl w:val="0"/>
          <w:numId w:val="145"/>
        </w:numPr>
        <w:spacing w:line="360" w:lineRule="auto"/>
        <w:ind w:firstLineChars="0"/>
        <w:rPr>
          <w:color w:val="auto"/>
          <w:highlight w:val="none"/>
        </w:rPr>
      </w:pPr>
      <w:r>
        <w:rPr>
          <w:rFonts w:hint="eastAsia" w:ascii="宋体" w:hAnsi="宋体" w:eastAsia="宋体"/>
          <w:color w:val="auto"/>
          <w:szCs w:val="21"/>
          <w:highlight w:val="none"/>
        </w:rPr>
        <w:t>法定代表人证明书或法定代表人授权委托书加盖投标人公章</w:t>
      </w:r>
      <w:r>
        <w:rPr>
          <w:rFonts w:hint="eastAsia" w:ascii="宋体" w:hAnsi="宋体" w:eastAsia="宋体"/>
          <w:color w:val="auto"/>
          <w:szCs w:val="21"/>
          <w:highlight w:val="none"/>
          <w:lang w:eastAsia="zh-CN"/>
        </w:rPr>
        <w:t>。</w:t>
      </w:r>
    </w:p>
    <w:sectPr>
      <w:headerReference r:id="rId3" w:type="default"/>
      <w:footerReference r:id="rId4" w:type="default"/>
      <w:pgSz w:w="11906" w:h="16838"/>
      <w:pgMar w:top="1418" w:right="1418" w:bottom="1418" w:left="1418" w:header="851" w:footer="992" w:gutter="0"/>
      <w:pgBorders>
        <w:top w:val="none" w:sz="0" w:space="0"/>
        <w:left w:val="none" w:sz="0" w:space="0"/>
        <w:bottom w:val="none" w:sz="0" w:space="0"/>
        <w:right w:val="none" w:sz="0" w:space="0"/>
      </w:pgBorders>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9"/>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1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9EB1D"/>
    <w:multiLevelType w:val="singleLevel"/>
    <w:tmpl w:val="8409EB1D"/>
    <w:lvl w:ilvl="0" w:tentative="0">
      <w:start w:val="1"/>
      <w:numFmt w:val="decimal"/>
      <w:lvlText w:val="%1)"/>
      <w:lvlJc w:val="left"/>
      <w:pPr>
        <w:ind w:left="425" w:hanging="425"/>
      </w:pPr>
      <w:rPr>
        <w:rFonts w:hint="default"/>
      </w:rPr>
    </w:lvl>
  </w:abstractNum>
  <w:abstractNum w:abstractNumId="1">
    <w:nsid w:val="855A1080"/>
    <w:multiLevelType w:val="singleLevel"/>
    <w:tmpl w:val="855A1080"/>
    <w:lvl w:ilvl="0" w:tentative="0">
      <w:start w:val="1"/>
      <w:numFmt w:val="decimal"/>
      <w:lvlText w:val="%1)"/>
      <w:lvlJc w:val="left"/>
      <w:pPr>
        <w:ind w:left="425" w:hanging="425"/>
      </w:pPr>
      <w:rPr>
        <w:rFonts w:hint="default"/>
      </w:rPr>
    </w:lvl>
  </w:abstractNum>
  <w:abstractNum w:abstractNumId="2">
    <w:nsid w:val="86A11F85"/>
    <w:multiLevelType w:val="singleLevel"/>
    <w:tmpl w:val="86A11F85"/>
    <w:lvl w:ilvl="0" w:tentative="0">
      <w:start w:val="1"/>
      <w:numFmt w:val="decimal"/>
      <w:lvlText w:val="%1)"/>
      <w:lvlJc w:val="left"/>
      <w:pPr>
        <w:ind w:left="425" w:hanging="425"/>
      </w:pPr>
      <w:rPr>
        <w:rFonts w:hint="default"/>
      </w:rPr>
    </w:lvl>
  </w:abstractNum>
  <w:abstractNum w:abstractNumId="3">
    <w:nsid w:val="87611BEE"/>
    <w:multiLevelType w:val="singleLevel"/>
    <w:tmpl w:val="87611BEE"/>
    <w:lvl w:ilvl="0" w:tentative="0">
      <w:start w:val="1"/>
      <w:numFmt w:val="decimal"/>
      <w:lvlText w:val="%1)"/>
      <w:lvlJc w:val="left"/>
      <w:pPr>
        <w:ind w:left="425" w:hanging="425"/>
      </w:pPr>
      <w:rPr>
        <w:rFonts w:hint="default"/>
      </w:rPr>
    </w:lvl>
  </w:abstractNum>
  <w:abstractNum w:abstractNumId="4">
    <w:nsid w:val="894EB91D"/>
    <w:multiLevelType w:val="singleLevel"/>
    <w:tmpl w:val="894EB91D"/>
    <w:lvl w:ilvl="0" w:tentative="0">
      <w:start w:val="1"/>
      <w:numFmt w:val="decimal"/>
      <w:lvlText w:val="%1)"/>
      <w:lvlJc w:val="left"/>
      <w:pPr>
        <w:ind w:left="425" w:hanging="425"/>
      </w:pPr>
      <w:rPr>
        <w:rFonts w:hint="default"/>
      </w:rPr>
    </w:lvl>
  </w:abstractNum>
  <w:abstractNum w:abstractNumId="5">
    <w:nsid w:val="8A9BB668"/>
    <w:multiLevelType w:val="singleLevel"/>
    <w:tmpl w:val="8A9BB668"/>
    <w:lvl w:ilvl="0" w:tentative="0">
      <w:start w:val="1"/>
      <w:numFmt w:val="decimal"/>
      <w:lvlText w:val="%1)"/>
      <w:lvlJc w:val="left"/>
      <w:pPr>
        <w:ind w:left="425" w:hanging="425"/>
      </w:pPr>
      <w:rPr>
        <w:rFonts w:hint="default"/>
      </w:rPr>
    </w:lvl>
  </w:abstractNum>
  <w:abstractNum w:abstractNumId="6">
    <w:nsid w:val="90E1D716"/>
    <w:multiLevelType w:val="singleLevel"/>
    <w:tmpl w:val="90E1D716"/>
    <w:lvl w:ilvl="0" w:tentative="0">
      <w:start w:val="1"/>
      <w:numFmt w:val="decimal"/>
      <w:lvlText w:val="%1)"/>
      <w:lvlJc w:val="left"/>
      <w:pPr>
        <w:ind w:left="425" w:hanging="425"/>
      </w:pPr>
      <w:rPr>
        <w:rFonts w:hint="default"/>
      </w:rPr>
    </w:lvl>
  </w:abstractNum>
  <w:abstractNum w:abstractNumId="7">
    <w:nsid w:val="944BBF82"/>
    <w:multiLevelType w:val="singleLevel"/>
    <w:tmpl w:val="944BBF82"/>
    <w:lvl w:ilvl="0" w:tentative="0">
      <w:start w:val="1"/>
      <w:numFmt w:val="decimal"/>
      <w:lvlText w:val="%1)"/>
      <w:lvlJc w:val="left"/>
      <w:pPr>
        <w:ind w:left="425" w:hanging="425"/>
      </w:pPr>
      <w:rPr>
        <w:rFonts w:hint="default"/>
      </w:rPr>
    </w:lvl>
  </w:abstractNum>
  <w:abstractNum w:abstractNumId="8">
    <w:nsid w:val="9597BE31"/>
    <w:multiLevelType w:val="singleLevel"/>
    <w:tmpl w:val="9597BE31"/>
    <w:lvl w:ilvl="0" w:tentative="0">
      <w:start w:val="1"/>
      <w:numFmt w:val="decimal"/>
      <w:lvlText w:val="%1)"/>
      <w:lvlJc w:val="left"/>
      <w:pPr>
        <w:ind w:left="425" w:hanging="425"/>
      </w:pPr>
      <w:rPr>
        <w:rFonts w:hint="default"/>
      </w:rPr>
    </w:lvl>
  </w:abstractNum>
  <w:abstractNum w:abstractNumId="9">
    <w:nsid w:val="9AAC5692"/>
    <w:multiLevelType w:val="multilevel"/>
    <w:tmpl w:val="9AAC569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9D695D54"/>
    <w:multiLevelType w:val="singleLevel"/>
    <w:tmpl w:val="9D695D54"/>
    <w:lvl w:ilvl="0" w:tentative="0">
      <w:start w:val="1"/>
      <w:numFmt w:val="decimal"/>
      <w:lvlText w:val="%1)"/>
      <w:lvlJc w:val="left"/>
      <w:pPr>
        <w:ind w:left="425" w:hanging="425"/>
      </w:pPr>
      <w:rPr>
        <w:rFonts w:hint="default"/>
      </w:rPr>
    </w:lvl>
  </w:abstractNum>
  <w:abstractNum w:abstractNumId="11">
    <w:nsid w:val="A2943BE6"/>
    <w:multiLevelType w:val="singleLevel"/>
    <w:tmpl w:val="A2943BE6"/>
    <w:lvl w:ilvl="0" w:tentative="0">
      <w:start w:val="1"/>
      <w:numFmt w:val="decimalEnclosedCircleChinese"/>
      <w:suff w:val="nothing"/>
      <w:lvlText w:val="%1　"/>
      <w:lvlJc w:val="left"/>
      <w:pPr>
        <w:ind w:left="0" w:firstLine="400"/>
      </w:pPr>
      <w:rPr>
        <w:rFonts w:hint="eastAsia"/>
      </w:rPr>
    </w:lvl>
  </w:abstractNum>
  <w:abstractNum w:abstractNumId="12">
    <w:nsid w:val="A4B5E87A"/>
    <w:multiLevelType w:val="singleLevel"/>
    <w:tmpl w:val="A4B5E87A"/>
    <w:lvl w:ilvl="0" w:tentative="0">
      <w:start w:val="1"/>
      <w:numFmt w:val="decimal"/>
      <w:pStyle w:val="4"/>
      <w:lvlText w:val="%1."/>
      <w:lvlJc w:val="left"/>
      <w:pPr>
        <w:ind w:left="425" w:hanging="425"/>
      </w:pPr>
      <w:rPr>
        <w:rFonts w:hint="default"/>
      </w:rPr>
    </w:lvl>
  </w:abstractNum>
  <w:abstractNum w:abstractNumId="13">
    <w:nsid w:val="A4CA613F"/>
    <w:multiLevelType w:val="singleLevel"/>
    <w:tmpl w:val="A4CA613F"/>
    <w:lvl w:ilvl="0" w:tentative="0">
      <w:start w:val="1"/>
      <w:numFmt w:val="decimal"/>
      <w:lvlText w:val="%1)"/>
      <w:lvlJc w:val="left"/>
      <w:pPr>
        <w:ind w:left="425" w:hanging="425"/>
      </w:pPr>
      <w:rPr>
        <w:rFonts w:hint="default"/>
      </w:rPr>
    </w:lvl>
  </w:abstractNum>
  <w:abstractNum w:abstractNumId="14">
    <w:nsid w:val="A6DA2962"/>
    <w:multiLevelType w:val="singleLevel"/>
    <w:tmpl w:val="A6DA2962"/>
    <w:lvl w:ilvl="0" w:tentative="0">
      <w:start w:val="1"/>
      <w:numFmt w:val="decimal"/>
      <w:lvlText w:val="(%1)"/>
      <w:lvlJc w:val="left"/>
      <w:pPr>
        <w:ind w:left="425" w:hanging="425"/>
      </w:pPr>
      <w:rPr>
        <w:rFonts w:hint="default"/>
      </w:rPr>
    </w:lvl>
  </w:abstractNum>
  <w:abstractNum w:abstractNumId="15">
    <w:nsid w:val="A81F3BD8"/>
    <w:multiLevelType w:val="singleLevel"/>
    <w:tmpl w:val="A81F3BD8"/>
    <w:lvl w:ilvl="0" w:tentative="0">
      <w:start w:val="1"/>
      <w:numFmt w:val="decimalEnclosedCircleChinese"/>
      <w:suff w:val="nothing"/>
      <w:lvlText w:val="%1　"/>
      <w:lvlJc w:val="left"/>
      <w:pPr>
        <w:ind w:left="0" w:firstLine="400"/>
      </w:pPr>
      <w:rPr>
        <w:rFonts w:hint="eastAsia"/>
      </w:rPr>
    </w:lvl>
  </w:abstractNum>
  <w:abstractNum w:abstractNumId="16">
    <w:nsid w:val="A980284B"/>
    <w:multiLevelType w:val="singleLevel"/>
    <w:tmpl w:val="A980284B"/>
    <w:lvl w:ilvl="0" w:tentative="0">
      <w:start w:val="1"/>
      <w:numFmt w:val="decimal"/>
      <w:lvlText w:val="(%1)"/>
      <w:lvlJc w:val="left"/>
      <w:pPr>
        <w:ind w:left="425" w:hanging="425"/>
      </w:pPr>
      <w:rPr>
        <w:rFonts w:hint="default"/>
      </w:rPr>
    </w:lvl>
  </w:abstractNum>
  <w:abstractNum w:abstractNumId="17">
    <w:nsid w:val="AE140D8E"/>
    <w:multiLevelType w:val="singleLevel"/>
    <w:tmpl w:val="AE140D8E"/>
    <w:lvl w:ilvl="0" w:tentative="0">
      <w:start w:val="1"/>
      <w:numFmt w:val="decimal"/>
      <w:lvlText w:val="%1)"/>
      <w:lvlJc w:val="left"/>
      <w:pPr>
        <w:ind w:left="425" w:hanging="425"/>
      </w:pPr>
      <w:rPr>
        <w:rFonts w:hint="default"/>
      </w:rPr>
    </w:lvl>
  </w:abstractNum>
  <w:abstractNum w:abstractNumId="18">
    <w:nsid w:val="B386B867"/>
    <w:multiLevelType w:val="singleLevel"/>
    <w:tmpl w:val="B386B867"/>
    <w:lvl w:ilvl="0" w:tentative="0">
      <w:start w:val="1"/>
      <w:numFmt w:val="decimal"/>
      <w:lvlText w:val="%1)"/>
      <w:lvlJc w:val="left"/>
      <w:pPr>
        <w:ind w:left="425" w:hanging="425"/>
      </w:pPr>
      <w:rPr>
        <w:rFonts w:hint="default"/>
      </w:rPr>
    </w:lvl>
  </w:abstractNum>
  <w:abstractNum w:abstractNumId="19">
    <w:nsid w:val="B3F36B83"/>
    <w:multiLevelType w:val="singleLevel"/>
    <w:tmpl w:val="B3F36B83"/>
    <w:lvl w:ilvl="0" w:tentative="0">
      <w:start w:val="1"/>
      <w:numFmt w:val="decimal"/>
      <w:lvlText w:val="%1)"/>
      <w:lvlJc w:val="left"/>
      <w:pPr>
        <w:ind w:left="425" w:hanging="425"/>
      </w:pPr>
      <w:rPr>
        <w:rFonts w:hint="default"/>
      </w:rPr>
    </w:lvl>
  </w:abstractNum>
  <w:abstractNum w:abstractNumId="20">
    <w:nsid w:val="C49D7309"/>
    <w:multiLevelType w:val="multilevel"/>
    <w:tmpl w:val="C49D730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C6E3FB3A"/>
    <w:multiLevelType w:val="singleLevel"/>
    <w:tmpl w:val="C6E3FB3A"/>
    <w:lvl w:ilvl="0" w:tentative="0">
      <w:start w:val="1"/>
      <w:numFmt w:val="decimalEnclosedCircleChinese"/>
      <w:suff w:val="nothing"/>
      <w:lvlText w:val="%1　"/>
      <w:lvlJc w:val="left"/>
      <w:pPr>
        <w:ind w:left="0" w:firstLine="400"/>
      </w:pPr>
      <w:rPr>
        <w:rFonts w:hint="eastAsia"/>
      </w:rPr>
    </w:lvl>
  </w:abstractNum>
  <w:abstractNum w:abstractNumId="22">
    <w:nsid w:val="C73CB8F2"/>
    <w:multiLevelType w:val="singleLevel"/>
    <w:tmpl w:val="C73CB8F2"/>
    <w:lvl w:ilvl="0" w:tentative="0">
      <w:start w:val="1"/>
      <w:numFmt w:val="decimalEnclosedCircleChinese"/>
      <w:suff w:val="nothing"/>
      <w:lvlText w:val="%1　"/>
      <w:lvlJc w:val="left"/>
      <w:pPr>
        <w:ind w:left="0" w:firstLine="400"/>
      </w:pPr>
      <w:rPr>
        <w:rFonts w:hint="eastAsia"/>
      </w:rPr>
    </w:lvl>
  </w:abstractNum>
  <w:abstractNum w:abstractNumId="23">
    <w:nsid w:val="CA8F72C9"/>
    <w:multiLevelType w:val="singleLevel"/>
    <w:tmpl w:val="CA8F72C9"/>
    <w:lvl w:ilvl="0" w:tentative="0">
      <w:start w:val="1"/>
      <w:numFmt w:val="decimal"/>
      <w:lvlText w:val="%1)"/>
      <w:lvlJc w:val="left"/>
      <w:pPr>
        <w:ind w:left="425" w:hanging="425"/>
      </w:pPr>
      <w:rPr>
        <w:rFonts w:hint="default"/>
      </w:rPr>
    </w:lvl>
  </w:abstractNum>
  <w:abstractNum w:abstractNumId="24">
    <w:nsid w:val="CE3D4081"/>
    <w:multiLevelType w:val="singleLevel"/>
    <w:tmpl w:val="CE3D4081"/>
    <w:lvl w:ilvl="0" w:tentative="0">
      <w:start w:val="1"/>
      <w:numFmt w:val="decimal"/>
      <w:lvlText w:val="%1)"/>
      <w:lvlJc w:val="left"/>
      <w:pPr>
        <w:ind w:left="425" w:hanging="425"/>
      </w:pPr>
      <w:rPr>
        <w:rFonts w:hint="default"/>
      </w:rPr>
    </w:lvl>
  </w:abstractNum>
  <w:abstractNum w:abstractNumId="25">
    <w:nsid w:val="D094794A"/>
    <w:multiLevelType w:val="singleLevel"/>
    <w:tmpl w:val="D094794A"/>
    <w:lvl w:ilvl="0" w:tentative="0">
      <w:start w:val="1"/>
      <w:numFmt w:val="decimal"/>
      <w:lvlText w:val="%1)"/>
      <w:lvlJc w:val="left"/>
      <w:pPr>
        <w:ind w:left="425" w:hanging="425"/>
      </w:pPr>
      <w:rPr>
        <w:rFonts w:hint="default"/>
      </w:rPr>
    </w:lvl>
  </w:abstractNum>
  <w:abstractNum w:abstractNumId="26">
    <w:nsid w:val="D419A414"/>
    <w:multiLevelType w:val="multilevel"/>
    <w:tmpl w:val="D419A414"/>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7">
    <w:nsid w:val="DEFDEDD2"/>
    <w:multiLevelType w:val="singleLevel"/>
    <w:tmpl w:val="DEFDEDD2"/>
    <w:lvl w:ilvl="0" w:tentative="0">
      <w:start w:val="1"/>
      <w:numFmt w:val="decimal"/>
      <w:lvlText w:val="%1)"/>
      <w:lvlJc w:val="left"/>
      <w:pPr>
        <w:ind w:left="425" w:hanging="425"/>
      </w:pPr>
      <w:rPr>
        <w:rFonts w:hint="default"/>
      </w:rPr>
    </w:lvl>
  </w:abstractNum>
  <w:abstractNum w:abstractNumId="28">
    <w:nsid w:val="E8E6A880"/>
    <w:multiLevelType w:val="singleLevel"/>
    <w:tmpl w:val="E8E6A880"/>
    <w:lvl w:ilvl="0" w:tentative="0">
      <w:start w:val="1"/>
      <w:numFmt w:val="decimal"/>
      <w:lvlText w:val="%1)"/>
      <w:lvlJc w:val="left"/>
      <w:pPr>
        <w:ind w:left="425" w:hanging="425"/>
      </w:pPr>
      <w:rPr>
        <w:rFonts w:hint="default"/>
      </w:rPr>
    </w:lvl>
  </w:abstractNum>
  <w:abstractNum w:abstractNumId="29">
    <w:nsid w:val="EC547A04"/>
    <w:multiLevelType w:val="singleLevel"/>
    <w:tmpl w:val="EC547A04"/>
    <w:lvl w:ilvl="0" w:tentative="0">
      <w:start w:val="1"/>
      <w:numFmt w:val="decimal"/>
      <w:lvlText w:val="%1)"/>
      <w:lvlJc w:val="left"/>
      <w:pPr>
        <w:ind w:left="425" w:hanging="425"/>
      </w:pPr>
      <w:rPr>
        <w:rFonts w:hint="default"/>
      </w:rPr>
    </w:lvl>
  </w:abstractNum>
  <w:abstractNum w:abstractNumId="30">
    <w:nsid w:val="F0F6D476"/>
    <w:multiLevelType w:val="singleLevel"/>
    <w:tmpl w:val="F0F6D476"/>
    <w:lvl w:ilvl="0" w:tentative="0">
      <w:start w:val="1"/>
      <w:numFmt w:val="decimal"/>
      <w:lvlText w:val="(%1)"/>
      <w:lvlJc w:val="left"/>
      <w:pPr>
        <w:ind w:left="425" w:hanging="425"/>
      </w:pPr>
      <w:rPr>
        <w:rFonts w:hint="default"/>
      </w:rPr>
    </w:lvl>
  </w:abstractNum>
  <w:abstractNum w:abstractNumId="31">
    <w:nsid w:val="FE14278A"/>
    <w:multiLevelType w:val="singleLevel"/>
    <w:tmpl w:val="FE14278A"/>
    <w:lvl w:ilvl="0" w:tentative="0">
      <w:start w:val="1"/>
      <w:numFmt w:val="decimal"/>
      <w:lvlText w:val="(%1)"/>
      <w:lvlJc w:val="left"/>
      <w:pPr>
        <w:ind w:left="425" w:hanging="425"/>
      </w:pPr>
      <w:rPr>
        <w:rFonts w:hint="default"/>
      </w:rPr>
    </w:lvl>
  </w:abstractNum>
  <w:abstractNum w:abstractNumId="32">
    <w:nsid w:val="FFA10FAA"/>
    <w:multiLevelType w:val="multilevel"/>
    <w:tmpl w:val="FFA10FA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0000002F"/>
    <w:multiLevelType w:val="multilevel"/>
    <w:tmpl w:val="0000002F"/>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031E0ECB"/>
    <w:multiLevelType w:val="singleLevel"/>
    <w:tmpl w:val="031E0ECB"/>
    <w:lvl w:ilvl="0" w:tentative="0">
      <w:start w:val="1"/>
      <w:numFmt w:val="decimal"/>
      <w:lvlText w:val="%1)"/>
      <w:lvlJc w:val="left"/>
      <w:pPr>
        <w:ind w:left="425" w:hanging="425"/>
      </w:pPr>
      <w:rPr>
        <w:rFonts w:hint="default"/>
      </w:rPr>
    </w:lvl>
  </w:abstractNum>
  <w:abstractNum w:abstractNumId="44">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5">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06EEC228"/>
    <w:multiLevelType w:val="multilevel"/>
    <w:tmpl w:val="06EEC22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49">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0E18767D"/>
    <w:multiLevelType w:val="singleLevel"/>
    <w:tmpl w:val="0E18767D"/>
    <w:lvl w:ilvl="0" w:tentative="0">
      <w:start w:val="1"/>
      <w:numFmt w:val="decimal"/>
      <w:lvlText w:val="%1)"/>
      <w:lvlJc w:val="left"/>
      <w:pPr>
        <w:ind w:left="425" w:hanging="425"/>
      </w:pPr>
      <w:rPr>
        <w:rFonts w:hint="default"/>
      </w:rPr>
    </w:lvl>
  </w:abstractNum>
  <w:abstractNum w:abstractNumId="51">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18968766"/>
    <w:multiLevelType w:val="singleLevel"/>
    <w:tmpl w:val="18968766"/>
    <w:lvl w:ilvl="0" w:tentative="0">
      <w:start w:val="1"/>
      <w:numFmt w:val="decimal"/>
      <w:lvlText w:val="%1)"/>
      <w:lvlJc w:val="left"/>
      <w:pPr>
        <w:ind w:left="425" w:hanging="425"/>
      </w:pPr>
      <w:rPr>
        <w:rFonts w:hint="default"/>
      </w:rPr>
    </w:lvl>
  </w:abstractNum>
  <w:abstractNum w:abstractNumId="53">
    <w:nsid w:val="18BF613B"/>
    <w:multiLevelType w:val="singleLevel"/>
    <w:tmpl w:val="18BF613B"/>
    <w:lvl w:ilvl="0" w:tentative="0">
      <w:start w:val="1"/>
      <w:numFmt w:val="decimal"/>
      <w:lvlText w:val="(%1)"/>
      <w:lvlJc w:val="left"/>
      <w:pPr>
        <w:ind w:left="425" w:hanging="425"/>
      </w:pPr>
      <w:rPr>
        <w:rFonts w:hint="default"/>
      </w:rPr>
    </w:lvl>
  </w:abstractNum>
  <w:abstractNum w:abstractNumId="54">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1">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2CFEF8A4"/>
    <w:multiLevelType w:val="singleLevel"/>
    <w:tmpl w:val="2CFEF8A4"/>
    <w:lvl w:ilvl="0" w:tentative="0">
      <w:start w:val="1"/>
      <w:numFmt w:val="decimal"/>
      <w:lvlText w:val="%1)"/>
      <w:lvlJc w:val="left"/>
      <w:pPr>
        <w:ind w:left="425" w:hanging="425"/>
      </w:pPr>
      <w:rPr>
        <w:rFonts w:hint="default"/>
      </w:rPr>
    </w:lvl>
  </w:abstractNum>
  <w:abstractNum w:abstractNumId="69">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334E1EA8"/>
    <w:multiLevelType w:val="singleLevel"/>
    <w:tmpl w:val="334E1EA8"/>
    <w:lvl w:ilvl="0" w:tentative="0">
      <w:start w:val="1"/>
      <w:numFmt w:val="decimal"/>
      <w:lvlText w:val="%1)"/>
      <w:lvlJc w:val="left"/>
      <w:pPr>
        <w:ind w:left="425" w:hanging="425"/>
      </w:pPr>
      <w:rPr>
        <w:rFonts w:hint="default"/>
      </w:rPr>
    </w:lvl>
  </w:abstractNum>
  <w:abstractNum w:abstractNumId="71">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347E4ACA"/>
    <w:multiLevelType w:val="singleLevel"/>
    <w:tmpl w:val="347E4ACA"/>
    <w:lvl w:ilvl="0" w:tentative="0">
      <w:start w:val="1"/>
      <w:numFmt w:val="decimal"/>
      <w:lvlText w:val="(%1)"/>
      <w:lvlJc w:val="left"/>
      <w:pPr>
        <w:ind w:left="425" w:hanging="425"/>
      </w:pPr>
      <w:rPr>
        <w:rFonts w:hint="default"/>
      </w:rPr>
    </w:lvl>
  </w:abstractNum>
  <w:abstractNum w:abstractNumId="73">
    <w:nsid w:val="372389EA"/>
    <w:multiLevelType w:val="singleLevel"/>
    <w:tmpl w:val="372389EA"/>
    <w:lvl w:ilvl="0" w:tentative="0">
      <w:start w:val="1"/>
      <w:numFmt w:val="decimal"/>
      <w:lvlText w:val="%1."/>
      <w:lvlJc w:val="left"/>
      <w:pPr>
        <w:ind w:left="425" w:hanging="425"/>
      </w:pPr>
      <w:rPr>
        <w:rFonts w:hint="default"/>
      </w:rPr>
    </w:lvl>
  </w:abstractNum>
  <w:abstractNum w:abstractNumId="74">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38E45323"/>
    <w:multiLevelType w:val="singleLevel"/>
    <w:tmpl w:val="38E45323"/>
    <w:lvl w:ilvl="0" w:tentative="0">
      <w:start w:val="1"/>
      <w:numFmt w:val="decimal"/>
      <w:lvlText w:val="(%1)"/>
      <w:lvlJc w:val="left"/>
      <w:pPr>
        <w:ind w:left="425" w:hanging="425"/>
      </w:pPr>
      <w:rPr>
        <w:rFonts w:hint="default"/>
      </w:rPr>
    </w:lvl>
  </w:abstractNum>
  <w:abstractNum w:abstractNumId="76">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3B4982AE"/>
    <w:multiLevelType w:val="singleLevel"/>
    <w:tmpl w:val="3B4982AE"/>
    <w:lvl w:ilvl="0" w:tentative="0">
      <w:start w:val="1"/>
      <w:numFmt w:val="decimal"/>
      <w:lvlText w:val="%1)"/>
      <w:lvlJc w:val="left"/>
      <w:pPr>
        <w:ind w:left="425" w:hanging="425"/>
      </w:pPr>
      <w:rPr>
        <w:rFonts w:hint="default"/>
      </w:rPr>
    </w:lvl>
  </w:abstractNum>
  <w:abstractNum w:abstractNumId="80">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3DD18853"/>
    <w:multiLevelType w:val="singleLevel"/>
    <w:tmpl w:val="3DD18853"/>
    <w:lvl w:ilvl="0" w:tentative="0">
      <w:start w:val="1"/>
      <w:numFmt w:val="decimal"/>
      <w:lvlText w:val="%1)"/>
      <w:lvlJc w:val="left"/>
      <w:pPr>
        <w:ind w:left="425" w:hanging="425"/>
      </w:pPr>
      <w:rPr>
        <w:rFonts w:hint="default"/>
      </w:rPr>
    </w:lvl>
  </w:abstractNum>
  <w:abstractNum w:abstractNumId="82">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489E1325"/>
    <w:multiLevelType w:val="singleLevel"/>
    <w:tmpl w:val="489E1325"/>
    <w:lvl w:ilvl="0" w:tentative="0">
      <w:start w:val="1"/>
      <w:numFmt w:val="decimal"/>
      <w:lvlText w:val="(%1)"/>
      <w:lvlJc w:val="left"/>
      <w:pPr>
        <w:ind w:left="425" w:hanging="425"/>
      </w:pPr>
      <w:rPr>
        <w:rFonts w:hint="default"/>
      </w:rPr>
    </w:lvl>
  </w:abstractNum>
  <w:abstractNum w:abstractNumId="93">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5266A634"/>
    <w:multiLevelType w:val="singleLevel"/>
    <w:tmpl w:val="5266A634"/>
    <w:lvl w:ilvl="0" w:tentative="0">
      <w:start w:val="1"/>
      <w:numFmt w:val="decimal"/>
      <w:lvlText w:val="%1)"/>
      <w:lvlJc w:val="left"/>
      <w:pPr>
        <w:ind w:left="425" w:hanging="425"/>
      </w:pPr>
      <w:rPr>
        <w:rFonts w:hint="default"/>
      </w:rPr>
    </w:lvl>
  </w:abstractNum>
  <w:abstractNum w:abstractNumId="10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5">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58216896"/>
    <w:multiLevelType w:val="singleLevel"/>
    <w:tmpl w:val="58216896"/>
    <w:lvl w:ilvl="0" w:tentative="0">
      <w:start w:val="1"/>
      <w:numFmt w:val="decimal"/>
      <w:lvlText w:val="%1)"/>
      <w:lvlJc w:val="left"/>
      <w:pPr>
        <w:ind w:left="425" w:hanging="425"/>
      </w:pPr>
      <w:rPr>
        <w:rFonts w:hint="default"/>
      </w:rPr>
    </w:lvl>
  </w:abstractNum>
  <w:abstractNum w:abstractNumId="112">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5B50ADCC"/>
    <w:multiLevelType w:val="singleLevel"/>
    <w:tmpl w:val="5B50ADCC"/>
    <w:lvl w:ilvl="0" w:tentative="0">
      <w:start w:val="1"/>
      <w:numFmt w:val="decimal"/>
      <w:lvlText w:val="(%1)"/>
      <w:lvlJc w:val="left"/>
      <w:pPr>
        <w:ind w:left="425" w:hanging="425"/>
      </w:pPr>
      <w:rPr>
        <w:rFonts w:hint="default"/>
      </w:rPr>
    </w:lvl>
  </w:abstractNum>
  <w:abstractNum w:abstractNumId="114">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6">
    <w:nsid w:val="5C6D5F55"/>
    <w:multiLevelType w:val="singleLevel"/>
    <w:tmpl w:val="5C6D5F55"/>
    <w:lvl w:ilvl="0" w:tentative="0">
      <w:start w:val="1"/>
      <w:numFmt w:val="decimal"/>
      <w:lvlText w:val="%1)"/>
      <w:lvlJc w:val="left"/>
      <w:pPr>
        <w:ind w:left="425" w:hanging="425"/>
      </w:pPr>
      <w:rPr>
        <w:rFonts w:hint="default"/>
      </w:rPr>
    </w:lvl>
  </w:abstractNum>
  <w:abstractNum w:abstractNumId="117">
    <w:nsid w:val="600AD595"/>
    <w:multiLevelType w:val="singleLevel"/>
    <w:tmpl w:val="600AD595"/>
    <w:lvl w:ilvl="0" w:tentative="0">
      <w:start w:val="1"/>
      <w:numFmt w:val="decimal"/>
      <w:lvlText w:val="(%1)"/>
      <w:lvlJc w:val="left"/>
      <w:pPr>
        <w:ind w:left="425" w:hanging="425"/>
      </w:pPr>
      <w:rPr>
        <w:rFonts w:hint="default"/>
      </w:rPr>
    </w:lvl>
  </w:abstractNum>
  <w:abstractNum w:abstractNumId="118">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9">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2">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3">
    <w:nsid w:val="6917433B"/>
    <w:multiLevelType w:val="singleLevel"/>
    <w:tmpl w:val="6917433B"/>
    <w:lvl w:ilvl="0" w:tentative="0">
      <w:start w:val="1"/>
      <w:numFmt w:val="decimal"/>
      <w:lvlText w:val="%1)"/>
      <w:lvlJc w:val="left"/>
      <w:pPr>
        <w:ind w:left="425" w:hanging="425"/>
      </w:pPr>
      <w:rPr>
        <w:rFonts w:hint="default"/>
      </w:rPr>
    </w:lvl>
  </w:abstractNum>
  <w:abstractNum w:abstractNumId="124">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6">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7">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8">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9">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0">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1">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2">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3">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4">
    <w:nsid w:val="73D7005A"/>
    <w:multiLevelType w:val="singleLevel"/>
    <w:tmpl w:val="73D7005A"/>
    <w:lvl w:ilvl="0" w:tentative="0">
      <w:start w:val="1"/>
      <w:numFmt w:val="decimal"/>
      <w:lvlText w:val="%1)"/>
      <w:lvlJc w:val="left"/>
      <w:pPr>
        <w:ind w:left="425" w:hanging="425"/>
      </w:pPr>
      <w:rPr>
        <w:rFonts w:hint="default"/>
      </w:rPr>
    </w:lvl>
  </w:abstractNum>
  <w:abstractNum w:abstractNumId="135">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6">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8">
    <w:nsid w:val="79ED97FC"/>
    <w:multiLevelType w:val="singleLevel"/>
    <w:tmpl w:val="79ED97FC"/>
    <w:lvl w:ilvl="0" w:tentative="0">
      <w:start w:val="1"/>
      <w:numFmt w:val="decimal"/>
      <w:lvlText w:val="%1)"/>
      <w:lvlJc w:val="left"/>
      <w:pPr>
        <w:ind w:left="425" w:hanging="425"/>
      </w:pPr>
      <w:rPr>
        <w:rFonts w:hint="default"/>
      </w:rPr>
    </w:lvl>
  </w:abstractNum>
  <w:abstractNum w:abstractNumId="139">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4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1">
    <w:nsid w:val="7BAD2325"/>
    <w:multiLevelType w:val="singleLevel"/>
    <w:tmpl w:val="7BAD2325"/>
    <w:lvl w:ilvl="0" w:tentative="0">
      <w:start w:val="1"/>
      <w:numFmt w:val="decimal"/>
      <w:lvlText w:val="%1)"/>
      <w:lvlJc w:val="left"/>
      <w:pPr>
        <w:ind w:left="425" w:hanging="425"/>
      </w:pPr>
      <w:rPr>
        <w:rFonts w:hint="default"/>
      </w:rPr>
    </w:lvl>
  </w:abstractNum>
  <w:abstractNum w:abstractNumId="142">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3">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4">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2"/>
  </w:num>
  <w:num w:numId="2">
    <w:abstractNumId w:val="71"/>
  </w:num>
  <w:num w:numId="3">
    <w:abstractNumId w:val="64"/>
  </w:num>
  <w:num w:numId="4">
    <w:abstractNumId w:val="87"/>
  </w:num>
  <w:num w:numId="5">
    <w:abstractNumId w:val="69"/>
  </w:num>
  <w:num w:numId="6">
    <w:abstractNumId w:val="96"/>
  </w:num>
  <w:num w:numId="7">
    <w:abstractNumId w:val="133"/>
  </w:num>
  <w:num w:numId="8">
    <w:abstractNumId w:val="135"/>
  </w:num>
  <w:num w:numId="9">
    <w:abstractNumId w:val="105"/>
  </w:num>
  <w:num w:numId="10">
    <w:abstractNumId w:val="140"/>
  </w:num>
  <w:num w:numId="11">
    <w:abstractNumId w:val="45"/>
  </w:num>
  <w:num w:numId="12">
    <w:abstractNumId w:val="73"/>
  </w:num>
  <w:num w:numId="13">
    <w:abstractNumId w:val="26"/>
  </w:num>
  <w:num w:numId="14">
    <w:abstractNumId w:val="61"/>
  </w:num>
  <w:num w:numId="15">
    <w:abstractNumId w:val="31"/>
  </w:num>
  <w:num w:numId="16">
    <w:abstractNumId w:val="72"/>
  </w:num>
  <w:num w:numId="17">
    <w:abstractNumId w:val="25"/>
  </w:num>
  <w:num w:numId="18">
    <w:abstractNumId w:val="70"/>
  </w:num>
  <w:num w:numId="19">
    <w:abstractNumId w:val="13"/>
  </w:num>
  <w:num w:numId="20">
    <w:abstractNumId w:val="16"/>
  </w:num>
  <w:num w:numId="21">
    <w:abstractNumId w:val="52"/>
  </w:num>
  <w:num w:numId="22">
    <w:abstractNumId w:val="15"/>
  </w:num>
  <w:num w:numId="23">
    <w:abstractNumId w:val="2"/>
  </w:num>
  <w:num w:numId="24">
    <w:abstractNumId w:val="0"/>
  </w:num>
  <w:num w:numId="25">
    <w:abstractNumId w:val="21"/>
  </w:num>
  <w:num w:numId="26">
    <w:abstractNumId w:val="3"/>
  </w:num>
  <w:num w:numId="27">
    <w:abstractNumId w:val="47"/>
  </w:num>
  <w:num w:numId="28">
    <w:abstractNumId w:val="30"/>
  </w:num>
  <w:num w:numId="29">
    <w:abstractNumId w:val="29"/>
  </w:num>
  <w:num w:numId="30">
    <w:abstractNumId w:val="92"/>
  </w:num>
  <w:num w:numId="31">
    <w:abstractNumId w:val="6"/>
  </w:num>
  <w:num w:numId="32">
    <w:abstractNumId w:val="43"/>
  </w:num>
  <w:num w:numId="33">
    <w:abstractNumId w:val="19"/>
  </w:num>
  <w:num w:numId="34">
    <w:abstractNumId w:val="81"/>
  </w:num>
  <w:num w:numId="35">
    <w:abstractNumId w:val="123"/>
  </w:num>
  <w:num w:numId="36">
    <w:abstractNumId w:val="8"/>
  </w:num>
  <w:num w:numId="37">
    <w:abstractNumId w:val="68"/>
  </w:num>
  <w:num w:numId="38">
    <w:abstractNumId w:val="5"/>
  </w:num>
  <w:num w:numId="39">
    <w:abstractNumId w:val="111"/>
  </w:num>
  <w:num w:numId="40">
    <w:abstractNumId w:val="46"/>
  </w:num>
  <w:num w:numId="41">
    <w:abstractNumId w:val="85"/>
  </w:num>
  <w:num w:numId="42">
    <w:abstractNumId w:val="131"/>
  </w:num>
  <w:num w:numId="43">
    <w:abstractNumId w:val="114"/>
  </w:num>
  <w:num w:numId="44">
    <w:abstractNumId w:val="83"/>
  </w:num>
  <w:num w:numId="45">
    <w:abstractNumId w:val="58"/>
  </w:num>
  <w:num w:numId="46">
    <w:abstractNumId w:val="142"/>
  </w:num>
  <w:num w:numId="47">
    <w:abstractNumId w:val="108"/>
  </w:num>
  <w:num w:numId="48">
    <w:abstractNumId w:val="67"/>
  </w:num>
  <w:num w:numId="49">
    <w:abstractNumId w:val="119"/>
  </w:num>
  <w:num w:numId="50">
    <w:abstractNumId w:val="74"/>
  </w:num>
  <w:num w:numId="51">
    <w:abstractNumId w:val="120"/>
  </w:num>
  <w:num w:numId="52">
    <w:abstractNumId w:val="115"/>
  </w:num>
  <w:num w:numId="53">
    <w:abstractNumId w:val="130"/>
  </w:num>
  <w:num w:numId="54">
    <w:abstractNumId w:val="128"/>
  </w:num>
  <w:num w:numId="55">
    <w:abstractNumId w:val="59"/>
  </w:num>
  <w:num w:numId="56">
    <w:abstractNumId w:val="51"/>
  </w:num>
  <w:num w:numId="57">
    <w:abstractNumId w:val="132"/>
  </w:num>
  <w:num w:numId="58">
    <w:abstractNumId w:val="95"/>
  </w:num>
  <w:num w:numId="59">
    <w:abstractNumId w:val="86"/>
  </w:num>
  <w:num w:numId="60">
    <w:abstractNumId w:val="112"/>
  </w:num>
  <w:num w:numId="61">
    <w:abstractNumId w:val="136"/>
  </w:num>
  <w:num w:numId="62">
    <w:abstractNumId w:val="91"/>
  </w:num>
  <w:num w:numId="63">
    <w:abstractNumId w:val="80"/>
  </w:num>
  <w:num w:numId="64">
    <w:abstractNumId w:val="77"/>
  </w:num>
  <w:num w:numId="65">
    <w:abstractNumId w:val="94"/>
  </w:num>
  <w:num w:numId="66">
    <w:abstractNumId w:val="42"/>
  </w:num>
  <w:num w:numId="67">
    <w:abstractNumId w:val="109"/>
  </w:num>
  <w:num w:numId="68">
    <w:abstractNumId w:val="127"/>
  </w:num>
  <w:num w:numId="69">
    <w:abstractNumId w:val="129"/>
  </w:num>
  <w:num w:numId="70">
    <w:abstractNumId w:val="56"/>
  </w:num>
  <w:num w:numId="71">
    <w:abstractNumId w:val="65"/>
  </w:num>
  <w:num w:numId="72">
    <w:abstractNumId w:val="110"/>
  </w:num>
  <w:num w:numId="73">
    <w:abstractNumId w:val="55"/>
  </w:num>
  <w:num w:numId="74">
    <w:abstractNumId w:val="57"/>
  </w:num>
  <w:num w:numId="75">
    <w:abstractNumId w:val="49"/>
  </w:num>
  <w:num w:numId="76">
    <w:abstractNumId w:val="89"/>
  </w:num>
  <w:num w:numId="77">
    <w:abstractNumId w:val="102"/>
  </w:num>
  <w:num w:numId="78">
    <w:abstractNumId w:val="118"/>
  </w:num>
  <w:num w:numId="79">
    <w:abstractNumId w:val="82"/>
  </w:num>
  <w:num w:numId="80">
    <w:abstractNumId w:val="84"/>
  </w:num>
  <w:num w:numId="81">
    <w:abstractNumId w:val="106"/>
  </w:num>
  <w:num w:numId="82">
    <w:abstractNumId w:val="121"/>
  </w:num>
  <w:num w:numId="83">
    <w:abstractNumId w:val="126"/>
  </w:num>
  <w:num w:numId="84">
    <w:abstractNumId w:val="97"/>
  </w:num>
  <w:num w:numId="85">
    <w:abstractNumId w:val="98"/>
  </w:num>
  <w:num w:numId="86">
    <w:abstractNumId w:val="144"/>
  </w:num>
  <w:num w:numId="87">
    <w:abstractNumId w:val="62"/>
  </w:num>
  <w:num w:numId="88">
    <w:abstractNumId w:val="100"/>
  </w:num>
  <w:num w:numId="89">
    <w:abstractNumId w:val="93"/>
  </w:num>
  <w:num w:numId="90">
    <w:abstractNumId w:val="143"/>
  </w:num>
  <w:num w:numId="91">
    <w:abstractNumId w:val="60"/>
  </w:num>
  <w:num w:numId="92">
    <w:abstractNumId w:val="88"/>
  </w:num>
  <w:num w:numId="93">
    <w:abstractNumId w:val="139"/>
  </w:num>
  <w:num w:numId="94">
    <w:abstractNumId w:val="44"/>
  </w:num>
  <w:num w:numId="95">
    <w:abstractNumId w:val="63"/>
  </w:num>
  <w:num w:numId="96">
    <w:abstractNumId w:val="104"/>
  </w:num>
  <w:num w:numId="97">
    <w:abstractNumId w:val="101"/>
  </w:num>
  <w:num w:numId="98">
    <w:abstractNumId w:val="54"/>
  </w:num>
  <w:num w:numId="99">
    <w:abstractNumId w:val="41"/>
  </w:num>
  <w:num w:numId="100">
    <w:abstractNumId w:val="137"/>
  </w:num>
  <w:num w:numId="101">
    <w:abstractNumId w:val="36"/>
  </w:num>
  <w:num w:numId="102">
    <w:abstractNumId w:val="34"/>
  </w:num>
  <w:num w:numId="103">
    <w:abstractNumId w:val="40"/>
  </w:num>
  <w:num w:numId="104">
    <w:abstractNumId w:val="90"/>
  </w:num>
  <w:num w:numId="105">
    <w:abstractNumId w:val="125"/>
  </w:num>
  <w:num w:numId="106">
    <w:abstractNumId w:val="99"/>
  </w:num>
  <w:num w:numId="107">
    <w:abstractNumId w:val="33"/>
  </w:num>
  <w:num w:numId="108">
    <w:abstractNumId w:val="35"/>
  </w:num>
  <w:num w:numId="109">
    <w:abstractNumId w:val="9"/>
  </w:num>
  <w:num w:numId="110">
    <w:abstractNumId w:val="113"/>
  </w:num>
  <w:num w:numId="111">
    <w:abstractNumId w:val="117"/>
  </w:num>
  <w:num w:numId="112">
    <w:abstractNumId w:val="27"/>
  </w:num>
  <w:num w:numId="113">
    <w:abstractNumId w:val="103"/>
  </w:num>
  <w:num w:numId="114">
    <w:abstractNumId w:val="10"/>
  </w:num>
  <w:num w:numId="115">
    <w:abstractNumId w:val="75"/>
  </w:num>
  <w:num w:numId="116">
    <w:abstractNumId w:val="28"/>
  </w:num>
  <w:num w:numId="117">
    <w:abstractNumId w:val="11"/>
  </w:num>
  <w:num w:numId="118">
    <w:abstractNumId w:val="23"/>
  </w:num>
  <w:num w:numId="119">
    <w:abstractNumId w:val="134"/>
  </w:num>
  <w:num w:numId="120">
    <w:abstractNumId w:val="22"/>
  </w:num>
  <w:num w:numId="121">
    <w:abstractNumId w:val="79"/>
  </w:num>
  <w:num w:numId="122">
    <w:abstractNumId w:val="20"/>
  </w:num>
  <w:num w:numId="123">
    <w:abstractNumId w:val="14"/>
  </w:num>
  <w:num w:numId="124">
    <w:abstractNumId w:val="50"/>
  </w:num>
  <w:num w:numId="125">
    <w:abstractNumId w:val="53"/>
  </w:num>
  <w:num w:numId="126">
    <w:abstractNumId w:val="138"/>
  </w:num>
  <w:num w:numId="127">
    <w:abstractNumId w:val="116"/>
  </w:num>
  <w:num w:numId="128">
    <w:abstractNumId w:val="17"/>
  </w:num>
  <w:num w:numId="129">
    <w:abstractNumId w:val="141"/>
  </w:num>
  <w:num w:numId="130">
    <w:abstractNumId w:val="1"/>
  </w:num>
  <w:num w:numId="131">
    <w:abstractNumId w:val="18"/>
  </w:num>
  <w:num w:numId="132">
    <w:abstractNumId w:val="7"/>
  </w:num>
  <w:num w:numId="133">
    <w:abstractNumId w:val="4"/>
  </w:num>
  <w:num w:numId="134">
    <w:abstractNumId w:val="24"/>
  </w:num>
  <w:num w:numId="135">
    <w:abstractNumId w:val="32"/>
  </w:num>
  <w:num w:numId="136">
    <w:abstractNumId w:val="39"/>
  </w:num>
  <w:num w:numId="137">
    <w:abstractNumId w:val="66"/>
  </w:num>
  <w:num w:numId="138">
    <w:abstractNumId w:val="78"/>
  </w:num>
  <w:num w:numId="139">
    <w:abstractNumId w:val="124"/>
  </w:num>
  <w:num w:numId="140">
    <w:abstractNumId w:val="37"/>
  </w:num>
  <w:num w:numId="141">
    <w:abstractNumId w:val="38"/>
  </w:num>
  <w:num w:numId="142">
    <w:abstractNumId w:val="48"/>
  </w:num>
  <w:num w:numId="143">
    <w:abstractNumId w:val="122"/>
  </w:num>
  <w:num w:numId="144">
    <w:abstractNumId w:val="76"/>
  </w:num>
  <w:num w:numId="145">
    <w:abstractNumId w:val="10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632DE"/>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B635A"/>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60084E"/>
    <w:rsid w:val="01D54D98"/>
    <w:rsid w:val="023D4BEC"/>
    <w:rsid w:val="026C6D7F"/>
    <w:rsid w:val="02777BFD"/>
    <w:rsid w:val="03287ACA"/>
    <w:rsid w:val="0396194E"/>
    <w:rsid w:val="03A762C0"/>
    <w:rsid w:val="0430797E"/>
    <w:rsid w:val="04874344"/>
    <w:rsid w:val="066A5A55"/>
    <w:rsid w:val="068943A3"/>
    <w:rsid w:val="06ED5932"/>
    <w:rsid w:val="0721638A"/>
    <w:rsid w:val="08723A01"/>
    <w:rsid w:val="088200BE"/>
    <w:rsid w:val="08F16230"/>
    <w:rsid w:val="09694018"/>
    <w:rsid w:val="0A740FB6"/>
    <w:rsid w:val="0B0C7351"/>
    <w:rsid w:val="0B1F0E32"/>
    <w:rsid w:val="0BDE1E34"/>
    <w:rsid w:val="0C6658A0"/>
    <w:rsid w:val="0D7511DD"/>
    <w:rsid w:val="0DC65F5F"/>
    <w:rsid w:val="0E1518A1"/>
    <w:rsid w:val="0E960052"/>
    <w:rsid w:val="0F2E5AE8"/>
    <w:rsid w:val="0F8C4EA2"/>
    <w:rsid w:val="104430E9"/>
    <w:rsid w:val="109202F8"/>
    <w:rsid w:val="10953E6F"/>
    <w:rsid w:val="11A36FFB"/>
    <w:rsid w:val="120E5B68"/>
    <w:rsid w:val="12922832"/>
    <w:rsid w:val="132539EB"/>
    <w:rsid w:val="134277F0"/>
    <w:rsid w:val="134E49AB"/>
    <w:rsid w:val="139C19DC"/>
    <w:rsid w:val="14511B61"/>
    <w:rsid w:val="14956D49"/>
    <w:rsid w:val="14FC0436"/>
    <w:rsid w:val="158D108E"/>
    <w:rsid w:val="159E5049"/>
    <w:rsid w:val="15D16344"/>
    <w:rsid w:val="160550C9"/>
    <w:rsid w:val="1671301E"/>
    <w:rsid w:val="16A1359E"/>
    <w:rsid w:val="191C7400"/>
    <w:rsid w:val="19A30E80"/>
    <w:rsid w:val="19A90B8D"/>
    <w:rsid w:val="1A023DF9"/>
    <w:rsid w:val="1A8E1B30"/>
    <w:rsid w:val="1B6233C8"/>
    <w:rsid w:val="1BE834C2"/>
    <w:rsid w:val="1BF73D9A"/>
    <w:rsid w:val="1D300C7D"/>
    <w:rsid w:val="1DA43419"/>
    <w:rsid w:val="1DF93765"/>
    <w:rsid w:val="1EAF02C7"/>
    <w:rsid w:val="1F1840BF"/>
    <w:rsid w:val="1F910CB5"/>
    <w:rsid w:val="21AB121A"/>
    <w:rsid w:val="23B75C54"/>
    <w:rsid w:val="23BD7BE0"/>
    <w:rsid w:val="24067B82"/>
    <w:rsid w:val="2423778D"/>
    <w:rsid w:val="26991A16"/>
    <w:rsid w:val="27225ADA"/>
    <w:rsid w:val="27374E33"/>
    <w:rsid w:val="27391F35"/>
    <w:rsid w:val="278530EF"/>
    <w:rsid w:val="286A470C"/>
    <w:rsid w:val="28702875"/>
    <w:rsid w:val="28BF09DE"/>
    <w:rsid w:val="29475CCC"/>
    <w:rsid w:val="294C5091"/>
    <w:rsid w:val="2A4F6BE7"/>
    <w:rsid w:val="2A966EC1"/>
    <w:rsid w:val="2A9E7B6E"/>
    <w:rsid w:val="2BCD373A"/>
    <w:rsid w:val="2BEC0CA1"/>
    <w:rsid w:val="2C1E5F35"/>
    <w:rsid w:val="2C5D6993"/>
    <w:rsid w:val="2C874F6F"/>
    <w:rsid w:val="2C8B2374"/>
    <w:rsid w:val="2C8C39F6"/>
    <w:rsid w:val="2D17253C"/>
    <w:rsid w:val="2D2D05C2"/>
    <w:rsid w:val="2EBE24C5"/>
    <w:rsid w:val="2FEE6EA1"/>
    <w:rsid w:val="2FF73956"/>
    <w:rsid w:val="302C30C3"/>
    <w:rsid w:val="30BC2C37"/>
    <w:rsid w:val="30D065A7"/>
    <w:rsid w:val="30D2231F"/>
    <w:rsid w:val="30EB0A9B"/>
    <w:rsid w:val="31297F35"/>
    <w:rsid w:val="31C130DA"/>
    <w:rsid w:val="31DB5204"/>
    <w:rsid w:val="333B75B5"/>
    <w:rsid w:val="33A61841"/>
    <w:rsid w:val="33B82568"/>
    <w:rsid w:val="3490033B"/>
    <w:rsid w:val="34EB1C02"/>
    <w:rsid w:val="35C44201"/>
    <w:rsid w:val="36065FB0"/>
    <w:rsid w:val="36162A70"/>
    <w:rsid w:val="37313B18"/>
    <w:rsid w:val="376F0CFF"/>
    <w:rsid w:val="380134EA"/>
    <w:rsid w:val="380F5C07"/>
    <w:rsid w:val="38303DCF"/>
    <w:rsid w:val="385201EA"/>
    <w:rsid w:val="38575800"/>
    <w:rsid w:val="38CC3AF8"/>
    <w:rsid w:val="39283330"/>
    <w:rsid w:val="39A36597"/>
    <w:rsid w:val="39A700C1"/>
    <w:rsid w:val="3A3674C4"/>
    <w:rsid w:val="3B353FB4"/>
    <w:rsid w:val="3BCF6ED8"/>
    <w:rsid w:val="3C096E11"/>
    <w:rsid w:val="3D0D1101"/>
    <w:rsid w:val="3D2C1009"/>
    <w:rsid w:val="3E682515"/>
    <w:rsid w:val="3E7745BA"/>
    <w:rsid w:val="3E984A38"/>
    <w:rsid w:val="3EDC6A5F"/>
    <w:rsid w:val="3FF14BB2"/>
    <w:rsid w:val="4004626D"/>
    <w:rsid w:val="40295CD4"/>
    <w:rsid w:val="408B4299"/>
    <w:rsid w:val="40ED0AAF"/>
    <w:rsid w:val="42876CE2"/>
    <w:rsid w:val="42E8713E"/>
    <w:rsid w:val="42F0276F"/>
    <w:rsid w:val="434B7D0F"/>
    <w:rsid w:val="43960ACF"/>
    <w:rsid w:val="43C26223"/>
    <w:rsid w:val="43D33B14"/>
    <w:rsid w:val="43DB72E5"/>
    <w:rsid w:val="440E4848"/>
    <w:rsid w:val="44564BBE"/>
    <w:rsid w:val="44604B4B"/>
    <w:rsid w:val="44B31EE6"/>
    <w:rsid w:val="45594965"/>
    <w:rsid w:val="46F01B0D"/>
    <w:rsid w:val="475A5DAA"/>
    <w:rsid w:val="47AE0F27"/>
    <w:rsid w:val="47E04051"/>
    <w:rsid w:val="47FE35A2"/>
    <w:rsid w:val="48897310"/>
    <w:rsid w:val="491E2FB8"/>
    <w:rsid w:val="497858F9"/>
    <w:rsid w:val="4A7F14D6"/>
    <w:rsid w:val="4B620E73"/>
    <w:rsid w:val="4B6F3019"/>
    <w:rsid w:val="4BB25ED2"/>
    <w:rsid w:val="4BC13264"/>
    <w:rsid w:val="4C5A3BDF"/>
    <w:rsid w:val="4E061402"/>
    <w:rsid w:val="4E2A1318"/>
    <w:rsid w:val="4E5E123E"/>
    <w:rsid w:val="4E6600F3"/>
    <w:rsid w:val="4EB24694"/>
    <w:rsid w:val="4F2C4E99"/>
    <w:rsid w:val="4F530677"/>
    <w:rsid w:val="4FFF1B10"/>
    <w:rsid w:val="50191D5A"/>
    <w:rsid w:val="51D412F6"/>
    <w:rsid w:val="51F63F4E"/>
    <w:rsid w:val="528172AA"/>
    <w:rsid w:val="536746F1"/>
    <w:rsid w:val="53715570"/>
    <w:rsid w:val="538C4158"/>
    <w:rsid w:val="539F3E8B"/>
    <w:rsid w:val="54A11E85"/>
    <w:rsid w:val="54F67475"/>
    <w:rsid w:val="55447A06"/>
    <w:rsid w:val="561548D9"/>
    <w:rsid w:val="56981066"/>
    <w:rsid w:val="57DA5B1E"/>
    <w:rsid w:val="58DE7BEA"/>
    <w:rsid w:val="596544AE"/>
    <w:rsid w:val="5A2E1D8D"/>
    <w:rsid w:val="5A5654C0"/>
    <w:rsid w:val="5A71428A"/>
    <w:rsid w:val="5AC14805"/>
    <w:rsid w:val="5BBF6DCF"/>
    <w:rsid w:val="5BE16AFB"/>
    <w:rsid w:val="5C031F8B"/>
    <w:rsid w:val="5C7F2AAC"/>
    <w:rsid w:val="5CA96EF0"/>
    <w:rsid w:val="5D3E2967"/>
    <w:rsid w:val="5D7B3594"/>
    <w:rsid w:val="5D8365CC"/>
    <w:rsid w:val="5D9F2CDA"/>
    <w:rsid w:val="5EB662D8"/>
    <w:rsid w:val="5F54079F"/>
    <w:rsid w:val="5F906D7E"/>
    <w:rsid w:val="5FAA42E4"/>
    <w:rsid w:val="5FB17A73"/>
    <w:rsid w:val="604858AA"/>
    <w:rsid w:val="608C0797"/>
    <w:rsid w:val="60E73B55"/>
    <w:rsid w:val="621C6FEF"/>
    <w:rsid w:val="630737FB"/>
    <w:rsid w:val="639E22E8"/>
    <w:rsid w:val="63B52246"/>
    <w:rsid w:val="643C5726"/>
    <w:rsid w:val="6483678F"/>
    <w:rsid w:val="64D8544F"/>
    <w:rsid w:val="6505215C"/>
    <w:rsid w:val="658866DB"/>
    <w:rsid w:val="665054B9"/>
    <w:rsid w:val="66C37A39"/>
    <w:rsid w:val="66E86B42"/>
    <w:rsid w:val="66F95103"/>
    <w:rsid w:val="679B01F2"/>
    <w:rsid w:val="67E660D5"/>
    <w:rsid w:val="68116E94"/>
    <w:rsid w:val="681B1173"/>
    <w:rsid w:val="68B7339D"/>
    <w:rsid w:val="68C83A2C"/>
    <w:rsid w:val="68F330E1"/>
    <w:rsid w:val="69562DE6"/>
    <w:rsid w:val="697414BE"/>
    <w:rsid w:val="69780FAF"/>
    <w:rsid w:val="69FC59C4"/>
    <w:rsid w:val="6A0135C5"/>
    <w:rsid w:val="6A3D3329"/>
    <w:rsid w:val="6AD0778C"/>
    <w:rsid w:val="6B480E55"/>
    <w:rsid w:val="6B6920A6"/>
    <w:rsid w:val="6C060AF4"/>
    <w:rsid w:val="6DB10E69"/>
    <w:rsid w:val="6E1F5E9D"/>
    <w:rsid w:val="6E8606A6"/>
    <w:rsid w:val="705F6A24"/>
    <w:rsid w:val="70920F76"/>
    <w:rsid w:val="71663DE2"/>
    <w:rsid w:val="71722E9B"/>
    <w:rsid w:val="722E2B52"/>
    <w:rsid w:val="72822E9E"/>
    <w:rsid w:val="72C25048"/>
    <w:rsid w:val="72DC25AE"/>
    <w:rsid w:val="73482E96"/>
    <w:rsid w:val="738844E4"/>
    <w:rsid w:val="73CF47A1"/>
    <w:rsid w:val="74031DBD"/>
    <w:rsid w:val="7445441A"/>
    <w:rsid w:val="74850A24"/>
    <w:rsid w:val="75B02E2A"/>
    <w:rsid w:val="75F1685F"/>
    <w:rsid w:val="76041503"/>
    <w:rsid w:val="764F3097"/>
    <w:rsid w:val="764F753B"/>
    <w:rsid w:val="775D0F05"/>
    <w:rsid w:val="775F062D"/>
    <w:rsid w:val="781D0B0B"/>
    <w:rsid w:val="78CC6C21"/>
    <w:rsid w:val="78CD26BE"/>
    <w:rsid w:val="78DE0702"/>
    <w:rsid w:val="79157330"/>
    <w:rsid w:val="79BF0534"/>
    <w:rsid w:val="79DD1288"/>
    <w:rsid w:val="7A0643B5"/>
    <w:rsid w:val="7A37631C"/>
    <w:rsid w:val="7ADC77A9"/>
    <w:rsid w:val="7AF4420D"/>
    <w:rsid w:val="7BDA37D8"/>
    <w:rsid w:val="7CC83BA3"/>
    <w:rsid w:val="7D3C176C"/>
    <w:rsid w:val="7DAC0DCF"/>
    <w:rsid w:val="7DDF73F6"/>
    <w:rsid w:val="7E1C1B25"/>
    <w:rsid w:val="7E617E0B"/>
    <w:rsid w:val="7F1D6663"/>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qFormat/>
    <w:uiPriority w:val="0"/>
    <w:pPr>
      <w:keepNext/>
      <w:keepLines/>
      <w:numPr>
        <w:ilvl w:val="0"/>
        <w:numId w:val="1"/>
      </w:numPr>
      <w:spacing w:line="360" w:lineRule="auto"/>
      <w:ind w:left="425" w:hanging="425"/>
      <w:jc w:val="left"/>
      <w:outlineLvl w:val="2"/>
    </w:pPr>
    <w:rPr>
      <w:rFonts w:ascii="宋体" w:hAnsi="宋体" w:eastAsia="宋体" w:cs="宋体"/>
      <w:b/>
      <w:color w:val="000000" w:themeColor="text1"/>
      <w:sz w:val="24"/>
      <w:szCs w:val="24"/>
      <w14:textFill>
        <w14:solidFill>
          <w14:schemeClr w14:val="tx1"/>
        </w14:solidFill>
      </w14:textFill>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4"/>
    <w:unhideWhenUsed/>
    <w:qFormat/>
    <w:uiPriority w:val="99"/>
    <w:pPr>
      <w:jc w:val="left"/>
    </w:pPr>
  </w:style>
  <w:style w:type="paragraph" w:styleId="6">
    <w:name w:val="Body Text"/>
    <w:basedOn w:val="1"/>
    <w:next w:val="1"/>
    <w:link w:val="33"/>
    <w:qFormat/>
    <w:uiPriority w:val="0"/>
    <w:pPr>
      <w:spacing w:after="120"/>
    </w:pPr>
    <w:rPr>
      <w:rFonts w:ascii="Times New Roman" w:hAnsi="Times New Roman" w:eastAsia="宋体" w:cs="Times New Roman"/>
      <w:szCs w:val="24"/>
    </w:rPr>
  </w:style>
  <w:style w:type="paragraph" w:styleId="7">
    <w:name w:val="Body Text Indent"/>
    <w:basedOn w:val="1"/>
    <w:qFormat/>
    <w:uiPriority w:val="0"/>
    <w:pPr>
      <w:ind w:firstLine="560" w:firstLineChars="200"/>
    </w:pPr>
    <w:rPr>
      <w:sz w:val="28"/>
    </w:rPr>
  </w:style>
  <w:style w:type="paragraph" w:styleId="8">
    <w:name w:val="toc 3"/>
    <w:basedOn w:val="1"/>
    <w:next w:val="1"/>
    <w:autoRedefine/>
    <w:unhideWhenUsed/>
    <w:qFormat/>
    <w:uiPriority w:val="39"/>
    <w:pPr>
      <w:ind w:left="840" w:leftChars="400"/>
    </w:p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0"/>
    <w:pPr>
      <w:tabs>
        <w:tab w:val="center" w:pos="4153"/>
        <w:tab w:val="right" w:pos="8306"/>
      </w:tabs>
      <w:snapToGrid w:val="0"/>
      <w:jc w:val="center"/>
    </w:pPr>
    <w:rPr>
      <w:sz w:val="18"/>
      <w:szCs w:val="18"/>
    </w:rPr>
  </w:style>
  <w:style w:type="paragraph" w:styleId="11">
    <w:name w:val="toc 1"/>
    <w:basedOn w:val="1"/>
    <w:next w:val="1"/>
    <w:autoRedefine/>
    <w:unhideWhenUsed/>
    <w:qFormat/>
    <w:uiPriority w:val="39"/>
  </w:style>
  <w:style w:type="paragraph" w:styleId="12">
    <w:name w:val="toc 2"/>
    <w:basedOn w:val="1"/>
    <w:next w:val="1"/>
    <w:autoRedefine/>
    <w:unhideWhenUsed/>
    <w:qFormat/>
    <w:uiPriority w:val="39"/>
    <w:pPr>
      <w:ind w:left="420" w:leftChars="200"/>
    </w:pPr>
  </w:style>
  <w:style w:type="paragraph" w:styleId="13">
    <w:name w:val="annotation subject"/>
    <w:basedOn w:val="5"/>
    <w:next w:val="5"/>
    <w:link w:val="25"/>
    <w:semiHidden/>
    <w:unhideWhenUsed/>
    <w:qFormat/>
    <w:uiPriority w:val="99"/>
    <w:rPr>
      <w:b/>
      <w:bCs/>
    </w:rPr>
  </w:style>
  <w:style w:type="paragraph" w:styleId="14">
    <w:name w:val="Body Text First Indent 2"/>
    <w:basedOn w:val="7"/>
    <w:next w:val="6"/>
    <w:qFormat/>
    <w:uiPriority w:val="0"/>
    <w:rPr>
      <w:color w:val="FF0000"/>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uiPriority w:val="20"/>
    <w:rPr>
      <w:i/>
      <w:iCs/>
    </w:rPr>
  </w:style>
  <w:style w:type="character" w:styleId="19">
    <w:name w:val="Hyperlink"/>
    <w:basedOn w:val="17"/>
    <w:unhideWhenUsed/>
    <w:qFormat/>
    <w:uiPriority w:val="99"/>
    <w:rPr>
      <w:color w:val="0563C1" w:themeColor="hyperlink"/>
      <w:u w:val="single"/>
      <w14:textFill>
        <w14:solidFill>
          <w14:schemeClr w14:val="hlink"/>
        </w14:solidFill>
      </w14:textFill>
    </w:rPr>
  </w:style>
  <w:style w:type="character" w:styleId="20">
    <w:name w:val="annotation reference"/>
    <w:basedOn w:val="17"/>
    <w:unhideWhenUsed/>
    <w:qFormat/>
    <w:uiPriority w:val="99"/>
    <w:rPr>
      <w:sz w:val="21"/>
      <w:szCs w:val="21"/>
    </w:rPr>
  </w:style>
  <w:style w:type="paragraph" w:customStyle="1" w:styleId="21">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2">
    <w:name w:val="页眉 字符"/>
    <w:basedOn w:val="17"/>
    <w:link w:val="10"/>
    <w:qFormat/>
    <w:uiPriority w:val="0"/>
    <w:rPr>
      <w:sz w:val="18"/>
      <w:szCs w:val="18"/>
    </w:rPr>
  </w:style>
  <w:style w:type="character" w:customStyle="1" w:styleId="23">
    <w:name w:val="页脚 字符"/>
    <w:basedOn w:val="17"/>
    <w:link w:val="9"/>
    <w:qFormat/>
    <w:uiPriority w:val="99"/>
    <w:rPr>
      <w:sz w:val="18"/>
      <w:szCs w:val="18"/>
    </w:rPr>
  </w:style>
  <w:style w:type="character" w:customStyle="1" w:styleId="24">
    <w:name w:val="批注文字 字符"/>
    <w:basedOn w:val="17"/>
    <w:link w:val="5"/>
    <w:qFormat/>
    <w:uiPriority w:val="99"/>
  </w:style>
  <w:style w:type="character" w:customStyle="1" w:styleId="25">
    <w:name w:val="批注主题 字符"/>
    <w:basedOn w:val="24"/>
    <w:link w:val="13"/>
    <w:semiHidden/>
    <w:qFormat/>
    <w:uiPriority w:val="99"/>
    <w:rPr>
      <w:b/>
      <w:bCs/>
    </w:rPr>
  </w:style>
  <w:style w:type="character" w:customStyle="1" w:styleId="26">
    <w:name w:val="Unresolved Mention"/>
    <w:basedOn w:val="17"/>
    <w:semiHidden/>
    <w:unhideWhenUsed/>
    <w:qFormat/>
    <w:uiPriority w:val="99"/>
    <w:rPr>
      <w:color w:val="605E5C"/>
      <w:shd w:val="clear" w:color="auto" w:fill="E1DFDD"/>
    </w:rPr>
  </w:style>
  <w:style w:type="paragraph" w:styleId="27">
    <w:name w:val="List Paragraph"/>
    <w:basedOn w:val="1"/>
    <w:link w:val="28"/>
    <w:qFormat/>
    <w:uiPriority w:val="34"/>
    <w:pPr>
      <w:ind w:firstLine="420" w:firstLineChars="200"/>
    </w:pPr>
  </w:style>
  <w:style w:type="character" w:customStyle="1" w:styleId="28">
    <w:name w:val="列表段落 字符"/>
    <w:link w:val="27"/>
    <w:qFormat/>
    <w:uiPriority w:val="34"/>
  </w:style>
  <w:style w:type="character" w:customStyle="1" w:styleId="29">
    <w:name w:val="标题 2 字符"/>
    <w:basedOn w:val="17"/>
    <w:link w:val="3"/>
    <w:qFormat/>
    <w:uiPriority w:val="9"/>
    <w:rPr>
      <w:rFonts w:asciiTheme="majorHAnsi" w:hAnsiTheme="majorHAnsi" w:eastAsiaTheme="majorEastAsia" w:cstheme="majorBidi"/>
      <w:b/>
      <w:bCs/>
      <w:sz w:val="32"/>
      <w:szCs w:val="32"/>
    </w:rPr>
  </w:style>
  <w:style w:type="paragraph" w:customStyle="1" w:styleId="30">
    <w:name w:val="正文缩进2格"/>
    <w:basedOn w:val="1"/>
    <w:link w:val="31"/>
    <w:qFormat/>
    <w:uiPriority w:val="0"/>
    <w:pPr>
      <w:spacing w:line="600" w:lineRule="exact"/>
      <w:ind w:firstLine="639" w:firstLineChars="206"/>
    </w:pPr>
    <w:rPr>
      <w:rFonts w:ascii="仿宋_GB2312" w:hAnsi="宋体" w:eastAsia="仿宋_GB2312" w:cs="Times New Roman"/>
      <w:sz w:val="31"/>
      <w:szCs w:val="28"/>
    </w:rPr>
  </w:style>
  <w:style w:type="character" w:customStyle="1" w:styleId="31">
    <w:name w:val="正文缩进2格 Char"/>
    <w:link w:val="30"/>
    <w:qFormat/>
    <w:uiPriority w:val="0"/>
    <w:rPr>
      <w:rFonts w:ascii="仿宋_GB2312" w:hAnsi="宋体" w:eastAsia="仿宋_GB2312" w:cs="Times New Roman"/>
      <w:sz w:val="31"/>
      <w:szCs w:val="28"/>
    </w:rPr>
  </w:style>
  <w:style w:type="paragraph" w:customStyle="1" w:styleId="32">
    <w:name w:val="列出段落1"/>
    <w:basedOn w:val="1"/>
    <w:qFormat/>
    <w:uiPriority w:val="34"/>
    <w:pPr>
      <w:ind w:firstLine="420" w:firstLineChars="200"/>
    </w:pPr>
    <w:rPr>
      <w:rFonts w:ascii="Calibri" w:hAnsi="Calibri" w:eastAsia="宋体" w:cs="黑体"/>
    </w:rPr>
  </w:style>
  <w:style w:type="character" w:customStyle="1" w:styleId="33">
    <w:name w:val="正文文本 字符"/>
    <w:basedOn w:val="17"/>
    <w:link w:val="6"/>
    <w:qFormat/>
    <w:uiPriority w:val="0"/>
    <w:rPr>
      <w:rFonts w:ascii="Times New Roman" w:hAnsi="Times New Roman" w:eastAsia="宋体" w:cs="Times New Roman"/>
      <w:szCs w:val="24"/>
    </w:rPr>
  </w:style>
  <w:style w:type="character" w:customStyle="1" w:styleId="34">
    <w:name w:val="标题 1 字符"/>
    <w:basedOn w:val="17"/>
    <w:link w:val="2"/>
    <w:qFormat/>
    <w:uiPriority w:val="9"/>
    <w:rPr>
      <w:b/>
      <w:bCs/>
      <w:kern w:val="44"/>
      <w:sz w:val="44"/>
      <w:szCs w:val="44"/>
    </w:rPr>
  </w:style>
  <w:style w:type="paragraph" w:customStyle="1" w:styleId="3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84</Pages>
  <Words>9732</Words>
  <Characters>10398</Characters>
  <Lines>304</Lines>
  <Paragraphs>85</Paragraphs>
  <TotalTime>27</TotalTime>
  <ScaleCrop>false</ScaleCrop>
  <LinksUpToDate>false</LinksUpToDate>
  <CharactersWithSpaces>10497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2025-07-02T07:58:47Z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