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tabs>
          <w:tab w:val="left" w:pos="9072"/>
        </w:tabs>
        <w:spacing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ZHDGZC2025060</w:t>
      </w:r>
    </w:p>
    <w:p w14:paraId="68612354">
      <w:pPr>
        <w:pStyle w:val="18"/>
        <w:spacing w:line="640" w:lineRule="exact"/>
        <w:ind w:firstLine="826" w:firstLineChars="235"/>
        <w:outlineLvl w:val="3"/>
        <w:rPr>
          <w:rFonts w:hint="default" w:ascii="宋体" w:hAnsi="宋体" w:eastAsia="宋体"/>
          <w:color w:val="auto"/>
          <w:sz w:val="35"/>
          <w:szCs w:val="35"/>
        </w:rPr>
      </w:pPr>
      <w:r>
        <w:rPr>
          <w:rFonts w:ascii="宋体" w:hAnsi="宋体" w:eastAsia="宋体"/>
          <w:b/>
          <w:color w:val="auto"/>
          <w:sz w:val="35"/>
          <w:szCs w:val="35"/>
        </w:rPr>
        <w:t>项目名称：</w:t>
      </w:r>
      <w:r>
        <w:rPr>
          <w:rFonts w:hint="eastAsia" w:ascii="宋体" w:hAnsi="宋体" w:eastAsia="宋体"/>
          <w:b/>
          <w:color w:val="auto"/>
          <w:sz w:val="35"/>
          <w:szCs w:val="35"/>
          <w:lang w:eastAsia="zh-CN"/>
        </w:rPr>
        <w:t>中德先进职业教育合作项目（SGAVE）</w:t>
      </w:r>
    </w:p>
    <w:p w14:paraId="71953F7B">
      <w:pPr>
        <w:pStyle w:val="18"/>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东莞市汽车技术学校</w:t>
      </w:r>
    </w:p>
    <w:p w14:paraId="05B13617">
      <w:pPr>
        <w:pStyle w:val="18"/>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hint="eastAsia" w:ascii="宋体" w:hAnsi="宋体" w:eastAsia="宋体" w:cs="宋体"/>
          <w:color w:val="auto"/>
          <w:kern w:val="2"/>
          <w:sz w:val="24"/>
          <w:szCs w:val="24"/>
          <w:lang w:val="zh-CN"/>
        </w:rPr>
      </w:sdtEndPr>
      <w:sdtContent>
        <w:p w14:paraId="06A32D39">
          <w:pPr>
            <w:pStyle w:val="32"/>
            <w:keepNext w:val="0"/>
            <w:keepLines w:val="0"/>
            <w:pageBreakBefore/>
            <w:widowControl w:val="0"/>
            <w:jc w:val="center"/>
            <w:rPr>
              <w:color w:val="auto"/>
            </w:rPr>
          </w:pPr>
          <w:r>
            <w:rPr>
              <w:rFonts w:ascii="宋体" w:hAnsi="宋体" w:eastAsia="宋体"/>
              <w:b/>
              <w:bCs/>
              <w:color w:val="auto"/>
              <w:sz w:val="36"/>
              <w:szCs w:val="36"/>
              <w:lang w:val="zh-CN"/>
            </w:rPr>
            <w:t>目录</w:t>
          </w:r>
        </w:p>
        <w:p w14:paraId="314121B3">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_Toc32646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第一章</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eastAsia="zh-Hans"/>
            </w:rPr>
            <w:t>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_Toc32646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0286332">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_Toc7634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_Toc7634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057F43F5">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_Toc28100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_Toc28100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6B33EB14">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_Toc29215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_Toc29215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449FF121">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_Toc27246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_Toc27246 \h </w:instrText>
          </w:r>
          <w:r>
            <w:rPr>
              <w:rFonts w:hint="eastAsia" w:ascii="宋体" w:hAnsi="宋体" w:eastAsia="宋体" w:cs="宋体"/>
              <w:sz w:val="24"/>
              <w:szCs w:val="24"/>
            </w:rPr>
            <w:fldChar w:fldCharType="separate"/>
          </w:r>
          <w:r>
            <w:rPr>
              <w:rFonts w:hint="eastAsia" w:ascii="宋体" w:hAnsi="宋体" w:eastAsia="宋体" w:cs="宋体"/>
              <w:sz w:val="24"/>
              <w:szCs w:val="24"/>
            </w:rPr>
            <w:t>45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4EC96AAA">
          <w:pPr>
            <w:pStyle w:val="10"/>
            <w:keepNext w:val="0"/>
            <w:keepLines w:val="0"/>
            <w:pageBreakBefore w:val="0"/>
            <w:widowControl w:val="0"/>
            <w:tabs>
              <w:tab w:val="right" w:leader="middle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_Toc2959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_Toc2959 \h </w:instrText>
          </w:r>
          <w:r>
            <w:rPr>
              <w:rFonts w:hint="eastAsia" w:ascii="宋体" w:hAnsi="宋体" w:eastAsia="宋体" w:cs="宋体"/>
              <w:sz w:val="24"/>
              <w:szCs w:val="24"/>
            </w:rPr>
            <w:fldChar w:fldCharType="separate"/>
          </w:r>
          <w:r>
            <w:rPr>
              <w:rFonts w:hint="eastAsia" w:ascii="宋体" w:hAnsi="宋体" w:eastAsia="宋体" w:cs="宋体"/>
              <w:sz w:val="24"/>
              <w:szCs w:val="24"/>
            </w:rPr>
            <w:t>49</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end"/>
          </w:r>
          <w:bookmarkStart w:id="0" w:name="_Toc169799778"/>
        </w:p>
      </w:sdtContent>
    </w:sdt>
    <w:p w14:paraId="3FDBEE04">
      <w:pPr>
        <w:pageBreakBefore/>
        <w:jc w:val="center"/>
        <w:outlineLvl w:val="1"/>
        <w:rPr>
          <w:rFonts w:ascii="Calibri" w:hAnsi="Calibri" w:eastAsia="宋体" w:cs="Times New Roman"/>
          <w:kern w:val="0"/>
          <w:sz w:val="20"/>
          <w:szCs w:val="20"/>
          <w:lang w:eastAsia="zh-Hans"/>
        </w:rPr>
      </w:pPr>
      <w:bookmarkStart w:id="1" w:name="_Toc32646"/>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7346F0A2">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lang w:eastAsia="zh-CN"/>
        </w:rPr>
        <w:t>中德先进职业教育合作项目（SGAVE）</w:t>
      </w:r>
      <w:r>
        <w:rPr>
          <w:rFonts w:ascii="宋体" w:hAnsi="宋体" w:eastAsia="宋体" w:cs="Times New Roman"/>
          <w:color w:val="auto"/>
          <w:kern w:val="0"/>
          <w:szCs w:val="21"/>
          <w:lang w:eastAsia="zh-Hans"/>
        </w:rPr>
        <w:t>的潜在投标人应在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08</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u w:val="single"/>
          <w:lang w:val="en-US" w:eastAsia="zh-CN"/>
        </w:rPr>
        <w:t>08</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09</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30</w:t>
      </w:r>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7F91CC8D">
      <w:pPr>
        <w:widowControl/>
        <w:jc w:val="left"/>
        <w:rPr>
          <w:rFonts w:ascii="宋体" w:hAnsi="宋体" w:eastAsia="宋体" w:cs="Times New Roman"/>
          <w:kern w:val="0"/>
          <w:szCs w:val="21"/>
        </w:rPr>
      </w:pPr>
      <w:r>
        <w:rPr>
          <w:rFonts w:hint="eastAsia" w:ascii="宋体" w:hAnsi="宋体" w:eastAsia="宋体" w:cs="Times New Roman"/>
          <w:kern w:val="0"/>
          <w:szCs w:val="21"/>
        </w:rPr>
        <w:t>项目编号：ZHDGZC2025060</w:t>
      </w:r>
    </w:p>
    <w:p w14:paraId="0CDA15F1">
      <w:pPr>
        <w:widowControl/>
        <w:jc w:val="left"/>
        <w:rPr>
          <w:rFonts w:hint="eastAsia" w:ascii="宋体" w:hAnsi="宋体" w:eastAsia="宋体" w:cs="Times New Roman"/>
          <w:kern w:val="0"/>
          <w:szCs w:val="21"/>
          <w:lang w:eastAsia="zh-CN"/>
        </w:rPr>
      </w:pPr>
      <w:r>
        <w:rPr>
          <w:rFonts w:ascii="宋体" w:hAnsi="宋体" w:eastAsia="宋体" w:cs="Times New Roman"/>
          <w:kern w:val="0"/>
          <w:szCs w:val="21"/>
          <w:lang w:eastAsia="zh-Hans"/>
        </w:rPr>
        <w:t>项目名称：</w:t>
      </w:r>
      <w:r>
        <w:rPr>
          <w:rFonts w:hint="eastAsia" w:ascii="宋体" w:hAnsi="宋体" w:eastAsia="宋体" w:cs="Times New Roman"/>
          <w:kern w:val="0"/>
          <w:szCs w:val="21"/>
          <w:lang w:eastAsia="zh-CN"/>
        </w:rPr>
        <w:t>中德先进职业教育合作项目（SGAVE）</w:t>
      </w:r>
    </w:p>
    <w:p w14:paraId="7DC223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采购方式：公开招标</w:t>
      </w:r>
    </w:p>
    <w:p w14:paraId="1BD84881">
      <w:pPr>
        <w:widowControl/>
        <w:jc w:val="left"/>
        <w:rPr>
          <w:rFonts w:ascii="宋体" w:hAnsi="宋体" w:eastAsia="宋体" w:cs="Times New Roman"/>
          <w:color w:val="auto"/>
          <w:kern w:val="0"/>
          <w:szCs w:val="21"/>
        </w:rPr>
      </w:pPr>
      <w:r>
        <w:rPr>
          <w:rFonts w:ascii="宋体" w:hAnsi="宋体" w:eastAsia="宋体" w:cs="Times New Roman"/>
          <w:kern w:val="0"/>
          <w:szCs w:val="21"/>
          <w:lang w:eastAsia="zh-Hans"/>
        </w:rPr>
        <w:t>预算金额</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rPr>
        <w:t>894,900.00</w:t>
      </w:r>
      <w:r>
        <w:rPr>
          <w:rFonts w:ascii="宋体" w:hAnsi="宋体" w:eastAsia="宋体" w:cs="Times New Roman"/>
          <w:color w:val="auto"/>
          <w:kern w:val="0"/>
          <w:szCs w:val="21"/>
          <w:lang w:eastAsia="zh-Hans"/>
        </w:rPr>
        <w:t>元</w:t>
      </w:r>
    </w:p>
    <w:p w14:paraId="53624B76">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hint="eastAsia" w:ascii="宋体" w:hAnsi="宋体" w:eastAsia="宋体" w:cs="Times New Roman"/>
          <w:b/>
          <w:kern w:val="0"/>
          <w:szCs w:val="21"/>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2488"/>
        <w:gridCol w:w="2035"/>
        <w:gridCol w:w="693"/>
        <w:gridCol w:w="695"/>
        <w:gridCol w:w="2637"/>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94" w:type="pct"/>
            <w:vAlign w:val="center"/>
          </w:tcPr>
          <w:p w14:paraId="427A8EC7">
            <w:pPr>
              <w:widowControl/>
              <w:jc w:val="center"/>
              <w:rPr>
                <w:rFonts w:ascii="Calibri" w:hAnsi="Calibri" w:eastAsia="宋体" w:cs="Times New Roman"/>
                <w:b/>
                <w:bCs/>
                <w:kern w:val="0"/>
                <w:sz w:val="21"/>
                <w:szCs w:val="21"/>
              </w:rPr>
            </w:pPr>
            <w:r>
              <w:rPr>
                <w:rFonts w:hint="eastAsia" w:ascii="Calibri" w:hAnsi="Calibri" w:eastAsia="宋体" w:cs="Times New Roman"/>
                <w:b/>
                <w:bCs/>
                <w:kern w:val="0"/>
                <w:sz w:val="21"/>
                <w:szCs w:val="21"/>
              </w:rPr>
              <w:t>序号</w:t>
            </w:r>
          </w:p>
        </w:tc>
        <w:tc>
          <w:tcPr>
            <w:tcW w:w="1340" w:type="pct"/>
            <w:vAlign w:val="center"/>
          </w:tcPr>
          <w:p w14:paraId="72C4323F">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标的名称</w:t>
            </w:r>
          </w:p>
        </w:tc>
        <w:tc>
          <w:tcPr>
            <w:tcW w:w="1096" w:type="pct"/>
            <w:vAlign w:val="center"/>
          </w:tcPr>
          <w:p w14:paraId="6BC87F70">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预算金额（元）</w:t>
            </w:r>
          </w:p>
        </w:tc>
        <w:tc>
          <w:tcPr>
            <w:tcW w:w="373" w:type="pct"/>
            <w:vAlign w:val="center"/>
          </w:tcPr>
          <w:p w14:paraId="05CDE2E7">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数量</w:t>
            </w:r>
          </w:p>
        </w:tc>
        <w:tc>
          <w:tcPr>
            <w:tcW w:w="374" w:type="pct"/>
            <w:vAlign w:val="center"/>
          </w:tcPr>
          <w:p w14:paraId="3DD5745A">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单位</w:t>
            </w:r>
          </w:p>
        </w:tc>
        <w:tc>
          <w:tcPr>
            <w:tcW w:w="1420" w:type="pct"/>
            <w:vAlign w:val="center"/>
          </w:tcPr>
          <w:p w14:paraId="46866B18">
            <w:pPr>
              <w:widowControl/>
              <w:jc w:val="center"/>
              <w:rPr>
                <w:rFonts w:ascii="Calibri" w:hAnsi="Calibri" w:eastAsia="宋体" w:cs="Times New Roman"/>
                <w:b/>
                <w:bCs/>
                <w:kern w:val="0"/>
                <w:sz w:val="21"/>
                <w:szCs w:val="21"/>
                <w:lang w:eastAsia="zh-Hans"/>
              </w:rPr>
            </w:pPr>
            <w:r>
              <w:rPr>
                <w:rFonts w:hint="eastAsia" w:ascii="Calibri" w:hAnsi="Calibri" w:eastAsia="宋体" w:cs="Times New Roman"/>
                <w:b/>
                <w:bCs/>
                <w:kern w:val="0"/>
                <w:sz w:val="21"/>
                <w:szCs w:val="21"/>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94" w:type="pct"/>
            <w:vAlign w:val="center"/>
          </w:tcPr>
          <w:p w14:paraId="6DC1FBC2">
            <w:pPr>
              <w:widowControl/>
              <w:jc w:val="center"/>
              <w:rPr>
                <w:rFonts w:ascii="Calibri" w:hAnsi="Calibri" w:eastAsia="宋体" w:cs="Times New Roman"/>
                <w:kern w:val="0"/>
                <w:sz w:val="21"/>
                <w:szCs w:val="21"/>
              </w:rPr>
            </w:pPr>
            <w:r>
              <w:rPr>
                <w:rFonts w:hint="eastAsia" w:ascii="宋体" w:hAnsi="宋体" w:eastAsia="宋体" w:cs="宋体"/>
                <w:b/>
                <w:bCs/>
                <w:kern w:val="0"/>
                <w:sz w:val="21"/>
                <w:szCs w:val="21"/>
              </w:rPr>
              <w:t>1</w:t>
            </w:r>
          </w:p>
        </w:tc>
        <w:tc>
          <w:tcPr>
            <w:tcW w:w="1340" w:type="pct"/>
            <w:vAlign w:val="center"/>
          </w:tcPr>
          <w:p w14:paraId="45E441AE">
            <w:pPr>
              <w:widowControl/>
              <w:jc w:val="center"/>
              <w:rPr>
                <w:rFonts w:ascii="Calibri" w:hAnsi="Calibri" w:eastAsia="宋体" w:cs="Times New Roman"/>
                <w:color w:val="auto"/>
                <w:kern w:val="0"/>
                <w:sz w:val="21"/>
                <w:szCs w:val="21"/>
                <w:lang w:eastAsia="zh-Hans"/>
              </w:rPr>
            </w:pPr>
            <w:r>
              <w:rPr>
                <w:rFonts w:hint="eastAsia" w:ascii="宋体" w:hAnsi="宋体" w:eastAsia="宋体" w:cs="Times New Roman"/>
                <w:color w:val="auto"/>
                <w:kern w:val="0"/>
                <w:szCs w:val="21"/>
                <w:lang w:eastAsia="zh-Hans"/>
              </w:rPr>
              <w:t>中德SAGVE项目建设</w:t>
            </w:r>
          </w:p>
        </w:tc>
        <w:tc>
          <w:tcPr>
            <w:tcW w:w="1096" w:type="pct"/>
            <w:vAlign w:val="center"/>
          </w:tcPr>
          <w:p w14:paraId="60B881F5">
            <w:pPr>
              <w:widowControl/>
              <w:jc w:val="center"/>
              <w:rPr>
                <w:rFonts w:hint="eastAsia" w:ascii="宋体" w:hAnsi="宋体" w:eastAsia="宋体" w:cs="Times New Roman"/>
                <w:color w:val="auto"/>
                <w:kern w:val="0"/>
                <w:szCs w:val="21"/>
                <w:lang w:eastAsia="zh-Hans"/>
              </w:rPr>
            </w:pPr>
            <w:r>
              <w:rPr>
                <w:rFonts w:hint="eastAsia" w:ascii="宋体" w:hAnsi="宋体" w:eastAsia="宋体" w:cs="Times New Roman"/>
                <w:color w:val="auto"/>
                <w:kern w:val="0"/>
                <w:szCs w:val="21"/>
              </w:rPr>
              <w:t>894,900.00</w:t>
            </w:r>
          </w:p>
        </w:tc>
        <w:tc>
          <w:tcPr>
            <w:tcW w:w="373" w:type="pct"/>
            <w:vAlign w:val="center"/>
          </w:tcPr>
          <w:p w14:paraId="215E745D">
            <w:pPr>
              <w:widowControl/>
              <w:jc w:val="center"/>
              <w:rPr>
                <w:rFonts w:ascii="宋体" w:hAnsi="宋体" w:eastAsia="宋体" w:cs="Times New Roman"/>
                <w:kern w:val="0"/>
                <w:sz w:val="21"/>
                <w:szCs w:val="21"/>
                <w:lang w:eastAsia="zh-Hans"/>
              </w:rPr>
            </w:pPr>
            <w:r>
              <w:rPr>
                <w:rFonts w:ascii="宋体" w:hAnsi="宋体" w:eastAsia="宋体" w:cs="Times New Roman"/>
                <w:kern w:val="0"/>
                <w:sz w:val="21"/>
                <w:szCs w:val="21"/>
                <w:lang w:eastAsia="zh-Hans"/>
              </w:rPr>
              <w:t>1</w:t>
            </w:r>
          </w:p>
        </w:tc>
        <w:tc>
          <w:tcPr>
            <w:tcW w:w="374" w:type="pct"/>
            <w:vAlign w:val="center"/>
          </w:tcPr>
          <w:p w14:paraId="0D05EEAD">
            <w:pPr>
              <w:widowControl/>
              <w:jc w:val="center"/>
              <w:rPr>
                <w:rFonts w:hint="eastAsia"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批</w:t>
            </w:r>
          </w:p>
        </w:tc>
        <w:tc>
          <w:tcPr>
            <w:tcW w:w="1420" w:type="pct"/>
            <w:vAlign w:val="center"/>
          </w:tcPr>
          <w:p w14:paraId="3FA2DDE4">
            <w:pPr>
              <w:widowControl/>
              <w:jc w:val="center"/>
              <w:rPr>
                <w:rFonts w:ascii="Calibri" w:hAnsi="Calibri" w:eastAsia="宋体" w:cs="Times New Roman"/>
                <w:kern w:val="0"/>
                <w:sz w:val="21"/>
                <w:szCs w:val="21"/>
              </w:rPr>
            </w:pPr>
            <w:r>
              <w:rPr>
                <w:rFonts w:ascii="Calibri" w:hAnsi="Calibri" w:eastAsia="宋体" w:cs="Times New Roman"/>
                <w:kern w:val="0"/>
                <w:sz w:val="21"/>
                <w:szCs w:val="21"/>
                <w:lang w:eastAsia="zh-Hans"/>
              </w:rPr>
              <w:t>详见第二章</w:t>
            </w:r>
            <w:r>
              <w:rPr>
                <w:rFonts w:hint="eastAsia" w:ascii="Calibri" w:hAnsi="Calibri" w:eastAsia="宋体" w:cs="Times New Roman"/>
                <w:kern w:val="0"/>
                <w:sz w:val="21"/>
                <w:szCs w:val="21"/>
                <w:lang w:eastAsia="zh-Hans"/>
              </w:rPr>
              <w:t>采购需求</w:t>
            </w:r>
          </w:p>
        </w:tc>
      </w:tr>
    </w:tbl>
    <w:p w14:paraId="2C908FC7">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lang w:eastAsia="zh-Hans"/>
        </w:rPr>
        <w:t>自合同签订之日起</w:t>
      </w:r>
      <w:r>
        <w:rPr>
          <w:rFonts w:hint="eastAsia" w:ascii="宋体" w:hAnsi="宋体" w:eastAsia="宋体" w:cs="Times New Roman"/>
          <w:color w:val="auto"/>
          <w:kern w:val="0"/>
          <w:szCs w:val="21"/>
          <w:highlight w:val="none"/>
          <w:lang w:val="en-US" w:eastAsia="zh-CN"/>
        </w:rPr>
        <w:t>30</w:t>
      </w:r>
      <w:r>
        <w:rPr>
          <w:rFonts w:hint="eastAsia" w:ascii="宋体" w:hAnsi="宋体" w:eastAsia="宋体" w:cs="Times New Roman"/>
          <w:color w:val="auto"/>
          <w:kern w:val="0"/>
          <w:szCs w:val="21"/>
          <w:highlight w:val="none"/>
          <w:lang w:eastAsia="zh-Hans"/>
        </w:rPr>
        <w:t>日内完成供货、安装、调试并经采购人验收合格。</w:t>
      </w:r>
    </w:p>
    <w:p w14:paraId="1ED4D63C">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不接受</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联合体投标。</w:t>
      </w:r>
    </w:p>
    <w:p w14:paraId="40E89C6F">
      <w:pPr>
        <w:spacing w:before="217" w:beforeLines="50"/>
        <w:rPr>
          <w:rFonts w:ascii="Calibri" w:hAnsi="Calibri" w:eastAsia="宋体" w:cs="Times New Roman"/>
          <w:color w:val="auto"/>
          <w:kern w:val="0"/>
          <w:sz w:val="20"/>
          <w:szCs w:val="20"/>
          <w:lang w:eastAsia="zh-Hans"/>
        </w:rPr>
      </w:pPr>
      <w:r>
        <w:rPr>
          <w:rFonts w:hint="eastAsia" w:ascii="宋体" w:hAnsi="宋体" w:eastAsia="宋体" w:cs="Times New Roman"/>
          <w:b/>
          <w:color w:val="auto"/>
          <w:kern w:val="0"/>
          <w:sz w:val="24"/>
          <w:szCs w:val="24"/>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lang w:eastAsia="zh-CN"/>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4</w:t>
      </w:r>
      <w:r>
        <w:rPr>
          <w:rFonts w:ascii="Calibri" w:hAnsi="Calibri" w:eastAsia="宋体" w:cs="Times New Roman"/>
          <w:bCs/>
          <w:kern w:val="0"/>
          <w:szCs w:val="21"/>
        </w:rPr>
        <w:t>年财务状况报告或者基本户开户银行出具的资信证明或提供资格条件承诺函（详见投标文件格式）。</w:t>
      </w:r>
    </w:p>
    <w:p w14:paraId="592314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lang w:eastAsia="zh-CN"/>
        </w:rPr>
        <w:t>：在投标文件中填报设备及专业技术能力情况或</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r>
        <w:rPr>
          <w:rFonts w:hint="eastAsia" w:ascii="Calibri" w:hAnsi="Calibri" w:eastAsia="宋体" w:cs="Times New Roman"/>
          <w:b/>
          <w:kern w:val="0"/>
          <w:szCs w:val="21"/>
          <w:lang w:eastAsia="zh-CN"/>
        </w:rPr>
        <w:t>。</w:t>
      </w:r>
    </w:p>
    <w:p w14:paraId="7D350B23">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4"/>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w:t>
      </w:r>
      <w:bookmarkStart w:id="67" w:name="_GoBack"/>
      <w:bookmarkEnd w:id="67"/>
      <w:r>
        <w:rPr>
          <w:rFonts w:ascii="宋体" w:hAnsi="宋体" w:eastAsia="宋体" w:cs="Times New Roman"/>
          <w:kern w:val="0"/>
          <w:szCs w:val="21"/>
          <w:lang w:eastAsia="zh-Hans"/>
        </w:rPr>
        <w:t>，如相关失信记录已失效，供应商需提供相关证明资料）。</w:t>
      </w:r>
    </w:p>
    <w:p w14:paraId="5F2EA18B">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kern w:val="0"/>
          <w:szCs w:val="21"/>
        </w:rPr>
        <w:t>提供资格条件承诺函（详见投标文件格式）。</w:t>
      </w:r>
    </w:p>
    <w:bookmarkEnd w:id="3"/>
    <w:bookmarkEnd w:id="4"/>
    <w:p w14:paraId="51ED73A6">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5E969CEA">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kern w:val="0"/>
          <w:sz w:val="21"/>
          <w:szCs w:val="21"/>
          <w:u w:val="single"/>
          <w:lang w:val="en-US" w:eastAsia="zh-CN"/>
        </w:rPr>
        <w:t>2025</w:t>
      </w:r>
      <w:r>
        <w:rPr>
          <w:rFonts w:ascii="宋体" w:hAnsi="宋体" w:eastAsia="宋体" w:cs="Times New Roman"/>
          <w:color w:val="auto"/>
          <w:kern w:val="0"/>
          <w:sz w:val="21"/>
          <w:szCs w:val="21"/>
          <w:lang w:eastAsia="zh-Hans"/>
        </w:rPr>
        <w:t>年</w:t>
      </w:r>
      <w:r>
        <w:rPr>
          <w:rFonts w:hint="eastAsia" w:ascii="宋体" w:hAnsi="宋体" w:eastAsia="宋体" w:cs="Times New Roman"/>
          <w:color w:val="auto"/>
          <w:kern w:val="0"/>
          <w:sz w:val="21"/>
          <w:szCs w:val="21"/>
          <w:u w:val="single"/>
          <w:lang w:val="en-US" w:eastAsia="zh-CN"/>
        </w:rPr>
        <w:t>07</w:t>
      </w:r>
      <w:r>
        <w:rPr>
          <w:rFonts w:ascii="宋体" w:hAnsi="宋体" w:eastAsia="宋体" w:cs="Times New Roman"/>
          <w:color w:val="auto"/>
          <w:kern w:val="0"/>
          <w:sz w:val="21"/>
          <w:szCs w:val="21"/>
          <w:lang w:eastAsia="zh-Hans"/>
        </w:rPr>
        <w:t>月</w:t>
      </w:r>
      <w:r>
        <w:rPr>
          <w:rFonts w:hint="eastAsia" w:ascii="宋体" w:hAnsi="宋体" w:eastAsia="宋体" w:cs="Times New Roman"/>
          <w:color w:val="auto"/>
          <w:kern w:val="0"/>
          <w:sz w:val="21"/>
          <w:szCs w:val="21"/>
          <w:u w:val="single"/>
          <w:lang w:val="en-US" w:eastAsia="zh-CN"/>
        </w:rPr>
        <w:t>18</w:t>
      </w:r>
      <w:r>
        <w:rPr>
          <w:rFonts w:ascii="宋体" w:hAnsi="宋体" w:eastAsia="宋体" w:cs="Times New Roman"/>
          <w:color w:val="auto"/>
          <w:kern w:val="0"/>
          <w:sz w:val="21"/>
          <w:szCs w:val="21"/>
          <w:lang w:eastAsia="zh-Hans"/>
        </w:rPr>
        <w:t>日</w:t>
      </w:r>
      <w:r>
        <w:rPr>
          <w:rFonts w:ascii="宋体" w:hAnsi="宋体" w:eastAsia="宋体" w:cs="Times New Roman"/>
          <w:color w:val="auto"/>
          <w:sz w:val="21"/>
          <w:szCs w:val="21"/>
          <w:lang w:eastAsia="zh-CN"/>
        </w:rPr>
        <w:t>至</w:t>
      </w:r>
      <w:r>
        <w:rPr>
          <w:rFonts w:hint="eastAsia" w:ascii="宋体" w:hAnsi="宋体" w:eastAsia="宋体" w:cs="Times New Roman"/>
          <w:color w:val="auto"/>
          <w:kern w:val="0"/>
          <w:sz w:val="21"/>
          <w:szCs w:val="21"/>
          <w:u w:val="single"/>
          <w:lang w:val="en-US" w:eastAsia="zh-CN"/>
        </w:rPr>
        <w:t>2025</w:t>
      </w:r>
      <w:r>
        <w:rPr>
          <w:rFonts w:ascii="宋体" w:hAnsi="宋体" w:eastAsia="宋体" w:cs="Times New Roman"/>
          <w:color w:val="auto"/>
          <w:kern w:val="0"/>
          <w:sz w:val="21"/>
          <w:szCs w:val="21"/>
          <w:lang w:eastAsia="zh-Hans"/>
        </w:rPr>
        <w:t>年</w:t>
      </w:r>
      <w:r>
        <w:rPr>
          <w:rFonts w:hint="eastAsia" w:ascii="宋体" w:hAnsi="宋体" w:eastAsia="宋体" w:cs="Times New Roman"/>
          <w:color w:val="auto"/>
          <w:kern w:val="0"/>
          <w:sz w:val="21"/>
          <w:szCs w:val="21"/>
          <w:u w:val="single"/>
          <w:lang w:val="en-US" w:eastAsia="zh-CN"/>
        </w:rPr>
        <w:t>07</w:t>
      </w:r>
      <w:r>
        <w:rPr>
          <w:rFonts w:ascii="宋体" w:hAnsi="宋体" w:eastAsia="宋体" w:cs="Times New Roman"/>
          <w:color w:val="auto"/>
          <w:kern w:val="0"/>
          <w:sz w:val="21"/>
          <w:szCs w:val="21"/>
          <w:lang w:eastAsia="zh-Hans"/>
        </w:rPr>
        <w:t>月</w:t>
      </w:r>
      <w:r>
        <w:rPr>
          <w:rFonts w:hint="eastAsia" w:ascii="宋体" w:hAnsi="宋体" w:eastAsia="宋体" w:cs="Times New Roman"/>
          <w:color w:val="auto"/>
          <w:kern w:val="0"/>
          <w:sz w:val="21"/>
          <w:szCs w:val="21"/>
          <w:u w:val="single"/>
          <w:lang w:val="en-US" w:eastAsia="zh-CN"/>
        </w:rPr>
        <w:t>25</w:t>
      </w:r>
      <w:r>
        <w:rPr>
          <w:rFonts w:ascii="宋体" w:hAnsi="宋体" w:eastAsia="宋体" w:cs="Times New Roman"/>
          <w:color w:val="auto"/>
          <w:kern w:val="0"/>
          <w:sz w:val="21"/>
          <w:szCs w:val="21"/>
          <w:lang w:eastAsia="zh-Hans"/>
        </w:rPr>
        <w:t>日</w:t>
      </w:r>
      <w:r>
        <w:rPr>
          <w:rFonts w:ascii="宋体" w:hAnsi="宋体" w:eastAsia="宋体" w:cs="Times New Roman"/>
          <w:color w:val="auto"/>
          <w:sz w:val="21"/>
          <w:szCs w:val="21"/>
          <w:lang w:eastAsia="zh-CN"/>
        </w:rPr>
        <w:t>，每天上午9</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00至12</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00，下午14</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30至17</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30。（北京时间，法定节假日除外）</w:t>
      </w:r>
    </w:p>
    <w:p w14:paraId="36BBA40B">
      <w:pPr>
        <w:pStyle w:val="18"/>
        <w:keepNext w:val="0"/>
        <w:keepLines w:val="0"/>
        <w:pageBreakBefore w:val="0"/>
        <w:widowControl w:val="0"/>
        <w:kinsoku/>
        <w:wordWrap/>
        <w:overflowPunct/>
        <w:topLinePunct w:val="0"/>
        <w:autoSpaceDE/>
        <w:autoSpaceDN/>
        <w:bidi w:val="0"/>
        <w:adjustRightInd/>
        <w:snapToGrid/>
        <w:ind w:left="945" w:leftChars="200" w:hanging="525" w:hangingChars="25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r>
        <w:rPr>
          <w:rFonts w:ascii="宋体" w:hAnsi="宋体" w:eastAsia="宋体" w:cs="Times New Roman"/>
          <w:color w:val="auto"/>
          <w:sz w:val="21"/>
          <w:szCs w:val="21"/>
        </w:rPr>
        <w:t>或微信搜索公众号“广东智汇城市招标采购有限公司”。</w:t>
      </w:r>
    </w:p>
    <w:p w14:paraId="50D49FD9">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001837DA">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0374F8F">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kern w:val="0"/>
          <w:sz w:val="21"/>
          <w:szCs w:val="21"/>
          <w:u w:val="single"/>
          <w:lang w:val="en-US" w:eastAsia="zh-CN"/>
        </w:rPr>
        <w:t>2025</w:t>
      </w:r>
      <w:r>
        <w:rPr>
          <w:rFonts w:ascii="宋体" w:hAnsi="宋体" w:eastAsia="宋体" w:cs="Times New Roman"/>
          <w:color w:val="auto"/>
          <w:kern w:val="0"/>
          <w:sz w:val="21"/>
          <w:szCs w:val="21"/>
          <w:lang w:eastAsia="zh-Hans"/>
        </w:rPr>
        <w:t>年</w:t>
      </w:r>
      <w:r>
        <w:rPr>
          <w:rFonts w:hint="eastAsia" w:ascii="宋体" w:hAnsi="宋体" w:eastAsia="宋体" w:cs="Times New Roman"/>
          <w:color w:val="auto"/>
          <w:kern w:val="0"/>
          <w:sz w:val="21"/>
          <w:szCs w:val="21"/>
          <w:u w:val="single"/>
          <w:lang w:val="en-US" w:eastAsia="zh-CN"/>
        </w:rPr>
        <w:t>08</w:t>
      </w:r>
      <w:r>
        <w:rPr>
          <w:rFonts w:ascii="宋体" w:hAnsi="宋体" w:eastAsia="宋体" w:cs="Times New Roman"/>
          <w:color w:val="auto"/>
          <w:kern w:val="0"/>
          <w:sz w:val="21"/>
          <w:szCs w:val="21"/>
          <w:lang w:eastAsia="zh-Hans"/>
        </w:rPr>
        <w:t>月</w:t>
      </w:r>
      <w:r>
        <w:rPr>
          <w:rFonts w:hint="eastAsia" w:ascii="宋体" w:hAnsi="宋体" w:eastAsia="宋体" w:cs="Times New Roman"/>
          <w:color w:val="auto"/>
          <w:kern w:val="0"/>
          <w:sz w:val="21"/>
          <w:szCs w:val="21"/>
          <w:u w:val="single"/>
          <w:lang w:val="en-US" w:eastAsia="zh-CN"/>
        </w:rPr>
        <w:t>08</w:t>
      </w:r>
      <w:r>
        <w:rPr>
          <w:rFonts w:ascii="宋体" w:hAnsi="宋体" w:eastAsia="宋体" w:cs="Times New Roman"/>
          <w:color w:val="auto"/>
          <w:kern w:val="0"/>
          <w:sz w:val="21"/>
          <w:szCs w:val="21"/>
          <w:lang w:eastAsia="zh-Hans"/>
        </w:rPr>
        <w:t>日</w:t>
      </w:r>
      <w:r>
        <w:rPr>
          <w:rFonts w:hint="eastAsia" w:ascii="宋体" w:hAnsi="宋体" w:eastAsia="宋体" w:cs="Times New Roman"/>
          <w:color w:val="auto"/>
          <w:kern w:val="0"/>
          <w:sz w:val="21"/>
          <w:szCs w:val="21"/>
          <w:u w:val="single"/>
          <w:lang w:val="en-US" w:eastAsia="zh-CN"/>
        </w:rPr>
        <w:t>09</w:t>
      </w:r>
      <w:r>
        <w:rPr>
          <w:rFonts w:ascii="宋体" w:hAnsi="宋体" w:eastAsia="宋体" w:cs="Times New Roman"/>
          <w:color w:val="auto"/>
          <w:kern w:val="0"/>
          <w:sz w:val="21"/>
          <w:szCs w:val="21"/>
          <w:lang w:eastAsia="zh-Hans"/>
        </w:rPr>
        <w:t>点</w:t>
      </w:r>
      <w:r>
        <w:rPr>
          <w:rFonts w:hint="eastAsia" w:ascii="宋体" w:hAnsi="宋体" w:eastAsia="宋体" w:cs="Times New Roman"/>
          <w:color w:val="auto"/>
          <w:kern w:val="0"/>
          <w:sz w:val="21"/>
          <w:szCs w:val="21"/>
          <w:u w:val="single"/>
          <w:lang w:val="en-US" w:eastAsia="zh-CN"/>
        </w:rPr>
        <w:t>30</w:t>
      </w:r>
      <w:r>
        <w:rPr>
          <w:rFonts w:ascii="宋体" w:hAnsi="宋体" w:eastAsia="宋体" w:cs="Times New Roman"/>
          <w:color w:val="auto"/>
          <w:kern w:val="0"/>
          <w:sz w:val="21"/>
          <w:szCs w:val="21"/>
          <w:lang w:eastAsia="zh-Hans"/>
        </w:rPr>
        <w:t>分</w:t>
      </w:r>
      <w:r>
        <w:rPr>
          <w:rFonts w:ascii="宋体" w:hAnsi="宋体" w:eastAsia="宋体" w:cs="Times New Roman"/>
          <w:color w:val="auto"/>
          <w:sz w:val="21"/>
          <w:szCs w:val="21"/>
        </w:rPr>
        <w:t>（北京时间）（自招标文件开始发出之日起至投标人提交投标文件截止之日止，不得少于20日）</w:t>
      </w:r>
    </w:p>
    <w:p w14:paraId="54F3F7A4">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p>
    <w:p w14:paraId="2E702E7D">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rPr>
      </w:pPr>
      <w:r>
        <w:rPr>
          <w:rFonts w:ascii="宋体" w:hAnsi="宋体" w:eastAsia="宋体" w:cs="Times New Roman"/>
          <w:sz w:val="21"/>
          <w:szCs w:val="21"/>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rPr>
      </w:pPr>
      <w:r>
        <w:rPr>
          <w:rFonts w:ascii="宋体" w:hAnsi="宋体" w:eastAsia="宋体" w:cs="Times New Roman"/>
          <w:sz w:val="21"/>
          <w:szCs w:val="21"/>
        </w:rPr>
        <w:t>本项目采购标的所属行业为</w:t>
      </w:r>
      <w:r>
        <w:rPr>
          <w:rFonts w:ascii="宋体" w:hAnsi="宋体" w:eastAsia="宋体" w:cs="Times New Roman"/>
          <w:sz w:val="21"/>
          <w:szCs w:val="21"/>
          <w:u w:val="single"/>
          <w:lang w:eastAsia="zh-CN"/>
        </w:rPr>
        <w:t xml:space="preserve"> </w:t>
      </w:r>
      <w:r>
        <w:rPr>
          <w:rFonts w:hint="eastAsia" w:ascii="宋体" w:hAnsi="宋体" w:eastAsia="宋体" w:cs="Times New Roman"/>
          <w:sz w:val="21"/>
          <w:szCs w:val="21"/>
          <w:u w:val="single"/>
          <w:lang w:val="en-US" w:eastAsia="zh-CN"/>
        </w:rPr>
        <w:t>工业</w:t>
      </w:r>
      <w:r>
        <w:rPr>
          <w:rFonts w:ascii="宋体" w:hAnsi="宋体" w:eastAsia="宋体" w:cs="Times New Roman"/>
          <w:sz w:val="21"/>
          <w:szCs w:val="21"/>
          <w:u w:val="single"/>
          <w:lang w:eastAsia="zh-CN"/>
        </w:rPr>
        <w:t xml:space="preserve"> </w:t>
      </w:r>
      <w:r>
        <w:rPr>
          <w:rFonts w:ascii="宋体" w:hAnsi="宋体" w:eastAsia="宋体" w:cs="Times New Roman"/>
          <w:sz w:val="21"/>
          <w:szCs w:val="21"/>
        </w:rPr>
        <w:t>。</w:t>
      </w:r>
    </w:p>
    <w:p w14:paraId="33DAD7C9">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18"/>
        <w:keepNext w:val="0"/>
        <w:keepLines w:val="0"/>
        <w:pageBreakBefore w:val="0"/>
        <w:widowControl w:val="0"/>
        <w:kinsoku/>
        <w:wordWrap/>
        <w:overflowPunct/>
        <w:topLinePunct w:val="0"/>
        <w:autoSpaceDE/>
        <w:autoSpaceDN/>
        <w:bidi w:val="0"/>
        <w:adjustRightInd/>
        <w:snapToGrid/>
        <w:ind w:left="420" w:leftChars="200" w:firstLine="420" w:firstLineChars="200"/>
        <w:textAlignment w:val="auto"/>
        <w:rPr>
          <w:rFonts w:hint="default" w:ascii="宋体" w:hAnsi="宋体" w:eastAsia="宋体" w:cs="Times New Roman"/>
          <w:spacing w:val="0"/>
          <w:sz w:val="21"/>
          <w:szCs w:val="21"/>
          <w:lang w:eastAsia="zh-CN"/>
        </w:rPr>
      </w:pPr>
      <w:r>
        <w:rPr>
          <w:rFonts w:ascii="宋体" w:hAnsi="宋体" w:eastAsia="宋体" w:cs="Times New Roman"/>
          <w:spacing w:val="0"/>
          <w:sz w:val="21"/>
          <w:szCs w:val="21"/>
        </w:rPr>
        <w:t>中国采购与招标网（https://zbdt.chinabidding.cn/）、广东智汇城市招标采购有限公司网站(http://www.gdzhcity.com/)</w:t>
      </w:r>
    </w:p>
    <w:p w14:paraId="5E1239F4">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rPr>
      </w:pPr>
      <w:r>
        <w:rPr>
          <w:rFonts w:ascii="宋体" w:hAnsi="宋体" w:eastAsia="宋体" w:cs="Times New Roman"/>
          <w:sz w:val="21"/>
          <w:szCs w:val="21"/>
        </w:rPr>
        <w:t>拟参加本项目的潜在投标人须</w:t>
      </w:r>
      <w:r>
        <w:rPr>
          <w:rFonts w:ascii="宋体" w:hAnsi="宋体" w:eastAsia="宋体" w:cs="Times New Roman"/>
          <w:color w:val="auto"/>
          <w:sz w:val="21"/>
          <w:szCs w:val="21"/>
        </w:rPr>
        <w:t>在规定时间内按要求获取招标文件后方可参与本项目的投标。获取招标文件后而不参加投标的潜在投标人，请在开标日期三日前以书面形式通知采购代理机构。</w:t>
      </w:r>
    </w:p>
    <w:p w14:paraId="7C462D57">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对本次招标提出询问，请按以下方式联系。</w:t>
      </w:r>
    </w:p>
    <w:p w14:paraId="42C8994C">
      <w:pPr>
        <w:pStyle w:val="18"/>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sz w:val="21"/>
          <w:szCs w:val="21"/>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称：</w:t>
      </w:r>
      <w:r>
        <w:rPr>
          <w:rFonts w:hint="eastAsia" w:ascii="宋体" w:hAnsi="宋体" w:eastAsia="宋体" w:cs="Times New Roman"/>
          <w:sz w:val="21"/>
          <w:szCs w:val="21"/>
        </w:rPr>
        <w:t>东莞市汽车技术学校</w:t>
      </w:r>
    </w:p>
    <w:p w14:paraId="39A08C45">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sz w:val="21"/>
          <w:szCs w:val="21"/>
        </w:rPr>
      </w:pPr>
      <w:r>
        <w:rPr>
          <w:rFonts w:ascii="宋体" w:hAnsi="宋体" w:eastAsia="宋体" w:cs="Times New Roman"/>
          <w:sz w:val="21"/>
          <w:szCs w:val="21"/>
        </w:rPr>
        <w:t>地</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址：</w:t>
      </w:r>
      <w:r>
        <w:rPr>
          <w:rFonts w:hint="eastAsia" w:ascii="宋体" w:hAnsi="宋体" w:eastAsia="宋体" w:cs="Times New Roman"/>
          <w:sz w:val="21"/>
          <w:szCs w:val="21"/>
        </w:rPr>
        <w:t>东莞市寮步镇寮城中路霞边段7号101号</w:t>
      </w:r>
    </w:p>
    <w:p w14:paraId="5F3217C5">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sz w:val="21"/>
          <w:szCs w:val="21"/>
        </w:rPr>
      </w:pPr>
      <w:r>
        <w:rPr>
          <w:rFonts w:ascii="宋体" w:hAnsi="宋体" w:eastAsia="宋体" w:cs="Times New Roman"/>
          <w:sz w:val="21"/>
          <w:szCs w:val="21"/>
        </w:rPr>
        <w:t>联系方式：</w:t>
      </w:r>
      <w:r>
        <w:rPr>
          <w:rFonts w:hint="eastAsia" w:ascii="宋体" w:hAnsi="宋体" w:eastAsia="宋体" w:cs="Times New Roman"/>
          <w:sz w:val="21"/>
          <w:szCs w:val="21"/>
        </w:rPr>
        <w:t>0769</w:t>
      </w:r>
      <w:r>
        <w:rPr>
          <w:rFonts w:hint="eastAsia" w:ascii="宋体" w:hAnsi="宋体" w:eastAsia="宋体" w:cs="Times New Roman"/>
          <w:sz w:val="21"/>
          <w:szCs w:val="21"/>
          <w:lang w:val="en-US" w:eastAsia="zh-CN"/>
        </w:rPr>
        <w:t>-</w:t>
      </w:r>
      <w:r>
        <w:rPr>
          <w:rFonts w:hint="eastAsia" w:ascii="宋体" w:hAnsi="宋体" w:eastAsia="宋体" w:cs="Times New Roman"/>
          <w:sz w:val="21"/>
          <w:szCs w:val="21"/>
        </w:rPr>
        <w:t>83266616</w:t>
      </w:r>
    </w:p>
    <w:p w14:paraId="1FC6BF34">
      <w:pPr>
        <w:pStyle w:val="18"/>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sz w:val="21"/>
          <w:szCs w:val="21"/>
        </w:rPr>
      </w:pPr>
      <w:r>
        <w:rPr>
          <w:rFonts w:ascii="宋体" w:hAnsi="宋体" w:eastAsia="宋体" w:cs="Times New Roman"/>
          <w:sz w:val="21"/>
          <w:szCs w:val="21"/>
        </w:rPr>
        <w:t>采购代理机构信息</w:t>
      </w:r>
    </w:p>
    <w:p w14:paraId="50DD56BE">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名</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称：广东智汇城市招标采购有限公司</w:t>
      </w:r>
    </w:p>
    <w:p w14:paraId="14C2828B">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东莞市南城街道雅园产业园区路5号1栋1楼</w:t>
      </w:r>
    </w:p>
    <w:p w14:paraId="0D7C2C9D">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FC82D38">
      <w:pPr>
        <w:pStyle w:val="18"/>
        <w:keepNext w:val="0"/>
        <w:keepLines w:val="0"/>
        <w:pageBreakBefore w:val="0"/>
        <w:widowControl w:val="0"/>
        <w:numPr>
          <w:ilvl w:val="0"/>
          <w:numId w:val="6"/>
        </w:numPr>
        <w:kinsoku/>
        <w:overflowPunct/>
        <w:topLinePunct w:val="0"/>
        <w:autoSpaceDE/>
        <w:autoSpaceDN/>
        <w:bidi w:val="0"/>
        <w:adjustRightInd/>
        <w:snapToGrid/>
        <w:ind w:left="284" w:hanging="284"/>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8"/>
        <w:keepNext w:val="0"/>
        <w:keepLines w:val="0"/>
        <w:pageBreakBefore w:val="0"/>
        <w:widowControl w:val="0"/>
        <w:kinsoku/>
        <w:overflowPunct/>
        <w:topLinePunct w:val="0"/>
        <w:autoSpaceDE/>
        <w:autoSpaceDN/>
        <w:bidi w:val="0"/>
        <w:adjustRightInd/>
        <w:snapToGrid/>
        <w:ind w:firstLine="283" w:firstLineChars="135"/>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电</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话：</w:t>
      </w:r>
      <w:bookmarkEnd w:id="5"/>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8B48AD4">
      <w:pPr>
        <w:pStyle w:val="18"/>
        <w:keepNext w:val="0"/>
        <w:keepLines w:val="0"/>
        <w:pageBreakBefore w:val="0"/>
        <w:widowControl w:val="0"/>
        <w:kinsoku/>
        <w:overflowPunct/>
        <w:topLinePunct w:val="0"/>
        <w:autoSpaceDE/>
        <w:autoSpaceDN/>
        <w:bidi w:val="0"/>
        <w:adjustRightInd/>
        <w:snapToGrid/>
        <w:jc w:val="right"/>
        <w:textAlignment w:val="auto"/>
        <w:rPr>
          <w:rFonts w:hint="default"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8"/>
        <w:keepNext w:val="0"/>
        <w:keepLines w:val="0"/>
        <w:pageBreakBefore w:val="0"/>
        <w:widowControl w:val="0"/>
        <w:kinsoku/>
        <w:overflowPunct/>
        <w:topLinePunct w:val="0"/>
        <w:autoSpaceDE/>
        <w:autoSpaceDN/>
        <w:bidi w:val="0"/>
        <w:adjustRightInd/>
        <w:snapToGrid/>
        <w:jc w:val="right"/>
        <w:textAlignment w:val="auto"/>
        <w:rPr>
          <w:rFonts w:hint="default"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07</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18</w:t>
      </w:r>
      <w:r>
        <w:rPr>
          <w:rFonts w:ascii="宋体" w:hAnsi="宋体" w:eastAsia="宋体" w:cs="Times New Roman"/>
          <w:b/>
          <w:bCs/>
          <w:sz w:val="21"/>
          <w:szCs w:val="21"/>
        </w:rPr>
        <w:t>日</w:t>
      </w:r>
    </w:p>
    <w:p w14:paraId="12526B28">
      <w:pPr>
        <w:pageBreakBefore/>
        <w:jc w:val="center"/>
        <w:outlineLvl w:val="1"/>
        <w:rPr>
          <w:rFonts w:ascii="宋体" w:hAnsi="宋体" w:eastAsia="宋体" w:cs="Times New Roman"/>
          <w:kern w:val="0"/>
          <w:sz w:val="20"/>
          <w:szCs w:val="20"/>
        </w:rPr>
      </w:pPr>
      <w:bookmarkStart w:id="6" w:name="_Toc169799779"/>
      <w:bookmarkStart w:id="7" w:name="_Toc7634"/>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64558ECA">
      <w:pPr>
        <w:snapToGrid w:val="0"/>
        <w:spacing w:line="360" w:lineRule="auto"/>
        <w:contextualSpacing/>
        <w:rPr>
          <w:rFonts w:ascii="宋体" w:hAnsi="宋体" w:eastAsia="宋体"/>
          <w:b/>
          <w:bCs/>
          <w:szCs w:val="21"/>
        </w:rPr>
      </w:pPr>
      <w:bookmarkStart w:id="8" w:name="_Hlk90919605"/>
      <w:r>
        <w:rPr>
          <w:rFonts w:hint="eastAsia" w:ascii="宋体" w:hAnsi="宋体" w:eastAsia="宋体"/>
          <w:b/>
          <w:bCs/>
          <w:szCs w:val="21"/>
        </w:rPr>
        <w:t>说明：</w:t>
      </w:r>
    </w:p>
    <w:p w14:paraId="4153B9F1">
      <w:pPr>
        <w:pStyle w:val="24"/>
        <w:numPr>
          <w:ilvl w:val="3"/>
          <w:numId w:val="7"/>
        </w:numPr>
        <w:snapToGrid w:val="0"/>
        <w:spacing w:line="360" w:lineRule="auto"/>
        <w:ind w:left="284" w:hanging="284" w:firstLineChars="0"/>
        <w:contextualSpacing/>
        <w:rPr>
          <w:rFonts w:ascii="宋体" w:hAnsi="宋体" w:eastAsia="宋体"/>
          <w:color w:val="auto"/>
          <w:szCs w:val="21"/>
        </w:rPr>
      </w:pPr>
      <w:r>
        <w:rPr>
          <w:rFonts w:ascii="宋体" w:hAnsi="宋体" w:eastAsia="宋体"/>
          <w:szCs w:val="21"/>
        </w:rPr>
        <w:t>采购需求中带“</w:t>
      </w:r>
      <w:r>
        <w:rPr>
          <w:rFonts w:hint="eastAsia" w:ascii="宋体" w:hAnsi="宋体" w:eastAsia="宋体"/>
          <w:bCs/>
          <w:szCs w:val="21"/>
        </w:rPr>
        <w:t>◆</w:t>
      </w:r>
      <w:r>
        <w:rPr>
          <w:rFonts w:ascii="宋体" w:hAnsi="宋体" w:eastAsia="宋体"/>
          <w:szCs w:val="21"/>
        </w:rPr>
        <w:t>”符号的内容为采购的主要标的（核心产品），投标人应</w:t>
      </w:r>
      <w:r>
        <w:rPr>
          <w:rFonts w:ascii="宋体" w:hAnsi="宋体" w:eastAsia="宋体"/>
          <w:color w:val="auto"/>
          <w:szCs w:val="21"/>
        </w:rPr>
        <w:t>在《分项报价表》中清晰列明“货物名称、品牌、规格型号、原产地、价格等”。</w:t>
      </w:r>
    </w:p>
    <w:p w14:paraId="4411353B">
      <w:pPr>
        <w:pStyle w:val="24"/>
        <w:snapToGrid w:val="0"/>
        <w:spacing w:line="360" w:lineRule="auto"/>
        <w:ind w:left="284" w:firstLine="0" w:firstLineChars="0"/>
        <w:contextualSpacing/>
        <w:rPr>
          <w:rFonts w:ascii="宋体" w:hAnsi="宋体" w:eastAsia="宋体"/>
          <w:szCs w:val="21"/>
        </w:rPr>
      </w:pPr>
      <w:r>
        <w:rPr>
          <w:rFonts w:hint="eastAsia" w:ascii="宋体" w:hAnsi="宋体" w:eastAsia="宋体"/>
          <w:color w:val="auto"/>
          <w:szCs w:val="21"/>
        </w:rPr>
        <w:t>本项目主要标的（核心产品）为</w:t>
      </w:r>
      <w:r>
        <w:rPr>
          <w:rFonts w:hint="eastAsia" w:ascii="宋体" w:hAnsi="宋体" w:eastAsia="宋体"/>
          <w:b/>
          <w:bCs/>
          <w:color w:val="auto"/>
          <w:szCs w:val="21"/>
        </w:rPr>
        <w:t>“◆新能源汽车电力电子技术基础积木实训板</w:t>
      </w:r>
      <w:r>
        <w:rPr>
          <w:rFonts w:ascii="宋体" w:hAnsi="宋体" w:eastAsia="宋体"/>
          <w:b/>
          <w:bCs/>
          <w:color w:val="auto"/>
          <w:szCs w:val="21"/>
        </w:rPr>
        <w:t>”</w:t>
      </w:r>
      <w:r>
        <w:rPr>
          <w:rFonts w:ascii="宋体" w:hAnsi="宋体" w:eastAsia="宋体"/>
          <w:color w:val="auto"/>
          <w:szCs w:val="21"/>
        </w:rPr>
        <w:t>。多家</w:t>
      </w:r>
      <w:r>
        <w:rPr>
          <w:rFonts w:ascii="宋体" w:hAnsi="宋体" w:eastAsia="宋体"/>
          <w:szCs w:val="21"/>
        </w:rPr>
        <w:t>投标人提供的核心产品品牌相同的，按一家投标人计算。</w:t>
      </w:r>
    </w:p>
    <w:p w14:paraId="6333FABD">
      <w:pPr>
        <w:pStyle w:val="24"/>
        <w:numPr>
          <w:ilvl w:val="3"/>
          <w:numId w:val="7"/>
        </w:numPr>
        <w:snapToGrid w:val="0"/>
        <w:spacing w:line="360" w:lineRule="auto"/>
        <w:ind w:left="284" w:hanging="284" w:firstLineChars="0"/>
        <w:contextualSpacing/>
        <w:rPr>
          <w:rFonts w:ascii="宋体" w:hAnsi="宋体" w:eastAsia="宋体"/>
          <w:szCs w:val="21"/>
        </w:rPr>
      </w:pPr>
      <w:r>
        <w:rPr>
          <w:rFonts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C270A7C">
      <w:pPr>
        <w:pStyle w:val="24"/>
        <w:numPr>
          <w:ilvl w:val="3"/>
          <w:numId w:val="7"/>
        </w:numPr>
        <w:snapToGrid w:val="0"/>
        <w:spacing w:line="360" w:lineRule="auto"/>
        <w:ind w:left="284" w:hanging="284" w:firstLineChars="0"/>
        <w:contextualSpacing/>
        <w:rPr>
          <w:rFonts w:ascii="宋体" w:hAnsi="宋体" w:eastAsia="宋体"/>
          <w:szCs w:val="21"/>
        </w:rPr>
      </w:pPr>
      <w:bookmarkStart w:id="9" w:name="_Hlk148023067"/>
      <w:r>
        <w:rPr>
          <w:rFonts w:hint="eastAsia" w:ascii="宋体" w:hAnsi="宋体" w:eastAsia="宋体"/>
          <w:szCs w:val="21"/>
        </w:rPr>
        <w:t>采购需求中</w:t>
      </w:r>
      <w:r>
        <w:rPr>
          <w:rFonts w:ascii="宋体" w:hAnsi="宋体" w:eastAsia="宋体"/>
          <w:szCs w:val="21"/>
        </w:rPr>
        <w:t>标有“★”的地方均被视为重要的采购需求，投标人要特别加以注意，必须对此响应并完全满足这些要求，否则若有一项带“★”的要求未响应或不满足，将按无效投标处理。</w:t>
      </w:r>
    </w:p>
    <w:bookmarkEnd w:id="9"/>
    <w:p w14:paraId="13C81C7C">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采购标的</w:t>
      </w:r>
    </w:p>
    <w:p w14:paraId="7EF97B1D">
      <w:pPr>
        <w:pStyle w:val="24"/>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2786"/>
        <w:gridCol w:w="940"/>
        <w:gridCol w:w="940"/>
        <w:gridCol w:w="1933"/>
        <w:gridCol w:w="2022"/>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14:paraId="43F50A79">
            <w:pPr>
              <w:spacing w:line="360" w:lineRule="auto"/>
              <w:jc w:val="center"/>
              <w:rPr>
                <w:rFonts w:ascii="宋体" w:hAnsi="宋体" w:eastAsia="宋体"/>
                <w:b/>
                <w:bCs w:val="0"/>
                <w:sz w:val="21"/>
                <w:szCs w:val="21"/>
              </w:rPr>
            </w:pPr>
            <w:r>
              <w:rPr>
                <w:rFonts w:hint="eastAsia" w:ascii="宋体" w:hAnsi="宋体" w:eastAsia="宋体"/>
                <w:b/>
                <w:bCs w:val="0"/>
                <w:sz w:val="21"/>
                <w:szCs w:val="21"/>
              </w:rPr>
              <w:t>序号</w:t>
            </w:r>
          </w:p>
        </w:tc>
        <w:tc>
          <w:tcPr>
            <w:tcW w:w="1499" w:type="pct"/>
            <w:vAlign w:val="center"/>
          </w:tcPr>
          <w:p w14:paraId="2A9F9AA7">
            <w:pPr>
              <w:spacing w:line="360" w:lineRule="auto"/>
              <w:jc w:val="center"/>
              <w:rPr>
                <w:rFonts w:ascii="宋体" w:hAnsi="宋体" w:eastAsia="宋体"/>
                <w:b/>
                <w:bCs w:val="0"/>
                <w:sz w:val="21"/>
                <w:szCs w:val="21"/>
              </w:rPr>
            </w:pPr>
            <w:r>
              <w:rPr>
                <w:rFonts w:hint="eastAsia" w:ascii="宋体" w:hAnsi="宋体" w:eastAsia="宋体"/>
                <w:b/>
                <w:bCs w:val="0"/>
                <w:sz w:val="21"/>
                <w:szCs w:val="21"/>
              </w:rPr>
              <w:t>标的名称</w:t>
            </w:r>
          </w:p>
        </w:tc>
        <w:tc>
          <w:tcPr>
            <w:tcW w:w="506" w:type="pct"/>
            <w:vAlign w:val="center"/>
          </w:tcPr>
          <w:p w14:paraId="47FCB236">
            <w:pPr>
              <w:spacing w:line="360" w:lineRule="auto"/>
              <w:jc w:val="center"/>
              <w:rPr>
                <w:rFonts w:ascii="宋体" w:hAnsi="宋体" w:eastAsia="宋体"/>
                <w:b/>
                <w:bCs w:val="0"/>
                <w:sz w:val="21"/>
                <w:szCs w:val="21"/>
              </w:rPr>
            </w:pPr>
            <w:r>
              <w:rPr>
                <w:rFonts w:hint="eastAsia" w:ascii="宋体" w:hAnsi="宋体" w:eastAsia="宋体"/>
                <w:b/>
                <w:bCs w:val="0"/>
                <w:sz w:val="21"/>
                <w:szCs w:val="21"/>
              </w:rPr>
              <w:t>数量</w:t>
            </w:r>
          </w:p>
        </w:tc>
        <w:tc>
          <w:tcPr>
            <w:tcW w:w="506" w:type="pct"/>
            <w:vAlign w:val="center"/>
          </w:tcPr>
          <w:p w14:paraId="444DAEA3">
            <w:pPr>
              <w:spacing w:line="360" w:lineRule="auto"/>
              <w:jc w:val="center"/>
              <w:rPr>
                <w:rFonts w:ascii="宋体" w:hAnsi="宋体" w:eastAsia="宋体"/>
                <w:b/>
                <w:bCs w:val="0"/>
                <w:sz w:val="21"/>
                <w:szCs w:val="21"/>
              </w:rPr>
            </w:pPr>
            <w:r>
              <w:rPr>
                <w:rFonts w:hint="eastAsia" w:ascii="宋体" w:hAnsi="宋体" w:eastAsia="宋体"/>
                <w:b/>
                <w:bCs w:val="0"/>
                <w:sz w:val="21"/>
                <w:szCs w:val="21"/>
              </w:rPr>
              <w:t>单位</w:t>
            </w:r>
          </w:p>
        </w:tc>
        <w:tc>
          <w:tcPr>
            <w:tcW w:w="1040" w:type="pct"/>
            <w:vAlign w:val="center"/>
          </w:tcPr>
          <w:p w14:paraId="73318811">
            <w:pPr>
              <w:spacing w:line="360" w:lineRule="auto"/>
              <w:jc w:val="center"/>
              <w:rPr>
                <w:rFonts w:ascii="宋体" w:hAnsi="宋体" w:eastAsia="宋体"/>
                <w:b/>
                <w:bCs w:val="0"/>
                <w:sz w:val="21"/>
                <w:szCs w:val="21"/>
              </w:rPr>
            </w:pPr>
            <w:r>
              <w:rPr>
                <w:rFonts w:hint="eastAsia" w:ascii="宋体" w:hAnsi="宋体" w:eastAsia="宋体"/>
                <w:b/>
                <w:bCs w:val="0"/>
                <w:sz w:val="21"/>
                <w:szCs w:val="21"/>
              </w:rPr>
              <w:t>采购标的所属行业</w:t>
            </w:r>
          </w:p>
        </w:tc>
        <w:tc>
          <w:tcPr>
            <w:tcW w:w="1088" w:type="pct"/>
            <w:vAlign w:val="center"/>
          </w:tcPr>
          <w:p w14:paraId="0FDEA0E1">
            <w:pPr>
              <w:spacing w:line="360" w:lineRule="auto"/>
              <w:jc w:val="center"/>
              <w:rPr>
                <w:rFonts w:ascii="宋体" w:hAnsi="宋体" w:eastAsia="宋体"/>
                <w:b/>
                <w:bCs w:val="0"/>
                <w:sz w:val="21"/>
                <w:szCs w:val="21"/>
              </w:rPr>
            </w:pPr>
            <w:r>
              <w:rPr>
                <w:rFonts w:ascii="宋体" w:hAnsi="宋体" w:eastAsia="宋体"/>
                <w:b/>
                <w:bCs w:val="0"/>
                <w:sz w:val="21"/>
                <w:szCs w:val="21"/>
              </w:rPr>
              <w:t>是否允许进口产品</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14:paraId="36E3E0DF">
            <w:pPr>
              <w:spacing w:line="360" w:lineRule="auto"/>
              <w:jc w:val="center"/>
              <w:rPr>
                <w:rFonts w:hint="eastAsia" w:ascii="宋体" w:hAnsi="宋体" w:eastAsia="宋体"/>
                <w:bCs/>
                <w:sz w:val="21"/>
                <w:szCs w:val="21"/>
                <w:lang w:val="en-US" w:eastAsia="zh-CN"/>
              </w:rPr>
            </w:pPr>
            <w:r>
              <w:rPr>
                <w:rFonts w:hint="eastAsia" w:ascii="宋体" w:hAnsi="宋体" w:eastAsia="宋体"/>
                <w:b/>
                <w:bCs w:val="0"/>
                <w:sz w:val="21"/>
                <w:szCs w:val="21"/>
                <w:lang w:val="en-US" w:eastAsia="zh-CN"/>
              </w:rPr>
              <w:t>1</w:t>
            </w:r>
          </w:p>
        </w:tc>
        <w:tc>
          <w:tcPr>
            <w:tcW w:w="1499" w:type="pct"/>
            <w:vAlign w:val="center"/>
          </w:tcPr>
          <w:p w14:paraId="5F368A8D">
            <w:pPr>
              <w:spacing w:line="360" w:lineRule="auto"/>
              <w:jc w:val="center"/>
              <w:rPr>
                <w:rFonts w:ascii="宋体" w:hAnsi="宋体" w:eastAsia="宋体"/>
                <w:bCs/>
                <w:sz w:val="21"/>
                <w:szCs w:val="21"/>
              </w:rPr>
            </w:pPr>
            <w:r>
              <w:rPr>
                <w:rFonts w:hint="eastAsia" w:ascii="宋体" w:hAnsi="宋体" w:eastAsia="宋体" w:cs="Times New Roman"/>
                <w:kern w:val="0"/>
                <w:sz w:val="21"/>
                <w:szCs w:val="21"/>
                <w:lang w:eastAsia="zh-Hans"/>
              </w:rPr>
              <w:t>中德SAGVE项目建设</w:t>
            </w:r>
          </w:p>
        </w:tc>
        <w:tc>
          <w:tcPr>
            <w:tcW w:w="506" w:type="pct"/>
            <w:vAlign w:val="center"/>
          </w:tcPr>
          <w:p w14:paraId="4A6E1E43">
            <w:pPr>
              <w:spacing w:line="360" w:lineRule="auto"/>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1</w:t>
            </w:r>
          </w:p>
        </w:tc>
        <w:tc>
          <w:tcPr>
            <w:tcW w:w="506" w:type="pct"/>
            <w:vAlign w:val="center"/>
          </w:tcPr>
          <w:p w14:paraId="7D8BBE69">
            <w:pPr>
              <w:spacing w:line="360" w:lineRule="auto"/>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批</w:t>
            </w:r>
          </w:p>
        </w:tc>
        <w:tc>
          <w:tcPr>
            <w:tcW w:w="1040" w:type="pct"/>
            <w:vAlign w:val="center"/>
          </w:tcPr>
          <w:p w14:paraId="7514CCAF">
            <w:pPr>
              <w:spacing w:line="360" w:lineRule="auto"/>
              <w:jc w:val="center"/>
              <w:rPr>
                <w:rFonts w:hint="eastAsia" w:ascii="宋体" w:hAnsi="宋体" w:eastAsia="宋体"/>
                <w:bCs/>
                <w:sz w:val="21"/>
                <w:szCs w:val="21"/>
                <w:lang w:val="en-US" w:eastAsia="zh-CN"/>
              </w:rPr>
            </w:pPr>
            <w:r>
              <w:rPr>
                <w:rFonts w:hint="eastAsia" w:ascii="宋体" w:hAnsi="宋体" w:eastAsia="宋体"/>
                <w:bCs/>
                <w:sz w:val="21"/>
                <w:szCs w:val="21"/>
                <w:lang w:val="en-US" w:eastAsia="zh-CN"/>
              </w:rPr>
              <w:t>工业</w:t>
            </w:r>
          </w:p>
        </w:tc>
        <w:tc>
          <w:tcPr>
            <w:tcW w:w="1088" w:type="pct"/>
            <w:vAlign w:val="center"/>
          </w:tcPr>
          <w:p w14:paraId="0F77DD66">
            <w:pPr>
              <w:spacing w:line="360" w:lineRule="auto"/>
              <w:jc w:val="center"/>
              <w:rPr>
                <w:rFonts w:ascii="宋体" w:hAnsi="宋体" w:eastAsia="宋体"/>
                <w:bCs/>
                <w:sz w:val="21"/>
                <w:szCs w:val="21"/>
              </w:rPr>
            </w:pPr>
            <w:r>
              <w:rPr>
                <w:rFonts w:ascii="宋体" w:hAnsi="宋体" w:eastAsia="宋体"/>
                <w:sz w:val="21"/>
                <w:szCs w:val="21"/>
              </w:rPr>
              <w:t>否</w:t>
            </w:r>
          </w:p>
        </w:tc>
      </w:tr>
    </w:tbl>
    <w:p w14:paraId="5B36306B">
      <w:pPr>
        <w:pStyle w:val="24"/>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w:t>
      </w:r>
      <w:r>
        <w:rPr>
          <w:rFonts w:hint="eastAsia" w:ascii="宋体" w:hAnsi="宋体" w:eastAsia="宋体"/>
          <w:bCs/>
          <w:szCs w:val="21"/>
          <w:lang w:val="en-US" w:eastAsia="zh-CN"/>
        </w:rPr>
        <w:t>货物清单</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2370"/>
        <w:gridCol w:w="1063"/>
        <w:gridCol w:w="1592"/>
        <w:gridCol w:w="1595"/>
        <w:gridCol w:w="2026"/>
      </w:tblGrid>
      <w:tr w14:paraId="7D593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0" w:type="dxa"/>
            <w:vAlign w:val="center"/>
          </w:tcPr>
          <w:p w14:paraId="6A09F0FD">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序号</w:t>
            </w:r>
          </w:p>
        </w:tc>
        <w:tc>
          <w:tcPr>
            <w:tcW w:w="2370" w:type="dxa"/>
            <w:vAlign w:val="center"/>
          </w:tcPr>
          <w:p w14:paraId="0F93B12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货物名称</w:t>
            </w:r>
          </w:p>
        </w:tc>
        <w:tc>
          <w:tcPr>
            <w:tcW w:w="1063" w:type="dxa"/>
            <w:vAlign w:val="center"/>
          </w:tcPr>
          <w:p w14:paraId="102B92FB">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数量</w:t>
            </w:r>
          </w:p>
          <w:p w14:paraId="576558B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（单位）</w:t>
            </w:r>
          </w:p>
        </w:tc>
        <w:tc>
          <w:tcPr>
            <w:tcW w:w="1592" w:type="dxa"/>
            <w:vAlign w:val="center"/>
          </w:tcPr>
          <w:p w14:paraId="78FF510B">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单价最高限价</w:t>
            </w:r>
          </w:p>
          <w:p w14:paraId="6D7354C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（元）</w:t>
            </w:r>
          </w:p>
        </w:tc>
        <w:tc>
          <w:tcPr>
            <w:tcW w:w="1595" w:type="dxa"/>
            <w:vAlign w:val="center"/>
          </w:tcPr>
          <w:p w14:paraId="66FB72F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合计（元）</w:t>
            </w:r>
          </w:p>
        </w:tc>
        <w:tc>
          <w:tcPr>
            <w:tcW w:w="2026" w:type="dxa"/>
            <w:vAlign w:val="center"/>
          </w:tcPr>
          <w:p w14:paraId="78A7304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备注</w:t>
            </w:r>
          </w:p>
        </w:tc>
      </w:tr>
      <w:tr w14:paraId="4AF19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vAlign w:val="center"/>
          </w:tcPr>
          <w:p w14:paraId="0BD226EB">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1</w:t>
            </w:r>
          </w:p>
        </w:tc>
        <w:tc>
          <w:tcPr>
            <w:tcW w:w="2370" w:type="dxa"/>
            <w:vAlign w:val="center"/>
          </w:tcPr>
          <w:p w14:paraId="5D513D8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4.5吨新能源电动龙门举升机</w:t>
            </w:r>
          </w:p>
        </w:tc>
        <w:tc>
          <w:tcPr>
            <w:tcW w:w="1063" w:type="dxa"/>
            <w:vAlign w:val="center"/>
          </w:tcPr>
          <w:p w14:paraId="779D474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8（台）</w:t>
            </w:r>
          </w:p>
        </w:tc>
        <w:tc>
          <w:tcPr>
            <w:tcW w:w="1592" w:type="dxa"/>
            <w:vAlign w:val="center"/>
          </w:tcPr>
          <w:p w14:paraId="3EEA634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26,300.00</w:t>
            </w:r>
          </w:p>
        </w:tc>
        <w:tc>
          <w:tcPr>
            <w:tcW w:w="1595" w:type="dxa"/>
            <w:vAlign w:val="center"/>
          </w:tcPr>
          <w:p w14:paraId="277E7D1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210,400.00</w:t>
            </w:r>
          </w:p>
        </w:tc>
        <w:tc>
          <w:tcPr>
            <w:tcW w:w="2026" w:type="dxa"/>
            <w:vAlign w:val="center"/>
          </w:tcPr>
          <w:p w14:paraId="3126076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含</w:t>
            </w:r>
            <w:r>
              <w:rPr>
                <w:rFonts w:hint="eastAsia" w:ascii="宋体" w:hAnsi="宋体" w:eastAsia="宋体"/>
                <w:bCs/>
                <w:sz w:val="21"/>
                <w:szCs w:val="21"/>
                <w:vertAlign w:val="baseline"/>
              </w:rPr>
              <w:t>举升机地基加固</w:t>
            </w:r>
          </w:p>
        </w:tc>
      </w:tr>
      <w:tr w14:paraId="4AD89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vAlign w:val="center"/>
          </w:tcPr>
          <w:p w14:paraId="2A0937BF">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2</w:t>
            </w:r>
          </w:p>
        </w:tc>
        <w:tc>
          <w:tcPr>
            <w:tcW w:w="2370" w:type="dxa"/>
            <w:vAlign w:val="center"/>
          </w:tcPr>
          <w:p w14:paraId="08A72DC9">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新能源整车实训平台</w:t>
            </w:r>
          </w:p>
        </w:tc>
        <w:tc>
          <w:tcPr>
            <w:tcW w:w="1063" w:type="dxa"/>
            <w:vAlign w:val="center"/>
          </w:tcPr>
          <w:p w14:paraId="2E040B33">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2（台）</w:t>
            </w:r>
          </w:p>
        </w:tc>
        <w:tc>
          <w:tcPr>
            <w:tcW w:w="1592" w:type="dxa"/>
            <w:vAlign w:val="center"/>
          </w:tcPr>
          <w:p w14:paraId="44D04EE2">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108,500.00</w:t>
            </w:r>
          </w:p>
        </w:tc>
        <w:tc>
          <w:tcPr>
            <w:tcW w:w="1595" w:type="dxa"/>
            <w:vAlign w:val="center"/>
          </w:tcPr>
          <w:p w14:paraId="3ABA3B7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217,000.00</w:t>
            </w:r>
          </w:p>
        </w:tc>
        <w:tc>
          <w:tcPr>
            <w:tcW w:w="2026" w:type="dxa"/>
            <w:vAlign w:val="center"/>
          </w:tcPr>
          <w:p w14:paraId="5AE8B6B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w:t>
            </w:r>
          </w:p>
        </w:tc>
      </w:tr>
      <w:tr w14:paraId="3C13E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vAlign w:val="center"/>
          </w:tcPr>
          <w:p w14:paraId="42F9414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3</w:t>
            </w:r>
          </w:p>
        </w:tc>
        <w:tc>
          <w:tcPr>
            <w:tcW w:w="2370" w:type="dxa"/>
            <w:vAlign w:val="center"/>
          </w:tcPr>
          <w:p w14:paraId="760E5B5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新能源动力总成拆装实训平台</w:t>
            </w:r>
          </w:p>
        </w:tc>
        <w:tc>
          <w:tcPr>
            <w:tcW w:w="1063" w:type="dxa"/>
            <w:vAlign w:val="center"/>
          </w:tcPr>
          <w:p w14:paraId="4640368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5（台）</w:t>
            </w:r>
          </w:p>
        </w:tc>
        <w:tc>
          <w:tcPr>
            <w:tcW w:w="1592" w:type="dxa"/>
            <w:vAlign w:val="center"/>
          </w:tcPr>
          <w:p w14:paraId="2C93E94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33,500.00</w:t>
            </w:r>
          </w:p>
        </w:tc>
        <w:tc>
          <w:tcPr>
            <w:tcW w:w="1595" w:type="dxa"/>
            <w:vAlign w:val="center"/>
          </w:tcPr>
          <w:p w14:paraId="17FAFF6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167,500.00</w:t>
            </w:r>
          </w:p>
        </w:tc>
        <w:tc>
          <w:tcPr>
            <w:tcW w:w="2026" w:type="dxa"/>
            <w:vAlign w:val="center"/>
          </w:tcPr>
          <w:p w14:paraId="4421CA0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w:t>
            </w:r>
          </w:p>
        </w:tc>
      </w:tr>
      <w:tr w14:paraId="4E91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dxa"/>
            <w:vAlign w:val="center"/>
          </w:tcPr>
          <w:p w14:paraId="753567F2">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4</w:t>
            </w:r>
          </w:p>
        </w:tc>
        <w:tc>
          <w:tcPr>
            <w:tcW w:w="2370" w:type="dxa"/>
            <w:vAlign w:val="center"/>
          </w:tcPr>
          <w:p w14:paraId="7BFE88F9">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
                <w:bCs w:val="0"/>
                <w:szCs w:val="21"/>
                <w:u w:val="single"/>
              </w:rPr>
              <w:t>◆</w:t>
            </w:r>
            <w:r>
              <w:rPr>
                <w:rFonts w:hint="eastAsia" w:ascii="宋体" w:hAnsi="宋体" w:eastAsia="宋体"/>
                <w:b/>
                <w:bCs w:val="0"/>
                <w:sz w:val="21"/>
                <w:szCs w:val="21"/>
                <w:u w:val="single"/>
                <w:vertAlign w:val="baseline"/>
              </w:rPr>
              <w:t>新能源汽车电力电子技术基础积木实训板</w:t>
            </w:r>
          </w:p>
        </w:tc>
        <w:tc>
          <w:tcPr>
            <w:tcW w:w="1063" w:type="dxa"/>
            <w:vAlign w:val="center"/>
          </w:tcPr>
          <w:p w14:paraId="2830E1F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8（套）</w:t>
            </w:r>
          </w:p>
        </w:tc>
        <w:tc>
          <w:tcPr>
            <w:tcW w:w="1592" w:type="dxa"/>
            <w:vAlign w:val="center"/>
          </w:tcPr>
          <w:p w14:paraId="342ACDE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37,500.00</w:t>
            </w:r>
          </w:p>
        </w:tc>
        <w:tc>
          <w:tcPr>
            <w:tcW w:w="1595" w:type="dxa"/>
            <w:vAlign w:val="center"/>
          </w:tcPr>
          <w:p w14:paraId="7AA78CD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300,000.00</w:t>
            </w:r>
          </w:p>
        </w:tc>
        <w:tc>
          <w:tcPr>
            <w:tcW w:w="2026" w:type="dxa"/>
            <w:vAlign w:val="center"/>
          </w:tcPr>
          <w:p w14:paraId="6F0E7B2F">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含积木模块存放与实训台</w:t>
            </w:r>
          </w:p>
        </w:tc>
      </w:tr>
      <w:tr w14:paraId="2726E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5" w:type="dxa"/>
            <w:gridSpan w:val="4"/>
            <w:vAlign w:val="center"/>
          </w:tcPr>
          <w:p w14:paraId="519BC3A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Cs/>
                <w:sz w:val="21"/>
                <w:szCs w:val="21"/>
                <w:vertAlign w:val="baseline"/>
                <w:lang w:val="en-US" w:eastAsia="zh-CN"/>
              </w:rPr>
            </w:pPr>
            <w:r>
              <w:rPr>
                <w:rFonts w:hint="eastAsia" w:ascii="宋体" w:hAnsi="宋体" w:eastAsia="宋体"/>
                <w:b/>
                <w:bCs w:val="0"/>
                <w:sz w:val="21"/>
                <w:szCs w:val="21"/>
                <w:vertAlign w:val="baseline"/>
                <w:lang w:val="en-US" w:eastAsia="zh-CN"/>
              </w:rPr>
              <w:t>总计</w:t>
            </w:r>
          </w:p>
        </w:tc>
        <w:tc>
          <w:tcPr>
            <w:tcW w:w="1595" w:type="dxa"/>
            <w:vAlign w:val="center"/>
          </w:tcPr>
          <w:p w14:paraId="6693BF0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894,900.00</w:t>
            </w:r>
          </w:p>
        </w:tc>
        <w:tc>
          <w:tcPr>
            <w:tcW w:w="2026" w:type="dxa"/>
            <w:vAlign w:val="center"/>
          </w:tcPr>
          <w:p w14:paraId="44093B3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rPr>
            </w:pPr>
            <w:r>
              <w:rPr>
                <w:rFonts w:hint="eastAsia" w:ascii="宋体" w:hAnsi="宋体" w:eastAsia="宋体"/>
                <w:bCs/>
                <w:sz w:val="21"/>
                <w:szCs w:val="21"/>
                <w:vertAlign w:val="baseline"/>
                <w:lang w:val="en-US" w:eastAsia="zh-CN"/>
              </w:rPr>
              <w:t>/</w:t>
            </w:r>
          </w:p>
        </w:tc>
      </w:tr>
    </w:tbl>
    <w:p w14:paraId="053E988E">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ascii="宋体" w:hAnsi="宋体" w:eastAsia="宋体"/>
          <w:b/>
          <w:szCs w:val="21"/>
        </w:rPr>
      </w:pPr>
      <w:r>
        <w:rPr>
          <w:rFonts w:ascii="宋体" w:hAnsi="宋体" w:eastAsia="宋体"/>
          <w:b/>
          <w:bCs/>
          <w:szCs w:val="21"/>
          <w:u w:val="single"/>
        </w:rPr>
        <w:t>★</w:t>
      </w:r>
      <w:r>
        <w:rPr>
          <w:rFonts w:hint="eastAsia" w:ascii="宋体" w:hAnsi="宋体" w:eastAsia="宋体"/>
          <w:b/>
          <w:bCs/>
          <w:szCs w:val="21"/>
          <w:u w:val="single"/>
          <w:lang w:val="en-US" w:eastAsia="zh-CN"/>
        </w:rPr>
        <w:t>注：上表中</w:t>
      </w:r>
      <w:r>
        <w:rPr>
          <w:rFonts w:ascii="宋体" w:hAnsi="宋体" w:eastAsia="宋体"/>
          <w:b/>
          <w:bCs/>
          <w:szCs w:val="21"/>
          <w:u w:val="single"/>
        </w:rPr>
        <w:t>产品属于中国国家强制性产品认证（CCC）产品的，投标人须在投标文件中承诺在交货时能提供对应产品具有中国国家强制性产品认证（CCC）证书（</w:t>
      </w:r>
      <w:r>
        <w:rPr>
          <w:rFonts w:hint="eastAsia" w:ascii="宋体" w:hAnsi="宋体" w:eastAsia="宋体"/>
          <w:b/>
          <w:bCs/>
          <w:szCs w:val="21"/>
          <w:u w:val="single"/>
          <w:lang w:val="en-US" w:eastAsia="zh-CN"/>
        </w:rPr>
        <w:t>须提供</w:t>
      </w:r>
      <w:r>
        <w:rPr>
          <w:rFonts w:ascii="宋体" w:hAnsi="宋体" w:eastAsia="宋体"/>
          <w:b/>
          <w:bCs/>
          <w:szCs w:val="21"/>
          <w:u w:val="single"/>
        </w:rPr>
        <w:t>承诺函格式</w:t>
      </w:r>
      <w:r>
        <w:rPr>
          <w:rFonts w:hint="eastAsia" w:ascii="宋体" w:hAnsi="宋体" w:eastAsia="宋体"/>
          <w:b/>
          <w:bCs/>
          <w:szCs w:val="21"/>
          <w:u w:val="single"/>
          <w:lang w:val="en-US" w:eastAsia="zh-CN"/>
        </w:rPr>
        <w:t>并加盖投标人公章，承诺函格式</w:t>
      </w:r>
      <w:r>
        <w:rPr>
          <w:rFonts w:ascii="宋体" w:hAnsi="宋体" w:eastAsia="宋体"/>
          <w:b/>
          <w:bCs/>
          <w:szCs w:val="21"/>
          <w:u w:val="single"/>
        </w:rPr>
        <w:t>自拟）</w:t>
      </w:r>
    </w:p>
    <w:p w14:paraId="5221DE76">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商务要求</w:t>
      </w:r>
    </w:p>
    <w:p w14:paraId="78602975">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交付时间</w:t>
      </w:r>
      <w:r>
        <w:rPr>
          <w:rFonts w:hint="eastAsia" w:ascii="宋体" w:hAnsi="宋体" w:eastAsia="宋体"/>
          <w:iCs/>
          <w:color w:val="auto"/>
          <w:szCs w:val="21"/>
          <w:lang w:eastAsia="zh-CN"/>
        </w:rPr>
        <w:t>：</w:t>
      </w:r>
      <w:r>
        <w:rPr>
          <w:rFonts w:hint="eastAsia" w:ascii="宋体" w:hAnsi="宋体" w:eastAsia="宋体" w:cs="Times New Roman"/>
          <w:color w:val="auto"/>
          <w:kern w:val="0"/>
          <w:szCs w:val="21"/>
          <w:lang w:eastAsia="zh-Hans"/>
        </w:rPr>
        <w:t>自合同签订之日起</w:t>
      </w:r>
      <w:r>
        <w:rPr>
          <w:rFonts w:hint="eastAsia" w:ascii="宋体" w:hAnsi="宋体" w:eastAsia="宋体" w:cs="Times New Roman"/>
          <w:color w:val="auto"/>
          <w:kern w:val="0"/>
          <w:szCs w:val="21"/>
          <w:highlight w:val="none"/>
          <w:lang w:val="en-US" w:eastAsia="zh-CN"/>
        </w:rPr>
        <w:t>30</w:t>
      </w:r>
      <w:r>
        <w:rPr>
          <w:rFonts w:hint="eastAsia"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lang w:eastAsia="zh-Hans"/>
        </w:rPr>
        <w:t>内完成供货、安装、调试并经采购人验收合格</w:t>
      </w:r>
      <w:r>
        <w:rPr>
          <w:rFonts w:hint="eastAsia" w:ascii="宋体" w:hAnsi="宋体" w:eastAsia="宋体" w:cs="Times New Roman"/>
          <w:color w:val="auto"/>
          <w:kern w:val="0"/>
          <w:szCs w:val="21"/>
          <w:lang w:eastAsia="zh-CN"/>
        </w:rPr>
        <w:t>。</w:t>
      </w:r>
    </w:p>
    <w:p w14:paraId="1C23707B">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交付地点</w:t>
      </w:r>
      <w:r>
        <w:rPr>
          <w:rFonts w:hint="eastAsia" w:ascii="宋体" w:hAnsi="宋体" w:eastAsia="宋体"/>
          <w:iCs/>
          <w:color w:val="auto"/>
          <w:szCs w:val="21"/>
          <w:lang w:eastAsia="zh-CN"/>
        </w:rPr>
        <w:t>：东莞市汽车技术学校</w:t>
      </w:r>
      <w:r>
        <w:rPr>
          <w:rFonts w:hint="eastAsia" w:ascii="宋体" w:hAnsi="宋体" w:eastAsia="宋体"/>
          <w:iCs/>
          <w:color w:val="auto"/>
          <w:szCs w:val="21"/>
          <w:lang w:val="en-US" w:eastAsia="zh-CN"/>
        </w:rPr>
        <w:t>或采购人指定地点。</w:t>
      </w:r>
    </w:p>
    <w:p w14:paraId="39805DFD">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付款方式</w:t>
      </w:r>
      <w:r>
        <w:rPr>
          <w:rFonts w:hint="eastAsia" w:ascii="宋体" w:hAnsi="宋体" w:eastAsia="宋体"/>
          <w:iCs/>
          <w:color w:val="auto"/>
          <w:szCs w:val="21"/>
          <w:lang w:eastAsia="zh-CN"/>
        </w:rPr>
        <w:t>：</w:t>
      </w:r>
    </w:p>
    <w:p w14:paraId="5047DF1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color w:val="auto"/>
          <w:szCs w:val="21"/>
        </w:rPr>
      </w:pPr>
      <w:r>
        <w:rPr>
          <w:rFonts w:hint="eastAsia" w:ascii="宋体" w:hAnsi="宋体" w:eastAsia="宋体"/>
          <w:iCs/>
          <w:color w:val="auto"/>
          <w:szCs w:val="21"/>
          <w:lang w:val="en-US" w:eastAsia="zh-CN"/>
        </w:rPr>
        <w:t>本项目所有货物完成供货、安装、调试并经采购人验收合格后，采购人向中标人支付合同总额100%的货款。中标人须向采购人提供等额、合规的正式增值税发票，采购人在收到中标人合格请款资料后10个工作日内办理支付。</w:t>
      </w:r>
    </w:p>
    <w:p w14:paraId="3672F186">
      <w:pPr>
        <w:pStyle w:val="24"/>
        <w:numPr>
          <w:ilvl w:val="0"/>
          <w:numId w:val="10"/>
        </w:numPr>
        <w:snapToGrid w:val="0"/>
        <w:spacing w:line="360" w:lineRule="auto"/>
        <w:ind w:firstLineChars="0"/>
        <w:contextualSpacing/>
        <w:rPr>
          <w:rFonts w:hint="eastAsia" w:ascii="宋体" w:hAnsi="宋体" w:eastAsia="宋体" w:cs="宋体"/>
          <w:b/>
          <w:bCs/>
          <w:iCs/>
          <w:color w:val="auto"/>
          <w:szCs w:val="21"/>
          <w:highlight w:val="none"/>
          <w:u w:val="single"/>
        </w:rPr>
      </w:pPr>
      <w:r>
        <w:rPr>
          <w:rFonts w:hint="eastAsia" w:ascii="宋体" w:hAnsi="宋体" w:eastAsia="宋体"/>
          <w:b/>
          <w:bCs/>
          <w:iCs/>
          <w:szCs w:val="21"/>
          <w:u w:val="single"/>
          <w:lang w:val="en-US" w:eastAsia="zh-CN"/>
        </w:rPr>
        <w:t>★报价说明：</w:t>
      </w:r>
    </w:p>
    <w:p w14:paraId="5E43783D">
      <w:pPr>
        <w:pStyle w:val="24"/>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6" w:leftChars="0" w:hanging="316" w:hangingChars="150"/>
        <w:contextualSpacing/>
        <w:textAlignment w:val="auto"/>
        <w:rPr>
          <w:rFonts w:hint="eastAsia" w:ascii="宋体" w:hAnsi="宋体" w:eastAsia="宋体" w:cs="宋体"/>
          <w:b/>
          <w:bCs/>
          <w:iCs/>
          <w:color w:val="auto"/>
          <w:szCs w:val="21"/>
          <w:highlight w:val="none"/>
          <w:u w:val="single"/>
        </w:rPr>
      </w:pPr>
      <w:r>
        <w:rPr>
          <w:rFonts w:hint="eastAsia" w:ascii="宋体" w:hAnsi="宋体" w:eastAsia="宋体"/>
          <w:b/>
          <w:bCs/>
          <w:iCs/>
          <w:sz w:val="21"/>
          <w:szCs w:val="21"/>
          <w:u w:val="single"/>
        </w:rPr>
        <w:t>本项目投标报价为采购人指定地点的现场交货价，</w:t>
      </w:r>
      <w:r>
        <w:rPr>
          <w:rFonts w:hint="eastAsia" w:ascii="宋体" w:hAnsi="宋体" w:eastAsia="宋体"/>
          <w:b/>
          <w:bCs/>
          <w:iCs/>
          <w:sz w:val="21"/>
          <w:szCs w:val="21"/>
          <w:u w:val="single"/>
          <w:lang w:val="en-US" w:eastAsia="zh-CN"/>
        </w:rPr>
        <w:t>应</w:t>
      </w:r>
      <w:r>
        <w:rPr>
          <w:rFonts w:hint="eastAsia" w:ascii="宋体" w:hAnsi="宋体" w:eastAsia="宋体"/>
          <w:b/>
          <w:bCs/>
          <w:iCs/>
          <w:sz w:val="21"/>
          <w:szCs w:val="21"/>
          <w:u w:val="single"/>
        </w:rPr>
        <w:t>包含</w:t>
      </w:r>
      <w:r>
        <w:rPr>
          <w:rFonts w:hint="eastAsia" w:ascii="宋体" w:hAnsi="宋体" w:eastAsia="宋体"/>
          <w:b/>
          <w:bCs/>
          <w:iCs/>
          <w:sz w:val="21"/>
          <w:szCs w:val="21"/>
          <w:u w:val="single"/>
          <w:lang w:val="en-US" w:eastAsia="zh-CN"/>
        </w:rPr>
        <w:t>投标人</w:t>
      </w:r>
      <w:r>
        <w:rPr>
          <w:rFonts w:hint="eastAsia" w:ascii="宋体" w:hAnsi="宋体" w:eastAsia="宋体"/>
          <w:b/>
          <w:bCs/>
          <w:iCs/>
          <w:sz w:val="21"/>
          <w:szCs w:val="21"/>
          <w:u w:val="single"/>
        </w:rPr>
        <w:t>完成</w:t>
      </w:r>
      <w:r>
        <w:rPr>
          <w:rFonts w:hint="eastAsia" w:ascii="宋体" w:hAnsi="宋体" w:eastAsia="宋体"/>
          <w:b/>
          <w:bCs/>
          <w:iCs/>
          <w:sz w:val="21"/>
          <w:szCs w:val="21"/>
          <w:u w:val="single"/>
          <w:lang w:val="en-US" w:eastAsia="zh-CN"/>
        </w:rPr>
        <w:t>所投</w:t>
      </w:r>
      <w:r>
        <w:rPr>
          <w:rFonts w:hint="eastAsia" w:ascii="宋体" w:hAnsi="宋体" w:eastAsia="宋体"/>
          <w:b/>
          <w:bCs/>
          <w:iCs/>
          <w:sz w:val="21"/>
          <w:szCs w:val="21"/>
          <w:u w:val="single"/>
        </w:rPr>
        <w:t>采购包所有服务内容的费用包括但不限于：1、货物及标准附件、备品备件、专用工具的价格；2、运输、装卸、安装、调试、技术支持、售后服务等费用；3、配套辅材及安装费；4、必要的保险费用和各项税费及合同实施过程中的应预见和不可预见费用等完成合同规定责任和义务、达到合同目的的一切费用。</w:t>
      </w:r>
    </w:p>
    <w:p w14:paraId="0D0D1FC1">
      <w:pPr>
        <w:pStyle w:val="24"/>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6" w:leftChars="0" w:hanging="316" w:hangingChars="150"/>
        <w:contextualSpacing/>
        <w:textAlignment w:val="auto"/>
        <w:rPr>
          <w:rFonts w:hint="eastAsia" w:ascii="宋体" w:hAnsi="宋体" w:eastAsia="宋体" w:cs="宋体"/>
          <w:b/>
          <w:bCs/>
          <w:iCs/>
          <w:color w:val="auto"/>
          <w:szCs w:val="21"/>
          <w:highlight w:val="none"/>
          <w:u w:val="single"/>
        </w:rPr>
      </w:pPr>
      <w:r>
        <w:rPr>
          <w:rFonts w:hint="eastAsia" w:ascii="宋体" w:hAnsi="宋体" w:eastAsia="宋体" w:cs="宋体"/>
          <w:b/>
          <w:bCs/>
          <w:iCs/>
          <w:color w:val="auto"/>
          <w:szCs w:val="21"/>
          <w:highlight w:val="none"/>
          <w:u w:val="single"/>
          <w:lang w:val="en-US" w:eastAsia="zh-CN"/>
        </w:rPr>
        <w:t>投标人各货品投标报价不得超出本项目招标文件“第二章 采购需求”中“采购货物清单”规定的单价最高限价，否则将导致投标无效。</w:t>
      </w:r>
    </w:p>
    <w:p w14:paraId="785BDF2F">
      <w:pPr>
        <w:pStyle w:val="24"/>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包装和运输</w:t>
      </w:r>
      <w:r>
        <w:rPr>
          <w:rFonts w:hint="eastAsia" w:ascii="宋体" w:hAnsi="宋体" w:eastAsia="宋体" w:cs="宋体"/>
          <w:iCs/>
          <w:color w:val="auto"/>
          <w:szCs w:val="21"/>
          <w:highlight w:val="none"/>
          <w:lang w:eastAsia="zh-CN"/>
        </w:rPr>
        <w:t>：</w:t>
      </w:r>
    </w:p>
    <w:p w14:paraId="789E1137">
      <w:pPr>
        <w:pStyle w:val="24"/>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w:t>
      </w:r>
      <w:r>
        <w:rPr>
          <w:rFonts w:hint="eastAsia" w:ascii="宋体" w:hAnsi="宋体" w:eastAsia="宋体" w:cs="宋体"/>
          <w:iCs/>
          <w:color w:val="auto"/>
          <w:szCs w:val="21"/>
          <w:highlight w:val="none"/>
        </w:rPr>
        <w:t>货物（设备）的包装应符合国家相关标准或规定，且包装必须为制造商原厂包装，</w:t>
      </w:r>
      <w:r>
        <w:rPr>
          <w:rFonts w:hint="eastAsia" w:ascii="宋体" w:hAnsi="宋体" w:eastAsia="宋体" w:cs="宋体"/>
          <w:iCs/>
          <w:color w:val="auto"/>
          <w:szCs w:val="21"/>
          <w:highlight w:val="none"/>
          <w:lang w:val="en-US" w:eastAsia="zh-CN"/>
        </w:rPr>
        <w:t>支持防伪及溯源查询，</w:t>
      </w:r>
      <w:r>
        <w:rPr>
          <w:rFonts w:hint="eastAsia" w:ascii="宋体" w:hAnsi="宋体" w:eastAsia="宋体" w:cs="宋体"/>
          <w:iCs/>
          <w:color w:val="auto"/>
          <w:szCs w:val="21"/>
          <w:highlight w:val="none"/>
        </w:rPr>
        <w:t>货物（设备）的包装均应有良好的防湿、防锈、防潮、防雨、防腐及防碰撞的措施。凡由于包装不良造成货物（设备）的损坏、损失和由此产生的费用均由</w:t>
      </w: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承担；</w:t>
      </w:r>
    </w:p>
    <w:p w14:paraId="6F8D8948">
      <w:pPr>
        <w:pStyle w:val="24"/>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投标</w:t>
      </w:r>
      <w:r>
        <w:rPr>
          <w:rFonts w:hint="eastAsia" w:ascii="宋体" w:hAnsi="宋体" w:eastAsia="宋体" w:cs="宋体"/>
          <w:iCs/>
          <w:color w:val="auto"/>
          <w:szCs w:val="21"/>
          <w:highlight w:val="none"/>
        </w:rPr>
        <w:t>货物（设备）、备品备件、专用工具须单独分箱包装，每个包装箱外表面须标有与装箱单一致的设备清单及编号，易于被区分；</w:t>
      </w:r>
    </w:p>
    <w:p w14:paraId="50D63ED8">
      <w:pPr>
        <w:pStyle w:val="24"/>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包装箱内应有下列随箱资料：装箱单、产品合格证、产品检验记录、产品使用说明书、设备装配图、随箱清单等；</w:t>
      </w:r>
    </w:p>
    <w:p w14:paraId="43C50B90">
      <w:pPr>
        <w:pStyle w:val="24"/>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中标人</w:t>
      </w:r>
      <w:r>
        <w:rPr>
          <w:rFonts w:hint="eastAsia" w:ascii="宋体" w:hAnsi="宋体" w:eastAsia="宋体" w:cs="宋体"/>
          <w:iCs/>
          <w:color w:val="auto"/>
          <w:szCs w:val="21"/>
          <w:highlight w:val="none"/>
        </w:rPr>
        <w:t>须负责所有货物从出厂到项目现场的运输（包括一次和二次运输）、搬运、装卸、就位等工作，因此产生的一切费用包含在</w:t>
      </w:r>
      <w:r>
        <w:rPr>
          <w:rFonts w:hint="eastAsia" w:ascii="宋体" w:hAnsi="宋体" w:eastAsia="宋体" w:cs="宋体"/>
          <w:iCs/>
          <w:color w:val="auto"/>
          <w:szCs w:val="21"/>
          <w:highlight w:val="none"/>
          <w:lang w:val="en-US" w:eastAsia="zh-CN"/>
        </w:rPr>
        <w:t>中标人投标</w:t>
      </w:r>
      <w:r>
        <w:rPr>
          <w:rFonts w:hint="eastAsia" w:ascii="宋体" w:hAnsi="宋体" w:eastAsia="宋体" w:cs="宋体"/>
          <w:iCs/>
          <w:color w:val="auto"/>
          <w:szCs w:val="21"/>
          <w:highlight w:val="none"/>
        </w:rPr>
        <w:t>报价内；</w:t>
      </w:r>
    </w:p>
    <w:p w14:paraId="7D6587D4">
      <w:pPr>
        <w:pStyle w:val="24"/>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eastAsia="宋体"/>
          <w:iCs/>
          <w:szCs w:val="21"/>
        </w:rPr>
      </w:pPr>
      <w:r>
        <w:rPr>
          <w:rFonts w:hint="eastAsia" w:ascii="宋体" w:hAnsi="宋体" w:eastAsia="宋体" w:cs="宋体"/>
          <w:iCs/>
          <w:color w:val="auto"/>
          <w:szCs w:val="21"/>
          <w:highlight w:val="none"/>
          <w:lang w:val="en-US" w:eastAsia="zh-CN"/>
        </w:rPr>
        <w:t>中标人须负责所有货物在验收合格前的一切保险费用，包含但不限于保管、运输、装卸车、货物现场的卸货（由采购人指定卸货地点）等，费用包含在中标人投标报价内。</w:t>
      </w:r>
    </w:p>
    <w:p w14:paraId="207D811F">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质保期</w:t>
      </w:r>
      <w:r>
        <w:rPr>
          <w:rFonts w:hint="eastAsia" w:ascii="宋体" w:hAnsi="宋体" w:eastAsia="宋体"/>
          <w:iCs/>
          <w:color w:val="auto"/>
          <w:szCs w:val="21"/>
          <w:lang w:eastAsia="zh-CN"/>
        </w:rPr>
        <w:t>：自验收合格之日起不少于1年，质保期内中标人所提供货物</w:t>
      </w:r>
      <w:r>
        <w:rPr>
          <w:rFonts w:hint="eastAsia" w:ascii="宋体" w:hAnsi="宋体" w:eastAsia="宋体"/>
          <w:iCs/>
          <w:color w:val="auto"/>
          <w:szCs w:val="21"/>
          <w:lang w:val="en-US" w:eastAsia="zh-CN"/>
        </w:rPr>
        <w:t>出现质量问题的，由中标人负责</w:t>
      </w:r>
      <w:r>
        <w:rPr>
          <w:rFonts w:hint="eastAsia" w:ascii="宋体" w:hAnsi="宋体" w:eastAsia="宋体"/>
          <w:iCs/>
          <w:color w:val="auto"/>
          <w:szCs w:val="21"/>
          <w:lang w:eastAsia="zh-CN"/>
        </w:rPr>
        <w:t>包换包退。</w:t>
      </w:r>
    </w:p>
    <w:p w14:paraId="7484970B">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售后服务要求：</w:t>
      </w:r>
    </w:p>
    <w:p w14:paraId="41BB7D7B">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质保期内中标人必须配置专业的维护团队，团队须提供至少1人作为维护对接人，该人员必须是参加本项目的主要人员，对接人须协助采购人处理本项目的建设和维护工作；</w:t>
      </w:r>
    </w:p>
    <w:p w14:paraId="75C39059">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质保期内提供的维护服务内容和方式包括：提供技术指导、功能优化与支持服务等内容，服务方式应包括但不限于网络支持与现场服务等；</w:t>
      </w:r>
    </w:p>
    <w:p w14:paraId="3FCB3D3C">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质保期内中标人至少每半年对本项目货品进行全面的巡检（巡检内容包括设备整体检测、设备保养评估、故障隐患排查等），对巡检过程中发现的故障及隐患进行及时处理，并生成巡检报告提交采购人；</w:t>
      </w:r>
    </w:p>
    <w:p w14:paraId="2F7E297C">
      <w:pPr>
        <w:pStyle w:val="24"/>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应急维护要求：中标人须提供应急维护方案，且质保期内提供24小时电话服务热线，保证在接到故障电话后即时响应，4小时内到达故障现场，并在24小时内修复设备，如24小时内无法修复的，中标人须无偿提供不低于原设备性能的替代货物给采购人使用，直到故障货物修复为止，质保服务方式均为中标人上门服务。</w:t>
      </w:r>
    </w:p>
    <w:p w14:paraId="30DC6112">
      <w:pPr>
        <w:pStyle w:val="24"/>
        <w:numPr>
          <w:ilvl w:val="0"/>
          <w:numId w:val="10"/>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验收要求：</w:t>
      </w:r>
    </w:p>
    <w:p w14:paraId="1DDFBEAA">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货物运抵采购人指定地点后，双方对货物进行初验：</w:t>
      </w:r>
    </w:p>
    <w:p w14:paraId="7084969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（1）检查货物外观，包括但不限于：外包装有无损伤、货物是否有损坏及腐蚀、掉漆现象，若外观有损坏及腐蚀、掉漆等，影响用户使用，中标人应负责更换；</w:t>
      </w:r>
    </w:p>
    <w:p w14:paraId="074A639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（2）检查货物标识，设备类应有铭牌、标注货物名称、规格、型号、生产商、出厂日期等。</w:t>
      </w:r>
    </w:p>
    <w:p w14:paraId="1FCAA924">
      <w:pPr>
        <w:pStyle w:val="24"/>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货物初验后，需按采购人要求，安装在指定位置，并配置至设备能正常运行后，由中标人向采购人提出正式验收申请</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lang w:val="en-US" w:eastAsia="zh-CN"/>
        </w:rPr>
        <w:t>采购人在收到中标人正式验收申请后7个工作日内组织验收工作</w:t>
      </w:r>
      <w:r>
        <w:rPr>
          <w:rFonts w:hint="eastAsia" w:ascii="宋体" w:hAnsi="宋体" w:eastAsia="宋体" w:cs="宋体"/>
          <w:iCs/>
          <w:color w:val="auto"/>
          <w:sz w:val="21"/>
          <w:szCs w:val="21"/>
          <w:highlight w:val="none"/>
        </w:rPr>
        <w:t>：</w:t>
      </w:r>
    </w:p>
    <w:p w14:paraId="689FDE8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（1）正式验收以签订合同中各类目的数量与参数作为验收条件，设备应能正常运转，设备配件应符合合同要求；</w:t>
      </w:r>
    </w:p>
    <w:p w14:paraId="61FE42C3">
      <w:pPr>
        <w:pStyle w:val="24"/>
        <w:numPr>
          <w:ilvl w:val="0"/>
          <w:numId w:val="0"/>
        </w:numPr>
        <w:snapToGrid w:val="0"/>
        <w:spacing w:line="360" w:lineRule="auto"/>
        <w:ind w:leftChars="0"/>
        <w:contextualSpacing/>
        <w:rPr>
          <w:rFonts w:ascii="宋体" w:hAnsi="宋体" w:eastAsia="宋体"/>
          <w:iCs/>
          <w:szCs w:val="21"/>
        </w:rPr>
      </w:pPr>
      <w:r>
        <w:rPr>
          <w:rFonts w:hint="eastAsia" w:ascii="宋体" w:hAnsi="宋体" w:eastAsia="宋体" w:cs="宋体"/>
          <w:iCs/>
          <w:color w:val="auto"/>
          <w:sz w:val="21"/>
          <w:szCs w:val="21"/>
          <w:highlight w:val="none"/>
        </w:rPr>
        <w:t>（2）若提供的货物数量、参数不符，或设备不能运转的，采购人不给予验收。</w:t>
      </w:r>
    </w:p>
    <w:p w14:paraId="6B871D1B">
      <w:pPr>
        <w:pStyle w:val="24"/>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技术要求</w:t>
      </w:r>
    </w:p>
    <w:p w14:paraId="397494A3">
      <w:pPr>
        <w:pStyle w:val="24"/>
        <w:numPr>
          <w:ilvl w:val="0"/>
          <w:numId w:val="15"/>
        </w:numPr>
        <w:snapToGrid w:val="0"/>
        <w:spacing w:line="360" w:lineRule="auto"/>
        <w:ind w:firstLineChars="0"/>
        <w:contextualSpacing/>
        <w:rPr>
          <w:rFonts w:ascii="宋体" w:hAnsi="宋体" w:eastAsia="宋体"/>
          <w:b/>
          <w:bCs/>
          <w:szCs w:val="21"/>
        </w:rPr>
      </w:pPr>
      <w:r>
        <w:rPr>
          <w:rFonts w:hint="eastAsia" w:ascii="宋体" w:hAnsi="宋体" w:eastAsia="宋体"/>
          <w:b/>
          <w:bCs/>
          <w:szCs w:val="21"/>
        </w:rPr>
        <w:t>4.5吨新能源电动龙门举升机技术功能与参数</w:t>
      </w:r>
    </w:p>
    <w:p w14:paraId="39C9870D">
      <w:pPr>
        <w:pStyle w:val="24"/>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功能要求</w:t>
      </w:r>
    </w:p>
    <w:p w14:paraId="203CBC45">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eastAsia="宋体"/>
          <w:color w:val="auto"/>
          <w:szCs w:val="21"/>
        </w:rPr>
      </w:pPr>
      <w:r>
        <w:rPr>
          <w:rFonts w:hint="default" w:ascii="宋体" w:hAnsi="宋体" w:eastAsia="宋体" w:cstheme="minorBidi"/>
          <w:color w:val="auto"/>
          <w:kern w:val="2"/>
          <w:sz w:val="21"/>
          <w:szCs w:val="21"/>
          <w:lang w:val="en-US" w:eastAsia="zh-CN" w:bidi="ar-SA"/>
        </w:rPr>
        <w:t>(1)</w:t>
      </w:r>
      <w:r>
        <w:rPr>
          <w:rFonts w:hint="eastAsia" w:ascii="宋体" w:hAnsi="宋体" w:eastAsia="宋体"/>
          <w:color w:val="auto"/>
          <w:szCs w:val="21"/>
        </w:rPr>
        <w:t>双油缸直驱</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(2)</w:t>
      </w:r>
      <w:r>
        <w:rPr>
          <w:rFonts w:hint="eastAsia" w:ascii="宋体" w:hAnsi="宋体" w:eastAsia="宋体"/>
          <w:color w:val="auto"/>
          <w:szCs w:val="21"/>
        </w:rPr>
        <w:t>立柱采用双S型截面设计</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(3)</w:t>
      </w:r>
      <w:r>
        <w:rPr>
          <w:rFonts w:hint="eastAsia" w:ascii="宋体" w:hAnsi="宋体" w:eastAsia="宋体"/>
          <w:color w:val="auto"/>
          <w:szCs w:val="21"/>
        </w:rPr>
        <w:t>3节托臂设计</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(4)</w:t>
      </w:r>
      <w:r>
        <w:rPr>
          <w:rFonts w:hint="eastAsia" w:ascii="宋体" w:hAnsi="宋体" w:eastAsia="宋体"/>
          <w:color w:val="auto"/>
          <w:szCs w:val="21"/>
        </w:rPr>
        <w:t>具备上限位功能，保护车顶免受损坏</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(5)</w:t>
      </w:r>
      <w:r>
        <w:rPr>
          <w:rFonts w:hint="eastAsia" w:ascii="宋体" w:hAnsi="宋体" w:eastAsia="宋体"/>
          <w:color w:val="auto"/>
          <w:szCs w:val="21"/>
        </w:rPr>
        <w:t>非对称安装，方便车门打开</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(6)</w:t>
      </w:r>
      <w:r>
        <w:rPr>
          <w:rFonts w:hint="eastAsia" w:ascii="宋体" w:hAnsi="宋体" w:eastAsia="宋体"/>
          <w:color w:val="auto"/>
          <w:szCs w:val="21"/>
        </w:rPr>
        <w:t>设有静电释放装置，保护人车安全</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(7)</w:t>
      </w:r>
      <w:r>
        <w:rPr>
          <w:rFonts w:hint="eastAsia" w:ascii="宋体" w:hAnsi="宋体" w:eastAsia="宋体"/>
          <w:color w:val="auto"/>
          <w:szCs w:val="21"/>
        </w:rPr>
        <w:t>配长方形导电托盘、增高节套、防压脚护栏</w:t>
      </w:r>
      <w:r>
        <w:rPr>
          <w:rFonts w:hint="eastAsia" w:ascii="宋体" w:hAnsi="宋体" w:eastAsia="宋体"/>
          <w:color w:val="auto"/>
          <w:szCs w:val="21"/>
          <w:lang w:eastAsia="zh-CN"/>
        </w:rPr>
        <w:t>。</w:t>
      </w:r>
    </w:p>
    <w:p w14:paraId="434167FF">
      <w:pPr>
        <w:pStyle w:val="24"/>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技术参数</w:t>
      </w:r>
    </w:p>
    <w:p w14:paraId="2D16986E">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eastAsia="宋体"/>
          <w:color w:val="auto"/>
          <w:szCs w:val="21"/>
        </w:rPr>
      </w:pPr>
      <w:r>
        <w:rPr>
          <w:rFonts w:hint="default" w:ascii="宋体" w:hAnsi="宋体" w:eastAsia="宋体" w:cstheme="minorBidi"/>
          <w:color w:val="auto"/>
          <w:kern w:val="2"/>
          <w:sz w:val="21"/>
          <w:szCs w:val="21"/>
          <w:lang w:val="en-US" w:eastAsia="zh-CN" w:bidi="ar-SA"/>
        </w:rPr>
        <w:t>(1)</w:t>
      </w:r>
      <w:r>
        <w:rPr>
          <w:rFonts w:hint="eastAsia" w:ascii="宋体" w:hAnsi="宋体" w:eastAsia="宋体"/>
          <w:color w:val="auto"/>
          <w:szCs w:val="21"/>
        </w:rPr>
        <w:t>对称安装立柱内宽≥3080mm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(2)</w:t>
      </w:r>
      <w:r>
        <w:rPr>
          <w:rFonts w:hint="eastAsia" w:ascii="宋体" w:hAnsi="宋体" w:eastAsia="宋体"/>
          <w:color w:val="auto"/>
          <w:szCs w:val="21"/>
        </w:rPr>
        <w:t>非对称安装立柱内宽≥2971mm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(3)</w:t>
      </w:r>
      <w:r>
        <w:rPr>
          <w:rFonts w:hint="eastAsia" w:ascii="宋体" w:hAnsi="宋体" w:eastAsia="宋体"/>
          <w:color w:val="auto"/>
          <w:szCs w:val="21"/>
        </w:rPr>
        <w:t>解锁方式：电动</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(4)</w:t>
      </w:r>
      <w:r>
        <w:rPr>
          <w:rFonts w:hint="eastAsia" w:ascii="宋体" w:hAnsi="宋体" w:eastAsia="宋体"/>
          <w:color w:val="auto"/>
          <w:szCs w:val="21"/>
        </w:rPr>
        <w:t>最低高度≤110mm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(5)</w:t>
      </w:r>
      <w:r>
        <w:rPr>
          <w:rFonts w:hint="eastAsia" w:ascii="宋体" w:hAnsi="宋体" w:eastAsia="宋体"/>
          <w:color w:val="auto"/>
          <w:szCs w:val="21"/>
        </w:rPr>
        <w:t>额载下降时间≤50s</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(6)</w:t>
      </w:r>
      <w:r>
        <w:rPr>
          <w:rFonts w:hint="eastAsia" w:ascii="宋体" w:hAnsi="宋体" w:eastAsia="宋体"/>
          <w:color w:val="auto"/>
          <w:szCs w:val="21"/>
        </w:rPr>
        <w:t>底板固定孔位：10pcs</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(7)</w:t>
      </w:r>
      <w:r>
        <w:rPr>
          <w:rFonts w:hint="eastAsia" w:ascii="宋体" w:hAnsi="宋体" w:eastAsia="宋体"/>
          <w:color w:val="auto"/>
          <w:szCs w:val="21"/>
        </w:rPr>
        <w:t>电机外壳铝合金</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(8)</w:t>
      </w:r>
      <w:r>
        <w:rPr>
          <w:rFonts w:hint="eastAsia" w:ascii="宋体" w:hAnsi="宋体" w:eastAsia="宋体"/>
          <w:color w:val="auto"/>
          <w:szCs w:val="21"/>
        </w:rPr>
        <w:t>托臂类型2+3直臂</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(9)</w:t>
      </w:r>
      <w:r>
        <w:rPr>
          <w:rFonts w:hint="eastAsia" w:ascii="宋体" w:hAnsi="宋体" w:eastAsia="宋体"/>
          <w:color w:val="auto"/>
          <w:szCs w:val="21"/>
        </w:rPr>
        <w:t>额定载重≥4.5吨</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(10)</w:t>
      </w:r>
      <w:r>
        <w:rPr>
          <w:rFonts w:hint="eastAsia" w:ascii="宋体" w:hAnsi="宋体" w:eastAsia="宋体"/>
          <w:color w:val="auto"/>
          <w:szCs w:val="21"/>
        </w:rPr>
        <w:t>电机功率2.2KW</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(11)</w:t>
      </w:r>
      <w:r>
        <w:rPr>
          <w:rFonts w:hint="eastAsia" w:ascii="宋体" w:hAnsi="宋体" w:eastAsia="宋体"/>
          <w:color w:val="auto"/>
          <w:szCs w:val="21"/>
        </w:rPr>
        <w:t>额载上升时间≤60s</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(12)</w:t>
      </w:r>
      <w:r>
        <w:rPr>
          <w:rFonts w:hint="eastAsia" w:ascii="宋体" w:hAnsi="宋体" w:eastAsia="宋体"/>
          <w:color w:val="auto"/>
          <w:szCs w:val="21"/>
        </w:rPr>
        <w:t>托盘加高套长度≤100mm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(13)</w:t>
      </w:r>
      <w:r>
        <w:rPr>
          <w:rFonts w:hint="eastAsia" w:ascii="宋体" w:hAnsi="宋体" w:eastAsia="宋体"/>
          <w:color w:val="auto"/>
          <w:szCs w:val="21"/>
        </w:rPr>
        <w:t>对称安装底板外宽≥3695mm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(14)</w:t>
      </w:r>
      <w:r>
        <w:rPr>
          <w:rFonts w:hint="eastAsia" w:ascii="宋体" w:hAnsi="宋体" w:eastAsia="宋体"/>
          <w:color w:val="auto"/>
          <w:szCs w:val="21"/>
        </w:rPr>
        <w:t>非对称安装底板外宽≥3795mm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(15)</w:t>
      </w:r>
      <w:r>
        <w:rPr>
          <w:rFonts w:hint="eastAsia" w:ascii="宋体" w:hAnsi="宋体" w:eastAsia="宋体"/>
          <w:color w:val="auto"/>
          <w:szCs w:val="21"/>
        </w:rPr>
        <w:t>电压380V</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(16)</w:t>
      </w:r>
      <w:r>
        <w:rPr>
          <w:rFonts w:hint="eastAsia" w:ascii="宋体" w:hAnsi="宋体" w:eastAsia="宋体"/>
          <w:color w:val="auto"/>
          <w:szCs w:val="21"/>
        </w:rPr>
        <w:t>最大举升高度≥1820mm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(17)</w:t>
      </w:r>
      <w:r>
        <w:rPr>
          <w:rFonts w:hint="eastAsia" w:ascii="宋体" w:hAnsi="宋体" w:eastAsia="宋体"/>
          <w:color w:val="auto"/>
          <w:szCs w:val="21"/>
        </w:rPr>
        <w:t>整机高度≥3900mm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(18)</w:t>
      </w:r>
      <w:r>
        <w:rPr>
          <w:rFonts w:hint="eastAsia" w:ascii="宋体" w:hAnsi="宋体" w:eastAsia="宋体"/>
          <w:color w:val="auto"/>
          <w:szCs w:val="21"/>
        </w:rPr>
        <w:t>托盘螺纹3节75mm可调</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(19)</w:t>
      </w:r>
      <w:r>
        <w:rPr>
          <w:rFonts w:hint="eastAsia" w:ascii="宋体" w:hAnsi="宋体" w:eastAsia="宋体"/>
          <w:color w:val="auto"/>
          <w:szCs w:val="21"/>
        </w:rPr>
        <w:t>电控方式：PCB控制，控制系统：微电子／耐高低温／时间控制/万次级/三防PCB集成电路板，采用PCB集成控制，增加装置的稳定性</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(20)</w:t>
      </w:r>
      <w:r>
        <w:rPr>
          <w:rFonts w:hint="eastAsia" w:ascii="宋体" w:hAnsi="宋体" w:eastAsia="宋体"/>
          <w:color w:val="auto"/>
          <w:szCs w:val="21"/>
        </w:rPr>
        <w:t>符合全国职业院校技能大赛中职组-新能源汽车维修赛项的技术要求。</w:t>
      </w:r>
    </w:p>
    <w:p w14:paraId="6A0BA630">
      <w:pPr>
        <w:pStyle w:val="24"/>
        <w:numPr>
          <w:ilvl w:val="0"/>
          <w:numId w:val="16"/>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举升机地基加固</w:t>
      </w:r>
    </w:p>
    <w:p w14:paraId="29553BE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contextualSpacing/>
        <w:textAlignment w:val="auto"/>
        <w:rPr>
          <w:rFonts w:hint="eastAsia" w:ascii="宋体" w:hAnsi="宋体" w:eastAsia="宋体"/>
          <w:color w:val="auto"/>
          <w:szCs w:val="21"/>
          <w:lang w:eastAsia="zh-CN"/>
        </w:rPr>
      </w:pPr>
      <w:r>
        <w:rPr>
          <w:rFonts w:hint="default" w:ascii="宋体" w:hAnsi="宋体" w:eastAsia="宋体" w:cstheme="minorBidi"/>
          <w:color w:val="auto"/>
          <w:kern w:val="2"/>
          <w:sz w:val="21"/>
          <w:szCs w:val="21"/>
          <w:lang w:val="en-US" w:eastAsia="zh-CN" w:bidi="ar-SA"/>
        </w:rPr>
        <w:t>(1)</w:t>
      </w:r>
      <w:r>
        <w:rPr>
          <w:rFonts w:hint="eastAsia" w:ascii="宋体" w:hAnsi="宋体" w:eastAsia="宋体"/>
          <w:color w:val="auto"/>
          <w:szCs w:val="21"/>
        </w:rPr>
        <w:t>拆除现有举升机安装位置的瓷砖，清除泥土，重新用混凝土加固地基；</w:t>
      </w:r>
      <w:r>
        <w:rPr>
          <w:rFonts w:hint="default" w:ascii="宋体" w:hAnsi="宋体" w:eastAsia="宋体" w:cstheme="minorBidi"/>
          <w:color w:val="auto"/>
          <w:kern w:val="2"/>
          <w:sz w:val="21"/>
          <w:szCs w:val="21"/>
          <w:lang w:val="en-US" w:eastAsia="zh-CN" w:bidi="ar-SA"/>
        </w:rPr>
        <w:t>(2)</w:t>
      </w:r>
      <w:r>
        <w:rPr>
          <w:rFonts w:hint="eastAsia" w:ascii="宋体" w:hAnsi="宋体" w:eastAsia="宋体"/>
          <w:color w:val="auto"/>
          <w:szCs w:val="21"/>
        </w:rPr>
        <w:t>加强混凝土厚度约800mm，抗压强度不低于25MPa，地基混凝土大于C25级</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(3)</w:t>
      </w:r>
      <w:r>
        <w:rPr>
          <w:rFonts w:hint="eastAsia" w:ascii="宋体" w:hAnsi="宋体" w:eastAsia="宋体"/>
          <w:color w:val="auto"/>
          <w:szCs w:val="21"/>
        </w:rPr>
        <w:t>每台举升机需要加固2个地基；</w:t>
      </w:r>
      <w:r>
        <w:rPr>
          <w:rFonts w:hint="default" w:ascii="宋体" w:hAnsi="宋体" w:eastAsia="宋体" w:cstheme="minorBidi"/>
          <w:color w:val="auto"/>
          <w:kern w:val="2"/>
          <w:sz w:val="21"/>
          <w:szCs w:val="21"/>
          <w:lang w:val="en-US" w:eastAsia="zh-CN" w:bidi="ar-SA"/>
        </w:rPr>
        <w:t>(4)</w:t>
      </w:r>
      <w:r>
        <w:rPr>
          <w:rFonts w:hint="eastAsia" w:ascii="宋体" w:hAnsi="宋体" w:eastAsia="宋体"/>
          <w:color w:val="auto"/>
          <w:szCs w:val="21"/>
        </w:rPr>
        <w:t>举升机地基加固后需要复原</w:t>
      </w:r>
      <w:r>
        <w:rPr>
          <w:rFonts w:hint="eastAsia" w:ascii="宋体" w:hAnsi="宋体" w:eastAsia="宋体"/>
          <w:color w:val="auto"/>
          <w:szCs w:val="21"/>
          <w:lang w:eastAsia="zh-CN"/>
        </w:rPr>
        <w:t>。</w:t>
      </w:r>
    </w:p>
    <w:p w14:paraId="3754BC5D">
      <w:pPr>
        <w:pStyle w:val="24"/>
        <w:numPr>
          <w:ilvl w:val="0"/>
          <w:numId w:val="15"/>
        </w:numPr>
        <w:snapToGrid w:val="0"/>
        <w:spacing w:line="360" w:lineRule="auto"/>
        <w:ind w:firstLineChars="0"/>
        <w:contextualSpacing/>
        <w:rPr>
          <w:rFonts w:ascii="宋体" w:hAnsi="宋体" w:eastAsia="宋体"/>
          <w:b/>
          <w:bCs/>
          <w:szCs w:val="21"/>
        </w:rPr>
      </w:pPr>
      <w:r>
        <w:rPr>
          <w:rFonts w:hint="eastAsia" w:ascii="宋体" w:hAnsi="宋体" w:eastAsia="宋体"/>
          <w:b/>
          <w:bCs/>
          <w:szCs w:val="21"/>
        </w:rPr>
        <w:t>新能源整车实训平台技术功能与参数</w:t>
      </w:r>
    </w:p>
    <w:p w14:paraId="5F88B507">
      <w:pPr>
        <w:pStyle w:val="24"/>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新能源整车实训平台</w:t>
      </w:r>
    </w:p>
    <w:p w14:paraId="52FEDD6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采用9成新</w:t>
      </w:r>
      <w:r>
        <w:rPr>
          <w:rFonts w:hint="eastAsia" w:ascii="宋体" w:hAnsi="宋体" w:eastAsia="宋体"/>
          <w:color w:val="auto"/>
          <w:szCs w:val="21"/>
          <w:lang w:val="en-US" w:eastAsia="zh-CN"/>
        </w:rPr>
        <w:t>二手</w:t>
      </w:r>
      <w:r>
        <w:rPr>
          <w:rFonts w:hint="eastAsia" w:ascii="宋体" w:hAnsi="宋体" w:eastAsia="宋体"/>
          <w:color w:val="auto"/>
          <w:szCs w:val="21"/>
        </w:rPr>
        <w:t>整车制实训平台，能符合新能源汽车教学实训需要，参考技术参数如下：</w:t>
      </w:r>
      <w:r>
        <w:rPr>
          <w:rFonts w:hint="default" w:ascii="宋体" w:hAnsi="宋体" w:eastAsia="宋体" w:cstheme="minorBidi"/>
          <w:color w:val="auto"/>
          <w:kern w:val="2"/>
          <w:sz w:val="21"/>
          <w:szCs w:val="21"/>
          <w:lang w:val="en-US" w:eastAsia="zh-CN" w:bidi="ar-SA"/>
        </w:rPr>
        <w:t>(1)</w:t>
      </w:r>
      <w:r>
        <w:rPr>
          <w:rFonts w:hint="eastAsia" w:ascii="宋体" w:hAnsi="宋体" w:eastAsia="宋体"/>
          <w:color w:val="auto"/>
          <w:szCs w:val="21"/>
        </w:rPr>
        <w:t>续航里程：≥550km</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(2)</w:t>
      </w:r>
      <w:r>
        <w:rPr>
          <w:rFonts w:hint="eastAsia" w:ascii="宋体" w:hAnsi="宋体" w:eastAsia="宋体"/>
          <w:color w:val="auto"/>
          <w:szCs w:val="21"/>
        </w:rPr>
        <w:t>电池容量</w:t>
      </w:r>
      <w:r>
        <w:rPr>
          <w:rFonts w:hint="eastAsia" w:ascii="宋体" w:hAnsi="宋体" w:eastAsia="宋体"/>
          <w:color w:val="auto"/>
          <w:szCs w:val="21"/>
          <w:highlight w:val="none"/>
        </w:rPr>
        <w:t>：≥84KWh</w:t>
      </w:r>
      <w:r>
        <w:rPr>
          <w:rFonts w:hint="eastAsia" w:ascii="宋体" w:hAnsi="宋体" w:eastAsia="宋体"/>
          <w:color w:val="auto"/>
          <w:szCs w:val="21"/>
          <w:highlight w:val="none"/>
          <w:lang w:eastAsia="zh-CN"/>
        </w:rPr>
        <w:t>；</w:t>
      </w:r>
      <w:r>
        <w:rPr>
          <w:rFonts w:hint="default" w:ascii="宋体" w:hAnsi="宋体" w:eastAsia="宋体" w:cstheme="minorBidi"/>
          <w:color w:val="auto"/>
          <w:kern w:val="2"/>
          <w:sz w:val="21"/>
          <w:szCs w:val="21"/>
          <w:highlight w:val="none"/>
          <w:lang w:val="en-US" w:eastAsia="zh-CN" w:bidi="ar-SA"/>
        </w:rPr>
        <w:t>(3)</w:t>
      </w:r>
      <w:r>
        <w:rPr>
          <w:rFonts w:hint="eastAsia" w:ascii="宋体" w:hAnsi="宋体" w:eastAsia="宋体"/>
          <w:color w:val="auto"/>
          <w:szCs w:val="21"/>
          <w:highlight w:val="none"/>
        </w:rPr>
        <w:t>电机功率：≥150KW</w:t>
      </w:r>
      <w:r>
        <w:rPr>
          <w:rFonts w:hint="eastAsia" w:ascii="宋体" w:hAnsi="宋体" w:eastAsia="宋体"/>
          <w:color w:val="auto"/>
          <w:szCs w:val="21"/>
          <w:highlight w:val="none"/>
          <w:lang w:eastAsia="zh-CN"/>
        </w:rPr>
        <w:t>；</w:t>
      </w:r>
      <w:r>
        <w:rPr>
          <w:rFonts w:hint="default" w:ascii="宋体" w:hAnsi="宋体" w:eastAsia="宋体" w:cstheme="minorBidi"/>
          <w:color w:val="auto"/>
          <w:kern w:val="2"/>
          <w:sz w:val="21"/>
          <w:szCs w:val="21"/>
          <w:highlight w:val="none"/>
          <w:lang w:val="en-US" w:eastAsia="zh-CN" w:bidi="ar-SA"/>
        </w:rPr>
        <w:t>(4)</w:t>
      </w:r>
      <w:r>
        <w:rPr>
          <w:rFonts w:hint="eastAsia" w:ascii="宋体" w:hAnsi="宋体" w:eastAsia="宋体"/>
          <w:color w:val="auto"/>
          <w:szCs w:val="21"/>
          <w:highlight w:val="none"/>
        </w:rPr>
        <w:t>最大扭矩：≥310N·m</w:t>
      </w:r>
      <w:r>
        <w:rPr>
          <w:rFonts w:hint="eastAsia" w:ascii="宋体" w:hAnsi="宋体" w:eastAsia="宋体"/>
          <w:color w:val="auto"/>
          <w:szCs w:val="21"/>
          <w:highlight w:val="none"/>
          <w:lang w:eastAsia="zh-CN"/>
        </w:rPr>
        <w:t>；</w:t>
      </w:r>
      <w:r>
        <w:rPr>
          <w:rFonts w:hint="default" w:ascii="宋体" w:hAnsi="宋体" w:eastAsia="宋体" w:cstheme="minorBidi"/>
          <w:color w:val="auto"/>
          <w:kern w:val="2"/>
          <w:sz w:val="21"/>
          <w:szCs w:val="21"/>
          <w:highlight w:val="none"/>
          <w:lang w:val="en-US" w:eastAsia="zh-CN" w:bidi="ar-SA"/>
        </w:rPr>
        <w:t>(5)</w:t>
      </w:r>
      <w:r>
        <w:rPr>
          <w:rFonts w:hint="eastAsia" w:ascii="宋体" w:hAnsi="宋体" w:eastAsia="宋体"/>
          <w:color w:val="auto"/>
          <w:szCs w:val="21"/>
          <w:highlight w:val="none"/>
        </w:rPr>
        <w:t>车辆尺寸：约45</w:t>
      </w:r>
      <w:r>
        <w:rPr>
          <w:rFonts w:hint="eastAsia" w:ascii="宋体" w:hAnsi="宋体" w:eastAsia="宋体"/>
          <w:color w:val="auto"/>
          <w:szCs w:val="21"/>
          <w:highlight w:val="none"/>
          <w:lang w:val="en-US" w:eastAsia="zh-CN"/>
        </w:rPr>
        <w:t>00</w:t>
      </w:r>
      <w:r>
        <w:rPr>
          <w:rFonts w:hint="eastAsia" w:ascii="宋体" w:hAnsi="宋体" w:eastAsia="宋体"/>
          <w:color w:val="auto"/>
          <w:szCs w:val="21"/>
          <w:highlight w:val="none"/>
        </w:rPr>
        <w:t>×18</w:t>
      </w:r>
      <w:r>
        <w:rPr>
          <w:rFonts w:hint="eastAsia" w:ascii="宋体" w:hAnsi="宋体" w:eastAsia="宋体"/>
          <w:color w:val="auto"/>
          <w:szCs w:val="21"/>
          <w:highlight w:val="none"/>
          <w:lang w:val="en-US" w:eastAsia="zh-CN"/>
        </w:rPr>
        <w:t>00</w:t>
      </w:r>
      <w:r>
        <w:rPr>
          <w:rFonts w:hint="eastAsia" w:ascii="宋体" w:hAnsi="宋体" w:eastAsia="宋体"/>
          <w:color w:val="auto"/>
          <w:szCs w:val="21"/>
          <w:highlight w:val="none"/>
        </w:rPr>
        <w:t>×162</w:t>
      </w:r>
      <w:r>
        <w:rPr>
          <w:rFonts w:hint="eastAsia" w:ascii="宋体" w:hAnsi="宋体" w:eastAsia="宋体"/>
          <w:color w:val="auto"/>
          <w:szCs w:val="21"/>
          <w:highlight w:val="none"/>
          <w:lang w:val="en-US" w:eastAsia="zh-CN"/>
        </w:rPr>
        <w:t>0mm</w:t>
      </w:r>
      <w:r>
        <w:rPr>
          <w:rFonts w:hint="eastAsia" w:ascii="宋体" w:hAnsi="宋体" w:eastAsia="宋体"/>
          <w:color w:val="auto"/>
          <w:szCs w:val="21"/>
          <w:highlight w:val="none"/>
          <w:lang w:eastAsia="zh-CN"/>
        </w:rPr>
        <w:t>；</w:t>
      </w:r>
      <w:r>
        <w:rPr>
          <w:rFonts w:hint="default" w:ascii="宋体" w:hAnsi="宋体" w:eastAsia="宋体" w:cstheme="minorBidi"/>
          <w:color w:val="auto"/>
          <w:kern w:val="2"/>
          <w:sz w:val="21"/>
          <w:szCs w:val="21"/>
          <w:highlight w:val="none"/>
          <w:lang w:val="en-US" w:eastAsia="zh-CN" w:bidi="ar-SA"/>
        </w:rPr>
        <w:t>(6)</w:t>
      </w:r>
      <w:r>
        <w:rPr>
          <w:rFonts w:hint="eastAsia" w:ascii="宋体" w:hAnsi="宋体" w:eastAsia="宋体"/>
          <w:color w:val="auto"/>
          <w:szCs w:val="21"/>
          <w:highlight w:val="none"/>
        </w:rPr>
        <w:t>轴距：≥27</w:t>
      </w:r>
      <w:r>
        <w:rPr>
          <w:rFonts w:hint="eastAsia" w:ascii="宋体" w:hAnsi="宋体" w:eastAsia="宋体"/>
          <w:color w:val="auto"/>
          <w:szCs w:val="21"/>
          <w:highlight w:val="none"/>
          <w:lang w:val="en-US" w:eastAsia="zh-CN"/>
        </w:rPr>
        <w:t>00mm</w:t>
      </w:r>
      <w:r>
        <w:rPr>
          <w:rFonts w:hint="eastAsia" w:ascii="宋体" w:hAnsi="宋体" w:eastAsia="宋体"/>
          <w:color w:val="auto"/>
          <w:szCs w:val="21"/>
          <w:highlight w:val="none"/>
          <w:lang w:eastAsia="zh-CN"/>
        </w:rPr>
        <w:t>；</w:t>
      </w:r>
      <w:r>
        <w:rPr>
          <w:rFonts w:hint="default" w:ascii="宋体" w:hAnsi="宋体" w:eastAsia="宋体" w:cstheme="minorBidi"/>
          <w:color w:val="auto"/>
          <w:kern w:val="2"/>
          <w:sz w:val="21"/>
          <w:szCs w:val="21"/>
          <w:highlight w:val="none"/>
          <w:lang w:val="en-US" w:eastAsia="zh-CN" w:bidi="ar-SA"/>
        </w:rPr>
        <w:t>(</w:t>
      </w:r>
      <w:r>
        <w:rPr>
          <w:rFonts w:hint="default" w:ascii="宋体" w:hAnsi="宋体" w:eastAsia="宋体" w:cstheme="minorBidi"/>
          <w:color w:val="auto"/>
          <w:kern w:val="2"/>
          <w:sz w:val="21"/>
          <w:szCs w:val="21"/>
          <w:lang w:val="en-US" w:eastAsia="zh-CN" w:bidi="ar-SA"/>
        </w:rPr>
        <w:t>7)</w:t>
      </w:r>
      <w:r>
        <w:rPr>
          <w:rFonts w:hint="eastAsia" w:ascii="宋体" w:hAnsi="宋体" w:eastAsia="宋体"/>
          <w:color w:val="auto"/>
          <w:szCs w:val="21"/>
        </w:rPr>
        <w:t>电池类型：三元锂电池</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w:t>
      </w:r>
      <w:r>
        <w:rPr>
          <w:rFonts w:hint="eastAsia" w:ascii="宋体" w:hAnsi="宋体" w:eastAsia="宋体" w:cstheme="minorBidi"/>
          <w:color w:val="auto"/>
          <w:kern w:val="2"/>
          <w:sz w:val="21"/>
          <w:szCs w:val="21"/>
          <w:lang w:val="en-US" w:eastAsia="zh-CN" w:bidi="ar-SA"/>
        </w:rPr>
        <w:t>8</w:t>
      </w:r>
      <w:r>
        <w:rPr>
          <w:rFonts w:hint="default" w:ascii="宋体" w:hAnsi="宋体" w:eastAsia="宋体" w:cstheme="minorBidi"/>
          <w:color w:val="auto"/>
          <w:kern w:val="2"/>
          <w:sz w:val="21"/>
          <w:szCs w:val="21"/>
          <w:lang w:val="en-US" w:eastAsia="zh-CN" w:bidi="ar-SA"/>
        </w:rPr>
        <w:t>)</w:t>
      </w:r>
      <w:r>
        <w:rPr>
          <w:rFonts w:hint="eastAsia" w:ascii="宋体" w:hAnsi="宋体" w:eastAsia="宋体"/>
          <w:color w:val="auto"/>
          <w:szCs w:val="21"/>
        </w:rPr>
        <w:t>电机类型：永磁同步电机</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w:t>
      </w:r>
      <w:r>
        <w:rPr>
          <w:rFonts w:hint="eastAsia" w:ascii="宋体" w:hAnsi="宋体" w:eastAsia="宋体" w:cstheme="minorBidi"/>
          <w:color w:val="auto"/>
          <w:kern w:val="2"/>
          <w:sz w:val="21"/>
          <w:szCs w:val="21"/>
          <w:lang w:val="en-US" w:eastAsia="zh-CN" w:bidi="ar-SA"/>
        </w:rPr>
        <w:t>9</w:t>
      </w:r>
      <w:r>
        <w:rPr>
          <w:rFonts w:hint="default" w:ascii="宋体" w:hAnsi="宋体" w:eastAsia="宋体" w:cstheme="minorBidi"/>
          <w:color w:val="auto"/>
          <w:kern w:val="2"/>
          <w:sz w:val="21"/>
          <w:szCs w:val="21"/>
          <w:lang w:val="en-US" w:eastAsia="zh-CN" w:bidi="ar-SA"/>
        </w:rPr>
        <w:t>)</w:t>
      </w:r>
      <w:r>
        <w:rPr>
          <w:rFonts w:hint="eastAsia" w:ascii="宋体" w:hAnsi="宋体" w:eastAsia="宋体"/>
          <w:color w:val="auto"/>
          <w:szCs w:val="21"/>
        </w:rPr>
        <w:t>驾驶辅助系统：车道偏离预警系统、车保保持辅助系统、道路交通标示识别、主动刹车/主动安全系统、全速自适应巡航系统、自动驻车等。</w:t>
      </w:r>
    </w:p>
    <w:p w14:paraId="61EB29FC">
      <w:pPr>
        <w:pStyle w:val="24"/>
        <w:numPr>
          <w:ilvl w:val="0"/>
          <w:numId w:val="17"/>
        </w:numPr>
        <w:snapToGrid w:val="0"/>
        <w:spacing w:line="360" w:lineRule="auto"/>
        <w:ind w:left="425" w:leftChars="0" w:hanging="425" w:firstLineChars="0"/>
        <w:contextualSpacing/>
        <w:rPr>
          <w:rFonts w:hint="eastAsia" w:ascii="宋体" w:hAnsi="宋体" w:eastAsia="宋体"/>
          <w:color w:val="auto"/>
          <w:szCs w:val="21"/>
        </w:rPr>
      </w:pPr>
      <w:r>
        <w:rPr>
          <w:rFonts w:hint="eastAsia" w:ascii="宋体" w:hAnsi="宋体" w:eastAsia="宋体"/>
          <w:color w:val="auto"/>
          <w:szCs w:val="21"/>
        </w:rPr>
        <w:t>智能充电稳压电源</w:t>
      </w:r>
    </w:p>
    <w:p w14:paraId="0DDA3DD4">
      <w:pPr>
        <w:pStyle w:val="24"/>
        <w:widowControl w:val="0"/>
        <w:numPr>
          <w:ilvl w:val="0"/>
          <w:numId w:val="18"/>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产品特点</w:t>
      </w:r>
    </w:p>
    <w:p w14:paraId="3920D4F2">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color w:val="FF0000"/>
          <w:szCs w:val="21"/>
        </w:rPr>
      </w:pPr>
      <w:r>
        <w:rPr>
          <w:rFonts w:hint="eastAsia" w:ascii="宋体" w:hAnsi="宋体" w:eastAsia="宋体"/>
          <w:b w:val="0"/>
          <w:bCs w:val="0"/>
          <w:color w:val="auto"/>
          <w:szCs w:val="21"/>
        </w:rPr>
        <w:t>功能：具备智能充电、辅助启动、ECU编程稳压、自动保护功能；</w:t>
      </w:r>
    </w:p>
    <w:p w14:paraId="4DD9D178">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strike/>
          <w:dstrike w:val="0"/>
          <w:color w:val="FF0000"/>
          <w:szCs w:val="21"/>
        </w:rPr>
      </w:pPr>
      <w:r>
        <w:rPr>
          <w:rFonts w:hint="eastAsia" w:ascii="宋体" w:hAnsi="宋体" w:eastAsia="宋体"/>
          <w:b w:val="0"/>
          <w:bCs w:val="0"/>
          <w:color w:val="auto"/>
          <w:szCs w:val="21"/>
        </w:rPr>
        <w:t>ECU自动控制，可以在9-14.1V范围内输出识别反接、短路、过热，识别安全时才启动；</w:t>
      </w:r>
    </w:p>
    <w:p w14:paraId="0FF9184C">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color w:val="auto"/>
          <w:szCs w:val="21"/>
        </w:rPr>
      </w:pPr>
      <w:r>
        <w:rPr>
          <w:rFonts w:hint="eastAsia" w:ascii="宋体" w:hAnsi="宋体" w:eastAsia="宋体"/>
          <w:b w:val="0"/>
          <w:bCs w:val="0"/>
          <w:color w:val="auto"/>
          <w:szCs w:val="21"/>
        </w:rPr>
        <w:t>高低压变压器隔离，防止前后级短路烧毁设备；</w:t>
      </w:r>
    </w:p>
    <w:p w14:paraId="5AEE79B3">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strike/>
          <w:dstrike w:val="0"/>
          <w:color w:val="FF0000"/>
          <w:szCs w:val="21"/>
        </w:rPr>
      </w:pPr>
      <w:r>
        <w:rPr>
          <w:rFonts w:hint="eastAsia" w:ascii="宋体" w:hAnsi="宋体" w:eastAsia="宋体"/>
          <w:b w:val="0"/>
          <w:bCs w:val="0"/>
          <w:color w:val="auto"/>
          <w:szCs w:val="21"/>
        </w:rPr>
        <w:t>根据电池容量自动匹配选择充电曲线并自动调节充电电流，防止过充；</w:t>
      </w:r>
    </w:p>
    <w:p w14:paraId="1F56408E">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color w:val="auto"/>
          <w:szCs w:val="21"/>
        </w:rPr>
      </w:pPr>
      <w:r>
        <w:rPr>
          <w:rFonts w:hint="eastAsia" w:ascii="宋体" w:hAnsi="宋体" w:eastAsia="宋体"/>
          <w:b w:val="0"/>
          <w:bCs w:val="0"/>
          <w:color w:val="auto"/>
          <w:szCs w:val="21"/>
        </w:rPr>
        <w:t>采用高频开关电源控制电路，同时采用PFC功率因数校正；</w:t>
      </w:r>
    </w:p>
    <w:p w14:paraId="085D0C9A">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color w:val="auto"/>
          <w:szCs w:val="21"/>
        </w:rPr>
      </w:pPr>
      <w:r>
        <w:rPr>
          <w:rFonts w:hint="eastAsia" w:ascii="宋体" w:hAnsi="宋体" w:eastAsia="宋体"/>
          <w:b w:val="0"/>
          <w:bCs w:val="0"/>
          <w:color w:val="auto"/>
          <w:szCs w:val="21"/>
        </w:rPr>
        <w:t>五重安全保护</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过热保护、过流保护、高低压保护、反接保护、短路保护</w:t>
      </w:r>
      <w:r>
        <w:rPr>
          <w:rFonts w:hint="eastAsia" w:ascii="宋体" w:hAnsi="宋体" w:eastAsia="宋体"/>
          <w:b w:val="0"/>
          <w:bCs w:val="0"/>
          <w:color w:val="auto"/>
          <w:szCs w:val="21"/>
          <w:lang w:eastAsia="zh-CN"/>
        </w:rPr>
        <w:t>；</w:t>
      </w:r>
    </w:p>
    <w:p w14:paraId="661784F9">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color w:val="auto"/>
          <w:szCs w:val="21"/>
        </w:rPr>
      </w:pPr>
      <w:r>
        <w:rPr>
          <w:rFonts w:hint="eastAsia" w:ascii="宋体" w:hAnsi="宋体" w:eastAsia="宋体"/>
          <w:b w:val="0"/>
          <w:bCs w:val="0"/>
          <w:color w:val="auto"/>
          <w:szCs w:val="21"/>
        </w:rPr>
        <w:t>五种充电模式</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空载模式、恒流模式、恒压模式、浮充模式、涓流模式</w:t>
      </w:r>
      <w:r>
        <w:rPr>
          <w:rFonts w:hint="eastAsia" w:ascii="宋体" w:hAnsi="宋体" w:eastAsia="宋体"/>
          <w:b w:val="0"/>
          <w:bCs w:val="0"/>
          <w:color w:val="auto"/>
          <w:szCs w:val="21"/>
          <w:lang w:eastAsia="zh-CN"/>
        </w:rPr>
        <w:t>；</w:t>
      </w:r>
    </w:p>
    <w:p w14:paraId="3520DD01">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color w:val="FF0000"/>
          <w:szCs w:val="21"/>
        </w:rPr>
      </w:pPr>
      <w:r>
        <w:rPr>
          <w:rFonts w:hint="eastAsia" w:ascii="宋体" w:hAnsi="宋体" w:eastAsia="宋体"/>
          <w:b w:val="0"/>
          <w:bCs w:val="0"/>
          <w:color w:val="auto"/>
          <w:szCs w:val="21"/>
        </w:rPr>
        <w:t>可代替电池直流给车辆系统供电，作为稳压电源使用</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针对不同类型电池设计充电曲线；</w:t>
      </w:r>
    </w:p>
    <w:p w14:paraId="5877E95C">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strike/>
          <w:dstrike w:val="0"/>
          <w:color w:val="FF0000"/>
          <w:szCs w:val="21"/>
        </w:rPr>
      </w:pPr>
      <w:r>
        <w:rPr>
          <w:rFonts w:hint="eastAsia" w:ascii="宋体" w:hAnsi="宋体" w:eastAsia="宋体"/>
          <w:b w:val="0"/>
          <w:bCs w:val="0"/>
          <w:color w:val="auto"/>
          <w:szCs w:val="21"/>
        </w:rPr>
        <w:t>纯铜电瓶夹，最大电流100A，夹子与电瓶连接处设计不会损坏电瓶柱</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不轻易脱落</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和电瓶线束采用螺丝连接，可实现电瓶夹子和连接片的替换连接</w:t>
      </w:r>
      <w:r>
        <w:rPr>
          <w:rFonts w:hint="eastAsia" w:ascii="宋体" w:hAnsi="宋体" w:eastAsia="宋体"/>
          <w:b w:val="0"/>
          <w:bCs w:val="0"/>
          <w:color w:val="auto"/>
          <w:szCs w:val="21"/>
          <w:lang w:eastAsia="zh-CN"/>
        </w:rPr>
        <w:t>；</w:t>
      </w:r>
    </w:p>
    <w:p w14:paraId="0F3EC4F6">
      <w:pPr>
        <w:pStyle w:val="24"/>
        <w:widowControl w:val="0"/>
        <w:numPr>
          <w:ilvl w:val="0"/>
          <w:numId w:val="19"/>
        </w:numPr>
        <w:snapToGrid w:val="0"/>
        <w:spacing w:line="360" w:lineRule="auto"/>
        <w:ind w:left="0" w:leftChars="0" w:firstLine="400" w:firstLineChars="0"/>
        <w:contextualSpacing/>
        <w:jc w:val="both"/>
        <w:rPr>
          <w:rFonts w:hint="eastAsia" w:ascii="宋体" w:hAnsi="宋体" w:eastAsia="宋体"/>
          <w:b w:val="0"/>
          <w:bCs w:val="0"/>
          <w:strike/>
          <w:dstrike w:val="0"/>
          <w:color w:val="FF0000"/>
          <w:szCs w:val="21"/>
        </w:rPr>
      </w:pPr>
      <w:r>
        <w:rPr>
          <w:rFonts w:hint="eastAsia" w:ascii="宋体" w:hAnsi="宋体" w:eastAsia="宋体"/>
          <w:b w:val="0"/>
          <w:bCs w:val="0"/>
          <w:color w:val="auto"/>
          <w:szCs w:val="21"/>
        </w:rPr>
        <w:t>可拆卸充电线，充电机和充电线可随时分开，适合展车移动的工况</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充电机和充电线采用承受50A电流的航空插</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充电线</w:t>
      </w:r>
      <w:r>
        <w:rPr>
          <w:rFonts w:hint="eastAsia" w:ascii="宋体" w:hAnsi="宋体" w:eastAsia="宋体"/>
          <w:b w:val="0"/>
          <w:bCs w:val="0"/>
          <w:color w:val="auto"/>
          <w:szCs w:val="21"/>
          <w:lang w:val="en-US" w:eastAsia="zh-CN"/>
        </w:rPr>
        <w:t>≥2m</w:t>
      </w:r>
      <w:r>
        <w:rPr>
          <w:rFonts w:hint="eastAsia" w:ascii="宋体" w:hAnsi="宋体" w:eastAsia="宋体"/>
          <w:b w:val="0"/>
          <w:bCs w:val="0"/>
          <w:color w:val="auto"/>
          <w:szCs w:val="21"/>
        </w:rPr>
        <w:t>，承受电流</w:t>
      </w:r>
      <w:r>
        <w:rPr>
          <w:rFonts w:hint="eastAsia" w:ascii="宋体" w:hAnsi="宋体" w:eastAsia="宋体"/>
          <w:b w:val="0"/>
          <w:bCs w:val="0"/>
          <w:color w:val="auto"/>
          <w:szCs w:val="21"/>
          <w:lang w:val="en-US" w:eastAsia="zh-CN"/>
        </w:rPr>
        <w:t>≥</w:t>
      </w:r>
      <w:r>
        <w:rPr>
          <w:rFonts w:hint="eastAsia" w:ascii="宋体" w:hAnsi="宋体" w:eastAsia="宋体"/>
          <w:b w:val="0"/>
          <w:bCs w:val="0"/>
          <w:color w:val="auto"/>
          <w:szCs w:val="21"/>
        </w:rPr>
        <w:t>50A。</w:t>
      </w:r>
    </w:p>
    <w:p w14:paraId="7DEEFFF9">
      <w:pPr>
        <w:pStyle w:val="24"/>
        <w:widowControl w:val="0"/>
        <w:numPr>
          <w:ilvl w:val="0"/>
          <w:numId w:val="18"/>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技术参数</w:t>
      </w:r>
    </w:p>
    <w:p w14:paraId="542F7172">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最大充电电流：40A</w:t>
      </w:r>
      <w:r>
        <w:rPr>
          <w:rFonts w:hint="eastAsia" w:ascii="宋体" w:hAnsi="宋体" w:eastAsia="宋体"/>
          <w:color w:val="auto"/>
          <w:szCs w:val="21"/>
          <w:lang w:eastAsia="zh-CN"/>
        </w:rPr>
        <w:t>；</w:t>
      </w:r>
    </w:p>
    <w:p w14:paraId="02E8F340">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最大辅助启动电流：40A</w:t>
      </w:r>
      <w:r>
        <w:rPr>
          <w:rFonts w:hint="eastAsia" w:ascii="宋体" w:hAnsi="宋体" w:eastAsia="宋体"/>
          <w:color w:val="auto"/>
          <w:szCs w:val="21"/>
          <w:lang w:eastAsia="zh-CN"/>
        </w:rPr>
        <w:t>；</w:t>
      </w:r>
    </w:p>
    <w:p w14:paraId="592DE97E">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最大编程稳压电流：40A</w:t>
      </w:r>
      <w:r>
        <w:rPr>
          <w:rFonts w:hint="eastAsia" w:ascii="宋体" w:hAnsi="宋体" w:eastAsia="宋体"/>
          <w:color w:val="auto"/>
          <w:szCs w:val="21"/>
          <w:lang w:eastAsia="zh-CN"/>
        </w:rPr>
        <w:t>；</w:t>
      </w:r>
    </w:p>
    <w:p w14:paraId="747F1FFC">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电池输入电源：AC220V/50Hz</w:t>
      </w:r>
      <w:r>
        <w:rPr>
          <w:rFonts w:hint="eastAsia" w:ascii="宋体" w:hAnsi="宋体" w:eastAsia="宋体"/>
          <w:color w:val="auto"/>
          <w:szCs w:val="21"/>
          <w:lang w:eastAsia="zh-CN"/>
        </w:rPr>
        <w:t>；</w:t>
      </w:r>
    </w:p>
    <w:p w14:paraId="2507A377">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输出电压：DC9V-14.1V</w:t>
      </w:r>
      <w:r>
        <w:rPr>
          <w:rFonts w:hint="eastAsia" w:ascii="宋体" w:hAnsi="宋体" w:eastAsia="宋体"/>
          <w:color w:val="auto"/>
          <w:szCs w:val="21"/>
          <w:lang w:eastAsia="zh-CN"/>
        </w:rPr>
        <w:t>（</w:t>
      </w:r>
      <w:r>
        <w:rPr>
          <w:rFonts w:hint="eastAsia" w:ascii="宋体" w:hAnsi="宋体" w:eastAsia="宋体"/>
          <w:color w:val="auto"/>
          <w:szCs w:val="21"/>
        </w:rPr>
        <w:t>智能调节</w:t>
      </w:r>
      <w:r>
        <w:rPr>
          <w:rFonts w:hint="eastAsia" w:ascii="宋体" w:hAnsi="宋体" w:eastAsia="宋体"/>
          <w:color w:val="auto"/>
          <w:szCs w:val="21"/>
          <w:lang w:eastAsia="zh-CN"/>
        </w:rPr>
        <w:t>）；</w:t>
      </w:r>
    </w:p>
    <w:p w14:paraId="38AB5E23">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最大输出功率：≥600W</w:t>
      </w:r>
      <w:r>
        <w:rPr>
          <w:rFonts w:hint="eastAsia" w:ascii="宋体" w:hAnsi="宋体" w:eastAsia="宋体"/>
          <w:color w:val="auto"/>
          <w:szCs w:val="21"/>
          <w:lang w:eastAsia="zh-CN"/>
        </w:rPr>
        <w:t>；</w:t>
      </w:r>
    </w:p>
    <w:p w14:paraId="59AF0437">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b w:val="0"/>
          <w:bCs w:val="0"/>
          <w:color w:val="FF0000"/>
          <w:szCs w:val="21"/>
        </w:rPr>
      </w:pPr>
      <w:r>
        <w:rPr>
          <w:rFonts w:hint="eastAsia" w:ascii="宋体" w:hAnsi="宋体" w:eastAsia="宋体"/>
          <w:b w:val="0"/>
          <w:bCs w:val="0"/>
          <w:color w:val="auto"/>
          <w:szCs w:val="21"/>
        </w:rPr>
        <w:t>显示屏：≥3.5英寸液晶屏</w:t>
      </w:r>
      <w:r>
        <w:rPr>
          <w:rFonts w:hint="eastAsia" w:ascii="宋体" w:hAnsi="宋体" w:eastAsia="宋体"/>
          <w:b w:val="0"/>
          <w:bCs w:val="0"/>
          <w:color w:val="auto"/>
          <w:szCs w:val="21"/>
          <w:lang w:eastAsia="zh-CN"/>
        </w:rPr>
        <w:t>；</w:t>
      </w:r>
    </w:p>
    <w:p w14:paraId="090199F3">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b w:val="0"/>
          <w:bCs w:val="0"/>
          <w:color w:val="FF0000"/>
          <w:szCs w:val="21"/>
        </w:rPr>
      </w:pPr>
      <w:r>
        <w:rPr>
          <w:rFonts w:hint="eastAsia" w:ascii="宋体" w:hAnsi="宋体" w:eastAsia="宋体"/>
          <w:b w:val="0"/>
          <w:bCs w:val="0"/>
          <w:color w:val="auto"/>
          <w:szCs w:val="21"/>
        </w:rPr>
        <w:t>待机状态：绿灯长亮</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充电状态：红灯长亮</w:t>
      </w:r>
      <w:r>
        <w:rPr>
          <w:rFonts w:hint="eastAsia" w:ascii="宋体" w:hAnsi="宋体" w:eastAsia="宋体"/>
          <w:b w:val="0"/>
          <w:bCs w:val="0"/>
          <w:color w:val="auto"/>
          <w:szCs w:val="21"/>
          <w:lang w:eastAsia="zh-CN"/>
        </w:rPr>
        <w:t>；</w:t>
      </w:r>
    </w:p>
    <w:p w14:paraId="0EDA002B">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产品重量：≥2kg</w:t>
      </w:r>
      <w:r>
        <w:rPr>
          <w:rFonts w:hint="eastAsia" w:ascii="宋体" w:hAnsi="宋体" w:eastAsia="宋体"/>
          <w:color w:val="auto"/>
          <w:szCs w:val="21"/>
          <w:lang w:eastAsia="zh-CN"/>
        </w:rPr>
        <w:t>；</w:t>
      </w:r>
    </w:p>
    <w:p w14:paraId="493AFB8C">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工作温度：0~60℃</w:t>
      </w:r>
      <w:r>
        <w:rPr>
          <w:rFonts w:hint="eastAsia" w:ascii="宋体" w:hAnsi="宋体" w:eastAsia="宋体"/>
          <w:color w:val="auto"/>
          <w:szCs w:val="21"/>
          <w:lang w:eastAsia="zh-CN"/>
        </w:rPr>
        <w:t>；</w:t>
      </w:r>
    </w:p>
    <w:p w14:paraId="1E56995C">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产品尺寸：</w:t>
      </w:r>
      <w:r>
        <w:rPr>
          <w:rFonts w:hint="eastAsia" w:ascii="宋体" w:hAnsi="宋体" w:eastAsia="宋体"/>
          <w:color w:val="auto"/>
          <w:szCs w:val="21"/>
          <w:lang w:val="en-US" w:eastAsia="zh-CN"/>
        </w:rPr>
        <w:t>约</w:t>
      </w:r>
      <w:r>
        <w:rPr>
          <w:rFonts w:hint="eastAsia" w:ascii="宋体" w:hAnsi="宋体" w:eastAsia="宋体"/>
          <w:color w:val="auto"/>
          <w:szCs w:val="21"/>
        </w:rPr>
        <w:t>260</w:t>
      </w:r>
      <w:r>
        <w:rPr>
          <w:rFonts w:hint="eastAsia" w:ascii="宋体" w:hAnsi="宋体" w:eastAsia="宋体"/>
          <w:color w:val="auto"/>
          <w:szCs w:val="21"/>
          <w:lang w:val="en-US" w:eastAsia="zh-CN"/>
        </w:rPr>
        <w:t>×</w:t>
      </w:r>
      <w:r>
        <w:rPr>
          <w:rFonts w:hint="eastAsia" w:ascii="宋体" w:hAnsi="宋体" w:eastAsia="宋体"/>
          <w:color w:val="auto"/>
          <w:szCs w:val="21"/>
        </w:rPr>
        <w:t>110</w:t>
      </w:r>
      <w:r>
        <w:rPr>
          <w:rFonts w:hint="eastAsia" w:ascii="宋体" w:hAnsi="宋体" w:eastAsia="宋体"/>
          <w:color w:val="auto"/>
          <w:szCs w:val="21"/>
          <w:lang w:val="en-US" w:eastAsia="zh-CN"/>
        </w:rPr>
        <w:t>×</w:t>
      </w:r>
      <w:r>
        <w:rPr>
          <w:rFonts w:hint="eastAsia" w:ascii="宋体" w:hAnsi="宋体" w:eastAsia="宋体"/>
          <w:color w:val="auto"/>
          <w:szCs w:val="21"/>
        </w:rPr>
        <w:t>150mm</w:t>
      </w:r>
      <w:r>
        <w:rPr>
          <w:rFonts w:hint="eastAsia" w:ascii="宋体" w:hAnsi="宋体" w:eastAsia="宋体"/>
          <w:color w:val="auto"/>
          <w:szCs w:val="21"/>
          <w:lang w:eastAsia="zh-CN"/>
        </w:rPr>
        <w:t>（</w:t>
      </w:r>
      <w:r>
        <w:rPr>
          <w:rFonts w:hint="eastAsia" w:ascii="宋体" w:hAnsi="宋体" w:eastAsia="宋体"/>
          <w:color w:val="auto"/>
          <w:szCs w:val="21"/>
        </w:rPr>
        <w:t>长</w:t>
      </w:r>
      <w:r>
        <w:rPr>
          <w:rFonts w:hint="eastAsia" w:ascii="宋体" w:hAnsi="宋体" w:eastAsia="宋体"/>
          <w:color w:val="auto"/>
          <w:szCs w:val="21"/>
          <w:lang w:val="en-US" w:eastAsia="zh-CN"/>
        </w:rPr>
        <w:t>×</w:t>
      </w:r>
      <w:r>
        <w:rPr>
          <w:rFonts w:hint="eastAsia" w:ascii="宋体" w:hAnsi="宋体" w:eastAsia="宋体"/>
          <w:color w:val="auto"/>
          <w:szCs w:val="21"/>
        </w:rPr>
        <w:t>宽</w:t>
      </w:r>
      <w:r>
        <w:rPr>
          <w:rFonts w:hint="eastAsia" w:ascii="宋体" w:hAnsi="宋体" w:eastAsia="宋体"/>
          <w:color w:val="auto"/>
          <w:szCs w:val="21"/>
          <w:lang w:val="en-US" w:eastAsia="zh-CN"/>
        </w:rPr>
        <w:t>×</w:t>
      </w:r>
      <w:r>
        <w:rPr>
          <w:rFonts w:hint="eastAsia" w:ascii="宋体" w:hAnsi="宋体" w:eastAsia="宋体"/>
          <w:color w:val="auto"/>
          <w:szCs w:val="21"/>
        </w:rPr>
        <w:t>高</w:t>
      </w:r>
      <w:r>
        <w:rPr>
          <w:rFonts w:hint="eastAsia" w:ascii="宋体" w:hAnsi="宋体" w:eastAsia="宋体"/>
          <w:color w:val="auto"/>
          <w:szCs w:val="21"/>
          <w:lang w:eastAsia="zh-CN"/>
        </w:rPr>
        <w:t>）；</w:t>
      </w:r>
    </w:p>
    <w:p w14:paraId="0C6B10A5">
      <w:pPr>
        <w:pStyle w:val="24"/>
        <w:widowControl w:val="0"/>
        <w:numPr>
          <w:ilvl w:val="0"/>
          <w:numId w:val="20"/>
        </w:numPr>
        <w:snapToGrid w:val="0"/>
        <w:spacing w:line="360" w:lineRule="auto"/>
        <w:ind w:left="0" w:leftChars="0" w:firstLine="400" w:firstLineChars="0"/>
        <w:contextualSpacing/>
        <w:jc w:val="both"/>
        <w:rPr>
          <w:rFonts w:hint="eastAsia" w:ascii="宋体" w:hAnsi="宋体" w:eastAsia="宋体"/>
          <w:color w:val="auto"/>
          <w:szCs w:val="21"/>
        </w:rPr>
      </w:pPr>
      <w:r>
        <w:rPr>
          <w:rFonts w:hint="eastAsia" w:ascii="宋体" w:hAnsi="宋体" w:eastAsia="宋体"/>
          <w:color w:val="auto"/>
          <w:szCs w:val="21"/>
        </w:rPr>
        <w:t>适用范围：普通免维护蓄电池、平板式AGM蓄电池、卷绕式AGM蓄电池、EFB启停蓄电池等12V规格45Ah容量以上的铅酸或锂电池</w:t>
      </w:r>
      <w:r>
        <w:rPr>
          <w:rFonts w:hint="eastAsia" w:ascii="宋体" w:hAnsi="宋体" w:eastAsia="宋体"/>
          <w:color w:val="auto"/>
          <w:szCs w:val="21"/>
          <w:lang w:eastAsia="zh-CN"/>
        </w:rPr>
        <w:t>。</w:t>
      </w:r>
    </w:p>
    <w:p w14:paraId="7740F035">
      <w:pPr>
        <w:pStyle w:val="24"/>
        <w:numPr>
          <w:ilvl w:val="0"/>
          <w:numId w:val="15"/>
        </w:numPr>
        <w:snapToGrid w:val="0"/>
        <w:spacing w:line="360" w:lineRule="auto"/>
        <w:ind w:firstLineChars="0"/>
        <w:contextualSpacing/>
        <w:rPr>
          <w:rFonts w:ascii="宋体" w:hAnsi="宋体" w:eastAsia="宋体"/>
          <w:b/>
          <w:bCs/>
          <w:szCs w:val="21"/>
        </w:rPr>
      </w:pPr>
      <w:r>
        <w:rPr>
          <w:rFonts w:hint="eastAsia" w:ascii="宋体" w:hAnsi="宋体" w:eastAsia="宋体"/>
          <w:b/>
          <w:bCs/>
          <w:szCs w:val="21"/>
        </w:rPr>
        <w:t>新能源动力总成拆装实训平台技术功能与参数</w:t>
      </w:r>
    </w:p>
    <w:p w14:paraId="464D524C">
      <w:pPr>
        <w:pStyle w:val="24"/>
        <w:widowControl w:val="0"/>
        <w:numPr>
          <w:ilvl w:val="0"/>
          <w:numId w:val="2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总体要求</w:t>
      </w:r>
    </w:p>
    <w:p w14:paraId="31E9AFB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动力总成拆装平台</w:t>
      </w:r>
      <w:r>
        <w:rPr>
          <w:rFonts w:hint="eastAsia" w:ascii="宋体" w:hAnsi="宋体" w:eastAsia="宋体"/>
          <w:color w:val="auto"/>
          <w:szCs w:val="21"/>
          <w:lang w:val="en-US" w:eastAsia="zh-CN"/>
        </w:rPr>
        <w:t>需</w:t>
      </w:r>
      <w:r>
        <w:rPr>
          <w:rFonts w:hint="eastAsia" w:ascii="宋体" w:hAnsi="宋体" w:eastAsia="宋体"/>
          <w:color w:val="auto"/>
          <w:szCs w:val="21"/>
        </w:rPr>
        <w:t>采用比亚迪动力总成为基础，配套专用拆装检测工作平台，便于对动力总成拆装检测、维修考核，设备以提高学生实际操作技能，提升学生岗位适应能力，以培养适应新能源汽车维修行业发展需要的专业技术人才为设计宗旨，</w:t>
      </w:r>
      <w:r>
        <w:rPr>
          <w:rFonts w:hint="eastAsia" w:ascii="宋体" w:hAnsi="宋体" w:eastAsia="宋体"/>
          <w:color w:val="auto"/>
          <w:szCs w:val="21"/>
          <w:lang w:val="en-US" w:eastAsia="zh-CN"/>
        </w:rPr>
        <w:t>应</w:t>
      </w:r>
      <w:r>
        <w:rPr>
          <w:rFonts w:hint="eastAsia" w:ascii="宋体" w:hAnsi="宋体" w:eastAsia="宋体"/>
          <w:color w:val="auto"/>
          <w:szCs w:val="21"/>
        </w:rPr>
        <w:t>完全满足</w:t>
      </w:r>
      <w:r>
        <w:rPr>
          <w:rFonts w:hint="eastAsia" w:ascii="宋体" w:hAnsi="宋体" w:eastAsia="宋体"/>
          <w:color w:val="auto"/>
          <w:szCs w:val="21"/>
          <w:lang w:val="en-US" w:eastAsia="zh-CN"/>
        </w:rPr>
        <w:t>采购人</w:t>
      </w:r>
      <w:r>
        <w:rPr>
          <w:rFonts w:hint="eastAsia" w:ascii="宋体" w:hAnsi="宋体" w:eastAsia="宋体"/>
          <w:color w:val="auto"/>
          <w:szCs w:val="21"/>
        </w:rPr>
        <w:t>对新能源汽车维修发展的教学需要，可对动力总成的主、副轴齿轮组等磨损情况的分析检测，对副轴与差速器高度、深度的数据测量和调整练习，对副轴与差速器调整垫片选择的计算练习等。</w:t>
      </w:r>
    </w:p>
    <w:p w14:paraId="74F9145E">
      <w:pPr>
        <w:pStyle w:val="24"/>
        <w:widowControl w:val="0"/>
        <w:numPr>
          <w:ilvl w:val="0"/>
          <w:numId w:val="2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功能要求</w:t>
      </w:r>
    </w:p>
    <w:p w14:paraId="4A6AB6D9">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配套原厂动力总成，符合动力总成拆装平台的拆装、测量、维修、考核的技术需求</w:t>
      </w:r>
      <w:r>
        <w:rPr>
          <w:rFonts w:hint="eastAsia" w:ascii="宋体" w:hAnsi="宋体" w:eastAsia="宋体"/>
          <w:color w:val="auto"/>
          <w:szCs w:val="21"/>
          <w:lang w:eastAsia="zh-CN"/>
        </w:rPr>
        <w:t>；</w:t>
      </w:r>
    </w:p>
    <w:p w14:paraId="50E4A43A">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设备可对动力总成的P档机构、主副轴齿轮组等磨损情况</w:t>
      </w:r>
      <w:r>
        <w:rPr>
          <w:rFonts w:hint="eastAsia" w:ascii="宋体" w:hAnsi="宋体" w:eastAsia="宋体"/>
          <w:color w:val="auto"/>
          <w:szCs w:val="21"/>
          <w:lang w:val="en-US" w:eastAsia="zh-CN"/>
        </w:rPr>
        <w:t>进行</w:t>
      </w:r>
      <w:r>
        <w:rPr>
          <w:rFonts w:hint="eastAsia" w:ascii="宋体" w:hAnsi="宋体" w:eastAsia="宋体"/>
          <w:color w:val="auto"/>
          <w:szCs w:val="21"/>
        </w:rPr>
        <w:t>分析检测，对副轴与差速器高度、深度</w:t>
      </w:r>
      <w:r>
        <w:rPr>
          <w:rFonts w:hint="eastAsia" w:ascii="宋体" w:hAnsi="宋体" w:eastAsia="宋体"/>
          <w:color w:val="auto"/>
          <w:szCs w:val="21"/>
          <w:lang w:val="en-US" w:eastAsia="zh-CN"/>
        </w:rPr>
        <w:t>进行</w:t>
      </w:r>
      <w:r>
        <w:rPr>
          <w:rFonts w:hint="eastAsia" w:ascii="宋体" w:hAnsi="宋体" w:eastAsia="宋体"/>
          <w:color w:val="auto"/>
          <w:szCs w:val="21"/>
        </w:rPr>
        <w:t>数据测量和调整练习，</w:t>
      </w:r>
      <w:r>
        <w:rPr>
          <w:rFonts w:hint="eastAsia" w:ascii="宋体" w:hAnsi="宋体" w:eastAsia="宋体"/>
          <w:color w:val="auto"/>
          <w:szCs w:val="21"/>
          <w:lang w:val="en-US" w:eastAsia="zh-CN"/>
        </w:rPr>
        <w:t>进行</w:t>
      </w:r>
      <w:r>
        <w:rPr>
          <w:rFonts w:hint="eastAsia" w:ascii="宋体" w:hAnsi="宋体" w:eastAsia="宋体"/>
          <w:color w:val="auto"/>
          <w:szCs w:val="21"/>
        </w:rPr>
        <w:t>对副轴与差速器调整垫片选择的计算练习等</w:t>
      </w:r>
      <w:r>
        <w:rPr>
          <w:rFonts w:hint="eastAsia" w:ascii="宋体" w:hAnsi="宋体" w:eastAsia="宋体"/>
          <w:color w:val="auto"/>
          <w:szCs w:val="21"/>
          <w:lang w:eastAsia="zh-CN"/>
        </w:rPr>
        <w:t>；</w:t>
      </w:r>
    </w:p>
    <w:p w14:paraId="4FCA1F03">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可完成永磁同步电机与变速器的分离、永磁同步电机与变速器的组装、输入轴齿轮的分离、输入轴齿轮的装配、副轴齿轮的分离、副轴齿轮的装配、差速器齿轮的分离、差速器齿轮的装配等拆装、练习、考核</w:t>
      </w:r>
      <w:r>
        <w:rPr>
          <w:rFonts w:hint="eastAsia" w:ascii="宋体" w:hAnsi="宋体" w:eastAsia="宋体"/>
          <w:color w:val="auto"/>
          <w:szCs w:val="21"/>
          <w:lang w:eastAsia="zh-CN"/>
        </w:rPr>
        <w:t>；</w:t>
      </w:r>
    </w:p>
    <w:p w14:paraId="55767601">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实训台底部带有自锁脚轮与固定调节螺栓，方便移动与固定</w:t>
      </w:r>
      <w:r>
        <w:rPr>
          <w:rFonts w:hint="eastAsia" w:ascii="宋体" w:hAnsi="宋体" w:eastAsia="宋体"/>
          <w:color w:val="auto"/>
          <w:szCs w:val="21"/>
          <w:lang w:eastAsia="zh-CN"/>
        </w:rPr>
        <w:t>；</w:t>
      </w:r>
    </w:p>
    <w:p w14:paraId="15817403">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可安全平行分离变电机与速箱体</w:t>
      </w:r>
      <w:r>
        <w:rPr>
          <w:rFonts w:hint="eastAsia" w:ascii="宋体" w:hAnsi="宋体" w:eastAsia="宋体"/>
          <w:color w:val="auto"/>
          <w:szCs w:val="21"/>
          <w:lang w:eastAsia="zh-CN"/>
        </w:rPr>
        <w:t>；</w:t>
      </w:r>
    </w:p>
    <w:p w14:paraId="052F940C">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工作台有可调节变速箱的360度任意反转机构</w:t>
      </w:r>
      <w:r>
        <w:rPr>
          <w:rFonts w:hint="eastAsia" w:ascii="宋体" w:hAnsi="宋体" w:eastAsia="宋体"/>
          <w:color w:val="auto"/>
          <w:szCs w:val="21"/>
          <w:lang w:eastAsia="zh-CN"/>
        </w:rPr>
        <w:t>；</w:t>
      </w:r>
    </w:p>
    <w:p w14:paraId="35110FD3">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工作台台面四周设计油槽，齿轮拆卸、清洗、安装时油污直接可以回流到集油装置</w:t>
      </w:r>
      <w:r>
        <w:rPr>
          <w:rFonts w:hint="eastAsia" w:ascii="宋体" w:hAnsi="宋体" w:eastAsia="宋体"/>
          <w:color w:val="auto"/>
          <w:szCs w:val="21"/>
          <w:lang w:eastAsia="zh-CN"/>
        </w:rPr>
        <w:t>；</w:t>
      </w:r>
    </w:p>
    <w:p w14:paraId="7C9B11A1">
      <w:pPr>
        <w:pStyle w:val="24"/>
        <w:widowControl w:val="0"/>
        <w:numPr>
          <w:ilvl w:val="0"/>
          <w:numId w:val="2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工作台采用钢质材料，可承受不低于1吨的有效载荷</w:t>
      </w:r>
      <w:r>
        <w:rPr>
          <w:rFonts w:hint="eastAsia" w:ascii="宋体" w:hAnsi="宋体" w:eastAsia="宋体"/>
          <w:color w:val="auto"/>
          <w:szCs w:val="21"/>
          <w:lang w:eastAsia="zh-CN"/>
        </w:rPr>
        <w:t>；</w:t>
      </w:r>
    </w:p>
    <w:p w14:paraId="78A3D6C7">
      <w:pPr>
        <w:pStyle w:val="24"/>
        <w:widowControl w:val="0"/>
        <w:numPr>
          <w:ilvl w:val="0"/>
          <w:numId w:val="2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技术参数要求</w:t>
      </w:r>
    </w:p>
    <w:p w14:paraId="68550E7A">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highlight w:val="none"/>
        </w:rPr>
      </w:pPr>
      <w:r>
        <w:rPr>
          <w:rFonts w:hint="eastAsia" w:ascii="宋体" w:hAnsi="宋体" w:eastAsia="宋体"/>
          <w:color w:val="auto"/>
          <w:szCs w:val="21"/>
        </w:rPr>
        <w:t>电动机最大输出扭矩</w:t>
      </w:r>
      <w:r>
        <w:rPr>
          <w:rFonts w:hint="eastAsia" w:ascii="宋体" w:hAnsi="宋体" w:eastAsia="宋体"/>
          <w:color w:val="auto"/>
          <w:szCs w:val="21"/>
          <w:highlight w:val="none"/>
        </w:rPr>
        <w:t>：≥310N</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m</w:t>
      </w:r>
      <w:r>
        <w:rPr>
          <w:rFonts w:hint="eastAsia" w:ascii="宋体" w:hAnsi="宋体" w:eastAsia="宋体"/>
          <w:color w:val="auto"/>
          <w:szCs w:val="21"/>
          <w:highlight w:val="none"/>
          <w:lang w:eastAsia="zh-CN"/>
        </w:rPr>
        <w:t>；</w:t>
      </w:r>
    </w:p>
    <w:p w14:paraId="5A5F0A6E">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highlight w:val="none"/>
        </w:rPr>
      </w:pPr>
      <w:r>
        <w:rPr>
          <w:rFonts w:hint="eastAsia" w:ascii="宋体" w:hAnsi="宋体" w:eastAsia="宋体"/>
          <w:color w:val="auto"/>
          <w:szCs w:val="21"/>
          <w:highlight w:val="none"/>
        </w:rPr>
        <w:t>电动机额定扭矩：≥160N</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m</w:t>
      </w:r>
      <w:r>
        <w:rPr>
          <w:rFonts w:hint="eastAsia" w:ascii="宋体" w:hAnsi="宋体" w:eastAsia="宋体"/>
          <w:color w:val="auto"/>
          <w:szCs w:val="21"/>
          <w:highlight w:val="none"/>
          <w:lang w:eastAsia="zh-CN"/>
        </w:rPr>
        <w:t>；</w:t>
      </w:r>
    </w:p>
    <w:p w14:paraId="17CCA5D7">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highlight w:val="none"/>
        </w:rPr>
      </w:pPr>
      <w:r>
        <w:rPr>
          <w:rFonts w:hint="eastAsia" w:ascii="宋体" w:hAnsi="宋体" w:eastAsia="宋体"/>
          <w:color w:val="auto"/>
          <w:szCs w:val="21"/>
          <w:highlight w:val="none"/>
        </w:rPr>
        <w:t>电动机最大输入功率：≥160kW</w:t>
      </w:r>
      <w:r>
        <w:rPr>
          <w:rFonts w:hint="eastAsia" w:ascii="宋体" w:hAnsi="宋体" w:eastAsia="宋体"/>
          <w:color w:val="auto"/>
          <w:szCs w:val="21"/>
          <w:highlight w:val="none"/>
          <w:lang w:eastAsia="zh-CN"/>
        </w:rPr>
        <w:t>；</w:t>
      </w:r>
    </w:p>
    <w:p w14:paraId="2D8016E6">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highlight w:val="none"/>
        </w:rPr>
      </w:pPr>
      <w:r>
        <w:rPr>
          <w:rFonts w:hint="eastAsia" w:ascii="宋体" w:hAnsi="宋体" w:eastAsia="宋体"/>
          <w:color w:val="auto"/>
          <w:szCs w:val="21"/>
          <w:highlight w:val="none"/>
        </w:rPr>
        <w:t>电动机额定功率：≥80kW</w:t>
      </w:r>
      <w:r>
        <w:rPr>
          <w:rFonts w:hint="eastAsia" w:ascii="宋体" w:hAnsi="宋体" w:eastAsia="宋体"/>
          <w:color w:val="auto"/>
          <w:szCs w:val="21"/>
          <w:highlight w:val="none"/>
          <w:lang w:eastAsia="zh-CN"/>
        </w:rPr>
        <w:t>；</w:t>
      </w:r>
    </w:p>
    <w:p w14:paraId="301B85B1">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highlight w:val="none"/>
        </w:rPr>
      </w:pPr>
      <w:r>
        <w:rPr>
          <w:rFonts w:hint="eastAsia" w:ascii="宋体" w:hAnsi="宋体" w:eastAsia="宋体"/>
          <w:color w:val="auto"/>
          <w:szCs w:val="21"/>
          <w:highlight w:val="none"/>
        </w:rPr>
        <w:t>电动机最大输出转速</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包括驱动最高输入转速和随动最高输入转速</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：≥12000rpm</w:t>
      </w:r>
      <w:r>
        <w:rPr>
          <w:rFonts w:hint="eastAsia" w:ascii="宋体" w:hAnsi="宋体" w:eastAsia="宋体"/>
          <w:color w:val="auto"/>
          <w:szCs w:val="21"/>
          <w:highlight w:val="none"/>
          <w:lang w:eastAsia="zh-CN"/>
        </w:rPr>
        <w:t>；</w:t>
      </w:r>
    </w:p>
    <w:p w14:paraId="7C320D71">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电动力总成总成重量：≤103kg</w:t>
      </w:r>
      <w:r>
        <w:rPr>
          <w:rFonts w:hint="eastAsia" w:ascii="宋体" w:hAnsi="宋体" w:eastAsia="宋体"/>
          <w:color w:val="auto"/>
          <w:szCs w:val="21"/>
          <w:lang w:eastAsia="zh-CN"/>
        </w:rPr>
        <w:t>；</w:t>
      </w:r>
    </w:p>
    <w:p w14:paraId="42E428B4">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电机轴中心与差速器中心的距离：239mm</w:t>
      </w:r>
      <w:r>
        <w:rPr>
          <w:rFonts w:hint="eastAsia" w:ascii="宋体" w:hAnsi="宋体" w:eastAsia="宋体"/>
          <w:color w:val="auto"/>
          <w:szCs w:val="21"/>
          <w:lang w:eastAsia="zh-CN"/>
        </w:rPr>
        <w:t>；</w:t>
      </w:r>
    </w:p>
    <w:p w14:paraId="4E680AEA">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变速箱润滑油量：1.85～1.95L</w:t>
      </w:r>
      <w:r>
        <w:rPr>
          <w:rFonts w:hint="eastAsia" w:ascii="宋体" w:hAnsi="宋体" w:eastAsia="宋体"/>
          <w:color w:val="auto"/>
          <w:szCs w:val="21"/>
          <w:lang w:eastAsia="zh-CN"/>
        </w:rPr>
        <w:t>；</w:t>
      </w:r>
    </w:p>
    <w:p w14:paraId="1259AB29">
      <w:pPr>
        <w:pStyle w:val="24"/>
        <w:widowControl w:val="0"/>
        <w:numPr>
          <w:ilvl w:val="0"/>
          <w:numId w:val="23"/>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变速箱润滑油类型：齿轮油75W-90。</w:t>
      </w:r>
    </w:p>
    <w:p w14:paraId="1228B8C2">
      <w:pPr>
        <w:pStyle w:val="24"/>
        <w:widowControl w:val="0"/>
        <w:numPr>
          <w:ilvl w:val="0"/>
          <w:numId w:val="2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实训项目要求</w:t>
      </w:r>
    </w:p>
    <w:p w14:paraId="0644B7D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lang w:eastAsia="zh-CN"/>
        </w:rPr>
      </w:pPr>
      <w:r>
        <w:rPr>
          <w:rFonts w:hint="default" w:ascii="宋体" w:hAnsi="宋体" w:eastAsia="宋体" w:cstheme="minorBidi"/>
          <w:color w:val="auto"/>
          <w:kern w:val="2"/>
          <w:sz w:val="21"/>
          <w:szCs w:val="21"/>
          <w:lang w:val="en-US" w:eastAsia="zh-CN" w:bidi="ar-SA"/>
        </w:rPr>
        <w:t>(1)</w:t>
      </w:r>
      <w:r>
        <w:rPr>
          <w:rFonts w:hint="eastAsia" w:ascii="宋体" w:hAnsi="宋体" w:eastAsia="宋体"/>
          <w:color w:val="auto"/>
          <w:szCs w:val="21"/>
        </w:rPr>
        <w:t>永磁同步电机与变速器的分离</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(2)</w:t>
      </w:r>
      <w:r>
        <w:rPr>
          <w:rFonts w:hint="eastAsia" w:ascii="宋体" w:hAnsi="宋体" w:eastAsia="宋体"/>
          <w:color w:val="auto"/>
          <w:szCs w:val="21"/>
        </w:rPr>
        <w:t>永磁同步电机与变速器的组装</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(3)</w:t>
      </w:r>
      <w:r>
        <w:rPr>
          <w:rFonts w:hint="eastAsia" w:ascii="宋体" w:hAnsi="宋体" w:eastAsia="宋体"/>
          <w:color w:val="auto"/>
          <w:szCs w:val="21"/>
        </w:rPr>
        <w:t>输入轴齿轮的分离</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(4)</w:t>
      </w:r>
      <w:r>
        <w:rPr>
          <w:rFonts w:hint="eastAsia" w:ascii="宋体" w:hAnsi="宋体" w:eastAsia="宋体"/>
          <w:color w:val="auto"/>
          <w:szCs w:val="21"/>
        </w:rPr>
        <w:t>输入轴齿轮的装配</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(5)</w:t>
      </w:r>
      <w:r>
        <w:rPr>
          <w:rFonts w:hint="eastAsia" w:ascii="宋体" w:hAnsi="宋体" w:eastAsia="宋体"/>
          <w:color w:val="auto"/>
          <w:szCs w:val="21"/>
        </w:rPr>
        <w:t>副轴齿轮的分离</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(6)</w:t>
      </w:r>
      <w:r>
        <w:rPr>
          <w:rFonts w:hint="eastAsia" w:ascii="宋体" w:hAnsi="宋体" w:eastAsia="宋体"/>
          <w:color w:val="auto"/>
          <w:szCs w:val="21"/>
        </w:rPr>
        <w:t>副轴齿轮的装配</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(7)</w:t>
      </w:r>
      <w:r>
        <w:rPr>
          <w:rFonts w:hint="eastAsia" w:ascii="宋体" w:hAnsi="宋体" w:eastAsia="宋体"/>
          <w:color w:val="auto"/>
          <w:szCs w:val="21"/>
        </w:rPr>
        <w:t>差速器齿轮的分离</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(8)</w:t>
      </w:r>
      <w:r>
        <w:rPr>
          <w:rFonts w:hint="eastAsia" w:ascii="宋体" w:hAnsi="宋体" w:eastAsia="宋体"/>
          <w:color w:val="auto"/>
          <w:szCs w:val="21"/>
        </w:rPr>
        <w:t>差速器齿轮的装配</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(9)</w:t>
      </w:r>
      <w:r>
        <w:rPr>
          <w:rFonts w:hint="eastAsia" w:ascii="宋体" w:hAnsi="宋体" w:eastAsia="宋体"/>
          <w:color w:val="auto"/>
          <w:szCs w:val="21"/>
        </w:rPr>
        <w:t>齿轮组磨损状况</w:t>
      </w:r>
      <w:r>
        <w:rPr>
          <w:rFonts w:hint="eastAsia" w:ascii="宋体" w:hAnsi="宋体" w:eastAsia="宋体"/>
          <w:color w:val="auto"/>
          <w:szCs w:val="21"/>
          <w:lang w:eastAsia="zh-CN"/>
        </w:rPr>
        <w:t>；</w:t>
      </w:r>
      <w:r>
        <w:rPr>
          <w:rFonts w:hint="default" w:ascii="宋体" w:hAnsi="宋体" w:eastAsia="宋体" w:cstheme="minorBidi"/>
          <w:color w:val="auto"/>
          <w:kern w:val="2"/>
          <w:sz w:val="21"/>
          <w:szCs w:val="21"/>
          <w:lang w:val="en-US" w:eastAsia="zh-CN" w:bidi="ar-SA"/>
        </w:rPr>
        <w:t>(10)</w:t>
      </w:r>
      <w:r>
        <w:rPr>
          <w:rFonts w:hint="eastAsia" w:ascii="宋体" w:hAnsi="宋体" w:eastAsia="宋体"/>
          <w:color w:val="auto"/>
          <w:szCs w:val="21"/>
        </w:rPr>
        <w:t>副轴与差速器工作数据的检测</w:t>
      </w:r>
      <w:r>
        <w:rPr>
          <w:rFonts w:hint="eastAsia" w:ascii="宋体" w:hAnsi="宋体" w:eastAsia="宋体"/>
          <w:color w:val="auto"/>
          <w:szCs w:val="21"/>
          <w:lang w:eastAsia="zh-CN"/>
        </w:rPr>
        <w:t>。</w:t>
      </w:r>
    </w:p>
    <w:p w14:paraId="26917ADD">
      <w:pPr>
        <w:pStyle w:val="24"/>
        <w:widowControl w:val="0"/>
        <w:numPr>
          <w:ilvl w:val="0"/>
          <w:numId w:val="2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新能源汽车驱动电机及控制系统课程资源</w:t>
      </w:r>
    </w:p>
    <w:p w14:paraId="2F29A129">
      <w:pPr>
        <w:pStyle w:val="24"/>
        <w:widowControl w:val="0"/>
        <w:numPr>
          <w:ilvl w:val="0"/>
          <w:numId w:val="24"/>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汽车专业课程教学资源库软件平台</w:t>
      </w:r>
    </w:p>
    <w:p w14:paraId="2C2A6B21">
      <w:pPr>
        <w:pStyle w:val="24"/>
        <w:widowControl w:val="0"/>
        <w:numPr>
          <w:ilvl w:val="0"/>
          <w:numId w:val="25"/>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平台功能描述</w:t>
      </w:r>
    </w:p>
    <w:p w14:paraId="05FBEEC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平台为B/S架构，集资源分布式存储、资源管理、知识管理为一体，具有教、学、练、考、评、管六位一体功能</w:t>
      </w:r>
      <w:r>
        <w:rPr>
          <w:rFonts w:hint="eastAsia" w:ascii="宋体" w:hAnsi="宋体" w:eastAsia="宋体"/>
          <w:color w:val="auto"/>
          <w:szCs w:val="21"/>
          <w:lang w:eastAsia="zh-CN"/>
        </w:rPr>
        <w:t>，</w:t>
      </w:r>
      <w:r>
        <w:rPr>
          <w:rFonts w:hint="eastAsia" w:ascii="宋体" w:hAnsi="宋体" w:eastAsia="宋体"/>
          <w:color w:val="auto"/>
          <w:szCs w:val="21"/>
        </w:rPr>
        <w:t>平台</w:t>
      </w:r>
      <w:r>
        <w:rPr>
          <w:rFonts w:hint="eastAsia" w:ascii="宋体" w:hAnsi="宋体" w:eastAsia="宋体"/>
          <w:color w:val="auto"/>
          <w:szCs w:val="21"/>
          <w:lang w:val="en-US" w:eastAsia="zh-CN"/>
        </w:rPr>
        <w:t>可</w:t>
      </w:r>
      <w:r>
        <w:rPr>
          <w:rFonts w:hint="eastAsia" w:ascii="宋体" w:hAnsi="宋体" w:eastAsia="宋体"/>
          <w:color w:val="auto"/>
          <w:szCs w:val="21"/>
        </w:rPr>
        <w:t>实现资源的快速上传、显示并运用到教学中。</w:t>
      </w:r>
    </w:p>
    <w:p w14:paraId="1C300970">
      <w:pPr>
        <w:pStyle w:val="24"/>
        <w:widowControl w:val="0"/>
        <w:numPr>
          <w:ilvl w:val="0"/>
          <w:numId w:val="25"/>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教学资源库平台具备的功能</w:t>
      </w:r>
      <w:r>
        <w:rPr>
          <w:rFonts w:hint="eastAsia" w:ascii="宋体" w:hAnsi="宋体" w:eastAsia="宋体"/>
          <w:color w:val="auto"/>
          <w:szCs w:val="21"/>
          <w:lang w:eastAsia="zh-CN"/>
        </w:rPr>
        <w:t>（数字化教学资源库网络版软件）</w:t>
      </w:r>
    </w:p>
    <w:p w14:paraId="3CD11C3B">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采用模块化架构设计</w:t>
      </w:r>
      <w:r>
        <w:rPr>
          <w:rFonts w:hint="eastAsia" w:ascii="宋体" w:hAnsi="宋体" w:eastAsia="宋体"/>
          <w:color w:val="auto"/>
          <w:szCs w:val="21"/>
          <w:lang w:eastAsia="zh-CN"/>
        </w:rPr>
        <w:t>，</w:t>
      </w:r>
      <w:r>
        <w:rPr>
          <w:rFonts w:hint="eastAsia" w:ascii="宋体" w:hAnsi="宋体" w:eastAsia="宋体"/>
          <w:color w:val="auto"/>
          <w:szCs w:val="21"/>
        </w:rPr>
        <w:t>不限注册用户数、教学资源数；</w:t>
      </w:r>
    </w:p>
    <w:p w14:paraId="4074DA43">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支持SSL传输协议，提供细粒度访问控制，提供角色管理；</w:t>
      </w:r>
    </w:p>
    <w:p w14:paraId="68D9F110">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平台支持分布式部署：系统支持多种部署模式，Web服务器和数据库服务器可以分开部署；</w:t>
      </w:r>
    </w:p>
    <w:p w14:paraId="118E4313">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平台支持智能化，支持flv、swf、PDF等格式资源，自动将资源入库；</w:t>
      </w:r>
    </w:p>
    <w:p w14:paraId="0B969445">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提供视频播放器集成，以增强流媒体访问的性能；</w:t>
      </w:r>
    </w:p>
    <w:p w14:paraId="6844F246">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课程资源按照项目任务模式部署，每个项目任务基本包含对应有资源素材包，分别是教学设计、教学课件、教学视频、虚拟素材、实训工单、技术资料、练习题库、评价方案等内容</w:t>
      </w:r>
      <w:r>
        <w:rPr>
          <w:rFonts w:hint="eastAsia" w:ascii="宋体" w:hAnsi="宋体" w:eastAsia="宋体"/>
          <w:color w:val="auto"/>
          <w:szCs w:val="21"/>
          <w:lang w:eastAsia="zh-CN"/>
        </w:rPr>
        <w:t>，</w:t>
      </w:r>
      <w:r>
        <w:rPr>
          <w:rFonts w:hint="eastAsia" w:ascii="宋体" w:hAnsi="宋体" w:eastAsia="宋体"/>
          <w:color w:val="auto"/>
          <w:szCs w:val="21"/>
        </w:rPr>
        <w:t>资源素材按照以上不同的素材资源包进行归类管理；</w:t>
      </w:r>
    </w:p>
    <w:p w14:paraId="5C6C441C">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资源的共建共享：课程使用者可以随时、随地通过局域或互联网络访问、上传存放和使用库中资源；</w:t>
      </w:r>
    </w:p>
    <w:p w14:paraId="75347E61">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WEB集成：基于WEB的应用模式，使教学资源制作、管理，资源共享都能在局域网上进行；</w:t>
      </w:r>
    </w:p>
    <w:p w14:paraId="0F0DF6CB">
      <w:pPr>
        <w:pStyle w:val="24"/>
        <w:widowControl w:val="0"/>
        <w:numPr>
          <w:ilvl w:val="0"/>
          <w:numId w:val="26"/>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自主学习：提供完善的讲授型网络课程库、多媒体课件库、素材库等，学习者可以自主完成专业课程的学习。</w:t>
      </w:r>
    </w:p>
    <w:p w14:paraId="6734A7E2">
      <w:pPr>
        <w:pStyle w:val="24"/>
        <w:widowControl w:val="0"/>
        <w:numPr>
          <w:ilvl w:val="0"/>
          <w:numId w:val="25"/>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功能细述</w:t>
      </w:r>
    </w:p>
    <w:p w14:paraId="0E637486">
      <w:pPr>
        <w:pStyle w:val="24"/>
        <w:widowControl w:val="0"/>
        <w:numPr>
          <w:ilvl w:val="0"/>
          <w:numId w:val="27"/>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用户登录</w:t>
      </w:r>
    </w:p>
    <w:p w14:paraId="110946FF">
      <w:pPr>
        <w:pStyle w:val="24"/>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用户类型与管理：可以通过学生、教师、管理员角色登录系统</w:t>
      </w:r>
      <w:r>
        <w:rPr>
          <w:rFonts w:hint="eastAsia" w:ascii="宋体" w:hAnsi="宋体" w:eastAsia="宋体"/>
          <w:color w:val="auto"/>
          <w:szCs w:val="21"/>
          <w:lang w:eastAsia="zh-CN"/>
        </w:rPr>
        <w:t>，</w:t>
      </w:r>
      <w:r>
        <w:rPr>
          <w:rFonts w:hint="eastAsia" w:ascii="宋体" w:hAnsi="宋体" w:eastAsia="宋体"/>
          <w:color w:val="auto"/>
          <w:szCs w:val="21"/>
        </w:rPr>
        <w:t>可以以管理员权限管理员添加、修改、删除用户信息；</w:t>
      </w:r>
    </w:p>
    <w:p w14:paraId="3E0EE9E9">
      <w:pPr>
        <w:pStyle w:val="24"/>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用户权限-学生端：可以以学生权限进入教学模式；</w:t>
      </w:r>
    </w:p>
    <w:p w14:paraId="2A93F1A3">
      <w:pPr>
        <w:pStyle w:val="24"/>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用户权限-教师端：可以以教师权限进入教学模式、后台模式</w:t>
      </w:r>
      <w:r>
        <w:rPr>
          <w:rFonts w:hint="eastAsia" w:ascii="宋体" w:hAnsi="宋体" w:eastAsia="宋体"/>
          <w:color w:val="auto"/>
          <w:szCs w:val="21"/>
          <w:lang w:eastAsia="zh-CN"/>
        </w:rPr>
        <w:t>，</w:t>
      </w:r>
      <w:r>
        <w:rPr>
          <w:rFonts w:hint="eastAsia" w:ascii="宋体" w:hAnsi="宋体" w:eastAsia="宋体"/>
          <w:color w:val="auto"/>
          <w:szCs w:val="21"/>
        </w:rPr>
        <w:t>可以以教师权限进行课程简介添加、项目任务目录添加、教学资源上传、评价方案创建、试题库创建；</w:t>
      </w:r>
    </w:p>
    <w:p w14:paraId="17E7C167">
      <w:pPr>
        <w:pStyle w:val="24"/>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用户权限-管理员端：可以以管理员权限进入教学模式、后台模式</w:t>
      </w:r>
      <w:r>
        <w:rPr>
          <w:rFonts w:hint="eastAsia" w:ascii="宋体" w:hAnsi="宋体" w:eastAsia="宋体"/>
          <w:color w:val="auto"/>
          <w:szCs w:val="21"/>
          <w:lang w:eastAsia="zh-CN"/>
        </w:rPr>
        <w:t>，</w:t>
      </w:r>
      <w:r>
        <w:rPr>
          <w:rFonts w:hint="eastAsia" w:ascii="宋体" w:hAnsi="宋体" w:eastAsia="宋体"/>
          <w:color w:val="auto"/>
          <w:szCs w:val="21"/>
        </w:rPr>
        <w:t>可以以管理员权 限进行用户添加、用户信息编辑与删除、班级创建、班级信息编辑与删除；</w:t>
      </w:r>
    </w:p>
    <w:p w14:paraId="1766C6C3">
      <w:pPr>
        <w:pStyle w:val="24"/>
        <w:widowControl w:val="0"/>
        <w:numPr>
          <w:ilvl w:val="0"/>
          <w:numId w:val="27"/>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课程教学管理</w:t>
      </w:r>
    </w:p>
    <w:p w14:paraId="6E6B2635">
      <w:pPr>
        <w:pStyle w:val="24"/>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资源点播：可以在线点播文档、视频、动画类资源；</w:t>
      </w:r>
    </w:p>
    <w:p w14:paraId="755031D5">
      <w:pPr>
        <w:pStyle w:val="24"/>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资源打印：可以打印文档类资源；</w:t>
      </w:r>
    </w:p>
    <w:p w14:paraId="1B6B933F">
      <w:pPr>
        <w:pStyle w:val="24"/>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FF0000"/>
          <w:szCs w:val="21"/>
        </w:rPr>
      </w:pPr>
      <w:r>
        <w:rPr>
          <w:rFonts w:hint="eastAsia" w:ascii="宋体" w:hAnsi="宋体" w:eastAsia="宋体"/>
          <w:b w:val="0"/>
          <w:bCs w:val="0"/>
          <w:color w:val="auto"/>
          <w:szCs w:val="21"/>
        </w:rPr>
        <w:t>在线练习：可以以学生权限进行在线练习</w:t>
      </w:r>
      <w:r>
        <w:rPr>
          <w:rFonts w:hint="eastAsia" w:ascii="宋体" w:hAnsi="宋体" w:eastAsia="宋体"/>
          <w:b w:val="0"/>
          <w:bCs w:val="0"/>
          <w:color w:val="auto"/>
          <w:szCs w:val="21"/>
          <w:lang w:eastAsia="zh-CN"/>
        </w:rPr>
        <w:t>；</w:t>
      </w:r>
    </w:p>
    <w:p w14:paraId="4303219F">
      <w:pPr>
        <w:pStyle w:val="24"/>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auto"/>
          <w:szCs w:val="21"/>
        </w:rPr>
      </w:pPr>
      <w:r>
        <w:rPr>
          <w:rFonts w:hint="eastAsia" w:ascii="宋体" w:hAnsi="宋体" w:eastAsia="宋体"/>
          <w:b w:val="0"/>
          <w:bCs w:val="0"/>
          <w:color w:val="auto"/>
          <w:szCs w:val="21"/>
        </w:rPr>
        <w:t>在线考核：可以以学生权限进行在线考试；</w:t>
      </w:r>
    </w:p>
    <w:p w14:paraId="1D642B45">
      <w:pPr>
        <w:pStyle w:val="24"/>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strike/>
          <w:dstrike w:val="0"/>
          <w:color w:val="FF0000"/>
          <w:szCs w:val="21"/>
        </w:rPr>
      </w:pPr>
      <w:r>
        <w:rPr>
          <w:rFonts w:hint="eastAsia" w:ascii="宋体" w:hAnsi="宋体" w:eastAsia="宋体"/>
          <w:b w:val="0"/>
          <w:bCs w:val="0"/>
          <w:color w:val="auto"/>
          <w:szCs w:val="21"/>
        </w:rPr>
        <w:t>在线评价：可以以学生权限对学习任务的学习质量、教学质量进行评价</w:t>
      </w:r>
      <w:r>
        <w:rPr>
          <w:rFonts w:hint="eastAsia" w:ascii="宋体" w:hAnsi="宋体" w:eastAsia="宋体"/>
          <w:b w:val="0"/>
          <w:bCs w:val="0"/>
          <w:color w:val="auto"/>
          <w:szCs w:val="21"/>
          <w:lang w:eastAsia="zh-CN"/>
        </w:rPr>
        <w:t>。</w:t>
      </w:r>
    </w:p>
    <w:p w14:paraId="317DAAF7">
      <w:pPr>
        <w:pStyle w:val="24"/>
        <w:widowControl w:val="0"/>
        <w:numPr>
          <w:ilvl w:val="0"/>
          <w:numId w:val="27"/>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资源管理</w:t>
      </w:r>
    </w:p>
    <w:p w14:paraId="4454BB4F">
      <w:pPr>
        <w:pStyle w:val="24"/>
        <w:keepNext w:val="0"/>
        <w:keepLines w:val="0"/>
        <w:pageBreakBefore w:val="0"/>
        <w:widowControl w:val="0"/>
        <w:numPr>
          <w:ilvl w:val="0"/>
          <w:numId w:val="30"/>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创建课程项目任务：可以以教师、管理员权限创建课程项目任务；</w:t>
      </w:r>
    </w:p>
    <w:p w14:paraId="05AF2413">
      <w:pPr>
        <w:pStyle w:val="24"/>
        <w:keepNext w:val="0"/>
        <w:keepLines w:val="0"/>
        <w:pageBreakBefore w:val="0"/>
        <w:widowControl w:val="0"/>
        <w:numPr>
          <w:ilvl w:val="0"/>
          <w:numId w:val="30"/>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创建课程资源：可以以教师、管理员权限使用课程模块资源目录模板；可以创建课程模块子目录、课程资源；可以上传文本、动画、视频、三维仿格式资源；</w:t>
      </w:r>
    </w:p>
    <w:p w14:paraId="742F186F">
      <w:pPr>
        <w:pStyle w:val="24"/>
        <w:keepNext w:val="0"/>
        <w:keepLines w:val="0"/>
        <w:pageBreakBefore w:val="0"/>
        <w:widowControl w:val="0"/>
        <w:numPr>
          <w:ilvl w:val="0"/>
          <w:numId w:val="30"/>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FF0000"/>
          <w:szCs w:val="21"/>
        </w:rPr>
      </w:pPr>
      <w:r>
        <w:rPr>
          <w:rFonts w:hint="eastAsia" w:ascii="宋体" w:hAnsi="宋体" w:eastAsia="宋体"/>
          <w:b w:val="0"/>
          <w:bCs w:val="0"/>
          <w:color w:val="auto"/>
          <w:szCs w:val="21"/>
        </w:rPr>
        <w:t>创建学习质量评价：可以以教师、管理员权限使用学习质量评价模板；可以创建学习质量评价；可以添加、修改用户评价信息，包括评价指标、自评分数、互评分数、师评分数、评价百分比</w:t>
      </w:r>
      <w:r>
        <w:rPr>
          <w:rFonts w:hint="eastAsia" w:ascii="宋体" w:hAnsi="宋体" w:eastAsia="宋体"/>
          <w:b w:val="0"/>
          <w:bCs w:val="0"/>
          <w:color w:val="auto"/>
          <w:szCs w:val="21"/>
          <w:lang w:eastAsia="zh-CN"/>
        </w:rPr>
        <w:t>；</w:t>
      </w:r>
    </w:p>
    <w:p w14:paraId="033586F3">
      <w:pPr>
        <w:pStyle w:val="24"/>
        <w:keepNext w:val="0"/>
        <w:keepLines w:val="0"/>
        <w:pageBreakBefore w:val="0"/>
        <w:widowControl w:val="0"/>
        <w:numPr>
          <w:ilvl w:val="0"/>
          <w:numId w:val="30"/>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FF0000"/>
          <w:szCs w:val="21"/>
        </w:rPr>
      </w:pPr>
      <w:r>
        <w:rPr>
          <w:rFonts w:hint="eastAsia" w:ascii="宋体" w:hAnsi="宋体" w:eastAsia="宋体"/>
          <w:b w:val="0"/>
          <w:bCs w:val="0"/>
          <w:color w:val="auto"/>
          <w:szCs w:val="21"/>
        </w:rPr>
        <w:t>创建教学质量评价：可以以教师、管理员权限使用教学质量评价模板；可以创建、修改教学质量评价模板；可以修改各指标分数值</w:t>
      </w:r>
      <w:r>
        <w:rPr>
          <w:rFonts w:hint="eastAsia" w:ascii="宋体" w:hAnsi="宋体" w:eastAsia="宋体"/>
          <w:b w:val="0"/>
          <w:bCs w:val="0"/>
          <w:color w:val="auto"/>
          <w:szCs w:val="21"/>
          <w:lang w:eastAsia="zh-CN"/>
        </w:rPr>
        <w:t>；</w:t>
      </w:r>
    </w:p>
    <w:p w14:paraId="26E992C8">
      <w:pPr>
        <w:pStyle w:val="24"/>
        <w:keepNext w:val="0"/>
        <w:keepLines w:val="0"/>
        <w:pageBreakBefore w:val="0"/>
        <w:widowControl w:val="0"/>
        <w:numPr>
          <w:ilvl w:val="0"/>
          <w:numId w:val="30"/>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题库管理：可以以教师、管理员权限创建、编辑、删除试卷题库</w:t>
      </w:r>
      <w:r>
        <w:rPr>
          <w:rFonts w:hint="eastAsia" w:ascii="宋体" w:hAnsi="宋体" w:eastAsia="宋体"/>
          <w:color w:val="auto"/>
          <w:szCs w:val="21"/>
          <w:lang w:eastAsia="zh-CN"/>
        </w:rPr>
        <w:t>，</w:t>
      </w:r>
      <w:r>
        <w:rPr>
          <w:rFonts w:hint="eastAsia" w:ascii="宋体" w:hAnsi="宋体" w:eastAsia="宋体"/>
          <w:color w:val="auto"/>
          <w:szCs w:val="21"/>
        </w:rPr>
        <w:t>可以设置单选、多选、判断题类型与分数</w:t>
      </w:r>
      <w:r>
        <w:rPr>
          <w:rFonts w:hint="eastAsia" w:ascii="宋体" w:hAnsi="宋体" w:eastAsia="宋体"/>
          <w:color w:val="auto"/>
          <w:szCs w:val="21"/>
          <w:lang w:eastAsia="zh-CN"/>
        </w:rPr>
        <w:t>；</w:t>
      </w:r>
    </w:p>
    <w:p w14:paraId="410F7C10">
      <w:pPr>
        <w:pStyle w:val="24"/>
        <w:keepNext w:val="0"/>
        <w:keepLines w:val="0"/>
        <w:pageBreakBefore w:val="0"/>
        <w:widowControl w:val="0"/>
        <w:numPr>
          <w:ilvl w:val="0"/>
          <w:numId w:val="30"/>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课程资源管理：可以以教师、管理员权限添加、修改、删除、隐藏、显示课程资源</w:t>
      </w:r>
      <w:r>
        <w:rPr>
          <w:rFonts w:hint="eastAsia" w:ascii="宋体" w:hAnsi="宋体" w:eastAsia="宋体"/>
          <w:color w:val="auto"/>
          <w:szCs w:val="21"/>
          <w:lang w:eastAsia="zh-CN"/>
        </w:rPr>
        <w:t>。</w:t>
      </w:r>
    </w:p>
    <w:p w14:paraId="6F341B1A">
      <w:pPr>
        <w:pStyle w:val="24"/>
        <w:widowControl w:val="0"/>
        <w:numPr>
          <w:ilvl w:val="0"/>
          <w:numId w:val="27"/>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教学管理</w:t>
      </w:r>
    </w:p>
    <w:p w14:paraId="5B3B3ED3">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登录日志管理-学生端：可以以学生权限查看登录日志；</w:t>
      </w:r>
    </w:p>
    <w:p w14:paraId="2170C8A1">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登录日志管理-教师端：可以以教师权限查看登录日志</w:t>
      </w:r>
      <w:r>
        <w:rPr>
          <w:rFonts w:hint="eastAsia" w:ascii="宋体" w:hAnsi="宋体" w:eastAsia="宋体"/>
          <w:color w:val="auto"/>
          <w:szCs w:val="21"/>
          <w:lang w:eastAsia="zh-CN"/>
        </w:rPr>
        <w:t>，</w:t>
      </w:r>
      <w:r>
        <w:rPr>
          <w:rFonts w:hint="eastAsia" w:ascii="宋体" w:hAnsi="宋体" w:eastAsia="宋体"/>
          <w:color w:val="auto"/>
          <w:szCs w:val="21"/>
        </w:rPr>
        <w:t>可以根据用户名、班级查询日志</w:t>
      </w:r>
      <w:r>
        <w:rPr>
          <w:rFonts w:hint="eastAsia" w:ascii="宋体" w:hAnsi="宋体" w:eastAsia="宋体"/>
          <w:color w:val="auto"/>
          <w:szCs w:val="21"/>
          <w:lang w:eastAsia="zh-CN"/>
        </w:rPr>
        <w:t>，</w:t>
      </w:r>
      <w:r>
        <w:rPr>
          <w:rFonts w:hint="eastAsia" w:ascii="宋体" w:hAnsi="宋体" w:eastAsia="宋体"/>
          <w:color w:val="auto"/>
          <w:szCs w:val="21"/>
        </w:rPr>
        <w:t>可以删除日志；</w:t>
      </w:r>
    </w:p>
    <w:p w14:paraId="39D76F05">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登录日志管理-管理员端：可以以管理员权限查看登录日志</w:t>
      </w:r>
      <w:r>
        <w:rPr>
          <w:rFonts w:hint="eastAsia" w:ascii="宋体" w:hAnsi="宋体" w:eastAsia="宋体"/>
          <w:color w:val="auto"/>
          <w:szCs w:val="21"/>
          <w:lang w:eastAsia="zh-CN"/>
        </w:rPr>
        <w:t>，</w:t>
      </w:r>
      <w:r>
        <w:rPr>
          <w:rFonts w:hint="eastAsia" w:ascii="宋体" w:hAnsi="宋体" w:eastAsia="宋体"/>
          <w:color w:val="auto"/>
          <w:szCs w:val="21"/>
        </w:rPr>
        <w:t>可以根据班级、老师、姓名、项目查询日志</w:t>
      </w:r>
      <w:r>
        <w:rPr>
          <w:rFonts w:hint="eastAsia" w:ascii="宋体" w:hAnsi="宋体" w:eastAsia="宋体"/>
          <w:color w:val="auto"/>
          <w:szCs w:val="21"/>
          <w:lang w:eastAsia="zh-CN"/>
        </w:rPr>
        <w:t>，</w:t>
      </w:r>
      <w:r>
        <w:rPr>
          <w:rFonts w:hint="eastAsia" w:ascii="宋体" w:hAnsi="宋体" w:eastAsia="宋体"/>
          <w:color w:val="auto"/>
          <w:szCs w:val="21"/>
        </w:rPr>
        <w:t>可以删除日志；</w:t>
      </w:r>
    </w:p>
    <w:p w14:paraId="3506543A">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浏览记录管理-学生端：可以以学生权限查看浏览记录信息；</w:t>
      </w:r>
    </w:p>
    <w:p w14:paraId="083B0323">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浏览记录管理-教师端：可以以教师权限查看浏览记录信息</w:t>
      </w:r>
      <w:r>
        <w:rPr>
          <w:rFonts w:hint="eastAsia" w:ascii="宋体" w:hAnsi="宋体" w:eastAsia="宋体"/>
          <w:color w:val="auto"/>
          <w:szCs w:val="21"/>
          <w:lang w:eastAsia="zh-CN"/>
        </w:rPr>
        <w:t>，</w:t>
      </w:r>
      <w:r>
        <w:rPr>
          <w:rFonts w:hint="eastAsia" w:ascii="宋体" w:hAnsi="宋体" w:eastAsia="宋体"/>
          <w:color w:val="auto"/>
          <w:szCs w:val="21"/>
        </w:rPr>
        <w:t>可以根据班级、姓名、项目查询浏览记录</w:t>
      </w:r>
      <w:r>
        <w:rPr>
          <w:rFonts w:hint="eastAsia" w:ascii="宋体" w:hAnsi="宋体" w:eastAsia="宋体"/>
          <w:color w:val="auto"/>
          <w:szCs w:val="21"/>
          <w:lang w:eastAsia="zh-CN"/>
        </w:rPr>
        <w:t>，</w:t>
      </w:r>
      <w:r>
        <w:rPr>
          <w:rFonts w:hint="eastAsia" w:ascii="宋体" w:hAnsi="宋体" w:eastAsia="宋体"/>
          <w:color w:val="auto"/>
          <w:szCs w:val="21"/>
        </w:rPr>
        <w:t>可以删除浏览记录；</w:t>
      </w:r>
    </w:p>
    <w:p w14:paraId="51DE5A8D">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浏览记录管理-管理员端：可以以管理员权限查看浏览记录信息</w:t>
      </w:r>
      <w:r>
        <w:rPr>
          <w:rFonts w:hint="eastAsia" w:ascii="宋体" w:hAnsi="宋体" w:eastAsia="宋体"/>
          <w:color w:val="auto"/>
          <w:szCs w:val="21"/>
          <w:lang w:eastAsia="zh-CN"/>
        </w:rPr>
        <w:t>，</w:t>
      </w:r>
      <w:r>
        <w:rPr>
          <w:rFonts w:hint="eastAsia" w:ascii="宋体" w:hAnsi="宋体" w:eastAsia="宋体"/>
          <w:color w:val="auto"/>
          <w:szCs w:val="21"/>
        </w:rPr>
        <w:t>可以根据班级、老师、姓名、项目查询浏览记录</w:t>
      </w:r>
      <w:r>
        <w:rPr>
          <w:rFonts w:hint="eastAsia" w:ascii="宋体" w:hAnsi="宋体" w:eastAsia="宋体"/>
          <w:color w:val="auto"/>
          <w:szCs w:val="21"/>
          <w:lang w:eastAsia="zh-CN"/>
        </w:rPr>
        <w:t>，</w:t>
      </w:r>
      <w:r>
        <w:rPr>
          <w:rFonts w:hint="eastAsia" w:ascii="宋体" w:hAnsi="宋体" w:eastAsia="宋体"/>
          <w:color w:val="auto"/>
          <w:szCs w:val="21"/>
        </w:rPr>
        <w:t>可以删除浏览记录；</w:t>
      </w:r>
    </w:p>
    <w:p w14:paraId="0E500CC7">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测试成绩管理-学生端：可以以学生权限查看个人成绩；</w:t>
      </w:r>
    </w:p>
    <w:p w14:paraId="54C41CAD">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测试成绩管理-教师端：可以以教师权限查看各班级学生的测试成绩信息</w:t>
      </w:r>
      <w:r>
        <w:rPr>
          <w:rFonts w:hint="eastAsia" w:ascii="宋体" w:hAnsi="宋体" w:eastAsia="宋体"/>
          <w:color w:val="auto"/>
          <w:szCs w:val="21"/>
          <w:lang w:eastAsia="zh-CN"/>
        </w:rPr>
        <w:t>，</w:t>
      </w:r>
      <w:r>
        <w:rPr>
          <w:rFonts w:hint="eastAsia" w:ascii="宋体" w:hAnsi="宋体" w:eastAsia="宋体"/>
          <w:color w:val="auto"/>
          <w:szCs w:val="21"/>
        </w:rPr>
        <w:t>可以根据班级、姓名、项目查询成绩信息</w:t>
      </w:r>
      <w:r>
        <w:rPr>
          <w:rFonts w:hint="eastAsia" w:ascii="宋体" w:hAnsi="宋体" w:eastAsia="宋体"/>
          <w:color w:val="auto"/>
          <w:szCs w:val="21"/>
          <w:lang w:eastAsia="zh-CN"/>
        </w:rPr>
        <w:t>，</w:t>
      </w:r>
      <w:r>
        <w:rPr>
          <w:rFonts w:hint="eastAsia" w:ascii="宋体" w:hAnsi="宋体" w:eastAsia="宋体"/>
          <w:color w:val="auto"/>
          <w:szCs w:val="21"/>
        </w:rPr>
        <w:t>可以删除成绩信息；</w:t>
      </w:r>
    </w:p>
    <w:p w14:paraId="047BCE9B">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测试成绩管理-管理员端</w:t>
      </w:r>
      <w:r>
        <w:rPr>
          <w:rFonts w:hint="eastAsia" w:ascii="宋体" w:hAnsi="宋体" w:eastAsia="宋体"/>
          <w:color w:val="auto"/>
          <w:szCs w:val="21"/>
          <w:lang w:eastAsia="zh-CN"/>
        </w:rPr>
        <w:t>：</w:t>
      </w:r>
      <w:r>
        <w:rPr>
          <w:rFonts w:hint="eastAsia" w:ascii="宋体" w:hAnsi="宋体" w:eastAsia="宋体"/>
          <w:color w:val="auto"/>
          <w:szCs w:val="21"/>
        </w:rPr>
        <w:t>可以以管理员权限查看所有学生用户的测试成绩信息</w:t>
      </w:r>
      <w:r>
        <w:rPr>
          <w:rFonts w:hint="eastAsia" w:ascii="宋体" w:hAnsi="宋体" w:eastAsia="宋体"/>
          <w:color w:val="auto"/>
          <w:szCs w:val="21"/>
          <w:lang w:eastAsia="zh-CN"/>
        </w:rPr>
        <w:t>，</w:t>
      </w:r>
      <w:r>
        <w:rPr>
          <w:rFonts w:hint="eastAsia" w:ascii="宋体" w:hAnsi="宋体" w:eastAsia="宋体"/>
          <w:color w:val="auto"/>
          <w:szCs w:val="21"/>
        </w:rPr>
        <w:t>可以根据班级、老师、姓名、项目查询成绩信息</w:t>
      </w:r>
      <w:r>
        <w:rPr>
          <w:rFonts w:hint="eastAsia" w:ascii="宋体" w:hAnsi="宋体" w:eastAsia="宋体"/>
          <w:color w:val="auto"/>
          <w:szCs w:val="21"/>
          <w:lang w:eastAsia="zh-CN"/>
        </w:rPr>
        <w:t>，</w:t>
      </w:r>
      <w:r>
        <w:rPr>
          <w:rFonts w:hint="eastAsia" w:ascii="宋体" w:hAnsi="宋体" w:eastAsia="宋体"/>
          <w:color w:val="auto"/>
          <w:szCs w:val="21"/>
        </w:rPr>
        <w:t>可以删除成绩信息；</w:t>
      </w:r>
    </w:p>
    <w:p w14:paraId="357E09C5">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学习质量评价管理-学生端：可以以学生权限查看自评、互评、师评学习质量评价信息</w:t>
      </w:r>
      <w:r>
        <w:rPr>
          <w:rFonts w:hint="eastAsia" w:ascii="宋体" w:hAnsi="宋体" w:eastAsia="宋体"/>
          <w:color w:val="auto"/>
          <w:szCs w:val="21"/>
          <w:lang w:eastAsia="zh-CN"/>
        </w:rPr>
        <w:t>，</w:t>
      </w:r>
      <w:r>
        <w:rPr>
          <w:rFonts w:hint="eastAsia" w:ascii="宋体" w:hAnsi="宋体" w:eastAsia="宋体"/>
          <w:color w:val="auto"/>
          <w:szCs w:val="21"/>
        </w:rPr>
        <w:t>可以对其他学生进行互评；</w:t>
      </w:r>
    </w:p>
    <w:p w14:paraId="2FD38AF7">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学习质量评价管理-教师端：可以以教师权限查看各班级学生的自评、互评、师评学习质量评价信息</w:t>
      </w:r>
      <w:r>
        <w:rPr>
          <w:rFonts w:hint="eastAsia" w:ascii="宋体" w:hAnsi="宋体" w:eastAsia="宋体"/>
          <w:color w:val="auto"/>
          <w:szCs w:val="21"/>
          <w:lang w:eastAsia="zh-CN"/>
        </w:rPr>
        <w:t>，</w:t>
      </w:r>
      <w:r>
        <w:rPr>
          <w:rFonts w:hint="eastAsia" w:ascii="宋体" w:hAnsi="宋体" w:eastAsia="宋体"/>
          <w:color w:val="auto"/>
          <w:szCs w:val="21"/>
        </w:rPr>
        <w:t>可以通过教师对学生学习质量进行评价</w:t>
      </w:r>
      <w:r>
        <w:rPr>
          <w:rFonts w:hint="eastAsia" w:ascii="宋体" w:hAnsi="宋体" w:eastAsia="宋体"/>
          <w:color w:val="auto"/>
          <w:szCs w:val="21"/>
          <w:lang w:eastAsia="zh-CN"/>
        </w:rPr>
        <w:t>，</w:t>
      </w:r>
      <w:r>
        <w:rPr>
          <w:rFonts w:hint="eastAsia" w:ascii="宋体" w:hAnsi="宋体" w:eastAsia="宋体"/>
          <w:color w:val="auto"/>
          <w:szCs w:val="21"/>
        </w:rPr>
        <w:t>可以根据班级、姓名、项目查询评价信息；</w:t>
      </w:r>
    </w:p>
    <w:p w14:paraId="1F034F8B">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auto"/>
          <w:szCs w:val="21"/>
        </w:rPr>
      </w:pPr>
      <w:r>
        <w:rPr>
          <w:rFonts w:hint="eastAsia" w:ascii="宋体" w:hAnsi="宋体" w:eastAsia="宋体"/>
          <w:color w:val="auto"/>
          <w:szCs w:val="21"/>
        </w:rPr>
        <w:t>学习质量评价管理-管理员端：可以以管理员权限查看所有学生用户的学习质量评价信息，</w:t>
      </w:r>
      <w:r>
        <w:rPr>
          <w:rFonts w:hint="eastAsia" w:ascii="宋体" w:hAnsi="宋体" w:eastAsia="宋体"/>
          <w:b w:val="0"/>
          <w:bCs w:val="0"/>
          <w:color w:val="auto"/>
          <w:szCs w:val="21"/>
        </w:rPr>
        <w:t>可以根据班级、老师、姓名、项目查询评价信息；</w:t>
      </w:r>
    </w:p>
    <w:p w14:paraId="5662E842">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FF0000"/>
          <w:szCs w:val="21"/>
        </w:rPr>
      </w:pPr>
      <w:r>
        <w:rPr>
          <w:rFonts w:hint="eastAsia" w:ascii="宋体" w:hAnsi="宋体" w:eastAsia="宋体"/>
          <w:b w:val="0"/>
          <w:bCs w:val="0"/>
          <w:color w:val="auto"/>
          <w:szCs w:val="21"/>
        </w:rPr>
        <w:t>教学质量评价管理-学生端：可以以学生权限查看任课教师的教学质量评价信息；</w:t>
      </w:r>
    </w:p>
    <w:p w14:paraId="26E4DA13">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FF0000"/>
          <w:szCs w:val="21"/>
        </w:rPr>
      </w:pPr>
      <w:r>
        <w:rPr>
          <w:rFonts w:hint="eastAsia" w:ascii="宋体" w:hAnsi="宋体" w:eastAsia="宋体"/>
          <w:b w:val="0"/>
          <w:bCs w:val="0"/>
          <w:color w:val="auto"/>
          <w:szCs w:val="21"/>
        </w:rPr>
        <w:t>教学质量评价管理-教师端：可以以教师权限查看所任课学生的教学质量评价信息</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可以根据班级、姓名、项目查询评价信息</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可以删除评价信息；</w:t>
      </w:r>
    </w:p>
    <w:p w14:paraId="6A587E84">
      <w:pPr>
        <w:pStyle w:val="24"/>
        <w:keepNext w:val="0"/>
        <w:keepLines w:val="0"/>
        <w:pageBreakBefore w:val="0"/>
        <w:widowControl w:val="0"/>
        <w:numPr>
          <w:ilvl w:val="0"/>
          <w:numId w:val="31"/>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b w:val="0"/>
          <w:bCs w:val="0"/>
          <w:color w:val="FF0000"/>
          <w:szCs w:val="21"/>
        </w:rPr>
      </w:pPr>
      <w:r>
        <w:rPr>
          <w:rFonts w:hint="eastAsia" w:ascii="宋体" w:hAnsi="宋体" w:eastAsia="宋体"/>
          <w:b w:val="0"/>
          <w:bCs w:val="0"/>
          <w:color w:val="auto"/>
          <w:szCs w:val="21"/>
        </w:rPr>
        <w:t>教学质量评价管理-管理员端：可以以管理员权限查看所有学生用户的教学质量评价信息，可以根据班级、姓名、项目查询评价信息</w:t>
      </w:r>
      <w:r>
        <w:rPr>
          <w:rFonts w:hint="eastAsia" w:ascii="宋体" w:hAnsi="宋体" w:eastAsia="宋体"/>
          <w:b w:val="0"/>
          <w:bCs w:val="0"/>
          <w:color w:val="auto"/>
          <w:szCs w:val="21"/>
          <w:lang w:eastAsia="zh-CN"/>
        </w:rPr>
        <w:t>，</w:t>
      </w:r>
      <w:r>
        <w:rPr>
          <w:rFonts w:hint="eastAsia" w:ascii="宋体" w:hAnsi="宋体" w:eastAsia="宋体"/>
          <w:b w:val="0"/>
          <w:bCs w:val="0"/>
          <w:color w:val="auto"/>
          <w:szCs w:val="21"/>
        </w:rPr>
        <w:t>可以删除评价信息。</w:t>
      </w:r>
    </w:p>
    <w:p w14:paraId="627E5772">
      <w:pPr>
        <w:pStyle w:val="24"/>
        <w:widowControl w:val="0"/>
        <w:numPr>
          <w:ilvl w:val="0"/>
          <w:numId w:val="25"/>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资源制作要求</w:t>
      </w:r>
    </w:p>
    <w:p w14:paraId="01F1765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软件</w:t>
      </w:r>
      <w:r>
        <w:rPr>
          <w:rFonts w:hint="eastAsia" w:ascii="宋体" w:hAnsi="宋体" w:eastAsia="宋体"/>
          <w:color w:val="auto"/>
          <w:szCs w:val="21"/>
          <w:lang w:val="en-US" w:eastAsia="zh-CN"/>
        </w:rPr>
        <w:t>需</w:t>
      </w:r>
      <w:r>
        <w:rPr>
          <w:rFonts w:hint="eastAsia" w:ascii="宋体" w:hAnsi="宋体" w:eastAsia="宋体"/>
          <w:color w:val="auto"/>
          <w:szCs w:val="21"/>
        </w:rPr>
        <w:t>满足学生自主理论和实训技能学习，按照项目任务规划好学习资源，包括教学设计、教学课件、教学视频、虚拟素材、实训工单、技术资料、练习题库、评价方案等教学资源，资源素材按照以上不同的素材资源包进行归类管理。课程项目任务设计：根据企业调研得出典型工作任务，通过典型工作任务在转化为学习任务，最终成为学生的学习内容。课程项目单元模式设计：按照获取信息、制定计划、讨论决策、执行计划、检查控制、评价反馈等工作过程系统化为教学资源开发目标，建立以实践技能训练为主线、理论知识为辅、理论知识够用即可的课程单元模式。</w:t>
      </w:r>
    </w:p>
    <w:p w14:paraId="021E2A86">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教学设计：具有教学内容、课时、教学目标（含知识、技能、素养）、教学重难点、教学方法、教学准备、教学实施、教学评价的分析与实施建议；</w:t>
      </w:r>
    </w:p>
    <w:p w14:paraId="2582A319">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教学课件：采用PPT和图片文件混排的模式编写，课件中需要的动画和图片以实际的教学硬件为开发目标，编写课件要求按照：教学目标、学习内容、理论学习、技能实训学习纲要编写；</w:t>
      </w:r>
    </w:p>
    <w:p w14:paraId="78DEAB10">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教学视频：配套硬件定制开发，每个视频必须后期加工制作并配字幕和配音讲解；</w:t>
      </w:r>
    </w:p>
    <w:p w14:paraId="495A5373">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虚拟素材：虚拟仿真素材</w:t>
      </w:r>
      <w:r>
        <w:rPr>
          <w:rFonts w:hint="eastAsia" w:ascii="宋体" w:hAnsi="宋体" w:eastAsia="宋体"/>
          <w:color w:val="auto"/>
          <w:szCs w:val="21"/>
          <w:lang w:eastAsia="zh-CN"/>
        </w:rPr>
        <w:t>（</w:t>
      </w:r>
      <w:r>
        <w:rPr>
          <w:rFonts w:hint="eastAsia" w:ascii="宋体" w:hAnsi="宋体" w:eastAsia="宋体"/>
          <w:color w:val="auto"/>
          <w:szCs w:val="21"/>
        </w:rPr>
        <w:t>互动式二维教学动画</w:t>
      </w:r>
      <w:r>
        <w:rPr>
          <w:rFonts w:hint="eastAsia" w:ascii="宋体" w:hAnsi="宋体" w:eastAsia="宋体"/>
          <w:color w:val="auto"/>
          <w:szCs w:val="21"/>
          <w:lang w:eastAsia="zh-CN"/>
        </w:rPr>
        <w:t>）</w:t>
      </w:r>
      <w:r>
        <w:rPr>
          <w:rFonts w:hint="eastAsia" w:ascii="宋体" w:hAnsi="宋体" w:eastAsia="宋体"/>
          <w:color w:val="auto"/>
          <w:szCs w:val="21"/>
        </w:rPr>
        <w:t>，围绕课程项目任务教学需求，采用Flash动画开发软件进行多媒体动画制作。在确保展示内容准备、具有教学意义的前提下，展示效果优良、互动性强，技术实现如：做结构展示的时候，按下“显示名称”按钮后，部件名称的影片剪辑做成alpha动画，alpha从0到100%过渡，形成平滑出现名称的效果，做整体/剖面展示的时候，整体到剖面，以及剖面到整体的切换统一用alpha动画过渡，比如由整体切换到剖面，“整体”影片剪辑的alpha从100%到0，“剖面”影片剪辑的alpha从0到100%，两个影片剪辑在时间轴上叠加，形成整体到剖面平滑过渡的动画效果；在不做结构展示的时候，可不用做动画平滑过渡；</w:t>
      </w:r>
    </w:p>
    <w:p w14:paraId="13890110">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实训工单：按照项目任务和实训硬件进行开发，分为作业准备、过程记录和清洁整理等几个部分；</w:t>
      </w:r>
    </w:p>
    <w:p w14:paraId="36A68873">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技术资料：每个任务相对应的技术参考文献，例如：维修手册；</w:t>
      </w:r>
    </w:p>
    <w:p w14:paraId="102CC95A">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练习题库：结合每个学习项目任务开发配套试题库，试题库类型为客观题，用户利用计算机可以进行人机互动自动考试，计算机自动判断对错，完成测试后，可显示测试成绩、用时、错误题回放功能；</w:t>
      </w:r>
    </w:p>
    <w:p w14:paraId="570F8126">
      <w:pPr>
        <w:pStyle w:val="24"/>
        <w:widowControl w:val="0"/>
        <w:numPr>
          <w:ilvl w:val="0"/>
          <w:numId w:val="32"/>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评价方案：具有学生质量评价、教学质量评价；学生质量评具有自评、互评、教师评功能，评价最终成绩是综合三方评的已设定百分比，以上操作均在平台线上进行；教学质量评价，是班级学生对任课老师的过程评价，操作在平台线上进行</w:t>
      </w:r>
      <w:r>
        <w:rPr>
          <w:rFonts w:hint="eastAsia" w:ascii="宋体" w:hAnsi="宋体" w:eastAsia="宋体"/>
          <w:color w:val="auto"/>
          <w:szCs w:val="21"/>
          <w:lang w:eastAsia="zh-CN"/>
        </w:rPr>
        <w:t>。</w:t>
      </w:r>
    </w:p>
    <w:p w14:paraId="5E1FC085">
      <w:pPr>
        <w:pStyle w:val="24"/>
        <w:widowControl w:val="0"/>
        <w:numPr>
          <w:ilvl w:val="0"/>
          <w:numId w:val="25"/>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资源内容</w:t>
      </w:r>
    </w:p>
    <w:p w14:paraId="4F85DA80">
      <w:pPr>
        <w:pStyle w:val="24"/>
        <w:widowControl w:val="0"/>
        <w:numPr>
          <w:ilvl w:val="0"/>
          <w:numId w:val="3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动力系统</w:t>
      </w:r>
      <w:r>
        <w:rPr>
          <w:rFonts w:hint="eastAsia" w:ascii="宋体" w:hAnsi="宋体" w:eastAsia="宋体"/>
          <w:color w:val="auto"/>
          <w:szCs w:val="21"/>
          <w:lang w:eastAsia="zh-CN"/>
        </w:rPr>
        <w:t>：(</w:t>
      </w:r>
      <w:r>
        <w:rPr>
          <w:rFonts w:hint="eastAsia" w:ascii="宋体" w:hAnsi="宋体" w:eastAsia="宋体"/>
          <w:color w:val="auto"/>
          <w:szCs w:val="21"/>
        </w:rPr>
        <w:t>1</w:t>
      </w:r>
      <w:r>
        <w:rPr>
          <w:rFonts w:hint="eastAsia" w:ascii="宋体" w:hAnsi="宋体" w:eastAsia="宋体"/>
          <w:color w:val="auto"/>
          <w:szCs w:val="21"/>
          <w:lang w:eastAsia="zh-CN"/>
        </w:rPr>
        <w:t>)</w:t>
      </w:r>
      <w:r>
        <w:rPr>
          <w:rFonts w:hint="eastAsia" w:ascii="宋体" w:hAnsi="宋体" w:eastAsia="宋体"/>
          <w:color w:val="auto"/>
          <w:szCs w:val="21"/>
        </w:rPr>
        <w:t>教学设计</w:t>
      </w:r>
      <w:r>
        <w:rPr>
          <w:rFonts w:hint="eastAsia" w:ascii="宋体" w:hAnsi="宋体" w:eastAsia="宋体"/>
          <w:color w:val="auto"/>
          <w:szCs w:val="21"/>
          <w:lang w:eastAsia="zh-CN"/>
        </w:rPr>
        <w:t>；(</w:t>
      </w:r>
      <w:r>
        <w:rPr>
          <w:rFonts w:hint="eastAsia" w:ascii="宋体" w:hAnsi="宋体" w:eastAsia="宋体"/>
          <w:color w:val="auto"/>
          <w:szCs w:val="21"/>
        </w:rPr>
        <w:t>2</w:t>
      </w:r>
      <w:r>
        <w:rPr>
          <w:rFonts w:hint="eastAsia" w:ascii="宋体" w:hAnsi="宋体" w:eastAsia="宋体"/>
          <w:color w:val="auto"/>
          <w:szCs w:val="21"/>
          <w:lang w:eastAsia="zh-CN"/>
        </w:rPr>
        <w:t>)</w:t>
      </w:r>
      <w:r>
        <w:rPr>
          <w:rFonts w:hint="eastAsia" w:ascii="宋体" w:hAnsi="宋体" w:eastAsia="宋体"/>
          <w:color w:val="auto"/>
          <w:szCs w:val="21"/>
        </w:rPr>
        <w:t>教学课件</w:t>
      </w:r>
      <w:r>
        <w:rPr>
          <w:rFonts w:hint="eastAsia" w:ascii="宋体" w:hAnsi="宋体" w:eastAsia="宋体"/>
          <w:color w:val="auto"/>
          <w:szCs w:val="21"/>
          <w:lang w:eastAsia="zh-CN"/>
        </w:rPr>
        <w:t>；(</w:t>
      </w:r>
      <w:r>
        <w:rPr>
          <w:rFonts w:hint="eastAsia" w:ascii="宋体" w:hAnsi="宋体" w:eastAsia="宋体"/>
          <w:color w:val="auto"/>
          <w:szCs w:val="21"/>
        </w:rPr>
        <w:t>3</w:t>
      </w:r>
      <w:r>
        <w:rPr>
          <w:rFonts w:hint="eastAsia" w:ascii="宋体" w:hAnsi="宋体" w:eastAsia="宋体"/>
          <w:color w:val="auto"/>
          <w:szCs w:val="21"/>
          <w:lang w:eastAsia="zh-CN"/>
        </w:rPr>
        <w:t>)</w:t>
      </w:r>
      <w:r>
        <w:rPr>
          <w:rFonts w:hint="eastAsia" w:ascii="宋体" w:hAnsi="宋体" w:eastAsia="宋体"/>
          <w:color w:val="auto"/>
          <w:szCs w:val="21"/>
        </w:rPr>
        <w:t>教学视频</w:t>
      </w:r>
      <w:r>
        <w:rPr>
          <w:rFonts w:hint="eastAsia" w:ascii="宋体" w:hAnsi="宋体" w:eastAsia="宋体"/>
          <w:color w:val="auto"/>
          <w:szCs w:val="21"/>
          <w:lang w:eastAsia="zh-CN"/>
        </w:rPr>
        <w:t>；(</w:t>
      </w:r>
      <w:r>
        <w:rPr>
          <w:rFonts w:hint="eastAsia" w:ascii="宋体" w:hAnsi="宋体" w:eastAsia="宋体"/>
          <w:color w:val="auto"/>
          <w:szCs w:val="21"/>
        </w:rPr>
        <w:t>4</w:t>
      </w:r>
      <w:r>
        <w:rPr>
          <w:rFonts w:hint="eastAsia" w:ascii="宋体" w:hAnsi="宋体" w:eastAsia="宋体"/>
          <w:color w:val="auto"/>
          <w:szCs w:val="21"/>
          <w:lang w:eastAsia="zh-CN"/>
        </w:rPr>
        <w:t>)</w:t>
      </w:r>
      <w:r>
        <w:rPr>
          <w:rFonts w:hint="eastAsia" w:ascii="宋体" w:hAnsi="宋体" w:eastAsia="宋体"/>
          <w:color w:val="auto"/>
          <w:szCs w:val="21"/>
        </w:rPr>
        <w:t>虚拟素材：动力系统的组成</w:t>
      </w:r>
      <w:r>
        <w:rPr>
          <w:rFonts w:hint="eastAsia" w:ascii="宋体" w:hAnsi="宋体" w:eastAsia="宋体"/>
          <w:color w:val="auto"/>
          <w:szCs w:val="21"/>
          <w:lang w:eastAsia="zh-CN"/>
        </w:rPr>
        <w:t>；(</w:t>
      </w:r>
      <w:r>
        <w:rPr>
          <w:rFonts w:hint="eastAsia" w:ascii="宋体" w:hAnsi="宋体" w:eastAsia="宋体"/>
          <w:color w:val="auto"/>
          <w:szCs w:val="21"/>
        </w:rPr>
        <w:t>5</w:t>
      </w:r>
      <w:r>
        <w:rPr>
          <w:rFonts w:hint="eastAsia" w:ascii="宋体" w:hAnsi="宋体" w:eastAsia="宋体"/>
          <w:color w:val="auto"/>
          <w:szCs w:val="21"/>
          <w:lang w:eastAsia="zh-CN"/>
        </w:rPr>
        <w:t>)</w:t>
      </w:r>
      <w:r>
        <w:rPr>
          <w:rFonts w:hint="eastAsia" w:ascii="宋体" w:hAnsi="宋体" w:eastAsia="宋体"/>
          <w:color w:val="auto"/>
          <w:szCs w:val="21"/>
        </w:rPr>
        <w:t>实训工单</w:t>
      </w:r>
      <w:r>
        <w:rPr>
          <w:rFonts w:hint="eastAsia" w:ascii="宋体" w:hAnsi="宋体" w:eastAsia="宋体"/>
          <w:color w:val="auto"/>
          <w:szCs w:val="21"/>
          <w:lang w:eastAsia="zh-CN"/>
        </w:rPr>
        <w:t>；(</w:t>
      </w:r>
      <w:r>
        <w:rPr>
          <w:rFonts w:hint="eastAsia" w:ascii="宋体" w:hAnsi="宋体" w:eastAsia="宋体"/>
          <w:color w:val="auto"/>
          <w:szCs w:val="21"/>
        </w:rPr>
        <w:t>6</w:t>
      </w:r>
      <w:r>
        <w:rPr>
          <w:rFonts w:hint="eastAsia" w:ascii="宋体" w:hAnsi="宋体" w:eastAsia="宋体"/>
          <w:color w:val="auto"/>
          <w:szCs w:val="21"/>
          <w:lang w:eastAsia="zh-CN"/>
        </w:rPr>
        <w:t>)</w:t>
      </w:r>
      <w:r>
        <w:rPr>
          <w:rFonts w:hint="eastAsia" w:ascii="宋体" w:hAnsi="宋体" w:eastAsia="宋体"/>
          <w:color w:val="auto"/>
          <w:szCs w:val="21"/>
        </w:rPr>
        <w:t>技术文献</w:t>
      </w:r>
      <w:r>
        <w:rPr>
          <w:rFonts w:hint="eastAsia" w:ascii="宋体" w:hAnsi="宋体" w:eastAsia="宋体"/>
          <w:color w:val="auto"/>
          <w:szCs w:val="21"/>
          <w:lang w:eastAsia="zh-CN"/>
        </w:rPr>
        <w:t>；(</w:t>
      </w:r>
      <w:r>
        <w:rPr>
          <w:rFonts w:hint="eastAsia" w:ascii="宋体" w:hAnsi="宋体" w:eastAsia="宋体"/>
          <w:color w:val="auto"/>
          <w:szCs w:val="21"/>
        </w:rPr>
        <w:t>7</w:t>
      </w:r>
      <w:r>
        <w:rPr>
          <w:rFonts w:hint="eastAsia" w:ascii="宋体" w:hAnsi="宋体" w:eastAsia="宋体"/>
          <w:color w:val="auto"/>
          <w:szCs w:val="21"/>
          <w:lang w:eastAsia="zh-CN"/>
        </w:rPr>
        <w:t>)</w:t>
      </w:r>
      <w:r>
        <w:rPr>
          <w:rFonts w:hint="eastAsia" w:ascii="宋体" w:hAnsi="宋体" w:eastAsia="宋体"/>
          <w:color w:val="auto"/>
          <w:szCs w:val="21"/>
        </w:rPr>
        <w:t>练习题库</w:t>
      </w:r>
      <w:r>
        <w:rPr>
          <w:rFonts w:hint="eastAsia" w:ascii="宋体" w:hAnsi="宋体" w:eastAsia="宋体"/>
          <w:color w:val="auto"/>
          <w:szCs w:val="21"/>
          <w:lang w:eastAsia="zh-CN"/>
        </w:rPr>
        <w:t>；(</w:t>
      </w:r>
      <w:r>
        <w:rPr>
          <w:rFonts w:hint="eastAsia" w:ascii="宋体" w:hAnsi="宋体" w:eastAsia="宋体"/>
          <w:color w:val="auto"/>
          <w:szCs w:val="21"/>
        </w:rPr>
        <w:t>8</w:t>
      </w:r>
      <w:r>
        <w:rPr>
          <w:rFonts w:hint="eastAsia" w:ascii="宋体" w:hAnsi="宋体" w:eastAsia="宋体"/>
          <w:color w:val="auto"/>
          <w:szCs w:val="21"/>
          <w:lang w:eastAsia="zh-CN"/>
        </w:rPr>
        <w:t>)</w:t>
      </w:r>
      <w:r>
        <w:rPr>
          <w:rFonts w:hint="eastAsia" w:ascii="宋体" w:hAnsi="宋体" w:eastAsia="宋体"/>
          <w:color w:val="auto"/>
          <w:szCs w:val="21"/>
        </w:rPr>
        <w:t>评价方案</w:t>
      </w:r>
      <w:r>
        <w:rPr>
          <w:rFonts w:hint="eastAsia" w:ascii="宋体" w:hAnsi="宋体" w:eastAsia="宋体"/>
          <w:color w:val="auto"/>
          <w:szCs w:val="21"/>
          <w:lang w:eastAsia="zh-CN"/>
        </w:rPr>
        <w:t>。</w:t>
      </w:r>
    </w:p>
    <w:p w14:paraId="69795598">
      <w:pPr>
        <w:pStyle w:val="24"/>
        <w:widowControl w:val="0"/>
        <w:numPr>
          <w:ilvl w:val="0"/>
          <w:numId w:val="3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动力系统关键部件</w:t>
      </w:r>
      <w:r>
        <w:rPr>
          <w:rFonts w:hint="eastAsia" w:ascii="宋体" w:hAnsi="宋体" w:eastAsia="宋体"/>
          <w:color w:val="auto"/>
          <w:szCs w:val="21"/>
          <w:lang w:eastAsia="zh-CN"/>
        </w:rPr>
        <w:t>：(</w:t>
      </w:r>
      <w:r>
        <w:rPr>
          <w:rFonts w:hint="eastAsia" w:ascii="宋体" w:hAnsi="宋体" w:eastAsia="宋体"/>
          <w:color w:val="auto"/>
          <w:szCs w:val="21"/>
        </w:rPr>
        <w:t>1</w:t>
      </w:r>
      <w:r>
        <w:rPr>
          <w:rFonts w:hint="eastAsia" w:ascii="宋体" w:hAnsi="宋体" w:eastAsia="宋体"/>
          <w:color w:val="auto"/>
          <w:szCs w:val="21"/>
          <w:lang w:eastAsia="zh-CN"/>
        </w:rPr>
        <w:t>)</w:t>
      </w:r>
      <w:r>
        <w:rPr>
          <w:rFonts w:hint="eastAsia" w:ascii="宋体" w:hAnsi="宋体" w:eastAsia="宋体"/>
          <w:color w:val="auto"/>
          <w:szCs w:val="21"/>
        </w:rPr>
        <w:t>教学设计</w:t>
      </w:r>
      <w:r>
        <w:rPr>
          <w:rFonts w:hint="eastAsia" w:ascii="宋体" w:hAnsi="宋体" w:eastAsia="宋体"/>
          <w:color w:val="auto"/>
          <w:szCs w:val="21"/>
          <w:lang w:eastAsia="zh-CN"/>
        </w:rPr>
        <w:t>；(</w:t>
      </w:r>
      <w:r>
        <w:rPr>
          <w:rFonts w:hint="eastAsia" w:ascii="宋体" w:hAnsi="宋体" w:eastAsia="宋体"/>
          <w:color w:val="auto"/>
          <w:szCs w:val="21"/>
        </w:rPr>
        <w:t>2</w:t>
      </w:r>
      <w:r>
        <w:rPr>
          <w:rFonts w:hint="eastAsia" w:ascii="宋体" w:hAnsi="宋体" w:eastAsia="宋体"/>
          <w:color w:val="auto"/>
          <w:szCs w:val="21"/>
          <w:lang w:eastAsia="zh-CN"/>
        </w:rPr>
        <w:t>)</w:t>
      </w:r>
      <w:r>
        <w:rPr>
          <w:rFonts w:hint="eastAsia" w:ascii="宋体" w:hAnsi="宋体" w:eastAsia="宋体"/>
          <w:color w:val="auto"/>
          <w:szCs w:val="21"/>
        </w:rPr>
        <w:t>教学课件</w:t>
      </w:r>
      <w:r>
        <w:rPr>
          <w:rFonts w:hint="eastAsia" w:ascii="宋体" w:hAnsi="宋体" w:eastAsia="宋体"/>
          <w:color w:val="auto"/>
          <w:szCs w:val="21"/>
          <w:lang w:eastAsia="zh-CN"/>
        </w:rPr>
        <w:t>；(</w:t>
      </w:r>
      <w:r>
        <w:rPr>
          <w:rFonts w:hint="eastAsia" w:ascii="宋体" w:hAnsi="宋体" w:eastAsia="宋体"/>
          <w:color w:val="auto"/>
          <w:szCs w:val="21"/>
        </w:rPr>
        <w:t>3</w:t>
      </w:r>
      <w:r>
        <w:rPr>
          <w:rFonts w:hint="eastAsia" w:ascii="宋体" w:hAnsi="宋体" w:eastAsia="宋体"/>
          <w:color w:val="auto"/>
          <w:szCs w:val="21"/>
          <w:lang w:eastAsia="zh-CN"/>
        </w:rPr>
        <w:t>)</w:t>
      </w:r>
      <w:r>
        <w:rPr>
          <w:rFonts w:hint="eastAsia" w:ascii="宋体" w:hAnsi="宋体" w:eastAsia="宋体"/>
          <w:color w:val="auto"/>
          <w:szCs w:val="21"/>
        </w:rPr>
        <w:t>教学视频</w:t>
      </w:r>
      <w:r>
        <w:rPr>
          <w:rFonts w:hint="eastAsia" w:ascii="宋体" w:hAnsi="宋体" w:eastAsia="宋体"/>
          <w:color w:val="auto"/>
          <w:szCs w:val="21"/>
          <w:lang w:eastAsia="zh-CN"/>
        </w:rPr>
        <w:t>；(</w:t>
      </w:r>
      <w:r>
        <w:rPr>
          <w:rFonts w:hint="eastAsia" w:ascii="宋体" w:hAnsi="宋体" w:eastAsia="宋体"/>
          <w:color w:val="auto"/>
          <w:szCs w:val="21"/>
        </w:rPr>
        <w:t>4</w:t>
      </w:r>
      <w:r>
        <w:rPr>
          <w:rFonts w:hint="eastAsia" w:ascii="宋体" w:hAnsi="宋体" w:eastAsia="宋体"/>
          <w:color w:val="auto"/>
          <w:szCs w:val="21"/>
          <w:lang w:eastAsia="zh-CN"/>
        </w:rPr>
        <w:t>)</w:t>
      </w:r>
      <w:r>
        <w:rPr>
          <w:rFonts w:hint="eastAsia" w:ascii="宋体" w:hAnsi="宋体" w:eastAsia="宋体"/>
          <w:color w:val="auto"/>
          <w:szCs w:val="21"/>
        </w:rPr>
        <w:t>虚拟素材：动力电机的位置、动力电机的结构、动力电机的运动原理</w:t>
      </w:r>
      <w:r>
        <w:rPr>
          <w:rFonts w:hint="eastAsia" w:ascii="宋体" w:hAnsi="宋体" w:eastAsia="宋体"/>
          <w:color w:val="auto"/>
          <w:szCs w:val="21"/>
          <w:lang w:eastAsia="zh-CN"/>
        </w:rPr>
        <w:t>；(</w:t>
      </w:r>
      <w:r>
        <w:rPr>
          <w:rFonts w:hint="eastAsia" w:ascii="宋体" w:hAnsi="宋体" w:eastAsia="宋体"/>
          <w:color w:val="auto"/>
          <w:szCs w:val="21"/>
        </w:rPr>
        <w:t>5</w:t>
      </w:r>
      <w:r>
        <w:rPr>
          <w:rFonts w:hint="eastAsia" w:ascii="宋体" w:hAnsi="宋体" w:eastAsia="宋体"/>
          <w:color w:val="auto"/>
          <w:szCs w:val="21"/>
          <w:lang w:eastAsia="zh-CN"/>
        </w:rPr>
        <w:t>)</w:t>
      </w:r>
      <w:r>
        <w:rPr>
          <w:rFonts w:hint="eastAsia" w:ascii="宋体" w:hAnsi="宋体" w:eastAsia="宋体"/>
          <w:color w:val="auto"/>
          <w:szCs w:val="21"/>
        </w:rPr>
        <w:t>实训工单</w:t>
      </w:r>
      <w:r>
        <w:rPr>
          <w:rFonts w:hint="eastAsia" w:ascii="宋体" w:hAnsi="宋体" w:eastAsia="宋体"/>
          <w:color w:val="auto"/>
          <w:szCs w:val="21"/>
          <w:lang w:eastAsia="zh-CN"/>
        </w:rPr>
        <w:t>；(</w:t>
      </w:r>
      <w:r>
        <w:rPr>
          <w:rFonts w:hint="eastAsia" w:ascii="宋体" w:hAnsi="宋体" w:eastAsia="宋体"/>
          <w:color w:val="auto"/>
          <w:szCs w:val="21"/>
        </w:rPr>
        <w:t>6</w:t>
      </w:r>
      <w:r>
        <w:rPr>
          <w:rFonts w:hint="eastAsia" w:ascii="宋体" w:hAnsi="宋体" w:eastAsia="宋体"/>
          <w:color w:val="auto"/>
          <w:szCs w:val="21"/>
          <w:lang w:eastAsia="zh-CN"/>
        </w:rPr>
        <w:t>)</w:t>
      </w:r>
      <w:r>
        <w:rPr>
          <w:rFonts w:hint="eastAsia" w:ascii="宋体" w:hAnsi="宋体" w:eastAsia="宋体"/>
          <w:color w:val="auto"/>
          <w:szCs w:val="21"/>
        </w:rPr>
        <w:t>技术文献</w:t>
      </w:r>
      <w:r>
        <w:rPr>
          <w:rFonts w:hint="eastAsia" w:ascii="宋体" w:hAnsi="宋体" w:eastAsia="宋体"/>
          <w:color w:val="auto"/>
          <w:szCs w:val="21"/>
          <w:lang w:eastAsia="zh-CN"/>
        </w:rPr>
        <w:t>；(</w:t>
      </w:r>
      <w:r>
        <w:rPr>
          <w:rFonts w:hint="eastAsia" w:ascii="宋体" w:hAnsi="宋体" w:eastAsia="宋体"/>
          <w:color w:val="auto"/>
          <w:szCs w:val="21"/>
        </w:rPr>
        <w:t>7</w:t>
      </w:r>
      <w:r>
        <w:rPr>
          <w:rFonts w:hint="eastAsia" w:ascii="宋体" w:hAnsi="宋体" w:eastAsia="宋体"/>
          <w:color w:val="auto"/>
          <w:szCs w:val="21"/>
          <w:lang w:eastAsia="zh-CN"/>
        </w:rPr>
        <w:t>)</w:t>
      </w:r>
      <w:r>
        <w:rPr>
          <w:rFonts w:hint="eastAsia" w:ascii="宋体" w:hAnsi="宋体" w:eastAsia="宋体"/>
          <w:color w:val="auto"/>
          <w:szCs w:val="21"/>
        </w:rPr>
        <w:t>练习题库</w:t>
      </w:r>
      <w:r>
        <w:rPr>
          <w:rFonts w:hint="eastAsia" w:ascii="宋体" w:hAnsi="宋体" w:eastAsia="宋体"/>
          <w:color w:val="auto"/>
          <w:szCs w:val="21"/>
          <w:lang w:eastAsia="zh-CN"/>
        </w:rPr>
        <w:t>；(</w:t>
      </w:r>
      <w:r>
        <w:rPr>
          <w:rFonts w:hint="eastAsia" w:ascii="宋体" w:hAnsi="宋体" w:eastAsia="宋体"/>
          <w:color w:val="auto"/>
          <w:szCs w:val="21"/>
        </w:rPr>
        <w:t>8</w:t>
      </w:r>
      <w:r>
        <w:rPr>
          <w:rFonts w:hint="eastAsia" w:ascii="宋体" w:hAnsi="宋体" w:eastAsia="宋体"/>
          <w:color w:val="auto"/>
          <w:szCs w:val="21"/>
          <w:lang w:eastAsia="zh-CN"/>
        </w:rPr>
        <w:t>)</w:t>
      </w:r>
      <w:r>
        <w:rPr>
          <w:rFonts w:hint="eastAsia" w:ascii="宋体" w:hAnsi="宋体" w:eastAsia="宋体"/>
          <w:color w:val="auto"/>
          <w:szCs w:val="21"/>
        </w:rPr>
        <w:t>评价方案</w:t>
      </w:r>
      <w:r>
        <w:rPr>
          <w:rFonts w:hint="eastAsia" w:ascii="宋体" w:hAnsi="宋体" w:eastAsia="宋体"/>
          <w:color w:val="auto"/>
          <w:szCs w:val="21"/>
          <w:lang w:eastAsia="zh-CN"/>
        </w:rPr>
        <w:t>。</w:t>
      </w:r>
    </w:p>
    <w:p w14:paraId="697BB90C">
      <w:pPr>
        <w:pStyle w:val="24"/>
        <w:widowControl w:val="0"/>
        <w:numPr>
          <w:ilvl w:val="0"/>
          <w:numId w:val="3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动力系统常见故障检查与排除</w:t>
      </w:r>
      <w:r>
        <w:rPr>
          <w:rFonts w:hint="eastAsia" w:ascii="宋体" w:hAnsi="宋体" w:eastAsia="宋体"/>
          <w:color w:val="auto"/>
          <w:szCs w:val="21"/>
          <w:lang w:eastAsia="zh-CN"/>
        </w:rPr>
        <w:t>：(</w:t>
      </w:r>
      <w:r>
        <w:rPr>
          <w:rFonts w:hint="eastAsia" w:ascii="宋体" w:hAnsi="宋体" w:eastAsia="宋体"/>
          <w:color w:val="auto"/>
          <w:szCs w:val="21"/>
        </w:rPr>
        <w:t>1</w:t>
      </w:r>
      <w:r>
        <w:rPr>
          <w:rFonts w:hint="eastAsia" w:ascii="宋体" w:hAnsi="宋体" w:eastAsia="宋体"/>
          <w:color w:val="auto"/>
          <w:szCs w:val="21"/>
          <w:lang w:eastAsia="zh-CN"/>
        </w:rPr>
        <w:t>)</w:t>
      </w:r>
      <w:r>
        <w:rPr>
          <w:rFonts w:hint="eastAsia" w:ascii="宋体" w:hAnsi="宋体" w:eastAsia="宋体"/>
          <w:color w:val="auto"/>
          <w:szCs w:val="21"/>
        </w:rPr>
        <w:t>教学设计</w:t>
      </w:r>
      <w:r>
        <w:rPr>
          <w:rFonts w:hint="eastAsia" w:ascii="宋体" w:hAnsi="宋体" w:eastAsia="宋体"/>
          <w:color w:val="auto"/>
          <w:szCs w:val="21"/>
          <w:lang w:eastAsia="zh-CN"/>
        </w:rPr>
        <w:t>；(</w:t>
      </w:r>
      <w:r>
        <w:rPr>
          <w:rFonts w:hint="eastAsia" w:ascii="宋体" w:hAnsi="宋体" w:eastAsia="宋体"/>
          <w:color w:val="auto"/>
          <w:szCs w:val="21"/>
        </w:rPr>
        <w:t>2</w:t>
      </w:r>
      <w:r>
        <w:rPr>
          <w:rFonts w:hint="eastAsia" w:ascii="宋体" w:hAnsi="宋体" w:eastAsia="宋体"/>
          <w:color w:val="auto"/>
          <w:szCs w:val="21"/>
          <w:lang w:eastAsia="zh-CN"/>
        </w:rPr>
        <w:t>)</w:t>
      </w:r>
      <w:r>
        <w:rPr>
          <w:rFonts w:hint="eastAsia" w:ascii="宋体" w:hAnsi="宋体" w:eastAsia="宋体"/>
          <w:color w:val="auto"/>
          <w:szCs w:val="21"/>
        </w:rPr>
        <w:t>教学课件</w:t>
      </w:r>
      <w:r>
        <w:rPr>
          <w:rFonts w:hint="eastAsia" w:ascii="宋体" w:hAnsi="宋体" w:eastAsia="宋体"/>
          <w:color w:val="auto"/>
          <w:szCs w:val="21"/>
          <w:lang w:eastAsia="zh-CN"/>
        </w:rPr>
        <w:t>；(</w:t>
      </w:r>
      <w:r>
        <w:rPr>
          <w:rFonts w:hint="eastAsia" w:ascii="宋体" w:hAnsi="宋体" w:eastAsia="宋体"/>
          <w:color w:val="auto"/>
          <w:szCs w:val="21"/>
        </w:rPr>
        <w:t>3</w:t>
      </w:r>
      <w:r>
        <w:rPr>
          <w:rFonts w:hint="eastAsia" w:ascii="宋体" w:hAnsi="宋体" w:eastAsia="宋体"/>
          <w:color w:val="auto"/>
          <w:szCs w:val="21"/>
          <w:lang w:eastAsia="zh-CN"/>
        </w:rPr>
        <w:t>)</w:t>
      </w:r>
      <w:r>
        <w:rPr>
          <w:rFonts w:hint="eastAsia" w:ascii="宋体" w:hAnsi="宋体" w:eastAsia="宋体"/>
          <w:color w:val="auto"/>
          <w:szCs w:val="21"/>
        </w:rPr>
        <w:t>教学视频</w:t>
      </w:r>
      <w:r>
        <w:rPr>
          <w:rFonts w:hint="eastAsia" w:ascii="宋体" w:hAnsi="宋体" w:eastAsia="宋体"/>
          <w:color w:val="auto"/>
          <w:szCs w:val="21"/>
          <w:lang w:eastAsia="zh-CN"/>
        </w:rPr>
        <w:t>；(</w:t>
      </w:r>
      <w:r>
        <w:rPr>
          <w:rFonts w:hint="eastAsia" w:ascii="宋体" w:hAnsi="宋体" w:eastAsia="宋体"/>
          <w:color w:val="auto"/>
          <w:szCs w:val="21"/>
        </w:rPr>
        <w:t>4</w:t>
      </w:r>
      <w:r>
        <w:rPr>
          <w:rFonts w:hint="eastAsia" w:ascii="宋体" w:hAnsi="宋体" w:eastAsia="宋体"/>
          <w:color w:val="auto"/>
          <w:szCs w:val="21"/>
          <w:lang w:eastAsia="zh-CN"/>
        </w:rPr>
        <w:t>)</w:t>
      </w:r>
      <w:r>
        <w:rPr>
          <w:rFonts w:hint="eastAsia" w:ascii="宋体" w:hAnsi="宋体" w:eastAsia="宋体"/>
          <w:color w:val="auto"/>
          <w:szCs w:val="21"/>
        </w:rPr>
        <w:t>虚拟素材</w:t>
      </w:r>
      <w:r>
        <w:rPr>
          <w:rFonts w:hint="eastAsia" w:ascii="宋体" w:hAnsi="宋体" w:eastAsia="宋体"/>
          <w:color w:val="auto"/>
          <w:szCs w:val="21"/>
          <w:lang w:eastAsia="zh-CN"/>
        </w:rPr>
        <w:t>；(</w:t>
      </w:r>
      <w:r>
        <w:rPr>
          <w:rFonts w:hint="eastAsia" w:ascii="宋体" w:hAnsi="宋体" w:eastAsia="宋体"/>
          <w:color w:val="auto"/>
          <w:szCs w:val="21"/>
        </w:rPr>
        <w:t>5</w:t>
      </w:r>
      <w:r>
        <w:rPr>
          <w:rFonts w:hint="eastAsia" w:ascii="宋体" w:hAnsi="宋体" w:eastAsia="宋体"/>
          <w:color w:val="auto"/>
          <w:szCs w:val="21"/>
          <w:lang w:eastAsia="zh-CN"/>
        </w:rPr>
        <w:t>)</w:t>
      </w:r>
      <w:r>
        <w:rPr>
          <w:rFonts w:hint="eastAsia" w:ascii="宋体" w:hAnsi="宋体" w:eastAsia="宋体"/>
          <w:color w:val="auto"/>
          <w:szCs w:val="21"/>
        </w:rPr>
        <w:t>实训工单</w:t>
      </w:r>
      <w:r>
        <w:rPr>
          <w:rFonts w:hint="eastAsia" w:ascii="宋体" w:hAnsi="宋体" w:eastAsia="宋体"/>
          <w:color w:val="auto"/>
          <w:szCs w:val="21"/>
          <w:lang w:eastAsia="zh-CN"/>
        </w:rPr>
        <w:t>；(</w:t>
      </w:r>
      <w:r>
        <w:rPr>
          <w:rFonts w:hint="eastAsia" w:ascii="宋体" w:hAnsi="宋体" w:eastAsia="宋体"/>
          <w:color w:val="auto"/>
          <w:szCs w:val="21"/>
        </w:rPr>
        <w:t>6</w:t>
      </w:r>
      <w:r>
        <w:rPr>
          <w:rFonts w:hint="eastAsia" w:ascii="宋体" w:hAnsi="宋体" w:eastAsia="宋体"/>
          <w:color w:val="auto"/>
          <w:szCs w:val="21"/>
          <w:lang w:eastAsia="zh-CN"/>
        </w:rPr>
        <w:t>)</w:t>
      </w:r>
      <w:r>
        <w:rPr>
          <w:rFonts w:hint="eastAsia" w:ascii="宋体" w:hAnsi="宋体" w:eastAsia="宋体"/>
          <w:color w:val="auto"/>
          <w:szCs w:val="21"/>
        </w:rPr>
        <w:t>技术文献</w:t>
      </w:r>
      <w:r>
        <w:rPr>
          <w:rFonts w:hint="eastAsia" w:ascii="宋体" w:hAnsi="宋体" w:eastAsia="宋体"/>
          <w:color w:val="auto"/>
          <w:szCs w:val="21"/>
          <w:lang w:eastAsia="zh-CN"/>
        </w:rPr>
        <w:t>；(</w:t>
      </w:r>
      <w:r>
        <w:rPr>
          <w:rFonts w:hint="eastAsia" w:ascii="宋体" w:hAnsi="宋体" w:eastAsia="宋体"/>
          <w:color w:val="auto"/>
          <w:szCs w:val="21"/>
        </w:rPr>
        <w:t>7</w:t>
      </w:r>
      <w:r>
        <w:rPr>
          <w:rFonts w:hint="eastAsia" w:ascii="宋体" w:hAnsi="宋体" w:eastAsia="宋体"/>
          <w:color w:val="auto"/>
          <w:szCs w:val="21"/>
          <w:lang w:eastAsia="zh-CN"/>
        </w:rPr>
        <w:t>)</w:t>
      </w:r>
      <w:r>
        <w:rPr>
          <w:rFonts w:hint="eastAsia" w:ascii="宋体" w:hAnsi="宋体" w:eastAsia="宋体"/>
          <w:color w:val="auto"/>
          <w:szCs w:val="21"/>
        </w:rPr>
        <w:t>练习题库</w:t>
      </w:r>
      <w:r>
        <w:rPr>
          <w:rFonts w:hint="eastAsia" w:ascii="宋体" w:hAnsi="宋体" w:eastAsia="宋体"/>
          <w:color w:val="auto"/>
          <w:szCs w:val="21"/>
          <w:lang w:eastAsia="zh-CN"/>
        </w:rPr>
        <w:t>；(</w:t>
      </w:r>
      <w:r>
        <w:rPr>
          <w:rFonts w:hint="eastAsia" w:ascii="宋体" w:hAnsi="宋体" w:eastAsia="宋体"/>
          <w:color w:val="auto"/>
          <w:szCs w:val="21"/>
        </w:rPr>
        <w:t>8</w:t>
      </w:r>
      <w:r>
        <w:rPr>
          <w:rFonts w:hint="eastAsia" w:ascii="宋体" w:hAnsi="宋体" w:eastAsia="宋体"/>
          <w:color w:val="auto"/>
          <w:szCs w:val="21"/>
          <w:lang w:eastAsia="zh-CN"/>
        </w:rPr>
        <w:t>)</w:t>
      </w:r>
      <w:r>
        <w:rPr>
          <w:rFonts w:hint="eastAsia" w:ascii="宋体" w:hAnsi="宋体" w:eastAsia="宋体"/>
          <w:color w:val="auto"/>
          <w:szCs w:val="21"/>
        </w:rPr>
        <w:t>评价方案</w:t>
      </w:r>
      <w:r>
        <w:rPr>
          <w:rFonts w:hint="eastAsia" w:ascii="宋体" w:hAnsi="宋体" w:eastAsia="宋体"/>
          <w:color w:val="auto"/>
          <w:szCs w:val="21"/>
          <w:lang w:eastAsia="zh-CN"/>
        </w:rPr>
        <w:t>。</w:t>
      </w:r>
    </w:p>
    <w:p w14:paraId="0E648DCC">
      <w:pPr>
        <w:pStyle w:val="24"/>
        <w:numPr>
          <w:ilvl w:val="0"/>
          <w:numId w:val="15"/>
        </w:numPr>
        <w:snapToGrid w:val="0"/>
        <w:spacing w:line="360" w:lineRule="auto"/>
        <w:ind w:firstLineChars="0"/>
        <w:contextualSpacing/>
        <w:rPr>
          <w:rFonts w:ascii="宋体" w:hAnsi="宋体" w:eastAsia="宋体"/>
          <w:b/>
          <w:bCs/>
          <w:szCs w:val="21"/>
        </w:rPr>
      </w:pPr>
      <w:r>
        <w:rPr>
          <w:rFonts w:hint="eastAsia" w:ascii="宋体" w:hAnsi="宋体" w:eastAsia="宋体"/>
          <w:b/>
          <w:bCs/>
          <w:szCs w:val="21"/>
        </w:rPr>
        <w:t>新能源汽车电力电子技术基础积木实训板技术功能与参数</w:t>
      </w:r>
    </w:p>
    <w:p w14:paraId="60BE311A">
      <w:pPr>
        <w:pStyle w:val="24"/>
        <w:widowControl w:val="0"/>
        <w:numPr>
          <w:ilvl w:val="0"/>
          <w:numId w:val="34"/>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总体要求</w:t>
      </w:r>
    </w:p>
    <w:p w14:paraId="4CB88A55">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设备将新能源汽车专业基础教学所需的基本电子元器件、传感器、执行器、电路控制原理、示波器等模块化，操作简单，工作原理容易理解，适用于</w:t>
      </w:r>
      <w:r>
        <w:rPr>
          <w:rFonts w:hint="eastAsia" w:ascii="宋体" w:hAnsi="宋体" w:eastAsia="宋体"/>
          <w:color w:val="auto"/>
          <w:szCs w:val="21"/>
          <w:lang w:val="en-US" w:eastAsia="zh-CN"/>
        </w:rPr>
        <w:t>采购人</w:t>
      </w:r>
      <w:r>
        <w:rPr>
          <w:rFonts w:hint="eastAsia" w:ascii="宋体" w:hAnsi="宋体" w:eastAsia="宋体"/>
          <w:color w:val="auto"/>
          <w:szCs w:val="21"/>
        </w:rPr>
        <w:t>对新能源汽车电力电子基础的理实一体化教学需要。</w:t>
      </w:r>
    </w:p>
    <w:p w14:paraId="1D39F8FA">
      <w:pPr>
        <w:pStyle w:val="24"/>
        <w:widowControl w:val="0"/>
        <w:numPr>
          <w:ilvl w:val="0"/>
          <w:numId w:val="34"/>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功能特点</w:t>
      </w:r>
    </w:p>
    <w:p w14:paraId="6A64AEEB">
      <w:pPr>
        <w:pStyle w:val="24"/>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体积小巧，移动方便，可按需自由组合</w:t>
      </w:r>
      <w:r>
        <w:rPr>
          <w:rFonts w:hint="eastAsia" w:ascii="宋体" w:hAnsi="宋体" w:eastAsia="宋体"/>
          <w:color w:val="auto"/>
          <w:szCs w:val="21"/>
          <w:lang w:eastAsia="zh-CN"/>
        </w:rPr>
        <w:t>；</w:t>
      </w:r>
    </w:p>
    <w:p w14:paraId="3682C51E">
      <w:pPr>
        <w:pStyle w:val="24"/>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每块积木独立专属定位，分层锁柜，方便移动和管理；</w:t>
      </w:r>
    </w:p>
    <w:p w14:paraId="2E92F89B">
      <w:pPr>
        <w:pStyle w:val="24"/>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积木板硬件与课程资源一体化的设计，软硬件结合。</w:t>
      </w:r>
    </w:p>
    <w:p w14:paraId="2A168900">
      <w:pPr>
        <w:pStyle w:val="24"/>
        <w:widowControl w:val="0"/>
        <w:numPr>
          <w:ilvl w:val="0"/>
          <w:numId w:val="34"/>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技术参数</w:t>
      </w:r>
    </w:p>
    <w:p w14:paraId="570FC178">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永磁交流发电机原理实训板</w:t>
      </w:r>
    </w:p>
    <w:p w14:paraId="4057F90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采用5V三相交流发电机，输入电源采用12V锂电池模块，铝合金固定件固定5V三相发电机，电位计调节电动机转速，电动机驱动发电机发电，面板上安装内径为≥2mm铜质端子，用于连接电源端子和示波器检测端子。</w:t>
      </w:r>
    </w:p>
    <w:p w14:paraId="288E57E4">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ECU电源供电原理实训板</w:t>
      </w:r>
    </w:p>
    <w:p w14:paraId="7042E951">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实训板面板打印电路工作原理，具有整流模块，</w:t>
      </w:r>
      <w:r>
        <w:rPr>
          <w:rFonts w:hint="eastAsia" w:ascii="宋体" w:hAnsi="宋体" w:eastAsia="宋体"/>
          <w:color w:val="auto"/>
          <w:szCs w:val="21"/>
          <w:lang w:val="en-US" w:eastAsia="zh-CN"/>
        </w:rPr>
        <w:t>π</w:t>
      </w:r>
      <w:r>
        <w:rPr>
          <w:rFonts w:hint="eastAsia" w:ascii="宋体" w:hAnsi="宋体" w:eastAsia="宋体"/>
          <w:color w:val="auto"/>
          <w:szCs w:val="21"/>
        </w:rPr>
        <w:t>型滤波模块，稳压模块，通过≥2mm铜质端子引出整流后电压，滤波后电压，稳压后电压，通过连接电压表或示波器进行电压或波形纹波测量</w:t>
      </w:r>
      <w:r>
        <w:rPr>
          <w:rFonts w:hint="eastAsia" w:ascii="宋体" w:hAnsi="宋体" w:eastAsia="宋体"/>
          <w:color w:val="auto"/>
          <w:szCs w:val="21"/>
          <w:lang w:eastAsia="zh-CN"/>
        </w:rPr>
        <w:t>，</w:t>
      </w:r>
      <w:r>
        <w:rPr>
          <w:rFonts w:hint="eastAsia" w:ascii="宋体" w:hAnsi="宋体" w:eastAsia="宋体"/>
          <w:color w:val="auto"/>
          <w:szCs w:val="21"/>
        </w:rPr>
        <w:t>输入电源为单相12V交流电。</w:t>
      </w:r>
    </w:p>
    <w:p w14:paraId="23A654CE">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霍尔电流传感器实训板</w:t>
      </w:r>
    </w:p>
    <w:p w14:paraId="0C7568E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使用霍尔电流传感器，4位数码管输出电流显示，内置DCDC转换器可产生0~6A可调的直流电流，此电流通过铜线穿过霍尔传感器来测量其数值。通过电位器可调节被测电流的大小，通过一个双刀开关可使被测电流反向，通过另一个双刀开关可将外部电流表串入来验证实际的被测电流的大小，其-6a电流时，霍尔传感器输出0.5V，+6A电流时，霍尔传感器输出4.5V，没电流时，霍尔传感器输出2.5V。霍尔传感器测量电流并反馈给单片机，经过单片机计算输出给数码管显示电流，配备霍尔电流传感器测量≥2mm铜质端子，LED发光二极管电流检测≥2mm铜质端子，电源输入≥2mm铜质端子。</w:t>
      </w:r>
    </w:p>
    <w:p w14:paraId="094A50FC">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锂电池充放电控制实训板</w:t>
      </w:r>
    </w:p>
    <w:p w14:paraId="3D0B8A6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使用3串锂电池作为被监测电池，实训板内置3串锂电池保护电路，使用12V电源对其进行充电，充满电自停，过充时保护停充，使用一个NTC热敏电阻及一个加热电阻，可模拟锂电池充电过热保护，使用4位数码管显示其电池的实时电压和实时温度</w:t>
      </w:r>
      <w:r>
        <w:rPr>
          <w:rFonts w:hint="eastAsia" w:ascii="宋体" w:hAnsi="宋体" w:eastAsia="宋体"/>
          <w:color w:val="auto"/>
          <w:szCs w:val="21"/>
          <w:lang w:eastAsia="zh-CN"/>
        </w:rPr>
        <w:t>；</w:t>
      </w:r>
      <w:r>
        <w:rPr>
          <w:rFonts w:hint="eastAsia" w:ascii="宋体" w:hAnsi="宋体" w:eastAsia="宋体"/>
          <w:color w:val="auto"/>
          <w:szCs w:val="21"/>
        </w:rPr>
        <w:t>3串锂电池经过放保护电路后，由输出端子输出12V对外供电，当任何一节电池电压低于2.8V时，过放保护电路动作，停止对外供电。</w:t>
      </w:r>
    </w:p>
    <w:p w14:paraId="1C1944DA">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欧姆定律特性实训板</w:t>
      </w:r>
    </w:p>
    <w:p w14:paraId="3235CB3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输入电源采用DC12V，电路由正极串连一个水泥电阻和一个可调电阻，调节水泥电阻的工作电流，面板含丝印电路图，配备电流测量≥2mm铜质端子，电压测量≥2mm铜质端子，电源输入≥2mm铜质端子。</w:t>
      </w:r>
    </w:p>
    <w:p w14:paraId="32CC5AAD">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场效应管原理实训板</w:t>
      </w:r>
    </w:p>
    <w:p w14:paraId="42B3D2D0">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实训板内置200V/16A大功率场效应管，具有G极电压调节电路，预留≥2mm铜质IG电流测量端子，ID电流测量端子，VDS电压测量端子，面板含丝印电路图，采用灯泡作为漏极负载。</w:t>
      </w:r>
    </w:p>
    <w:p w14:paraId="3B3F9F74">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IGBT功率管特性实训板</w:t>
      </w:r>
    </w:p>
    <w:p w14:paraId="4595198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1200V/20A大功率IGBT管，引出集电极电流测试端子、集电极电压测试端子、发射极电流测量端子、栅极电流测量端子、栅极电压测量端子；集电极采用灯泡作为负载。栅极采用可调电阻调节栅极电压，可调节使IGBT进入导通和截止状态。</w:t>
      </w:r>
    </w:p>
    <w:p w14:paraId="099BF6EA">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高压电上电控制实训板</w:t>
      </w:r>
    </w:p>
    <w:p w14:paraId="31F89DC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由一个按钮控制智能微处理器产生上电时序，控制3个透明外壳继电器完成上电过程。可模拟直流母线大电容充电的电压缓慢上升过程，及上升阶段末端时，继电器投切状态，通过3个指示灯指示正极继电器，负极继电器，预充继电器状态；使用直流电机作为母线负载，其转速可调，具有维修塞模拟开关，及高压互锁模拟接插件。</w:t>
      </w:r>
    </w:p>
    <w:p w14:paraId="3AAB3C37">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磁电位置传感器实训板</w:t>
      </w:r>
    </w:p>
    <w:p w14:paraId="4CD91FA5">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由微处理器产生脉冲调制波（受电位器控制）驱动电动机，电机转盘上安装4mm强磁铁，强磁铁每圈靠近1次磁场检测线圈。使用磁场检测线圈检测磁场信号，经内部放大电路，整形电路处理该磁场信号，送到微处理器计算相应的轮速</w:t>
      </w:r>
      <w:r>
        <w:rPr>
          <w:rFonts w:hint="eastAsia" w:ascii="宋体" w:hAnsi="宋体" w:eastAsia="宋体"/>
          <w:color w:val="auto"/>
          <w:szCs w:val="21"/>
          <w:lang w:eastAsia="zh-CN"/>
        </w:rPr>
        <w:t>，</w:t>
      </w:r>
      <w:r>
        <w:rPr>
          <w:rFonts w:hint="eastAsia" w:ascii="宋体" w:hAnsi="宋体" w:eastAsia="宋体"/>
          <w:color w:val="auto"/>
          <w:szCs w:val="21"/>
        </w:rPr>
        <w:t>并显示到数码管。微处理器受车速/转速切换按钮控制，可以车速/转速模式显示到数码管，面板采用≥2mm铜质端子输出磁场检测线圈信号，及经过内部放大整形电路处理后的磁场检测线圈信号。</w:t>
      </w:r>
    </w:p>
    <w:p w14:paraId="4430B152">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DC/DC升压控制实训板</w:t>
      </w:r>
    </w:p>
    <w:p w14:paraId="6A20B6E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高压包线圈升高电压，输入电源采用DC12V，经过震荡电路，变压器升压，高压电容储能，触发电路，高压包升压电路产生高压，可调电阻调节触发的频率，面板含白色丝印电路图，配备震荡信号检测≥2mm铜质端子，高压脉冲检测≥2mm铜质端子，电源输入≥2mm铜质端子。安全保护：积木板底盒采用≥95</w:t>
      </w:r>
      <w:r>
        <w:rPr>
          <w:rFonts w:hint="eastAsia" w:ascii="宋体" w:hAnsi="宋体" w:eastAsia="宋体"/>
          <w:color w:val="auto"/>
          <w:szCs w:val="21"/>
          <w:lang w:val="en-US" w:eastAsia="zh-CN"/>
        </w:rPr>
        <w:t>×</w:t>
      </w:r>
      <w:r>
        <w:rPr>
          <w:rFonts w:hint="eastAsia" w:ascii="宋体" w:hAnsi="宋体" w:eastAsia="宋体"/>
          <w:color w:val="auto"/>
          <w:szCs w:val="21"/>
        </w:rPr>
        <w:t>95mm模具加工注塑成型，底盒保护防止控制电路短路，并安装有6个强磁铁。</w:t>
      </w:r>
    </w:p>
    <w:p w14:paraId="3E687D2F">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DC/DC降压控制实训板</w:t>
      </w:r>
    </w:p>
    <w:p w14:paraId="14D36BC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实训板内置3.3V线性稳压模块，5V线性稳压模块，面板含白色丝印电路图</w:t>
      </w:r>
      <w:r>
        <w:rPr>
          <w:rFonts w:hint="eastAsia" w:ascii="宋体" w:hAnsi="宋体" w:eastAsia="宋体"/>
          <w:color w:val="auto"/>
          <w:szCs w:val="21"/>
          <w:lang w:eastAsia="zh-CN"/>
        </w:rPr>
        <w:t>，</w:t>
      </w:r>
      <w:r>
        <w:rPr>
          <w:rFonts w:hint="eastAsia" w:ascii="宋体" w:hAnsi="宋体" w:eastAsia="宋体"/>
          <w:color w:val="auto"/>
          <w:szCs w:val="21"/>
        </w:rPr>
        <w:t>配备电源输入输出≥2mm铜质端子。</w:t>
      </w:r>
    </w:p>
    <w:p w14:paraId="28BA9BFB">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直流电机转速控制实训板</w:t>
      </w:r>
    </w:p>
    <w:p w14:paraId="53726087">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内置智能微处理器受电位器控制，产生脉冲宽度调制波控制电机以不同转速运转。电机转盘上有透光缺口。该透光缺口经过光信号耦合器时，产生随转速变化的转速电信号。转速电信号输出到面板≥2mm铜制检测端子供外部测量用，同时送回到微处理器中运算并将转速显示到数码管。微处理器同时受车速/转速切换按钮控制，可以车速/转速模式显示到数码管。</w:t>
      </w:r>
    </w:p>
    <w:p w14:paraId="2DF7807A">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三通道示波表及信号源</w:t>
      </w:r>
    </w:p>
    <w:p w14:paraId="532F3514">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功能概述：具有3路硬件通道，可同时观察三路模拟信号和数字信号波形，例如三相交流电压，电流信号、脉动波形等；</w:t>
      </w:r>
    </w:p>
    <w:p w14:paraId="12534D82">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参数设置：采用≥2.8英寸全彩液晶屏，采样率是0.8SPS到1MSPS，每通道存储深度具有3940点波形缓存，水平采样率从500S/div到1uS/格按照1、2、5间隔可调节，垂直灵敏度从20mV到20V/div按照1、2、5间隔可调节，每通道均可独立设置交直流耦合方式，每通道可独立设置其垂直位移，可从-5格到+5格之间任意设置；</w:t>
      </w:r>
    </w:p>
    <w:p w14:paraId="675B0F60">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触发模式：支持正常触发、自动触发、单次触发；触发电平-10格到正10格可调节；</w:t>
      </w:r>
    </w:p>
    <w:p w14:paraId="5F0006F1">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信号发生：可以产生从0.1Hz到10KHz之间的三角波、正弦波、矩形波，占空比0%到100%可调，幅度从0.1伏到3伏可调；</w:t>
      </w:r>
    </w:p>
    <w:p w14:paraId="34AD44E8">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频率测量：测量通道1信号，从5Hz到1MHz硬件频率计，基于周期测量和时间阀计数，并测量波形占空比；</w:t>
      </w:r>
    </w:p>
    <w:p w14:paraId="5B153702">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数值分析：自动测量并显示三个通道被测波形的电压谷值、峰值、峰峰值，有效值；</w:t>
      </w:r>
    </w:p>
    <w:p w14:paraId="22B19719">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菜单选择：所有界面设置用一个旋转数字编码开关来完成，通过左右转旋转旋钮来选定菜单，按下确认后进入下级菜单功能调整；</w:t>
      </w:r>
    </w:p>
    <w:p w14:paraId="459B79FC">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充电模式：仪器自带1500mAH可充电锂电池，工作时显示屏可以显示电池电量及电压，内置电池具有8小时续航能力，通过Micro-USB接口进行充电，可以使用市面通用手机充电器充电；</w:t>
      </w:r>
    </w:p>
    <w:p w14:paraId="217D7792">
      <w:pPr>
        <w:pStyle w:val="24"/>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工艺说明：外壳底座采用专用模具注塑成型，保护盖采用专用模具注塑成型透明外壳，尺寸≥95</w:t>
      </w:r>
      <w:r>
        <w:rPr>
          <w:rFonts w:hint="eastAsia" w:ascii="宋体" w:hAnsi="宋体" w:eastAsia="宋体"/>
          <w:color w:val="auto"/>
          <w:szCs w:val="21"/>
          <w:lang w:val="en-US" w:eastAsia="zh-CN"/>
        </w:rPr>
        <w:t>×</w:t>
      </w:r>
      <w:r>
        <w:rPr>
          <w:rFonts w:hint="eastAsia" w:ascii="宋体" w:hAnsi="宋体" w:eastAsia="宋体"/>
          <w:color w:val="auto"/>
          <w:szCs w:val="21"/>
        </w:rPr>
        <w:t>95mm，底盒内置强磁，示波器可以直接吸附在黑板或实训台上。</w:t>
      </w:r>
    </w:p>
    <w:p w14:paraId="6134C779">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可调电压锂电池模块</w:t>
      </w:r>
    </w:p>
    <w:p w14:paraId="70460A08">
      <w:pPr>
        <w:pStyle w:val="24"/>
        <w:keepNext w:val="0"/>
        <w:keepLines w:val="0"/>
        <w:pageBreakBefore w:val="0"/>
        <w:widowControl w:val="0"/>
        <w:numPr>
          <w:ilvl w:val="0"/>
          <w:numId w:val="38"/>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显示信息部分：采用3位数码管显示电池电压，微处理器经过检测后控制4个贴片发光二极管显示电池状态，分别是电池充满指示灯、电池过放指示灯，电池过充指示灯，充电状态指示灯</w:t>
      </w:r>
      <w:r>
        <w:rPr>
          <w:rFonts w:hint="eastAsia" w:ascii="宋体" w:hAnsi="宋体" w:eastAsia="宋体"/>
          <w:color w:val="auto"/>
          <w:szCs w:val="21"/>
          <w:lang w:eastAsia="zh-CN"/>
        </w:rPr>
        <w:t>；</w:t>
      </w:r>
    </w:p>
    <w:p w14:paraId="3769FF16">
      <w:pPr>
        <w:pStyle w:val="24"/>
        <w:keepNext w:val="0"/>
        <w:keepLines w:val="0"/>
        <w:pageBreakBefore w:val="0"/>
        <w:widowControl w:val="0"/>
        <w:numPr>
          <w:ilvl w:val="0"/>
          <w:numId w:val="38"/>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充放电控制：内部具有高效充电模块，能将通用5</w:t>
      </w:r>
      <w:r>
        <w:rPr>
          <w:rFonts w:hint="eastAsia" w:ascii="宋体" w:hAnsi="宋体" w:eastAsia="宋体"/>
          <w:color w:val="auto"/>
          <w:szCs w:val="21"/>
          <w:lang w:val="en-US" w:eastAsia="zh-CN"/>
        </w:rPr>
        <w:t>V</w:t>
      </w:r>
      <w:r>
        <w:rPr>
          <w:rFonts w:hint="eastAsia" w:ascii="宋体" w:hAnsi="宋体" w:eastAsia="宋体"/>
          <w:color w:val="auto"/>
          <w:szCs w:val="21"/>
        </w:rPr>
        <w:t>充电电源升压后提供12</w:t>
      </w:r>
      <w:r>
        <w:rPr>
          <w:rFonts w:hint="eastAsia" w:ascii="宋体" w:hAnsi="宋体" w:eastAsia="宋体"/>
          <w:color w:val="auto"/>
          <w:szCs w:val="21"/>
          <w:lang w:val="en-US" w:eastAsia="zh-CN"/>
        </w:rPr>
        <w:t>V</w:t>
      </w:r>
      <w:r>
        <w:rPr>
          <w:rFonts w:hint="eastAsia" w:ascii="宋体" w:hAnsi="宋体" w:eastAsia="宋体"/>
          <w:color w:val="auto"/>
          <w:szCs w:val="21"/>
        </w:rPr>
        <w:t>锂电池组充电。具有充满自停特性，具有3串均衡充电模块，即使锂电池单体特性不一致时，仍然能保证各个单体电池的电压是均衡的</w:t>
      </w:r>
      <w:r>
        <w:rPr>
          <w:rFonts w:hint="eastAsia" w:ascii="宋体" w:hAnsi="宋体" w:eastAsia="宋体"/>
          <w:color w:val="auto"/>
          <w:szCs w:val="21"/>
          <w:lang w:eastAsia="zh-CN"/>
        </w:rPr>
        <w:t>；</w:t>
      </w:r>
    </w:p>
    <w:p w14:paraId="3E22A51C">
      <w:pPr>
        <w:pStyle w:val="24"/>
        <w:keepNext w:val="0"/>
        <w:keepLines w:val="0"/>
        <w:pageBreakBefore w:val="0"/>
        <w:widowControl w:val="0"/>
        <w:numPr>
          <w:ilvl w:val="0"/>
          <w:numId w:val="38"/>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输出电压控制：内部具有高效DCDC降压模块，将12</w:t>
      </w:r>
      <w:r>
        <w:rPr>
          <w:rFonts w:hint="eastAsia" w:ascii="宋体" w:hAnsi="宋体" w:eastAsia="宋体"/>
          <w:color w:val="auto"/>
          <w:szCs w:val="21"/>
          <w:lang w:val="en-US" w:eastAsia="zh-CN"/>
        </w:rPr>
        <w:t>V</w:t>
      </w:r>
      <w:r>
        <w:rPr>
          <w:rFonts w:hint="eastAsia" w:ascii="宋体" w:hAnsi="宋体" w:eastAsia="宋体"/>
          <w:color w:val="auto"/>
          <w:szCs w:val="21"/>
        </w:rPr>
        <w:t>锂电池组电源降压产生0.8~12</w:t>
      </w:r>
      <w:r>
        <w:rPr>
          <w:rFonts w:hint="eastAsia" w:ascii="宋体" w:hAnsi="宋体" w:eastAsia="宋体"/>
          <w:color w:val="auto"/>
          <w:szCs w:val="21"/>
          <w:lang w:val="en-US" w:eastAsia="zh-CN"/>
        </w:rPr>
        <w:t>V</w:t>
      </w:r>
      <w:r>
        <w:rPr>
          <w:rFonts w:hint="eastAsia" w:ascii="宋体" w:hAnsi="宋体" w:eastAsia="宋体"/>
          <w:color w:val="auto"/>
          <w:szCs w:val="21"/>
        </w:rPr>
        <w:t>高度稳定的可调输出，使用电位计调节输出电压变化，使用点触开关切换电压显示模式，能分别显示可调输出电压/固定12</w:t>
      </w:r>
      <w:r>
        <w:rPr>
          <w:rFonts w:hint="eastAsia" w:ascii="宋体" w:hAnsi="宋体" w:eastAsia="宋体"/>
          <w:color w:val="auto"/>
          <w:szCs w:val="21"/>
          <w:lang w:val="en-US" w:eastAsia="zh-CN"/>
        </w:rPr>
        <w:t>V</w:t>
      </w:r>
      <w:r>
        <w:rPr>
          <w:rFonts w:hint="eastAsia" w:ascii="宋体" w:hAnsi="宋体" w:eastAsia="宋体"/>
          <w:color w:val="auto"/>
          <w:szCs w:val="21"/>
        </w:rPr>
        <w:t>输出电压</w:t>
      </w:r>
      <w:r>
        <w:rPr>
          <w:rFonts w:hint="eastAsia" w:ascii="宋体" w:hAnsi="宋体" w:eastAsia="宋体"/>
          <w:color w:val="auto"/>
          <w:szCs w:val="21"/>
          <w:lang w:eastAsia="zh-CN"/>
        </w:rPr>
        <w:t>；</w:t>
      </w:r>
    </w:p>
    <w:p w14:paraId="2DEEB473">
      <w:pPr>
        <w:pStyle w:val="24"/>
        <w:keepNext w:val="0"/>
        <w:keepLines w:val="0"/>
        <w:pageBreakBefore w:val="0"/>
        <w:widowControl w:val="0"/>
        <w:numPr>
          <w:ilvl w:val="0"/>
          <w:numId w:val="38"/>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省电控制模式：当使用电源时间超过2分钟后，单片机自动控制显示电压的数码管小数点闪亮，其余字段发光部分熄灭，以自大限度的节约电源消耗；</w:t>
      </w:r>
    </w:p>
    <w:p w14:paraId="5A48E045">
      <w:pPr>
        <w:pStyle w:val="24"/>
        <w:keepNext w:val="0"/>
        <w:keepLines w:val="0"/>
        <w:pageBreakBefore w:val="0"/>
        <w:widowControl w:val="0"/>
        <w:numPr>
          <w:ilvl w:val="0"/>
          <w:numId w:val="38"/>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自动保护功能：内置专用电池保护电路，具有短路/过流/过充/过放保护</w:t>
      </w:r>
      <w:r>
        <w:rPr>
          <w:rFonts w:hint="eastAsia" w:ascii="宋体" w:hAnsi="宋体" w:eastAsia="宋体"/>
          <w:color w:val="auto"/>
          <w:szCs w:val="21"/>
          <w:lang w:eastAsia="zh-CN"/>
        </w:rPr>
        <w:t>，</w:t>
      </w:r>
      <w:r>
        <w:rPr>
          <w:rFonts w:hint="eastAsia" w:ascii="宋体" w:hAnsi="宋体" w:eastAsia="宋体"/>
          <w:color w:val="auto"/>
          <w:szCs w:val="21"/>
        </w:rPr>
        <w:t>当短路/过放情况撤销后，自动恢复正常工作。电池对外输出最大电流为2000毫安，当超过2000毫安时，微处理器会自动控制切断对外输出，同时点亮红色保护二极管，当电源总开关断开后会再恢复对外输出</w:t>
      </w:r>
      <w:r>
        <w:rPr>
          <w:rFonts w:hint="eastAsia" w:ascii="宋体" w:hAnsi="宋体" w:eastAsia="宋体"/>
          <w:color w:val="auto"/>
          <w:szCs w:val="21"/>
          <w:lang w:eastAsia="zh-CN"/>
        </w:rPr>
        <w:t>；</w:t>
      </w:r>
    </w:p>
    <w:p w14:paraId="29B39C28">
      <w:pPr>
        <w:pStyle w:val="24"/>
        <w:keepNext w:val="0"/>
        <w:keepLines w:val="0"/>
        <w:pageBreakBefore w:val="0"/>
        <w:widowControl w:val="0"/>
        <w:numPr>
          <w:ilvl w:val="0"/>
          <w:numId w:val="38"/>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外壳保护：底盒保护和上盖透明保护模具用ABS材料注塑成型，内部</w:t>
      </w:r>
      <w:r>
        <w:rPr>
          <w:rFonts w:hint="eastAsia" w:ascii="宋体" w:hAnsi="宋体" w:eastAsia="宋体"/>
          <w:color w:val="auto"/>
          <w:szCs w:val="21"/>
          <w:lang w:val="en-US" w:eastAsia="zh-CN"/>
        </w:rPr>
        <w:t>使用</w:t>
      </w:r>
      <w:r>
        <w:rPr>
          <w:rFonts w:hint="eastAsia" w:ascii="宋体" w:hAnsi="宋体" w:eastAsia="宋体"/>
          <w:color w:val="auto"/>
          <w:szCs w:val="21"/>
        </w:rPr>
        <w:t>强磁用于固定，该模块可以吸附于黑板或配套的铁质实训模板上，磁性设计便于快速固定。</w:t>
      </w:r>
    </w:p>
    <w:p w14:paraId="3E9AE163">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直流电机控制实训板</w:t>
      </w:r>
    </w:p>
    <w:p w14:paraId="1125D50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面板具有加速、减速、启动、停止四个按钮及正转/反转开关控制微处理器，微处理器可产生4个不同的脉冲调制波，驱动桥式电机驱动功率电路，由桥式电机功率驱动电路驱动电机正转、反转、加/减速运行；面板采用白色字体打印工作电路图，并有4个信号端子，用于测量微处理器输出信号，及电机引脚电压信号波形。</w:t>
      </w:r>
    </w:p>
    <w:p w14:paraId="363FDCE6">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太阳能电池特性实训板</w:t>
      </w:r>
    </w:p>
    <w:p w14:paraId="3AF5305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一个亮度可调的强光源，其光线直射到硅光电池板上。硅光电池板将光能转换为电能，经过储能后，由微处理器驱动数码管显示其输出电压。实训板面板配备太阳能光伏电池板电压输出检测≥2mm铜质端子，电源输入≥2mm铜质端子。</w:t>
      </w:r>
    </w:p>
    <w:p w14:paraId="18F23425">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超级电容充放电原理实训板</w:t>
      </w:r>
    </w:p>
    <w:p w14:paraId="26DF85D5">
      <w:pPr>
        <w:pStyle w:val="24"/>
        <w:keepNext w:val="0"/>
        <w:keepLines w:val="0"/>
        <w:pageBreakBefore w:val="0"/>
        <w:widowControl w:val="0"/>
        <w:numPr>
          <w:ilvl w:val="0"/>
          <w:numId w:val="39"/>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实训板面板打印电路工作原理图</w:t>
      </w:r>
      <w:r>
        <w:rPr>
          <w:rFonts w:hint="eastAsia" w:ascii="宋体" w:hAnsi="宋体" w:eastAsia="宋体"/>
          <w:color w:val="auto"/>
          <w:szCs w:val="21"/>
          <w:lang w:eastAsia="zh-CN"/>
        </w:rPr>
        <w:t>，</w:t>
      </w:r>
      <w:r>
        <w:rPr>
          <w:rFonts w:hint="eastAsia" w:ascii="宋体" w:hAnsi="宋体" w:eastAsia="宋体"/>
          <w:color w:val="auto"/>
          <w:szCs w:val="21"/>
        </w:rPr>
        <w:t>具有≥2mm外接电流表端子用于测量超级电容的电流</w:t>
      </w:r>
      <w:r>
        <w:rPr>
          <w:rFonts w:hint="eastAsia" w:ascii="宋体" w:hAnsi="宋体" w:eastAsia="宋体"/>
          <w:color w:val="auto"/>
          <w:szCs w:val="21"/>
          <w:lang w:eastAsia="zh-CN"/>
        </w:rPr>
        <w:t>，</w:t>
      </w:r>
      <w:r>
        <w:rPr>
          <w:rFonts w:hint="eastAsia" w:ascii="宋体" w:hAnsi="宋体" w:eastAsia="宋体"/>
          <w:color w:val="auto"/>
          <w:szCs w:val="21"/>
        </w:rPr>
        <w:t>具有≥2mm外接电压表端子用于测量超级电容的电压；</w:t>
      </w:r>
    </w:p>
    <w:p w14:paraId="053910D3">
      <w:pPr>
        <w:pStyle w:val="24"/>
        <w:keepNext w:val="0"/>
        <w:keepLines w:val="0"/>
        <w:pageBreakBefore w:val="0"/>
        <w:widowControl w:val="0"/>
        <w:numPr>
          <w:ilvl w:val="0"/>
          <w:numId w:val="39"/>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充电：开关投切到充电档，通过恒流恒压电路对超级电容充电</w:t>
      </w:r>
      <w:r>
        <w:rPr>
          <w:rFonts w:hint="eastAsia" w:ascii="宋体" w:hAnsi="宋体" w:eastAsia="宋体"/>
          <w:color w:val="auto"/>
          <w:szCs w:val="21"/>
          <w:lang w:eastAsia="zh-CN"/>
        </w:rPr>
        <w:t>，</w:t>
      </w:r>
      <w:r>
        <w:rPr>
          <w:rFonts w:hint="eastAsia" w:ascii="宋体" w:hAnsi="宋体" w:eastAsia="宋体"/>
          <w:color w:val="auto"/>
          <w:szCs w:val="21"/>
        </w:rPr>
        <w:t>可用外接电压表电流表测量超级电容的充电电压和充电电流；</w:t>
      </w:r>
    </w:p>
    <w:p w14:paraId="70381E9A">
      <w:pPr>
        <w:pStyle w:val="24"/>
        <w:keepNext w:val="0"/>
        <w:keepLines w:val="0"/>
        <w:pageBreakBefore w:val="0"/>
        <w:widowControl w:val="0"/>
        <w:numPr>
          <w:ilvl w:val="0"/>
          <w:numId w:val="39"/>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放电：开关切换到放电档，超级电容通过调速电路给电动机供电</w:t>
      </w:r>
      <w:r>
        <w:rPr>
          <w:rFonts w:hint="eastAsia" w:ascii="宋体" w:hAnsi="宋体" w:eastAsia="宋体"/>
          <w:color w:val="auto"/>
          <w:szCs w:val="21"/>
          <w:lang w:eastAsia="zh-CN"/>
        </w:rPr>
        <w:t>，</w:t>
      </w:r>
      <w:r>
        <w:rPr>
          <w:rFonts w:hint="eastAsia" w:ascii="宋体" w:hAnsi="宋体" w:eastAsia="宋体"/>
          <w:color w:val="auto"/>
          <w:szCs w:val="21"/>
        </w:rPr>
        <w:t>电动机运转</w:t>
      </w:r>
      <w:r>
        <w:rPr>
          <w:rFonts w:hint="eastAsia" w:ascii="宋体" w:hAnsi="宋体" w:eastAsia="宋体"/>
          <w:color w:val="auto"/>
          <w:szCs w:val="21"/>
          <w:lang w:eastAsia="zh-CN"/>
        </w:rPr>
        <w:t>，</w:t>
      </w:r>
      <w:r>
        <w:rPr>
          <w:rFonts w:hint="eastAsia" w:ascii="宋体" w:hAnsi="宋体" w:eastAsia="宋体"/>
          <w:color w:val="auto"/>
          <w:szCs w:val="21"/>
        </w:rPr>
        <w:t>可用外接电压表和电流表测量超级电容的电压和放电电流；</w:t>
      </w:r>
    </w:p>
    <w:p w14:paraId="6FFF0089">
      <w:pPr>
        <w:pStyle w:val="24"/>
        <w:keepNext w:val="0"/>
        <w:keepLines w:val="0"/>
        <w:pageBreakBefore w:val="0"/>
        <w:widowControl w:val="0"/>
        <w:numPr>
          <w:ilvl w:val="0"/>
          <w:numId w:val="39"/>
        </w:numPr>
        <w:kinsoku/>
        <w:wordWrap/>
        <w:overflowPunct/>
        <w:topLinePunct w:val="0"/>
        <w:autoSpaceDE/>
        <w:autoSpaceDN/>
        <w:bidi w:val="0"/>
        <w:adjustRightInd/>
        <w:snapToGrid w:val="0"/>
        <w:spacing w:line="360" w:lineRule="auto"/>
        <w:ind w:left="425" w:leftChars="0" w:hanging="425" w:firstLineChars="0"/>
        <w:contextualSpacing/>
        <w:jc w:val="both"/>
        <w:textAlignment w:val="auto"/>
        <w:rPr>
          <w:rFonts w:hint="eastAsia" w:ascii="宋体" w:hAnsi="宋体" w:eastAsia="宋体"/>
          <w:color w:val="auto"/>
          <w:szCs w:val="21"/>
        </w:rPr>
      </w:pPr>
      <w:r>
        <w:rPr>
          <w:rFonts w:hint="eastAsia" w:ascii="宋体" w:hAnsi="宋体" w:eastAsia="宋体"/>
          <w:color w:val="auto"/>
          <w:szCs w:val="21"/>
        </w:rPr>
        <w:t>安全保护：积木板底盒采用≥95</w:t>
      </w:r>
      <w:r>
        <w:rPr>
          <w:rFonts w:hint="eastAsia" w:ascii="宋体" w:hAnsi="宋体" w:eastAsia="宋体"/>
          <w:color w:val="auto"/>
          <w:szCs w:val="21"/>
          <w:lang w:val="en-US" w:eastAsia="zh-CN"/>
        </w:rPr>
        <w:t>×</w:t>
      </w:r>
      <w:r>
        <w:rPr>
          <w:rFonts w:hint="eastAsia" w:ascii="宋体" w:hAnsi="宋体" w:eastAsia="宋体"/>
          <w:color w:val="auto"/>
          <w:szCs w:val="21"/>
        </w:rPr>
        <w:t>95mm模具加工注塑成型，底盒保护防止控制电路短路，安装强磁铁。</w:t>
      </w:r>
    </w:p>
    <w:p w14:paraId="33967F0D">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AC/AC三相变单相实训板</w:t>
      </w:r>
    </w:p>
    <w:p w14:paraId="362DE47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实训板面板打印电路工作原理图，左侧3个≥2mm铜质端子输入三相交流电，经电路处理，右侧两个≥2mm铜质端子</w:t>
      </w:r>
      <w:r>
        <w:rPr>
          <w:rFonts w:hint="eastAsia" w:ascii="宋体" w:hAnsi="宋体" w:eastAsia="宋体"/>
          <w:color w:val="auto"/>
          <w:szCs w:val="21"/>
          <w:highlight w:val="none"/>
        </w:rPr>
        <w:t>输出脉动电压。</w:t>
      </w:r>
    </w:p>
    <w:p w14:paraId="6A1DB7E1">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霍尔油门位置传感器实训板</w:t>
      </w:r>
    </w:p>
    <w:p w14:paraId="73FCBA1E">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实训板面板打印电路工作原理图，油门转盘上安装正负极性强磁铁，并设置线性霍尔传感器来检测油门转盘位置</w:t>
      </w:r>
      <w:r>
        <w:rPr>
          <w:rFonts w:hint="eastAsia" w:ascii="宋体" w:hAnsi="宋体" w:eastAsia="宋体"/>
          <w:color w:val="auto"/>
          <w:szCs w:val="21"/>
          <w:lang w:eastAsia="zh-CN"/>
        </w:rPr>
        <w:t>，</w:t>
      </w:r>
      <w:r>
        <w:rPr>
          <w:rFonts w:hint="eastAsia" w:ascii="宋体" w:hAnsi="宋体" w:eastAsia="宋体"/>
          <w:color w:val="auto"/>
          <w:szCs w:val="21"/>
        </w:rPr>
        <w:t>将线性霍尔传感器输出到微处理器经过计算显示出电压数值；实训板提供≥2mm铜质端子以供测量霍尔传感器输出电压。</w:t>
      </w:r>
    </w:p>
    <w:p w14:paraId="276494B1">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单相变三相电压实训板</w:t>
      </w:r>
    </w:p>
    <w:p w14:paraId="6847D097">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实训板面板打印电路工作原理图，输入直流12</w:t>
      </w:r>
      <w:r>
        <w:rPr>
          <w:rFonts w:hint="eastAsia" w:ascii="宋体" w:hAnsi="宋体" w:eastAsia="宋体"/>
          <w:color w:val="auto"/>
          <w:szCs w:val="21"/>
          <w:lang w:val="en-US" w:eastAsia="zh-CN"/>
        </w:rPr>
        <w:t>V</w:t>
      </w:r>
      <w:r>
        <w:rPr>
          <w:rFonts w:hint="eastAsia" w:ascii="宋体" w:hAnsi="宋体" w:eastAsia="宋体"/>
          <w:color w:val="auto"/>
          <w:szCs w:val="21"/>
        </w:rPr>
        <w:t>电源或单相交流12</w:t>
      </w:r>
      <w:r>
        <w:rPr>
          <w:rFonts w:hint="eastAsia" w:ascii="宋体" w:hAnsi="宋体" w:eastAsia="宋体"/>
          <w:color w:val="auto"/>
          <w:szCs w:val="21"/>
          <w:lang w:val="en-US" w:eastAsia="zh-CN"/>
        </w:rPr>
        <w:t>V</w:t>
      </w:r>
      <w:r>
        <w:rPr>
          <w:rFonts w:hint="eastAsia" w:ascii="宋体" w:hAnsi="宋体" w:eastAsia="宋体"/>
          <w:color w:val="auto"/>
          <w:szCs w:val="21"/>
        </w:rPr>
        <w:t>电源</w:t>
      </w:r>
      <w:r>
        <w:rPr>
          <w:rFonts w:hint="eastAsia" w:ascii="宋体" w:hAnsi="宋体" w:eastAsia="宋体"/>
          <w:color w:val="auto"/>
          <w:szCs w:val="21"/>
          <w:lang w:eastAsia="zh-CN"/>
        </w:rPr>
        <w:t>，</w:t>
      </w:r>
      <w:r>
        <w:rPr>
          <w:rFonts w:hint="eastAsia" w:ascii="宋体" w:hAnsi="宋体" w:eastAsia="宋体"/>
          <w:color w:val="auto"/>
          <w:szCs w:val="21"/>
        </w:rPr>
        <w:t>输出三相星型正弦波电压</w:t>
      </w:r>
      <w:r>
        <w:rPr>
          <w:rFonts w:hint="eastAsia" w:ascii="宋体" w:hAnsi="宋体" w:eastAsia="宋体"/>
          <w:color w:val="auto"/>
          <w:szCs w:val="21"/>
          <w:lang w:eastAsia="zh-CN"/>
        </w:rPr>
        <w:t>，</w:t>
      </w:r>
      <w:r>
        <w:rPr>
          <w:rFonts w:hint="eastAsia" w:ascii="宋体" w:hAnsi="宋体" w:eastAsia="宋体"/>
          <w:color w:val="auto"/>
          <w:szCs w:val="21"/>
        </w:rPr>
        <w:t>输出电压的频率，幅度可通过设置按钮调节</w:t>
      </w:r>
      <w:r>
        <w:rPr>
          <w:rFonts w:hint="eastAsia" w:ascii="宋体" w:hAnsi="宋体" w:eastAsia="宋体"/>
          <w:color w:val="auto"/>
          <w:szCs w:val="21"/>
          <w:lang w:eastAsia="zh-CN"/>
        </w:rPr>
        <w:t>，</w:t>
      </w:r>
      <w:r>
        <w:rPr>
          <w:rFonts w:hint="eastAsia" w:ascii="宋体" w:hAnsi="宋体" w:eastAsia="宋体"/>
          <w:color w:val="auto"/>
          <w:szCs w:val="21"/>
        </w:rPr>
        <w:t>输出三相电压采用≥2mm铜质端子引出，每相电压用两个发光二极管指示瞬间极性。</w:t>
      </w:r>
    </w:p>
    <w:p w14:paraId="78043C69">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三相电机驱动实训板</w:t>
      </w:r>
    </w:p>
    <w:p w14:paraId="0DC2547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采用智能BLDC驱动芯片产生3个互差120°的正弦波，驱动三相电机运转</w:t>
      </w:r>
      <w:r>
        <w:rPr>
          <w:rFonts w:hint="eastAsia" w:ascii="宋体" w:hAnsi="宋体" w:eastAsia="宋体"/>
          <w:color w:val="auto"/>
          <w:szCs w:val="21"/>
          <w:lang w:eastAsia="zh-CN"/>
        </w:rPr>
        <w:t>，</w:t>
      </w:r>
      <w:r>
        <w:rPr>
          <w:rFonts w:hint="eastAsia" w:ascii="宋体" w:hAnsi="宋体" w:eastAsia="宋体"/>
          <w:color w:val="auto"/>
          <w:szCs w:val="21"/>
        </w:rPr>
        <w:t>通过电位器无极调节其波形频率进而控制三相电机的转速</w:t>
      </w:r>
      <w:r>
        <w:rPr>
          <w:rFonts w:hint="eastAsia" w:ascii="宋体" w:hAnsi="宋体" w:eastAsia="宋体"/>
          <w:color w:val="auto"/>
          <w:szCs w:val="21"/>
          <w:lang w:eastAsia="zh-CN"/>
        </w:rPr>
        <w:t>，</w:t>
      </w:r>
      <w:r>
        <w:rPr>
          <w:rFonts w:hint="eastAsia" w:ascii="宋体" w:hAnsi="宋体" w:eastAsia="宋体"/>
          <w:color w:val="auto"/>
          <w:szCs w:val="21"/>
        </w:rPr>
        <w:t>电机的运行端子电压波形通过Uca</w:t>
      </w:r>
      <w:r>
        <w:rPr>
          <w:rFonts w:hint="eastAsia" w:ascii="宋体" w:hAnsi="宋体" w:eastAsia="宋体"/>
          <w:color w:val="auto"/>
          <w:szCs w:val="21"/>
          <w:lang w:eastAsia="zh-CN"/>
        </w:rPr>
        <w:t>，</w:t>
      </w:r>
      <w:r>
        <w:rPr>
          <w:rFonts w:hint="eastAsia" w:ascii="宋体" w:hAnsi="宋体" w:eastAsia="宋体"/>
          <w:color w:val="auto"/>
          <w:szCs w:val="21"/>
        </w:rPr>
        <w:t>Ubc</w:t>
      </w:r>
      <w:r>
        <w:rPr>
          <w:rFonts w:hint="eastAsia" w:ascii="宋体" w:hAnsi="宋体" w:eastAsia="宋体"/>
          <w:color w:val="auto"/>
          <w:szCs w:val="21"/>
          <w:lang w:eastAsia="zh-CN"/>
        </w:rPr>
        <w:t>，</w:t>
      </w:r>
      <w:r>
        <w:rPr>
          <w:rFonts w:hint="eastAsia" w:ascii="宋体" w:hAnsi="宋体" w:eastAsia="宋体"/>
          <w:color w:val="auto"/>
          <w:szCs w:val="21"/>
        </w:rPr>
        <w:t>Uab3个端子输出</w:t>
      </w:r>
      <w:r>
        <w:rPr>
          <w:rFonts w:hint="eastAsia" w:ascii="宋体" w:hAnsi="宋体" w:eastAsia="宋体"/>
          <w:color w:val="auto"/>
          <w:szCs w:val="21"/>
          <w:lang w:eastAsia="zh-CN"/>
        </w:rPr>
        <w:t>，</w:t>
      </w:r>
      <w:r>
        <w:rPr>
          <w:rFonts w:hint="eastAsia" w:ascii="宋体" w:hAnsi="宋体" w:eastAsia="宋体"/>
          <w:color w:val="auto"/>
          <w:szCs w:val="21"/>
        </w:rPr>
        <w:t>转速脉冲引出可外接示波器查看转速波形</w:t>
      </w:r>
      <w:r>
        <w:rPr>
          <w:rFonts w:hint="eastAsia" w:ascii="宋体" w:hAnsi="宋体" w:eastAsia="宋体"/>
          <w:color w:val="auto"/>
          <w:szCs w:val="21"/>
          <w:lang w:eastAsia="zh-CN"/>
        </w:rPr>
        <w:t>，</w:t>
      </w:r>
      <w:r>
        <w:rPr>
          <w:rFonts w:hint="eastAsia" w:ascii="宋体" w:hAnsi="宋体" w:eastAsia="宋体"/>
          <w:color w:val="auto"/>
          <w:szCs w:val="21"/>
        </w:rPr>
        <w:t>转速脉冲同时连接到微处理器测量电机的转速并显示。</w:t>
      </w:r>
    </w:p>
    <w:p w14:paraId="364E08E9">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直流电流表</w:t>
      </w:r>
    </w:p>
    <w:p w14:paraId="089C324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可测量-500mA~+500mA范围的电流，内置可充电锂电池供电，4位数码管显示。带过电流自恢复保护</w:t>
      </w:r>
      <w:r>
        <w:rPr>
          <w:rFonts w:hint="eastAsia" w:ascii="宋体" w:hAnsi="宋体" w:eastAsia="宋体"/>
          <w:color w:val="auto"/>
          <w:szCs w:val="21"/>
          <w:lang w:eastAsia="zh-CN"/>
        </w:rPr>
        <w:t>，</w:t>
      </w:r>
      <w:r>
        <w:rPr>
          <w:rFonts w:hint="eastAsia" w:ascii="宋体" w:hAnsi="宋体" w:eastAsia="宋体"/>
          <w:color w:val="auto"/>
          <w:szCs w:val="21"/>
        </w:rPr>
        <w:t>内置锂电池可用MicroUSB口进行充电；充满电可连续使用20小时，长时间数值不变动时，自动进入休眠状态以节约电能。</w:t>
      </w:r>
    </w:p>
    <w:p w14:paraId="42649F3C">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直流电流表</w:t>
      </w:r>
    </w:p>
    <w:p w14:paraId="2325F4C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可测量-500mA~+500mA范围的电流，内置可充电锂电池供电，4位数码管显示。带过电流自恢复保护</w:t>
      </w:r>
      <w:r>
        <w:rPr>
          <w:rFonts w:hint="eastAsia" w:ascii="宋体" w:hAnsi="宋体" w:eastAsia="宋体"/>
          <w:color w:val="auto"/>
          <w:szCs w:val="21"/>
          <w:lang w:eastAsia="zh-CN"/>
        </w:rPr>
        <w:t>，</w:t>
      </w:r>
      <w:r>
        <w:rPr>
          <w:rFonts w:hint="eastAsia" w:ascii="宋体" w:hAnsi="宋体" w:eastAsia="宋体"/>
          <w:color w:val="auto"/>
          <w:szCs w:val="21"/>
        </w:rPr>
        <w:t>内置锂电池可用MicroUSB口进行充电；充满电可连续使用20小时</w:t>
      </w:r>
      <w:r>
        <w:rPr>
          <w:rFonts w:hint="eastAsia" w:ascii="宋体" w:hAnsi="宋体" w:eastAsia="宋体"/>
          <w:color w:val="auto"/>
          <w:szCs w:val="21"/>
          <w:lang w:eastAsia="zh-CN"/>
        </w:rPr>
        <w:t>，</w:t>
      </w:r>
      <w:r>
        <w:rPr>
          <w:rFonts w:hint="eastAsia" w:ascii="宋体" w:hAnsi="宋体" w:eastAsia="宋体"/>
          <w:color w:val="auto"/>
          <w:szCs w:val="21"/>
        </w:rPr>
        <w:t>长时间数值不变动时，自动进入休眠状态以节约电能。</w:t>
      </w:r>
    </w:p>
    <w:p w14:paraId="679B7648">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直流电压表</w:t>
      </w:r>
    </w:p>
    <w:p w14:paraId="346B966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可测量-20V~+20V范围的电压，内置可充电锂电池供电，4位数码管显示</w:t>
      </w:r>
      <w:r>
        <w:rPr>
          <w:rFonts w:hint="eastAsia" w:ascii="宋体" w:hAnsi="宋体" w:eastAsia="宋体"/>
          <w:color w:val="auto"/>
          <w:szCs w:val="21"/>
          <w:lang w:eastAsia="zh-CN"/>
        </w:rPr>
        <w:t>，</w:t>
      </w:r>
      <w:r>
        <w:rPr>
          <w:rFonts w:hint="eastAsia" w:ascii="宋体" w:hAnsi="宋体" w:eastAsia="宋体"/>
          <w:color w:val="auto"/>
          <w:szCs w:val="21"/>
        </w:rPr>
        <w:t>内置锂电池可用MicroUSB口进行充电；充满电可连续使用20小时</w:t>
      </w:r>
      <w:r>
        <w:rPr>
          <w:rFonts w:hint="eastAsia" w:ascii="宋体" w:hAnsi="宋体" w:eastAsia="宋体"/>
          <w:color w:val="auto"/>
          <w:szCs w:val="21"/>
          <w:lang w:eastAsia="zh-CN"/>
        </w:rPr>
        <w:t>，</w:t>
      </w:r>
      <w:r>
        <w:rPr>
          <w:rFonts w:hint="eastAsia" w:ascii="宋体" w:hAnsi="宋体" w:eastAsia="宋体"/>
          <w:color w:val="auto"/>
          <w:szCs w:val="21"/>
        </w:rPr>
        <w:t>长时间数值不变动时，自动进入休眠状态以节约电能。</w:t>
      </w:r>
    </w:p>
    <w:p w14:paraId="73E08C5C">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直流电压表</w:t>
      </w:r>
    </w:p>
    <w:p w14:paraId="1489FA6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可测量-20V~+20V范围的电压，内置可充电锂电池供电，4位数码管显示。内置锂电池可用MicroUSB口进行充电；充满电可连续使用20小时</w:t>
      </w:r>
      <w:r>
        <w:rPr>
          <w:rFonts w:hint="eastAsia" w:ascii="宋体" w:hAnsi="宋体" w:eastAsia="宋体"/>
          <w:color w:val="auto"/>
          <w:szCs w:val="21"/>
          <w:lang w:eastAsia="zh-CN"/>
        </w:rPr>
        <w:t>，</w:t>
      </w:r>
      <w:r>
        <w:rPr>
          <w:rFonts w:hint="eastAsia" w:ascii="宋体" w:hAnsi="宋体" w:eastAsia="宋体"/>
          <w:color w:val="auto"/>
          <w:szCs w:val="21"/>
        </w:rPr>
        <w:t>长时间数值不变动时，自动进入休眠状态以节约电能。</w:t>
      </w:r>
    </w:p>
    <w:p w14:paraId="5B8815D2">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电流对人体的作用实训板</w:t>
      </w:r>
    </w:p>
    <w:p w14:paraId="63AAC7D5">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内置升压电路将12V升压到250V直流电，当人体触摸于两个电极上时，产生一定的直流电流经人体，模拟人体被直流电触电时产生生理反应。使用高速保护电路自动控制流经人体的电流大小处于安全范围（0.1mA~2mA），同时内置微处理器自动计算，通过3个4位数码管实时显示当前输出电压，人体电流和人体的电阻。</w:t>
      </w:r>
    </w:p>
    <w:p w14:paraId="4BD7EB24">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PTC加热温度控制实训板</w:t>
      </w:r>
    </w:p>
    <w:p w14:paraId="02ADC91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PTC元件采用12V/75度PTC元件，紧贴一个数字温度传感器实时测量其温度。使用一个加热开关控制PTC元件的工作，实训板内置微处理器实时测量PTC元件的工作温度并计算等效电阻，以数码管显示出来。</w:t>
      </w:r>
    </w:p>
    <w:p w14:paraId="04D4073B">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二极管整流器实训板</w:t>
      </w:r>
    </w:p>
    <w:p w14:paraId="112DF225">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实训板以≥2mm铜质端子引出单个二极管构成的半波整流器的输入输出端子；实训板以≥2mm铜质端子引出全波桥式整流器的输入输出端子。</w:t>
      </w:r>
    </w:p>
    <w:p w14:paraId="25A8D82F">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汽车电磁阀实训板</w:t>
      </w:r>
    </w:p>
    <w:p w14:paraId="0EB559D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实训板内置大功率驱动电路和续流保护电流驱动电磁阀工作</w:t>
      </w:r>
      <w:r>
        <w:rPr>
          <w:rFonts w:hint="eastAsia" w:ascii="宋体" w:hAnsi="宋体" w:eastAsia="宋体"/>
          <w:color w:val="auto"/>
          <w:szCs w:val="21"/>
          <w:lang w:eastAsia="zh-CN"/>
        </w:rPr>
        <w:t>，</w:t>
      </w:r>
      <w:r>
        <w:rPr>
          <w:rFonts w:hint="eastAsia" w:ascii="宋体" w:hAnsi="宋体" w:eastAsia="宋体"/>
          <w:color w:val="auto"/>
          <w:szCs w:val="21"/>
        </w:rPr>
        <w:t>引出≥2mm铜质端子作为控制信号输入端，可兼容3~8V信号输入。</w:t>
      </w:r>
    </w:p>
    <w:p w14:paraId="34D95A23">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交流变压器原理实训板</w:t>
      </w:r>
    </w:p>
    <w:p w14:paraId="1D25025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一个频率可调的低压交流电产生电路，可产生1.5V低压交流电（不足以驱动LED指示灯发光）。及一个347/32的升压变压器，以≥2mm铜质端子引出初次级端子。通过跨接线连接升压变压器的初级线圈到低压交流电源上，其次级可输出12V交流电。（次级通过跨接线连接到LED指示灯可点亮LED），以演示变压器的升压作用。</w:t>
      </w:r>
    </w:p>
    <w:p w14:paraId="3ED653E2">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微处理器最小系统</w:t>
      </w:r>
    </w:p>
    <w:p w14:paraId="13DC8231">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51内核微处理器，将P1口8个端子引出，可做单片机扩展控制实验。处理器包含10位ADC，3路CCP/PWM/PCA,1路UART,1路SPI口等资源，通过MicroUSB线直接下载程序到实训板；实训板引出≥2mm铜质5伏端子（具有过电流保护），可用外部电源对最小系统进行供电，在使用USB供电时，实训板也可对外输出5V给其它模块供电。</w:t>
      </w:r>
    </w:p>
    <w:p w14:paraId="4EB0FE3C">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NTC测温控制实训板</w:t>
      </w:r>
    </w:p>
    <w:p w14:paraId="18CDF00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一个NTC热敏电阻带上拉电阻构成温度测量电路，内置一个三极管带金膜电阻构成加热电路，内置一个三极管驱动直流电机作为风机电路；将实训板连接到微处理器最小系统实训板，配合编写好的控制程序，可模拟汽车热风空调系统的工作过程。</w:t>
      </w:r>
    </w:p>
    <w:p w14:paraId="1E358B01">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CAN总线车窗控制实训板</w:t>
      </w:r>
    </w:p>
    <w:p w14:paraId="6C0F2F6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内置四个独立的CAN通信节点，每个CAN节点带一个双色LED（指示车窗电机工作状态），每个CAN节点带一小型电动机模拟车窗电机，主节点（驾驶位开关）可控制另外3个节点的车窗升降和自身的车窗升降。每个节点通过2位拨码开关控制其接入总线（模拟总线断路故障），副节点可控制自身的车窗升降；实训板将CANH和CANL线引出，可使用跨接线将CAN线接地及短接来模拟CAN总线故障情况，使用示波器来观察CAN总线波形。</w:t>
      </w:r>
    </w:p>
    <w:p w14:paraId="537D9172">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无线充电实训板</w:t>
      </w:r>
    </w:p>
    <w:p w14:paraId="49D9FAD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上下两个板子构成无线充电，下板是无线发射板，上板是无线接收板，上下板之间采用铜柱固定（可拆开调整耦合距离），通过35mm的铜线圈耦合无线能量；无线发射模块可检测接收板是否存在，充电是否完成；无线接收板内置3.7V锂电池，充电电流200mA，过充过放保护。可通过电阻对锂电池放电，通过≥2mm铜质端子引出锂电池电压，对其它负载供电。</w:t>
      </w:r>
    </w:p>
    <w:p w14:paraId="2417B99D">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霍尔转速传感器实训板</w:t>
      </w:r>
    </w:p>
    <w:p w14:paraId="2C66F9D6">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lang w:eastAsia="zh-CN"/>
        </w:rPr>
      </w:pPr>
      <w:r>
        <w:rPr>
          <w:rFonts w:hint="eastAsia" w:ascii="宋体" w:hAnsi="宋体" w:eastAsia="宋体"/>
          <w:color w:val="auto"/>
          <w:szCs w:val="21"/>
        </w:rPr>
        <w:t>实训板将圆形的多级磁环转盘固定在电机上由电机带动旋转，多级磁环磁极附近有霍尔感应元件，将霍尔元件信号输出到≥2mm铜质端子，可连接示波器测量波形。并内置微处理器实时显示转速和车速</w:t>
      </w:r>
      <w:r>
        <w:rPr>
          <w:rFonts w:hint="eastAsia" w:ascii="宋体" w:hAnsi="宋体" w:eastAsia="宋体"/>
          <w:color w:val="auto"/>
          <w:szCs w:val="21"/>
          <w:lang w:eastAsia="zh-CN"/>
        </w:rPr>
        <w:t>。</w:t>
      </w:r>
    </w:p>
    <w:p w14:paraId="4C7B442F">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MOS管驱动原理实训板</w:t>
      </w:r>
    </w:p>
    <w:p w14:paraId="49037AB1">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版内置一个单片机，分别驱动两个MOS管，展示两种MOS管不同的关断模式，一种是下拉电阻式，能够防止MOS管悬空状态，下拉电阻上端有跳线帽，需要通过取下跳线帽来研究MOS管驱动过程中下拉电阻的作用，驱动电路上有一个LED指示灯，可显示MOS管的工作情况。另外一种需要通过三极管来关断MOS管，三极管基极上端有跳线帽，需要通过取下跳线帽来研究MOS管驱动过程中三极管的作用，两种关断方式可进行对比，用来研究关断的快慢。调节旋钮可以改变单片机的驱动频率，能够调节两个LED灯的亮度，MOS管三个极有测量空，可测量MOS管的好坏情况。实训版左上角放置一个2.1英寸的显示屏，显示屏需要显示MOS管的开关频率。元件信号输出到≥2mm铜质端子，可连接示波器测量波形。电源正负极需要设置反接保护，防止正负极短路，正负极之间需要设置一个电源显示灯，显示是否电源接通。面板通过喷漆技术喷有电路图，可研究电路走向和电路原理。</w:t>
      </w:r>
    </w:p>
    <w:p w14:paraId="70AE494E">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运算放大器应用实训板</w:t>
      </w:r>
    </w:p>
    <w:p w14:paraId="7AF5CB8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实训板为同相运放电路实训板，实训板需要设置模式开关，可通过模式开关，选择两个放大档位，分别放大10倍和20倍。放大电路中正极需要通过滑动点电阻来调节输入电压，根据放大原理，输出端可以按照放大倍数对输入电压进行放大，对放大的电压需要测量。采用运放芯片对电路输入的电压进行放大，然后通过ADC最后传递信号给单片机，经过单片机的处理，把放大的倍数显示在显示屏上，实训板有拨码开关，可选择两个挡位，进行不同的放大倍数调节，转动电位计可以改变电压，然后经过放大最终输出信号给到单片机。实训版左上角放置一个2.1英寸的显示屏，可显示放大倍数、输入电压和输出电压。可显示不同的电压。元件信号输出到≥2mm铜质端子，可连接示波器测量波形。电源正负极需要设置反接保护，防止正负极短路，正负极之间需要设置一个电源显示灯，显示是否电源接通。面板通过喷漆技术喷有电路图，可研究电路走向和电路原理。</w:t>
      </w:r>
    </w:p>
    <w:p w14:paraId="2A90EFDE">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光电耦合应用实训板</w:t>
      </w:r>
    </w:p>
    <w:p w14:paraId="3C3073F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引入光耦，需要通过拨码改变光耦输入端信号的通断，来控制输出端的信号，最终控制继电器的工作。元件信号输出到≥2mm铜质端子，可连接示波器测量波形。电源正负极需要设置反接保护，防止正负极短路，正负极之间需要设置一个电源显示灯，显示是否电源接通。面板通过喷漆技术喷有电路图，可研究电路走向和电路原理。</w:t>
      </w:r>
    </w:p>
    <w:p w14:paraId="703DE0DF">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BUCK降压原理实训板</w:t>
      </w:r>
    </w:p>
    <w:p w14:paraId="3740A659">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标准的BUCK降压电路，稳压电容、三极管、升压电容、二极管，二极管上方设置跳线帽，跳线帽可以用来截止二极管的通断，通过拔掉跳线帽可以模拟故障来研究电路，电位计能够改变三极管的频率，最终调节电路电压输出，输低最高电压为1V.元件信号输出到≥2mm铜质端子，可连接示波器测量波形。电源正负极需要设置反接保护，防止正负极短路，正负极之间需要设置一个电源显示灯，显示是否电源接通。面板通过喷漆技术喷有电路图，可研究电路走向和电路原理。实训版左上角放置一个2.1英寸的显示屏，可以显示MOS管的开关频率，和输出端的电压。</w:t>
      </w:r>
    </w:p>
    <w:p w14:paraId="5B769876">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BOST升压原理实训板</w:t>
      </w:r>
    </w:p>
    <w:p w14:paraId="3042050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标准的BOST升压电路，稳压电容、三极管、升压电容、二极管，二极管上方设置跳线帽，通过拔掉跳线帽可以模拟故障来研究电路，电位计能够改变三极管的频率，最终调节电路电压输出，输出最高电压为36V.元件信号输出到≥2mm铜质端子，可连接示波器测量波形。电源正负极需要设置反接保护，防止正负极短路，正负极之间需要设置一个电源显示灯，显示是否电源接通。面板通过喷漆技术喷有电路图，可研究电路走向和电路原理。实训版左上角放置一个2.1英寸的显示屏，可以显示MOS管的开关频率，和输出端的电压。</w:t>
      </w:r>
    </w:p>
    <w:p w14:paraId="3C759BFB">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数模转换电路实训板</w:t>
      </w:r>
    </w:p>
    <w:p w14:paraId="78F9AA3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设置三个ADC转换电路，第一路温度检测电路、第二图电流检测电路、第三路电阻检测电路，电阻测电路中设置滑动电阻调节电压，然后ADC转换，最终给到单片机，处理以后把数字给到显示屏，温度检测电路中调节PTC的温度来改变温度，然后ADC转换，最终给到单片机，处理以后把数字给到显示屏。元件信号输出到≥2mm铜质端子，可连接示波器测量波形。电源正负极需要设置反接保护，防止正负极短路，正负极之间需要设置一个电源显示灯，显示是否电源接通。面板通过喷漆技术喷有电路图，可研究电路走向和电路原理。实训版左上角放置一个2.1英寸的显示屏，可以输出端的电压、电阻和温度。</w:t>
      </w:r>
    </w:p>
    <w:p w14:paraId="0987D1CF">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过欠压保护原理实训板</w:t>
      </w:r>
    </w:p>
    <w:p w14:paraId="5EF2FE78">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需要和BOST升压原理实训板配合起来使用，过欠压保护原理实训板的输入端连接BOST升压原理实训板的输出电源，然后转动BOST升压原理实训板的电位计旋钮，可改变BOST升压原理实训板输出电压，电压可以通过2.1英寸的显示屏显示，过欠压保护原理实训板采集BOST升压原理实训输出电压以后，需要经过隔离芯片进行隔离保护，最终给到运算放大器进行放大，经过单片机的处理计算输出电压，并显示在显示屏，单片机经过分析采样的电压来控制继电器的工作状态，进而保护电路。实训板要求可观察到采样电阻、隔离芯片。元件信号输出到≥2mm铜质端子，可连接万用表测量电压情况。电源正负极需要设置反接保护，防止正负极短路，正负极之间需要设置一个电源显示灯，显示是否电源接通。面板通过喷漆技术喷有电路图，可研究电路走向和电路原理。实训版左上角放置一个2.1英寸的显示屏，可以显示电压的大小，继电器的通断情况。</w:t>
      </w:r>
    </w:p>
    <w:p w14:paraId="74AECC39">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逻辑门应用实训板</w:t>
      </w:r>
    </w:p>
    <w:p w14:paraId="377B2026">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与或非三种逻辑门电路，通过开关来模拟电路的工作状态，LED显示灯也可清晰的观察触发点状态，经过与门、或门、非门的作用，最终处理触发点以后的电路，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3C6211CC">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霍尔效应认知实训板</w:t>
      </w:r>
    </w:p>
    <w:p w14:paraId="037F1B0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利用霍尔效应的原理，产生微弱电流信号，最后经过放大器的处理，放大霍尔效应产生的电流。可测量对应输出电压的变化。模拟档位传感器的工作，波动档杆改变磁铁的位置，可以产生不同的电流信号，经过单片机的处理，最终显示屏可显示不同的档位，该过程可模拟汽车的挂挡。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1FDBE0E8">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霍尔电流检测实训板</w:t>
      </w:r>
    </w:p>
    <w:p w14:paraId="37CDC75A">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采用集成式霍尔电流传感器，可通过旋转电位计来改变通过被检测导线电流的大小，具备内置电流表检测电流的功能，内置电流表功通过内置的电流表可以测量通过霍尔电流传感器的电流，显示屏可以显示实际经过霍尔电流传感器导线流。外置电流表需要连接万用表的电流表档位，也可显示实际经过霍尔电流传感器导线电流，霍尔电流传感器采集电压经过单片机的处理可显示到显示屏与实测电流进行对比。信号输出到≥2mm铜质端子，可连接万用表测量电压情况。电源正负极需要设置反接保护，防止正负极短路，正负极之间需要设置一个电源显示灯，显示是否电源接通。面板通过喷漆技术喷有电路图，可研究电路走向和电路原理。实训版左上角放置一个2.1英寸的显示屏，可以显示流的大小。</w:t>
      </w:r>
    </w:p>
    <w:p w14:paraId="208813A3">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过温原理控制实训板</w:t>
      </w:r>
    </w:p>
    <w:p w14:paraId="2D77E307">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通过温度调节按钮来调节PTC的发热情况，最高加热温度为120℃，温度传感器需要与PTC连接一起实时检测PTC温度。需要通过两个按钮来控制PTC的温度，旋钮也可以控制电机的转速。温度信号经过ADC处理，最后发到单片机，单片机处理温度以后，可以控制电机的工作，60℃以下电机随意运行，60-90℃电机运行受限制，90℃以后电机收到保护，不进行功率输出。跳线帽可以模拟电路故障，当温度传感器有故障时，电路会进入保护状态，电机不工作。信号输出到≥2mm铜质端子，可连接万用表测量电压情况。信号输出到≥2mm铜质端子，可连接万用表测量电压情况。电源正负极需要设置反接保护，防止正负极短路，正负极之间需要设置一个电源显示灯，显示是否电源接通。面板通过喷漆技术喷有电路图，可研究电路走向和电路原理。实训版左上角放置一个2.1英寸的显示屏，可以显示所测PTC的温度的大小。</w:t>
      </w:r>
    </w:p>
    <w:p w14:paraId="101166AB">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逆变电路应用实训板</w:t>
      </w:r>
    </w:p>
    <w:p w14:paraId="3CF9786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可以把12V直流电，逆变为2-9V的交流电，设置四个IGBT，通过旋钮可以改变IGBT的频率，也可调节输出电压。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0DA4AFC0">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H桥电机控制实训板</w:t>
      </w:r>
    </w:p>
    <w:p w14:paraId="60E40D7D">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模拟电机控制器的H桥逆变过程，设置电位计能改变H桥IGBT的开关时序，也可调节IGBT的频率，最终控制电机的速度。输出端设置LED灯，可检测电流输出的情况。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6369079C">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执行器驱动实训板</w:t>
      </w:r>
    </w:p>
    <w:p w14:paraId="1EA33D43">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放置有继电器、电磁阀、电机三种执行器，分别对应三个控制开关，三个可单独控制控制三个执行器的工作，面板喷涂有执行器驱动电路，观察执行器的电路，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5AB683A1">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电流检测原理实训板</w:t>
      </w:r>
    </w:p>
    <w:p w14:paraId="48B5827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包含有2.1英寸显示屏，可显示检测电流的大小，设置两个开关按钮，可调节灯泡电流的大小，灯泡工作需要点击按钮了控制电流的大小，灯泡的亮度变化可以观察出来，电路中设置采样电阻，运算放大器可以计算放大采样电阻的电压，然后放大倍数给到单片机，单片机处理以后把电流显示在显示屏上。电路中需要设置跳线帽，能够通过拔下跳线帽来设置采样电阻的通断，可供过设计故障来研究电路。示教板喷绘电路图，可观察电路原理，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2625CBAD">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CAN通讯原理实训板</w:t>
      </w:r>
    </w:p>
    <w:p w14:paraId="198E0290">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模拟汽车主驾驶和副驾驶玻璃升降器的工作过程，实训板需要有两块，配合使用，点击按钮可控制对应点击的工作，可模拟车窗的升降，信号输出到≥2mm铜质端子，可连接万用表测量电压情况。电路中需要设置跳线帽，能够通过拔下跳线帽来设置采样电阻的通断，可供过设计故障来研究电路。示教板喷绘电路图，可观察电路原理，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37897B9B">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LIN通讯原理实训板</w:t>
      </w:r>
    </w:p>
    <w:p w14:paraId="789469A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模拟汽车左后和右后玻璃升降器的工作过程，实训板需要有两块，配合使用，点击按钮可控制对应点击的工作，可模拟左后和右后玻璃升降器的升降，信号输出到≥2mm铜质端子，可连接万用表测量电压情况。电路中需要设置跳线帽，能够通过拔下跳线帽来设置采样电阻的通断，可供过设计故障来研究电路。示教板喷绘电路图，可观察电路原理，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15D97C39">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步进电机驱动实训板</w:t>
      </w:r>
    </w:p>
    <w:p w14:paraId="5C1786C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设有步进电机和控制系统，面板包含步进电机电路图，通过旋钮可改变步进电机的步数。信号输出到≥2mm铜质端子，可连接万用表测量电压情况。电路中需要设置跳线帽，能够通过拔下跳线帽来设置采样电阻的通断，可供过设计故障来研究电路。示教板喷绘电路图，可观察电路原理，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68F1D73A">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直流电机控制实训板</w:t>
      </w:r>
    </w:p>
    <w:p w14:paraId="233A281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设有直流电机和控制系统，面板包含直流电机电路图，通过旋钮可改变直流电机的转速。信号输出到≥2mm铜质端子，可连接万用表测量电压情况。电路中需要设置跳线帽，能够通过拔下跳线帽来设置采样电阻的通断，可供过设计故障来研究电路。示教板喷绘电路图，可观察电路原理，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74FF225C">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汽车遥控钥匙控制实训板</w:t>
      </w:r>
    </w:p>
    <w:p w14:paraId="4D337F0C">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需要配合遥控钥匙使用，按下遥控器，遥控器发射射频信号给到高频模块，模块把信号传递给要是模块分析信号的正确性，完成钥匙系统对码。完成以后BCM可控制对应的电机转动，模拟开锁过程。实训板设置的有LED转向灯和蜂鸣器，受钥匙的控制发射对应的信号。信号输出到≥2mm铜质端子，可连接万用表测量电压情况。电源正负极需要设置反接保护，防止正负极短路，正负极之间需要设置一个电源显示灯，显示是否电源接通。面板通过喷漆技术喷有电路图，可研究电路走向和电路原理。</w:t>
      </w:r>
    </w:p>
    <w:p w14:paraId="4313761E">
      <w:pPr>
        <w:pStyle w:val="24"/>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0" w:leftChars="0"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比较器应用实训板</w:t>
      </w:r>
    </w:p>
    <w:p w14:paraId="6A9D23A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contextualSpacing/>
        <w:jc w:val="both"/>
        <w:textAlignment w:val="auto"/>
        <w:rPr>
          <w:rFonts w:hint="eastAsia" w:ascii="宋体" w:hAnsi="宋体" w:eastAsia="宋体"/>
          <w:color w:val="auto"/>
          <w:szCs w:val="21"/>
        </w:rPr>
      </w:pPr>
      <w:r>
        <w:rPr>
          <w:rFonts w:hint="eastAsia" w:ascii="宋体" w:hAnsi="宋体" w:eastAsia="宋体"/>
          <w:color w:val="auto"/>
          <w:szCs w:val="21"/>
        </w:rPr>
        <w:t>该实训板配置2.1英寸显示屏，可以显示输出电压。实训板一共有6个档位，分别是：0V\1V\1.5V\2.0V\2.5V\外部输入6个档位。内部输入分别是0V\1V\1.5V\2.0V\2.5V五个档位，可通过SW2开关选择档位，电位计能够调节比较器正极的电压大小，经过比较器比较最终输出比较结果来控制后方三极管的通断。需要LED来演示MOS管的通断。内部输入可以连接直流稳压电源，能够调节直流稳压电源的数值，电位计可以改变输入电压的数值，档位开关也可以选择不同档位的电压，根据两端的对比，输出最终信号来控制灯泡的点亮情况。信号输出到≥2mm铜质端子，可连接万用表测量电压情况</w:t>
      </w:r>
      <w:r>
        <w:rPr>
          <w:rFonts w:hint="eastAsia" w:ascii="宋体" w:hAnsi="宋体" w:eastAsia="宋体"/>
          <w:color w:val="auto"/>
          <w:szCs w:val="21"/>
          <w:lang w:eastAsia="zh-CN"/>
        </w:rPr>
        <w:t>，</w:t>
      </w:r>
      <w:r>
        <w:rPr>
          <w:rFonts w:hint="eastAsia" w:ascii="宋体" w:hAnsi="宋体" w:eastAsia="宋体"/>
          <w:color w:val="auto"/>
          <w:szCs w:val="21"/>
        </w:rPr>
        <w:t>正负极之间需要设置一个电源显示灯，显示是否电源接通。面板通过喷漆技术喷有电路图，可研究电路走向和电路原理。</w:t>
      </w:r>
    </w:p>
    <w:p w14:paraId="10E381A6">
      <w:pPr>
        <w:pStyle w:val="24"/>
        <w:widowControl w:val="0"/>
        <w:numPr>
          <w:ilvl w:val="0"/>
          <w:numId w:val="34"/>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工艺说明</w:t>
      </w:r>
    </w:p>
    <w:p w14:paraId="61012A15">
      <w:pPr>
        <w:pStyle w:val="24"/>
        <w:widowControl w:val="0"/>
        <w:numPr>
          <w:ilvl w:val="0"/>
          <w:numId w:val="40"/>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安全保护：积木板底盒采用≥95</w:t>
      </w:r>
      <w:r>
        <w:rPr>
          <w:rFonts w:hint="eastAsia" w:ascii="宋体" w:hAnsi="宋体" w:eastAsia="宋体"/>
          <w:color w:val="auto"/>
          <w:szCs w:val="21"/>
          <w:lang w:val="en-US" w:eastAsia="zh-CN"/>
        </w:rPr>
        <w:t>×</w:t>
      </w:r>
      <w:r>
        <w:rPr>
          <w:rFonts w:hint="eastAsia" w:ascii="宋体" w:hAnsi="宋体" w:eastAsia="宋体"/>
          <w:color w:val="auto"/>
          <w:szCs w:val="21"/>
        </w:rPr>
        <w:t>95mm模具加工注塑成型，底盒保护防止控制电路短路，并安装有6个强磁铁；</w:t>
      </w:r>
    </w:p>
    <w:p w14:paraId="52B2678A">
      <w:pPr>
        <w:pStyle w:val="24"/>
        <w:widowControl w:val="0"/>
        <w:numPr>
          <w:ilvl w:val="0"/>
          <w:numId w:val="40"/>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工艺质量：面板采用≥2mm厚玻纤板面板及覆铜板腐蚀电路、贴片元件，配备内径为≥2mm的镀镍铜质端子，固定零部件采用激光数控加工成型。模块表面打印电路原理图/结构原理图/波形特性图等。</w:t>
      </w:r>
    </w:p>
    <w:p w14:paraId="57AA839C">
      <w:pPr>
        <w:pStyle w:val="24"/>
        <w:widowControl w:val="0"/>
        <w:numPr>
          <w:ilvl w:val="0"/>
          <w:numId w:val="34"/>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产品配套</w:t>
      </w:r>
    </w:p>
    <w:p w14:paraId="42807616">
      <w:pPr>
        <w:pStyle w:val="24"/>
        <w:widowControl w:val="0"/>
        <w:numPr>
          <w:ilvl w:val="0"/>
          <w:numId w:val="4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积木存放与实训台</w:t>
      </w:r>
    </w:p>
    <w:p w14:paraId="478871EE">
      <w:pPr>
        <w:pStyle w:val="24"/>
        <w:widowControl w:val="0"/>
        <w:numPr>
          <w:ilvl w:val="0"/>
          <w:numId w:val="4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根据积木模块设备工位操作的模块化方案：组合型模块存放与实训台，存放资料和积木模块；</w:t>
      </w:r>
    </w:p>
    <w:p w14:paraId="5A235B96">
      <w:pPr>
        <w:pStyle w:val="24"/>
        <w:widowControl w:val="0"/>
        <w:numPr>
          <w:ilvl w:val="0"/>
          <w:numId w:val="4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上层为液压顶杆支撑的不锈铁斜板用于汽车零件展示，下层为8层采用带抽拉的重型轨道抽屉，用作积木板或元件的存放；</w:t>
      </w:r>
    </w:p>
    <w:p w14:paraId="1A601291">
      <w:pPr>
        <w:pStyle w:val="24"/>
        <w:widowControl w:val="0"/>
        <w:numPr>
          <w:ilvl w:val="0"/>
          <w:numId w:val="4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预留有铝型材制做的显示器固定支架安装接口；</w:t>
      </w:r>
    </w:p>
    <w:p w14:paraId="3411E642">
      <w:pPr>
        <w:pStyle w:val="24"/>
        <w:widowControl w:val="0"/>
        <w:numPr>
          <w:ilvl w:val="0"/>
          <w:numId w:val="42"/>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外观尺寸：≥760</w:t>
      </w:r>
      <w:r>
        <w:rPr>
          <w:rFonts w:hint="eastAsia" w:ascii="宋体" w:hAnsi="宋体" w:eastAsia="宋体"/>
          <w:color w:val="auto"/>
          <w:szCs w:val="21"/>
          <w:lang w:val="en-US" w:eastAsia="zh-CN"/>
        </w:rPr>
        <w:t>×</w:t>
      </w:r>
      <w:r>
        <w:rPr>
          <w:rFonts w:hint="eastAsia" w:ascii="宋体" w:hAnsi="宋体" w:eastAsia="宋体"/>
          <w:color w:val="auto"/>
          <w:szCs w:val="21"/>
        </w:rPr>
        <w:t>460</w:t>
      </w:r>
      <w:r>
        <w:rPr>
          <w:rFonts w:hint="eastAsia" w:ascii="宋体" w:hAnsi="宋体" w:eastAsia="宋体"/>
          <w:color w:val="auto"/>
          <w:szCs w:val="21"/>
          <w:lang w:val="en-US" w:eastAsia="zh-CN"/>
        </w:rPr>
        <w:t>×</w:t>
      </w:r>
      <w:r>
        <w:rPr>
          <w:rFonts w:hint="eastAsia" w:ascii="宋体" w:hAnsi="宋体" w:eastAsia="宋体"/>
          <w:color w:val="auto"/>
          <w:szCs w:val="21"/>
        </w:rPr>
        <w:t>1070mm</w:t>
      </w:r>
    </w:p>
    <w:p w14:paraId="1AF1078F">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第一层抽屉：≥615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70mm</w:t>
      </w:r>
    </w:p>
    <w:p w14:paraId="5F23CEC6">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第二层抽屉：≥615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70mm</w:t>
      </w:r>
    </w:p>
    <w:p w14:paraId="296C5D9D">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第三层抽屉：≥615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70mm</w:t>
      </w:r>
    </w:p>
    <w:p w14:paraId="6F9AB6B1">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第四层抽屉：≥615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70mm</w:t>
      </w:r>
    </w:p>
    <w:p w14:paraId="52CAB3A2">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第五层抽屉：≥615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70mm</w:t>
      </w:r>
    </w:p>
    <w:p w14:paraId="46B0ED3C">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第六层抽屉：≥615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135mm</w:t>
      </w:r>
    </w:p>
    <w:p w14:paraId="24EB1614">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第七层抽屉：≥615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135mm</w:t>
      </w:r>
    </w:p>
    <w:p w14:paraId="026D6B7D">
      <w:pPr>
        <w:pStyle w:val="24"/>
        <w:widowControl w:val="0"/>
        <w:numPr>
          <w:ilvl w:val="0"/>
          <w:numId w:val="43"/>
        </w:numPr>
        <w:snapToGrid w:val="0"/>
        <w:spacing w:line="360" w:lineRule="auto"/>
        <w:ind w:left="0" w:leftChars="0" w:firstLine="420" w:firstLineChars="200"/>
        <w:contextualSpacing/>
        <w:jc w:val="both"/>
        <w:rPr>
          <w:rFonts w:hint="eastAsia" w:ascii="宋体" w:hAnsi="宋体" w:eastAsia="宋体"/>
          <w:color w:val="auto"/>
          <w:szCs w:val="21"/>
        </w:rPr>
      </w:pPr>
      <w:r>
        <w:rPr>
          <w:rFonts w:hint="eastAsia" w:ascii="宋体" w:hAnsi="宋体" w:eastAsia="宋体"/>
          <w:color w:val="auto"/>
          <w:szCs w:val="21"/>
        </w:rPr>
        <w:t>第八层抽屉：≥615</w:t>
      </w:r>
      <w:r>
        <w:rPr>
          <w:rFonts w:hint="eastAsia" w:ascii="宋体" w:hAnsi="宋体" w:eastAsia="宋体"/>
          <w:color w:val="auto"/>
          <w:szCs w:val="21"/>
          <w:lang w:val="en-US" w:eastAsia="zh-CN"/>
        </w:rPr>
        <w:t>×</w:t>
      </w:r>
      <w:r>
        <w:rPr>
          <w:rFonts w:hint="eastAsia" w:ascii="宋体" w:hAnsi="宋体" w:eastAsia="宋体"/>
          <w:color w:val="auto"/>
          <w:szCs w:val="21"/>
        </w:rPr>
        <w:t>400</w:t>
      </w:r>
      <w:r>
        <w:rPr>
          <w:rFonts w:hint="eastAsia" w:ascii="宋体" w:hAnsi="宋体" w:eastAsia="宋体"/>
          <w:color w:val="auto"/>
          <w:szCs w:val="21"/>
          <w:lang w:val="en-US" w:eastAsia="zh-CN"/>
        </w:rPr>
        <w:t>×</w:t>
      </w:r>
      <w:r>
        <w:rPr>
          <w:rFonts w:hint="eastAsia" w:ascii="宋体" w:hAnsi="宋体" w:eastAsia="宋体"/>
          <w:color w:val="auto"/>
          <w:szCs w:val="21"/>
        </w:rPr>
        <w:t>135mm</w:t>
      </w:r>
    </w:p>
    <w:p w14:paraId="0FCCDEBB">
      <w:pPr>
        <w:pStyle w:val="24"/>
        <w:widowControl w:val="0"/>
        <w:numPr>
          <w:ilvl w:val="0"/>
          <w:numId w:val="4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配套产品说明书1套</w:t>
      </w:r>
      <w:r>
        <w:rPr>
          <w:rFonts w:hint="eastAsia" w:ascii="宋体" w:hAnsi="宋体" w:eastAsia="宋体"/>
          <w:color w:val="auto"/>
          <w:szCs w:val="21"/>
          <w:lang w:eastAsia="zh-CN"/>
        </w:rPr>
        <w:t>；</w:t>
      </w:r>
    </w:p>
    <w:p w14:paraId="414F1E63">
      <w:pPr>
        <w:pStyle w:val="24"/>
        <w:widowControl w:val="0"/>
        <w:numPr>
          <w:ilvl w:val="0"/>
          <w:numId w:val="41"/>
        </w:numPr>
        <w:snapToGrid w:val="0"/>
        <w:spacing w:line="360" w:lineRule="auto"/>
        <w:ind w:left="425" w:leftChars="0" w:hanging="425" w:firstLineChars="0"/>
        <w:contextualSpacing/>
        <w:jc w:val="both"/>
        <w:rPr>
          <w:rFonts w:hint="eastAsia" w:ascii="宋体" w:hAnsi="宋体" w:eastAsia="宋体"/>
          <w:color w:val="auto"/>
          <w:szCs w:val="21"/>
        </w:rPr>
      </w:pPr>
      <w:r>
        <w:rPr>
          <w:rFonts w:hint="eastAsia" w:ascii="宋体" w:hAnsi="宋体" w:eastAsia="宋体"/>
          <w:color w:val="auto"/>
          <w:szCs w:val="21"/>
        </w:rPr>
        <w:t>配套教材1本</w:t>
      </w:r>
      <w:r>
        <w:rPr>
          <w:rFonts w:hint="eastAsia" w:ascii="宋体" w:hAnsi="宋体" w:eastAsia="宋体"/>
          <w:color w:val="auto"/>
          <w:szCs w:val="21"/>
          <w:lang w:eastAsia="zh-CN"/>
        </w:rPr>
        <w:t>。</w:t>
      </w: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10" w:name="_Toc28100"/>
      <w:bookmarkStart w:id="11" w:name="_Toc169799780"/>
      <w:r>
        <w:rPr>
          <w:rFonts w:ascii="Calibri" w:hAnsi="Calibri" w:eastAsia="宋体" w:cs="Times New Roman"/>
          <w:b/>
          <w:kern w:val="0"/>
          <w:sz w:val="36"/>
          <w:szCs w:val="20"/>
          <w:lang w:eastAsia="zh-Hans"/>
        </w:rPr>
        <w:t>第三章 投标人须知</w:t>
      </w:r>
      <w:bookmarkEnd w:id="10"/>
      <w:bookmarkEnd w:id="11"/>
    </w:p>
    <w:p w14:paraId="2050E244">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44"/>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4"/>
        <w:widowControl/>
        <w:numPr>
          <w:ilvl w:val="0"/>
          <w:numId w:val="45"/>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45"/>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45"/>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4"/>
        <w:widowControl/>
        <w:numPr>
          <w:ilvl w:val="0"/>
          <w:numId w:val="45"/>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45"/>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45"/>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4"/>
        <w:widowControl/>
        <w:numPr>
          <w:ilvl w:val="0"/>
          <w:numId w:val="44"/>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12"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ascii="宋体" w:hAnsi="宋体" w:eastAsia="宋体" w:cs="Times New Roman"/>
                <w:kern w:val="0"/>
                <w:szCs w:val="21"/>
              </w:rPr>
            </w:pPr>
            <w:r>
              <w:rPr>
                <w:rFonts w:hint="eastAsia" w:ascii="宋体" w:hAnsi="宋体" w:eastAsia="宋体" w:cs="Times New Roman"/>
                <w:kern w:val="0"/>
                <w:szCs w:val="21"/>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997" w:type="pct"/>
            <w:vAlign w:val="center"/>
          </w:tcPr>
          <w:p w14:paraId="06D4907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3619" w:type="pct"/>
            <w:vAlign w:val="center"/>
          </w:tcPr>
          <w:p w14:paraId="23B5DB27">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3619" w:type="pct"/>
          </w:tcPr>
          <w:p w14:paraId="24CD24CA">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03EDA9B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5E78C3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0BDB161A">
            <w:pPr>
              <w:widowControl/>
              <w:jc w:val="left"/>
              <w:rPr>
                <w:rFonts w:ascii="宋体" w:hAnsi="宋体" w:eastAsia="宋体" w:cs="Times New Roman"/>
                <w:kern w:val="0"/>
                <w:szCs w:val="21"/>
              </w:rPr>
            </w:pPr>
            <w:r>
              <w:rPr>
                <w:rFonts w:hint="eastAsia" w:ascii="宋体" w:hAnsi="宋体" w:eastAsia="宋体" w:cs="Times New Roman"/>
                <w:kern w:val="0"/>
                <w:szCs w:val="21"/>
                <w:lang w:val="en-US" w:eastAsia="zh-CN"/>
              </w:rPr>
              <w:t>不收取</w:t>
            </w:r>
            <w:r>
              <w:rPr>
                <w:rFonts w:ascii="宋体" w:hAnsi="宋体" w:eastAsia="宋体" w:cs="Times New Roman"/>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ascii="宋体" w:hAnsi="宋体" w:eastAsia="宋体" w:cs="Times New Roman"/>
                <w:kern w:val="0"/>
                <w:szCs w:val="21"/>
                <w:lang w:eastAsia="zh-Hans"/>
              </w:rPr>
            </w:pPr>
            <w:r>
              <w:rPr>
                <w:rFonts w:ascii="宋体" w:hAnsi="宋体" w:eastAsia="宋体" w:cs="Times New Roman"/>
                <w:b/>
                <w:kern w:val="0"/>
                <w:szCs w:val="21"/>
                <w:lang w:eastAsia="zh-Hans"/>
              </w:rPr>
              <w:t>一、电子投标文件：</w:t>
            </w:r>
          </w:p>
          <w:p w14:paraId="3DE569D8">
            <w:pPr>
              <w:widowControl/>
              <w:jc w:val="left"/>
              <w:rPr>
                <w:rFonts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722E9ECD">
            <w:pPr>
              <w:widowControl/>
              <w:jc w:val="left"/>
              <w:rPr>
                <w:rFonts w:ascii="宋体" w:hAnsi="宋体" w:eastAsia="宋体" w:cs="Times New Roman"/>
                <w:kern w:val="0"/>
                <w:szCs w:val="21"/>
              </w:rPr>
            </w:pPr>
            <w:r>
              <w:rPr>
                <w:rFonts w:ascii="宋体" w:hAnsi="宋体" w:eastAsia="宋体" w:cs="Times New Roman"/>
                <w:b/>
                <w:kern w:val="0"/>
                <w:szCs w:val="21"/>
                <w:lang w:eastAsia="zh-Hans"/>
              </w:rPr>
              <w:t>二、投标文件：</w:t>
            </w:r>
          </w:p>
          <w:p w14:paraId="0E437443">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投标文件正本</w:t>
            </w:r>
            <w:r>
              <w:rPr>
                <w:rFonts w:hint="eastAsia" w:ascii="宋体" w:hAnsi="宋体" w:eastAsia="宋体" w:cs="Times New Roman"/>
                <w:kern w:val="0"/>
                <w:szCs w:val="21"/>
              </w:rPr>
              <w:t>1</w:t>
            </w:r>
            <w:r>
              <w:rPr>
                <w:rFonts w:ascii="宋体" w:hAnsi="宋体" w:eastAsia="宋体" w:cs="Times New Roman"/>
                <w:kern w:val="0"/>
                <w:szCs w:val="21"/>
                <w:lang w:eastAsia="zh-Hans"/>
              </w:rPr>
              <w:t>份，投标文件副本</w:t>
            </w:r>
            <w:r>
              <w:rPr>
                <w:rFonts w:hint="eastAsia" w:ascii="宋体" w:hAnsi="宋体" w:eastAsia="宋体" w:cs="Times New Roman"/>
                <w:kern w:val="0"/>
                <w:szCs w:val="21"/>
              </w:rPr>
              <w:t>5</w:t>
            </w:r>
            <w:r>
              <w:rPr>
                <w:rFonts w:ascii="宋体" w:hAnsi="宋体" w:eastAsia="宋体" w:cs="Times New Roman"/>
                <w:kern w:val="0"/>
                <w:szCs w:val="21"/>
                <w:lang w:eastAsia="zh-Hans"/>
              </w:rPr>
              <w:t>份。</w:t>
            </w:r>
          </w:p>
          <w:p w14:paraId="592934D7">
            <w:pPr>
              <w:widowControl/>
              <w:jc w:val="left"/>
              <w:rPr>
                <w:rFonts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文件需密封完好，</w:t>
            </w:r>
            <w:r>
              <w:rPr>
                <w:rFonts w:hint="eastAsia" w:ascii="宋体" w:hAnsi="宋体" w:eastAsia="宋体" w:cs="Times New Roman"/>
                <w:kern w:val="0"/>
                <w:szCs w:val="21"/>
                <w:lang w:eastAsia="zh-Hans"/>
              </w:rPr>
              <w:t>每套投标文件须清楚地标明“正本”或“副本”。若副本与正本不符，以正本为准。</w:t>
            </w:r>
            <w:r>
              <w:rPr>
                <w:rFonts w:ascii="宋体" w:hAnsi="宋体" w:eastAsia="宋体" w:cs="Times New Roman"/>
                <w:kern w:val="0"/>
                <w:szCs w:val="21"/>
                <w:lang w:eastAsia="zh-Hans"/>
              </w:rPr>
              <w:t>）</w:t>
            </w:r>
          </w:p>
          <w:p w14:paraId="727708AC">
            <w:pPr>
              <w:widowControl/>
              <w:jc w:val="left"/>
              <w:rPr>
                <w:rFonts w:ascii="宋体" w:hAnsi="宋体" w:eastAsia="宋体" w:cs="Times New Roman"/>
                <w:b/>
                <w:bCs/>
                <w:kern w:val="0"/>
                <w:szCs w:val="21"/>
              </w:rPr>
            </w:pPr>
            <w:r>
              <w:rPr>
                <w:rFonts w:hint="eastAsia" w:ascii="宋体" w:hAnsi="宋体" w:eastAsia="宋体" w:cs="Times New Roman"/>
                <w:b/>
                <w:bCs/>
                <w:kern w:val="0"/>
                <w:szCs w:val="21"/>
              </w:rPr>
              <w:t>三、唱标信封：</w:t>
            </w:r>
          </w:p>
          <w:p w14:paraId="251A53DE">
            <w:pPr>
              <w:widowControl/>
              <w:jc w:val="left"/>
              <w:rPr>
                <w:rFonts w:ascii="宋体" w:hAnsi="宋体" w:eastAsia="宋体" w:cs="Times New Roman"/>
                <w:kern w:val="0"/>
                <w:szCs w:val="21"/>
              </w:rPr>
            </w:pPr>
            <w:r>
              <w:rPr>
                <w:rFonts w:hint="eastAsia" w:ascii="宋体" w:hAnsi="宋体" w:eastAsia="宋体" w:cs="Times New Roman"/>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收取。采购机构代理服务收费标准：</w:t>
            </w:r>
            <w:r>
              <w:rPr>
                <w:rFonts w:hint="eastAsia" w:ascii="宋体" w:hAnsi="宋体" w:eastAsia="宋体" w:cs="Times New Roman"/>
                <w:kern w:val="0"/>
                <w:szCs w:val="21"/>
                <w:lang w:eastAsia="zh-Hans"/>
              </w:rPr>
              <w:t>以中标金额作为采购代理服务费的计算基数，采用差额定率累进法计算，具体计算费率按规定标准“货物类”收取代理服务费。100万元以下，1.5%;100~500万元，1.1%;500~1000万元，0.8%;1000~5000万元，0.5%;5000万元~1亿元，0.25%;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384" w:type="pct"/>
            <w:vAlign w:val="center"/>
          </w:tcPr>
          <w:p w14:paraId="6C2CC520">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ascii="宋体" w:hAnsi="宋体" w:eastAsia="宋体" w:cs="Times New Roman"/>
                <w:color w:val="auto"/>
                <w:kern w:val="0"/>
                <w:szCs w:val="21"/>
                <w:lang w:eastAsia="zh-Hans"/>
              </w:rPr>
            </w:pPr>
            <w:r>
              <w:rPr>
                <w:rFonts w:hint="eastAsia" w:ascii="宋体" w:hAnsi="宋体" w:eastAsia="宋体"/>
                <w:color w:val="auto"/>
                <w:szCs w:val="21"/>
                <w:lang w:val="en-US" w:eastAsia="zh-CN"/>
              </w:rPr>
              <w:t>不收取</w:t>
            </w:r>
            <w:r>
              <w:rPr>
                <w:rFonts w:ascii="宋体" w:hAnsi="宋体" w:eastAsia="宋体"/>
                <w:color w:val="auto"/>
                <w:szCs w:val="21"/>
                <w:lang w:val="zh-CN"/>
              </w:rPr>
              <w:t>。</w:t>
            </w:r>
          </w:p>
        </w:tc>
      </w:tr>
      <w:bookmarkEnd w:id="12"/>
    </w:tbl>
    <w:p w14:paraId="5685938B">
      <w:pPr>
        <w:pStyle w:val="24"/>
        <w:keepLines/>
        <w:numPr>
          <w:ilvl w:val="0"/>
          <w:numId w:val="44"/>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w:t>
      </w:r>
      <w:r>
        <w:rPr>
          <w:rFonts w:ascii="宋体" w:hAnsi="宋体" w:eastAsia="宋体" w:cs="Times New Roman"/>
          <w:color w:val="auto"/>
          <w:kern w:val="0"/>
          <w:szCs w:val="21"/>
          <w:lang w:eastAsia="zh-Hans"/>
        </w:rPr>
        <w:t>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w:t>
      </w:r>
      <w:r>
        <w:rPr>
          <w:rFonts w:ascii="宋体" w:hAnsi="宋体" w:eastAsia="宋体" w:cs="Times New Roman"/>
          <w:kern w:val="0"/>
          <w:szCs w:val="21"/>
          <w:lang w:eastAsia="zh-Hans"/>
        </w:rPr>
        <w:t>华人民共和国政府采购法》及其配套的法规、规章、政策。</w:t>
      </w:r>
    </w:p>
    <w:p w14:paraId="4A0E9A7F">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4"/>
        <w:widowControl/>
        <w:numPr>
          <w:ilvl w:val="0"/>
          <w:numId w:val="4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4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4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4"/>
        <w:widowControl/>
        <w:numPr>
          <w:ilvl w:val="0"/>
          <w:numId w:val="4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4"/>
        <w:widowControl/>
        <w:numPr>
          <w:ilvl w:val="0"/>
          <w:numId w:val="4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4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4"/>
        <w:widowControl/>
        <w:numPr>
          <w:ilvl w:val="0"/>
          <w:numId w:val="4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4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581950E4">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46"/>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4"/>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5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4"/>
        <w:widowControl/>
        <w:numPr>
          <w:ilvl w:val="3"/>
          <w:numId w:val="46"/>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44"/>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4"/>
        <w:widowControl/>
        <w:numPr>
          <w:ilvl w:val="0"/>
          <w:numId w:val="52"/>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52"/>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52"/>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4"/>
        <w:widowControl/>
        <w:numPr>
          <w:ilvl w:val="0"/>
          <w:numId w:val="44"/>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4"/>
        <w:widowControl/>
        <w:numPr>
          <w:ilvl w:val="0"/>
          <w:numId w:val="53"/>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4"/>
        <w:widowControl/>
        <w:numPr>
          <w:ilvl w:val="0"/>
          <w:numId w:val="54"/>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w:t>
      </w:r>
      <w:r>
        <w:rPr>
          <w:rFonts w:ascii="宋体" w:hAnsi="宋体" w:eastAsia="宋体" w:cs="Times New Roman"/>
          <w:color w:val="auto"/>
          <w:kern w:val="0"/>
          <w:szCs w:val="21"/>
          <w:lang w:eastAsia="zh-Hans"/>
        </w:rPr>
        <w:t>”和“分项报价表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”规定的格</w:t>
      </w:r>
      <w:r>
        <w:rPr>
          <w:rFonts w:ascii="宋体" w:hAnsi="宋体" w:eastAsia="宋体" w:cs="Times New Roman"/>
          <w:kern w:val="0"/>
          <w:szCs w:val="21"/>
          <w:lang w:eastAsia="zh-Hans"/>
        </w:rPr>
        <w:t>式报出总价和分项价格。投标总价中不得包含招标文件要求以外的内容，否则，在评审时不予核减。</w:t>
      </w:r>
    </w:p>
    <w:p w14:paraId="0DB8A8D7">
      <w:pPr>
        <w:pStyle w:val="24"/>
        <w:widowControl/>
        <w:numPr>
          <w:ilvl w:val="0"/>
          <w:numId w:val="54"/>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54"/>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4"/>
        <w:widowControl/>
        <w:numPr>
          <w:ilvl w:val="0"/>
          <w:numId w:val="54"/>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4"/>
        <w:widowControl/>
        <w:numPr>
          <w:ilvl w:val="0"/>
          <w:numId w:val="54"/>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54"/>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54"/>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4"/>
        <w:widowControl/>
        <w:numPr>
          <w:ilvl w:val="0"/>
          <w:numId w:val="53"/>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4"/>
        <w:widowControl/>
        <w:numPr>
          <w:ilvl w:val="0"/>
          <w:numId w:val="55"/>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55"/>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4"/>
        <w:widowControl/>
        <w:numPr>
          <w:ilvl w:val="0"/>
          <w:numId w:val="56"/>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56"/>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4"/>
        <w:widowControl/>
        <w:numPr>
          <w:ilvl w:val="0"/>
          <w:numId w:val="55"/>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E910E9D">
      <w:pPr>
        <w:pStyle w:val="24"/>
        <w:widowControl/>
        <w:numPr>
          <w:ilvl w:val="0"/>
          <w:numId w:val="53"/>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5DEA7C0B">
      <w:pPr>
        <w:pStyle w:val="24"/>
        <w:numPr>
          <w:ilvl w:val="0"/>
          <w:numId w:val="57"/>
        </w:numPr>
        <w:ind w:firstLineChars="0"/>
        <w:rPr>
          <w:rFonts w:ascii="宋体" w:hAnsi="宋体" w:eastAsia="宋体"/>
          <w:b/>
          <w:color w:val="000000" w:themeColor="text1"/>
          <w:szCs w:val="21"/>
          <w14:textFill>
            <w14:solidFill>
              <w14:schemeClr w14:val="tx1"/>
            </w14:solidFill>
          </w14:textFill>
        </w:rPr>
      </w:pPr>
      <w:bookmarkStart w:id="13"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3"/>
    </w:p>
    <w:p w14:paraId="07A59821">
      <w:pPr>
        <w:pStyle w:val="24"/>
        <w:numPr>
          <w:ilvl w:val="0"/>
          <w:numId w:val="58"/>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szCs w:val="21"/>
              </w:rPr>
            </w:pPr>
            <w:r>
              <w:rPr>
                <w:rFonts w:hint="eastAsia" w:ascii="宋体" w:hAnsi="宋体" w:eastAsia="宋体"/>
                <w:b/>
                <w:szCs w:val="21"/>
              </w:rPr>
              <w:t>序号</w:t>
            </w:r>
          </w:p>
        </w:tc>
        <w:tc>
          <w:tcPr>
            <w:tcW w:w="1413" w:type="pct"/>
            <w:vAlign w:val="center"/>
          </w:tcPr>
          <w:p w14:paraId="36D22BF8">
            <w:pPr>
              <w:jc w:val="center"/>
              <w:rPr>
                <w:rFonts w:ascii="宋体" w:hAnsi="宋体" w:eastAsia="宋体"/>
                <w:b/>
                <w:szCs w:val="21"/>
              </w:rPr>
            </w:pPr>
            <w:r>
              <w:rPr>
                <w:rFonts w:hint="eastAsia" w:ascii="宋体" w:hAnsi="宋体" w:eastAsia="宋体"/>
                <w:b/>
                <w:szCs w:val="21"/>
              </w:rPr>
              <w:t>文件名称</w:t>
            </w:r>
          </w:p>
        </w:tc>
        <w:tc>
          <w:tcPr>
            <w:tcW w:w="926" w:type="pct"/>
            <w:vAlign w:val="center"/>
          </w:tcPr>
          <w:p w14:paraId="37ED881C">
            <w:pPr>
              <w:jc w:val="center"/>
              <w:rPr>
                <w:rFonts w:ascii="宋体" w:hAnsi="宋体" w:eastAsia="宋体"/>
                <w:b/>
                <w:szCs w:val="21"/>
              </w:rPr>
            </w:pPr>
            <w:r>
              <w:rPr>
                <w:rFonts w:hint="eastAsia" w:ascii="宋体" w:hAnsi="宋体" w:eastAsia="宋体"/>
                <w:b/>
                <w:szCs w:val="21"/>
              </w:rPr>
              <w:t>装订</w:t>
            </w:r>
          </w:p>
        </w:tc>
        <w:tc>
          <w:tcPr>
            <w:tcW w:w="2264" w:type="pct"/>
            <w:vAlign w:val="center"/>
          </w:tcPr>
          <w:p w14:paraId="2E8B6ACC">
            <w:pPr>
              <w:jc w:val="center"/>
              <w:rPr>
                <w:rFonts w:ascii="宋体" w:hAnsi="宋体" w:eastAsia="宋体"/>
                <w:b/>
                <w:szCs w:val="21"/>
              </w:rPr>
            </w:pPr>
            <w:r>
              <w:rPr>
                <w:rFonts w:hint="eastAsia" w:ascii="宋体" w:hAnsi="宋体" w:eastAsia="宋体"/>
                <w:b/>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szCs w:val="21"/>
              </w:rPr>
            </w:pPr>
            <w:r>
              <w:rPr>
                <w:rFonts w:hint="eastAsia" w:ascii="宋体" w:hAnsi="宋体" w:eastAsia="宋体"/>
                <w:szCs w:val="21"/>
              </w:rPr>
              <w:t>1</w:t>
            </w:r>
          </w:p>
        </w:tc>
        <w:tc>
          <w:tcPr>
            <w:tcW w:w="1413" w:type="pct"/>
            <w:vAlign w:val="center"/>
          </w:tcPr>
          <w:p w14:paraId="5E574EB8">
            <w:pPr>
              <w:jc w:val="center"/>
              <w:rPr>
                <w:rFonts w:ascii="宋体" w:hAnsi="宋体" w:eastAsia="宋体"/>
                <w:szCs w:val="21"/>
              </w:rPr>
            </w:pPr>
            <w:r>
              <w:rPr>
                <w:rFonts w:hint="eastAsia" w:ascii="宋体" w:hAnsi="宋体" w:eastAsia="宋体"/>
                <w:szCs w:val="21"/>
              </w:rPr>
              <w:t>投标文件</w:t>
            </w:r>
          </w:p>
        </w:tc>
        <w:tc>
          <w:tcPr>
            <w:tcW w:w="926" w:type="pct"/>
            <w:vAlign w:val="center"/>
          </w:tcPr>
          <w:p w14:paraId="5673BFD6">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31934A29">
            <w:pPr>
              <w:jc w:val="center"/>
              <w:rPr>
                <w:rFonts w:ascii="宋体" w:hAnsi="宋体" w:eastAsia="宋体"/>
                <w:szCs w:val="21"/>
              </w:rPr>
            </w:pPr>
            <w:r>
              <w:rPr>
                <w:rFonts w:hint="eastAsia" w:ascii="宋体" w:hAnsi="宋体" w:eastAsia="宋体"/>
                <w:szCs w:val="21"/>
              </w:rPr>
              <w:t>正本、副本一起密封包装</w:t>
            </w:r>
          </w:p>
          <w:p w14:paraId="7A90E36D">
            <w:pPr>
              <w:jc w:val="center"/>
              <w:rPr>
                <w:rFonts w:ascii="宋体" w:hAnsi="宋体" w:eastAsia="宋体"/>
                <w:szCs w:val="21"/>
              </w:rPr>
            </w:pPr>
            <w:r>
              <w:rPr>
                <w:rFonts w:hint="eastAsia" w:ascii="宋体" w:hAnsi="宋体" w:eastAsia="宋体"/>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szCs w:val="21"/>
              </w:rPr>
            </w:pPr>
            <w:r>
              <w:rPr>
                <w:rFonts w:ascii="宋体" w:hAnsi="宋体" w:eastAsia="宋体"/>
                <w:szCs w:val="21"/>
              </w:rPr>
              <w:t>2</w:t>
            </w:r>
          </w:p>
        </w:tc>
        <w:tc>
          <w:tcPr>
            <w:tcW w:w="1413" w:type="pct"/>
            <w:vAlign w:val="center"/>
          </w:tcPr>
          <w:p w14:paraId="6C498650">
            <w:pPr>
              <w:jc w:val="center"/>
              <w:rPr>
                <w:rFonts w:ascii="宋体" w:hAnsi="宋体" w:eastAsia="宋体"/>
                <w:szCs w:val="21"/>
              </w:rPr>
            </w:pPr>
            <w:r>
              <w:rPr>
                <w:rFonts w:hint="eastAsia" w:ascii="宋体" w:hAnsi="宋体" w:eastAsia="宋体"/>
                <w:szCs w:val="21"/>
              </w:rPr>
              <w:t>唱标信封</w:t>
            </w:r>
          </w:p>
        </w:tc>
        <w:tc>
          <w:tcPr>
            <w:tcW w:w="926" w:type="pct"/>
            <w:vAlign w:val="center"/>
          </w:tcPr>
          <w:p w14:paraId="5BB2893F">
            <w:pPr>
              <w:jc w:val="center"/>
              <w:rPr>
                <w:rFonts w:ascii="宋体" w:hAnsi="宋体" w:eastAsia="宋体"/>
                <w:szCs w:val="21"/>
              </w:rPr>
            </w:pPr>
            <w:r>
              <w:rPr>
                <w:rFonts w:hint="eastAsia" w:ascii="宋体" w:hAnsi="宋体" w:eastAsia="宋体"/>
                <w:szCs w:val="21"/>
              </w:rPr>
              <w:t>独立装订</w:t>
            </w:r>
          </w:p>
        </w:tc>
        <w:tc>
          <w:tcPr>
            <w:tcW w:w="2264" w:type="pct"/>
            <w:vAlign w:val="center"/>
          </w:tcPr>
          <w:p w14:paraId="6B481C29">
            <w:pPr>
              <w:jc w:val="center"/>
              <w:rPr>
                <w:rFonts w:ascii="宋体" w:hAnsi="宋体" w:eastAsia="宋体"/>
                <w:szCs w:val="21"/>
              </w:rPr>
            </w:pPr>
            <w:r>
              <w:rPr>
                <w:rFonts w:hint="eastAsia" w:ascii="宋体" w:hAnsi="宋体" w:eastAsia="宋体"/>
                <w:szCs w:val="21"/>
              </w:rPr>
              <w:t>单独密封包装</w:t>
            </w:r>
          </w:p>
        </w:tc>
      </w:tr>
    </w:tbl>
    <w:p w14:paraId="2473E1C4">
      <w:pPr>
        <w:pStyle w:val="24"/>
        <w:numPr>
          <w:ilvl w:val="0"/>
          <w:numId w:val="58"/>
        </w:numPr>
        <w:tabs>
          <w:tab w:val="left" w:pos="851"/>
        </w:tabs>
        <w:ind w:left="567" w:hanging="567" w:firstLineChars="0"/>
        <w:rPr>
          <w:rFonts w:ascii="宋体" w:hAnsi="宋体" w:eastAsia="宋体"/>
          <w:bCs/>
          <w:color w:val="auto"/>
          <w:szCs w:val="21"/>
        </w:rPr>
      </w:pPr>
      <w:r>
        <w:rPr>
          <w:rFonts w:hint="eastAsia" w:ascii="宋体" w:hAnsi="宋体" w:eastAsia="宋体"/>
          <w:bCs/>
          <w:szCs w:val="21"/>
        </w:rPr>
        <w:t>电子投标文件</w:t>
      </w:r>
      <w:bookmarkStart w:id="14" w:name="_Hlk86740118"/>
      <w:r>
        <w:rPr>
          <w:rFonts w:hint="eastAsia" w:ascii="宋体" w:hAnsi="宋体" w:eastAsia="宋体"/>
          <w:bCs/>
          <w:szCs w:val="21"/>
        </w:rPr>
        <w:t>须同时提交以下文件</w:t>
      </w:r>
      <w:bookmarkEnd w:id="14"/>
      <w:r>
        <w:rPr>
          <w:rFonts w:hint="eastAsia" w:ascii="宋体" w:hAnsi="宋体" w:eastAsia="宋体"/>
          <w:bCs/>
          <w:szCs w:val="21"/>
        </w:rPr>
        <w:t>：</w:t>
      </w:r>
      <w:bookmarkStart w:id="15" w:name="_Hlk86740096"/>
      <w:r>
        <w:rPr>
          <w:rFonts w:hint="eastAsia" w:ascii="宋体" w:hAnsi="宋体" w:eastAsia="宋体"/>
          <w:bCs/>
          <w:szCs w:val="21"/>
        </w:rPr>
        <w:t>①可编辑的WORD或 EXCEL 格式文件。②按招标文件要求签署、盖章后的正本投标文件</w:t>
      </w:r>
      <w:r>
        <w:rPr>
          <w:rFonts w:hint="eastAsia" w:ascii="宋体" w:hAnsi="宋体" w:eastAsia="宋体"/>
          <w:bCs/>
          <w:color w:val="auto"/>
          <w:szCs w:val="21"/>
        </w:rPr>
        <w:t>扫描成PDF格式文件。</w:t>
      </w:r>
      <w:r>
        <w:rPr>
          <w:rFonts w:ascii="宋体" w:hAnsi="宋体" w:eastAsia="宋体"/>
          <w:bCs/>
          <w:color w:val="auto"/>
          <w:szCs w:val="21"/>
        </w:rPr>
        <w:t>电子文件</w:t>
      </w:r>
      <w:r>
        <w:rPr>
          <w:rFonts w:hint="eastAsia" w:ascii="宋体" w:hAnsi="宋体" w:eastAsia="宋体"/>
          <w:bCs/>
          <w:color w:val="auto"/>
          <w:szCs w:val="21"/>
        </w:rPr>
        <w:t>由</w:t>
      </w:r>
      <w:r>
        <w:rPr>
          <w:rFonts w:ascii="宋体" w:hAnsi="宋体" w:eastAsia="宋体"/>
          <w:bCs/>
          <w:color w:val="auto"/>
          <w:szCs w:val="21"/>
        </w:rPr>
        <w:t>光盘</w:t>
      </w:r>
      <w:r>
        <w:rPr>
          <w:rFonts w:hint="eastAsia" w:ascii="宋体" w:hAnsi="宋体" w:eastAsia="宋体"/>
          <w:bCs/>
          <w:color w:val="auto"/>
          <w:szCs w:val="21"/>
        </w:rPr>
        <w:t>或U盘</w:t>
      </w:r>
      <w:r>
        <w:rPr>
          <w:rFonts w:ascii="宋体" w:hAnsi="宋体" w:eastAsia="宋体"/>
          <w:bCs/>
          <w:color w:val="auto"/>
          <w:szCs w:val="21"/>
        </w:rPr>
        <w:t>储存</w:t>
      </w:r>
      <w:bookmarkEnd w:id="15"/>
      <w:r>
        <w:rPr>
          <w:rFonts w:hint="eastAsia" w:ascii="宋体" w:hAnsi="宋体" w:eastAsia="宋体"/>
          <w:bCs/>
          <w:color w:val="auto"/>
          <w:szCs w:val="21"/>
        </w:rPr>
        <w:t>。</w:t>
      </w:r>
    </w:p>
    <w:p w14:paraId="0CA8DBE5">
      <w:pPr>
        <w:pStyle w:val="24"/>
        <w:numPr>
          <w:ilvl w:val="0"/>
          <w:numId w:val="58"/>
        </w:numPr>
        <w:tabs>
          <w:tab w:val="left" w:pos="851"/>
        </w:tabs>
        <w:ind w:left="567" w:hanging="567" w:firstLineChars="0"/>
        <w:rPr>
          <w:rFonts w:ascii="宋体" w:hAnsi="宋体" w:eastAsia="宋体"/>
          <w:bCs/>
          <w:szCs w:val="21"/>
        </w:rPr>
      </w:pPr>
      <w:r>
        <w:rPr>
          <w:rFonts w:hint="eastAsia" w:ascii="宋体" w:hAnsi="宋体" w:eastAsia="宋体"/>
          <w:bCs/>
          <w:color w:val="auto"/>
          <w:szCs w:val="21"/>
        </w:rPr>
        <w:t>为方便开标唱标，投标人应将开标一览表、分项报价表（如适用）、法定代表人身份证明书或法定代表人授权委托书一起密封提交，并在信封上标明“唱标信封”的字</w:t>
      </w:r>
      <w:r>
        <w:rPr>
          <w:rFonts w:hint="eastAsia" w:ascii="宋体" w:hAnsi="宋体" w:eastAsia="宋体"/>
          <w:bCs/>
          <w:szCs w:val="21"/>
        </w:rPr>
        <w:t>样。</w:t>
      </w:r>
    </w:p>
    <w:p w14:paraId="4508A2CD">
      <w:pPr>
        <w:pStyle w:val="24"/>
        <w:widowControl/>
        <w:numPr>
          <w:ilvl w:val="0"/>
          <w:numId w:val="53"/>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4"/>
        <w:numPr>
          <w:ilvl w:val="0"/>
          <w:numId w:val="59"/>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4"/>
        <w:numPr>
          <w:ilvl w:val="0"/>
          <w:numId w:val="59"/>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4"/>
        <w:numPr>
          <w:ilvl w:val="0"/>
          <w:numId w:val="59"/>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4"/>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
          <w:bCs w:val="0"/>
          <w:color w:val="000000" w:themeColor="text1"/>
          <w:szCs w:val="21"/>
          <w14:textFill>
            <w14:solidFill>
              <w14:schemeClr w14:val="tx1"/>
            </w14:solidFill>
          </w14:textFill>
        </w:rPr>
        <w:t>（详见《投标邀请》）</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4"/>
        <w:widowControl/>
        <w:numPr>
          <w:ilvl w:val="0"/>
          <w:numId w:val="53"/>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4"/>
        <w:widowControl/>
        <w:numPr>
          <w:ilvl w:val="0"/>
          <w:numId w:val="60"/>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60"/>
        </w:numPr>
        <w:ind w:left="440" w:leftChars="0" w:hanging="440" w:firstLineChars="0"/>
        <w:jc w:val="left"/>
        <w:rPr>
          <w:rFonts w:ascii="Calibri" w:hAnsi="Calibri" w:eastAsia="宋体" w:cs="Times New Roman"/>
          <w:color w:val="auto"/>
          <w:kern w:val="0"/>
          <w:szCs w:val="21"/>
        </w:rPr>
      </w:pPr>
      <w:r>
        <w:rPr>
          <w:rFonts w:ascii="Calibri" w:hAnsi="Calibri" w:eastAsia="宋体" w:cs="Times New Roman"/>
          <w:kern w:val="0"/>
          <w:szCs w:val="21"/>
        </w:rPr>
        <w:t>在投</w:t>
      </w:r>
      <w:r>
        <w:rPr>
          <w:rFonts w:ascii="Calibri" w:hAnsi="Calibri" w:eastAsia="宋体" w:cs="Times New Roman"/>
          <w:color w:val="auto"/>
          <w:kern w:val="0"/>
          <w:szCs w:val="21"/>
        </w:rPr>
        <w:t>标截止时间之后，投标人不得对其投标文件做任何修改和补充。</w:t>
      </w:r>
    </w:p>
    <w:p w14:paraId="44C880E8">
      <w:pPr>
        <w:pStyle w:val="24"/>
        <w:widowControl/>
        <w:numPr>
          <w:ilvl w:val="0"/>
          <w:numId w:val="60"/>
        </w:numPr>
        <w:ind w:left="440" w:leftChars="0" w:hanging="440" w:firstLineChars="0"/>
        <w:jc w:val="left"/>
        <w:rPr>
          <w:rFonts w:ascii="Calibri" w:hAnsi="Calibri" w:eastAsia="宋体" w:cs="Times New Roman"/>
          <w:color w:val="auto"/>
          <w:kern w:val="0"/>
          <w:sz w:val="20"/>
          <w:szCs w:val="20"/>
        </w:rPr>
      </w:pPr>
      <w:r>
        <w:rPr>
          <w:rFonts w:ascii="Calibri" w:hAnsi="Calibri" w:eastAsia="宋体" w:cs="Times New Roman"/>
          <w:color w:val="auto"/>
          <w:kern w:val="0"/>
          <w:szCs w:val="21"/>
        </w:rPr>
        <w:t>在提交投标文件截止时间至投标有效期满之前，投标人不得撤回其投标文件。</w:t>
      </w:r>
    </w:p>
    <w:p w14:paraId="5B06180D">
      <w:pPr>
        <w:pStyle w:val="24"/>
        <w:widowControl/>
        <w:numPr>
          <w:ilvl w:val="0"/>
          <w:numId w:val="53"/>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本项目不适用</w:t>
      </w:r>
      <w:r>
        <w:rPr>
          <w:rFonts w:hint="eastAsia" w:ascii="Calibri" w:hAnsi="Calibri" w:eastAsia="宋体" w:cs="Times New Roman"/>
          <w:b/>
          <w:color w:val="auto"/>
          <w:kern w:val="0"/>
          <w:szCs w:val="21"/>
          <w:lang w:eastAsia="zh-CN"/>
        </w:rPr>
        <w:t>）</w:t>
      </w:r>
    </w:p>
    <w:p w14:paraId="13D58769">
      <w:pPr>
        <w:pStyle w:val="24"/>
        <w:widowControl/>
        <w:numPr>
          <w:ilvl w:val="0"/>
          <w:numId w:val="61"/>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投标保证金的缴纳</w:t>
      </w:r>
    </w:p>
    <w:p w14:paraId="5909AF1A">
      <w:pPr>
        <w:pStyle w:val="24"/>
        <w:widowControl/>
        <w:numPr>
          <w:ilvl w:val="0"/>
          <w:numId w:val="62"/>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投标人在提交投标文件时，应按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规定的金额和缴纳要求缴纳投标保证金，并作为其投标文件的组成部分。</w:t>
      </w:r>
    </w:p>
    <w:p w14:paraId="09E9AB64">
      <w:pPr>
        <w:pStyle w:val="24"/>
        <w:widowControl/>
        <w:numPr>
          <w:ilvl w:val="0"/>
          <w:numId w:val="62"/>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6"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6"/>
    <w:p w14:paraId="08ED3A20">
      <w:pPr>
        <w:pStyle w:val="24"/>
        <w:widowControl/>
        <w:numPr>
          <w:ilvl w:val="0"/>
          <w:numId w:val="62"/>
        </w:numPr>
        <w:ind w:left="567" w:hanging="567" w:firstLineChars="0"/>
        <w:jc w:val="left"/>
        <w:rPr>
          <w:rFonts w:ascii="宋体" w:hAnsi="宋体" w:eastAsia="宋体" w:cs="Times New Roman"/>
          <w:color w:val="auto"/>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6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投标保证金的退还：</w:t>
      </w:r>
    </w:p>
    <w:p w14:paraId="581BB39B">
      <w:pPr>
        <w:pStyle w:val="24"/>
        <w:widowControl/>
        <w:numPr>
          <w:ilvl w:val="0"/>
          <w:numId w:val="63"/>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投标人在投标截止时间前放弃投标的，自所投采购包结果公告发出后5个工作日内退还。</w:t>
      </w:r>
    </w:p>
    <w:p w14:paraId="32B29E50">
      <w:pPr>
        <w:pStyle w:val="24"/>
        <w:widowControl/>
        <w:numPr>
          <w:ilvl w:val="0"/>
          <w:numId w:val="63"/>
        </w:numPr>
        <w:tabs>
          <w:tab w:val="left" w:pos="567"/>
        </w:tabs>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未中标的投标人投标保证金，自中标通知书发出之日起5个工作日内退还。</w:t>
      </w:r>
    </w:p>
    <w:p w14:paraId="5414F91D">
      <w:pPr>
        <w:pStyle w:val="24"/>
        <w:widowControl/>
        <w:numPr>
          <w:ilvl w:val="0"/>
          <w:numId w:val="63"/>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4"/>
        <w:widowControl/>
        <w:numPr>
          <w:ilvl w:val="0"/>
          <w:numId w:val="6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4"/>
        <w:widowControl/>
        <w:numPr>
          <w:ilvl w:val="0"/>
          <w:numId w:val="64"/>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4"/>
        <w:widowControl/>
        <w:numPr>
          <w:ilvl w:val="0"/>
          <w:numId w:val="64"/>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4"/>
        <w:widowControl/>
        <w:numPr>
          <w:ilvl w:val="0"/>
          <w:numId w:val="64"/>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4"/>
        <w:widowControl/>
        <w:numPr>
          <w:ilvl w:val="0"/>
          <w:numId w:val="64"/>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4"/>
        <w:widowControl/>
        <w:numPr>
          <w:ilvl w:val="0"/>
          <w:numId w:val="64"/>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4"/>
        <w:widowControl/>
        <w:numPr>
          <w:ilvl w:val="0"/>
          <w:numId w:val="53"/>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4"/>
        <w:widowControl/>
        <w:numPr>
          <w:ilvl w:val="0"/>
          <w:numId w:val="6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6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53"/>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4"/>
        <w:widowControl/>
        <w:numPr>
          <w:ilvl w:val="0"/>
          <w:numId w:val="6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4"/>
        <w:widowControl/>
        <w:numPr>
          <w:ilvl w:val="0"/>
          <w:numId w:val="6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4"/>
        <w:widowControl/>
        <w:numPr>
          <w:ilvl w:val="0"/>
          <w:numId w:val="6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53"/>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4"/>
        <w:widowControl/>
        <w:numPr>
          <w:ilvl w:val="0"/>
          <w:numId w:val="6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4"/>
        <w:widowControl/>
        <w:numPr>
          <w:ilvl w:val="0"/>
          <w:numId w:val="6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4"/>
        <w:widowControl/>
        <w:numPr>
          <w:ilvl w:val="0"/>
          <w:numId w:val="6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4"/>
        <w:widowControl/>
        <w:numPr>
          <w:ilvl w:val="0"/>
          <w:numId w:val="6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4"/>
        <w:widowControl/>
        <w:numPr>
          <w:ilvl w:val="0"/>
          <w:numId w:val="6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4"/>
        <w:widowControl/>
        <w:numPr>
          <w:ilvl w:val="0"/>
          <w:numId w:val="44"/>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4"/>
        <w:widowControl/>
        <w:numPr>
          <w:ilvl w:val="3"/>
          <w:numId w:val="68"/>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4"/>
        <w:widowControl/>
        <w:numPr>
          <w:ilvl w:val="0"/>
          <w:numId w:val="69"/>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rPr>
        <w:t>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69"/>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4"/>
        <w:widowControl/>
        <w:numPr>
          <w:ilvl w:val="0"/>
          <w:numId w:val="69"/>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4"/>
        <w:widowControl/>
        <w:numPr>
          <w:ilvl w:val="0"/>
          <w:numId w:val="69"/>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69"/>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4"/>
        <w:widowControl/>
        <w:numPr>
          <w:ilvl w:val="0"/>
          <w:numId w:val="69"/>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69"/>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4"/>
        <w:widowControl/>
        <w:numPr>
          <w:ilvl w:val="3"/>
          <w:numId w:val="68"/>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4"/>
        <w:widowControl/>
        <w:numPr>
          <w:ilvl w:val="3"/>
          <w:numId w:val="68"/>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4"/>
        <w:widowControl/>
        <w:numPr>
          <w:ilvl w:val="0"/>
          <w:numId w:val="70"/>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4"/>
        <w:widowControl/>
        <w:numPr>
          <w:ilvl w:val="0"/>
          <w:numId w:val="71"/>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7" w:name="_Hlk169881051"/>
      <w:r>
        <w:rPr>
          <w:rFonts w:ascii="宋体" w:hAnsi="宋体" w:eastAsia="宋体" w:cs="Times New Roman"/>
          <w:kern w:val="0"/>
          <w:szCs w:val="21"/>
        </w:rPr>
        <w:t>指定媒体</w:t>
      </w:r>
      <w:bookmarkEnd w:id="17"/>
      <w:r>
        <w:rPr>
          <w:rFonts w:ascii="宋体" w:hAnsi="宋体" w:eastAsia="宋体" w:cs="Times New Roman"/>
          <w:kern w:val="0"/>
          <w:szCs w:val="21"/>
        </w:rPr>
        <w:t>公告中标结果和发出中标通知书，公告期为1个工作日。</w:t>
      </w:r>
    </w:p>
    <w:p w14:paraId="00414DA4">
      <w:pPr>
        <w:pStyle w:val="24"/>
        <w:widowControl/>
        <w:numPr>
          <w:ilvl w:val="0"/>
          <w:numId w:val="70"/>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4"/>
        <w:widowControl/>
        <w:numPr>
          <w:ilvl w:val="0"/>
          <w:numId w:val="72"/>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4"/>
        <w:widowControl/>
        <w:numPr>
          <w:ilvl w:val="0"/>
          <w:numId w:val="72"/>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4"/>
        <w:widowControl/>
        <w:numPr>
          <w:ilvl w:val="0"/>
          <w:numId w:val="72"/>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4"/>
        <w:widowControl/>
        <w:numPr>
          <w:ilvl w:val="0"/>
          <w:numId w:val="44"/>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4"/>
        <w:widowControl/>
        <w:numPr>
          <w:ilvl w:val="3"/>
          <w:numId w:val="73"/>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4"/>
        <w:widowControl/>
        <w:numPr>
          <w:ilvl w:val="0"/>
          <w:numId w:val="7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lang w:eastAsia="zh-Hans"/>
        </w:rPr>
        <w:t>中“采购人、采购代理机构的名称、地址和联系方式”。</w:t>
      </w:r>
    </w:p>
    <w:p w14:paraId="67533FE7">
      <w:pPr>
        <w:pStyle w:val="24"/>
        <w:widowControl/>
        <w:numPr>
          <w:ilvl w:val="3"/>
          <w:numId w:val="73"/>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4"/>
        <w:widowControl/>
        <w:numPr>
          <w:ilvl w:val="0"/>
          <w:numId w:val="7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76"/>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4"/>
        <w:widowControl/>
        <w:numPr>
          <w:ilvl w:val="0"/>
          <w:numId w:val="76"/>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4"/>
        <w:widowControl/>
        <w:numPr>
          <w:ilvl w:val="0"/>
          <w:numId w:val="76"/>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4"/>
        <w:widowControl/>
        <w:numPr>
          <w:ilvl w:val="0"/>
          <w:numId w:val="7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4"/>
        <w:widowControl/>
        <w:numPr>
          <w:ilvl w:val="0"/>
          <w:numId w:val="77"/>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4"/>
        <w:widowControl/>
        <w:numPr>
          <w:ilvl w:val="0"/>
          <w:numId w:val="77"/>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4"/>
        <w:widowControl/>
        <w:numPr>
          <w:ilvl w:val="0"/>
          <w:numId w:val="77"/>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4"/>
        <w:widowControl/>
        <w:numPr>
          <w:ilvl w:val="0"/>
          <w:numId w:val="77"/>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4"/>
        <w:widowControl/>
        <w:numPr>
          <w:ilvl w:val="0"/>
          <w:numId w:val="7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7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4"/>
        <w:widowControl/>
        <w:numPr>
          <w:ilvl w:val="0"/>
          <w:numId w:val="75"/>
        </w:numPr>
        <w:ind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w:t>
      </w:r>
      <w:r>
        <w:rPr>
          <w:rFonts w:ascii="宋体" w:hAnsi="宋体" w:eastAsia="宋体" w:cs="Times New Roman"/>
          <w:color w:val="auto"/>
          <w:kern w:val="0"/>
          <w:szCs w:val="21"/>
          <w:lang w:eastAsia="zh-Hans"/>
        </w:rPr>
        <w:t>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4"/>
        <w:widowControl/>
        <w:numPr>
          <w:ilvl w:val="0"/>
          <w:numId w:val="75"/>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质疑联系方式如下：</w:t>
      </w:r>
    </w:p>
    <w:p w14:paraId="04E1EE58">
      <w:pPr>
        <w:widowControl/>
        <w:ind w:firstLine="480"/>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陈子菱</w:t>
      </w:r>
    </w:p>
    <w:p w14:paraId="6A816235">
      <w:pPr>
        <w:widowControl/>
        <w:ind w:firstLine="480"/>
        <w:jc w:val="left"/>
        <w:rPr>
          <w:rFonts w:ascii="宋体" w:hAnsi="宋体" w:eastAsia="宋体" w:cs="Times New Roman"/>
          <w:color w:val="auto"/>
          <w:kern w:val="0"/>
          <w:szCs w:val="21"/>
          <w:lang w:eastAsia="zh-Hans"/>
        </w:rPr>
      </w:pPr>
      <w:bookmarkStart w:id="18" w:name="_Hlk170237862"/>
      <w:r>
        <w:rPr>
          <w:rFonts w:ascii="宋体" w:hAnsi="宋体" w:eastAsia="宋体" w:cs="Times New Roman"/>
          <w:color w:val="auto"/>
          <w:kern w:val="0"/>
          <w:szCs w:val="21"/>
          <w:lang w:eastAsia="zh-Hans"/>
        </w:rPr>
        <w:t>电话：0769</w:t>
      </w:r>
      <w:r>
        <w:rPr>
          <w:rFonts w:hint="eastAsia" w:ascii="宋体" w:hAnsi="宋体" w:eastAsia="宋体" w:cs="Times New Roman"/>
          <w:color w:val="auto"/>
          <w:kern w:val="0"/>
          <w:szCs w:val="21"/>
          <w:lang w:val="en-US" w:eastAsia="zh-CN"/>
        </w:rPr>
        <w:t>-</w:t>
      </w:r>
      <w:r>
        <w:rPr>
          <w:rFonts w:ascii="宋体" w:hAnsi="宋体" w:eastAsia="宋体" w:cs="Times New Roman"/>
          <w:color w:val="auto"/>
          <w:kern w:val="0"/>
          <w:szCs w:val="21"/>
          <w:lang w:eastAsia="zh-Hans"/>
        </w:rPr>
        <w:t>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8"/>
    </w:p>
    <w:p w14:paraId="4ABBDBCF">
      <w:pPr>
        <w:widowControl/>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23EC7FB9">
      <w:pPr>
        <w:pStyle w:val="24"/>
        <w:widowControl/>
        <w:numPr>
          <w:ilvl w:val="0"/>
          <w:numId w:val="78"/>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质疑人对采购人或采购代理机构的质疑答复不满意或在规定时间内未得到答复的，可以在答复期满后15个工作日内，向本项目监督管理部门提起投诉。</w:t>
      </w:r>
    </w:p>
    <w:p w14:paraId="7D73C36D">
      <w:pPr>
        <w:pStyle w:val="24"/>
        <w:widowControl/>
        <w:numPr>
          <w:ilvl w:val="0"/>
          <w:numId w:val="44"/>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4"/>
        <w:widowControl/>
        <w:numPr>
          <w:ilvl w:val="0"/>
          <w:numId w:val="79"/>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rPr>
        <w:t>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4"/>
        <w:widowControl/>
        <w:numPr>
          <w:ilvl w:val="0"/>
          <w:numId w:val="79"/>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4"/>
        <w:widowControl/>
        <w:numPr>
          <w:ilvl w:val="0"/>
          <w:numId w:val="44"/>
        </w:numPr>
        <w:spacing w:before="217" w:beforeLines="50"/>
        <w:ind w:left="442" w:hanging="442"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02041DF9">
      <w:pPr>
        <w:pStyle w:val="24"/>
        <w:widowControl/>
        <w:numPr>
          <w:ilvl w:val="3"/>
          <w:numId w:val="80"/>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w:t>
      </w:r>
    </w:p>
    <w:p w14:paraId="4A81814F">
      <w:pPr>
        <w:pStyle w:val="24"/>
        <w:widowControl/>
        <w:numPr>
          <w:ilvl w:val="0"/>
          <w:numId w:val="81"/>
        </w:numPr>
        <w:ind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w:t>
      </w:r>
      <w:r>
        <w:rPr>
          <w:rFonts w:ascii="宋体" w:hAnsi="宋体" w:eastAsia="宋体" w:cs="Times New Roman"/>
          <w:color w:val="auto"/>
          <w:kern w:val="0"/>
          <w:szCs w:val="21"/>
          <w:lang w:eastAsia="zh-Hans"/>
        </w:rPr>
        <w:t>定，与中标供应商签订合同。所签订的合同不得对招标文件和中标供应商投标文件作实质性修改。</w:t>
      </w:r>
    </w:p>
    <w:p w14:paraId="227A774A">
      <w:pPr>
        <w:pStyle w:val="24"/>
        <w:widowControl/>
        <w:numPr>
          <w:ilvl w:val="0"/>
          <w:numId w:val="8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80"/>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合同的履行</w:t>
      </w:r>
    </w:p>
    <w:p w14:paraId="63899B25">
      <w:pPr>
        <w:pStyle w:val="24"/>
        <w:widowControl/>
        <w:numPr>
          <w:ilvl w:val="0"/>
          <w:numId w:val="82"/>
        </w:numPr>
        <w:ind w:firstLineChars="0"/>
        <w:jc w:val="left"/>
        <w:rPr>
          <w:rFonts w:ascii="宋体" w:hAnsi="宋体" w:eastAsia="宋体" w:cs="Times New Roman"/>
          <w:color w:val="auto"/>
          <w:kern w:val="0"/>
          <w:szCs w:val="21"/>
          <w:lang w:eastAsia="zh-Hans"/>
        </w:rPr>
      </w:pPr>
      <w:bookmarkStart w:id="19"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9"/>
    </w:p>
    <w:p w14:paraId="7DB3A8A0">
      <w:pPr>
        <w:pStyle w:val="24"/>
        <w:widowControl/>
        <w:numPr>
          <w:ilvl w:val="0"/>
          <w:numId w:val="82"/>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20" w:name="_Hlk170237986"/>
      <w:r>
        <w:rPr>
          <w:rFonts w:ascii="宋体" w:hAnsi="宋体" w:eastAsia="宋体" w:cs="Times New Roman"/>
          <w:kern w:val="0"/>
          <w:szCs w:val="21"/>
          <w:lang w:eastAsia="zh-Hans"/>
        </w:rPr>
        <w:t>签订补充合同的必须按规定备案。</w:t>
      </w:r>
    </w:p>
    <w:bookmarkEnd w:id="20"/>
    <w:p w14:paraId="7058F3DD">
      <w:pPr>
        <w:pageBreakBefore/>
        <w:widowControl/>
        <w:jc w:val="center"/>
        <w:outlineLvl w:val="1"/>
        <w:rPr>
          <w:rFonts w:ascii="Calibri" w:hAnsi="Calibri" w:eastAsia="宋体" w:cs="Times New Roman"/>
          <w:kern w:val="0"/>
          <w:sz w:val="20"/>
          <w:szCs w:val="20"/>
          <w:lang w:eastAsia="zh-Hans"/>
        </w:rPr>
      </w:pPr>
      <w:bookmarkStart w:id="21" w:name="_Toc29215"/>
      <w:bookmarkStart w:id="22" w:name="_Toc169799781"/>
      <w:r>
        <w:rPr>
          <w:rFonts w:ascii="Calibri" w:hAnsi="Calibri" w:eastAsia="宋体" w:cs="Times New Roman"/>
          <w:b/>
          <w:kern w:val="0"/>
          <w:sz w:val="36"/>
          <w:szCs w:val="20"/>
          <w:lang w:eastAsia="zh-Hans"/>
        </w:rPr>
        <w:t>第四章 评标</w:t>
      </w:r>
      <w:bookmarkEnd w:id="21"/>
      <w:bookmarkEnd w:id="22"/>
    </w:p>
    <w:p w14:paraId="1F905B4D">
      <w:pPr>
        <w:pStyle w:val="24"/>
        <w:numPr>
          <w:ilvl w:val="0"/>
          <w:numId w:val="83"/>
        </w:numPr>
        <w:ind w:firstLineChars="0"/>
        <w:rPr>
          <w:rFonts w:ascii="宋体" w:hAnsi="宋体" w:eastAsia="宋体"/>
          <w:b/>
          <w:bCs/>
        </w:rPr>
      </w:pPr>
      <w:r>
        <w:rPr>
          <w:rFonts w:ascii="宋体" w:hAnsi="宋体" w:eastAsia="宋体"/>
          <w:b/>
          <w:bCs/>
        </w:rPr>
        <w:t>评标要求</w:t>
      </w:r>
    </w:p>
    <w:p w14:paraId="000B4FC0">
      <w:pPr>
        <w:pStyle w:val="24"/>
        <w:widowControl/>
        <w:numPr>
          <w:ilvl w:val="3"/>
          <w:numId w:val="84"/>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4"/>
        <w:widowControl/>
        <w:numPr>
          <w:ilvl w:val="0"/>
          <w:numId w:val="85"/>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4"/>
        <w:widowControl/>
        <w:numPr>
          <w:ilvl w:val="0"/>
          <w:numId w:val="85"/>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84"/>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4"/>
        <w:widowControl/>
        <w:numPr>
          <w:ilvl w:val="0"/>
          <w:numId w:val="86"/>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86"/>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4"/>
        <w:widowControl/>
        <w:numPr>
          <w:ilvl w:val="0"/>
          <w:numId w:val="86"/>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中约定的有效供应商家数的，不得评标。</w:t>
      </w:r>
    </w:p>
    <w:p w14:paraId="1328CF1C">
      <w:pPr>
        <w:pStyle w:val="24"/>
        <w:widowControl/>
        <w:numPr>
          <w:ilvl w:val="3"/>
          <w:numId w:val="84"/>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4"/>
        <w:widowControl/>
        <w:numPr>
          <w:ilvl w:val="0"/>
          <w:numId w:val="87"/>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4"/>
        <w:widowControl/>
        <w:numPr>
          <w:ilvl w:val="0"/>
          <w:numId w:val="87"/>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88"/>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4"/>
        <w:widowControl/>
        <w:numPr>
          <w:ilvl w:val="0"/>
          <w:numId w:val="88"/>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4"/>
        <w:widowControl/>
        <w:numPr>
          <w:ilvl w:val="0"/>
          <w:numId w:val="88"/>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4"/>
        <w:widowControl/>
        <w:numPr>
          <w:ilvl w:val="0"/>
          <w:numId w:val="88"/>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4"/>
        <w:widowControl/>
        <w:numPr>
          <w:ilvl w:val="0"/>
          <w:numId w:val="88"/>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4"/>
        <w:widowControl/>
        <w:numPr>
          <w:ilvl w:val="0"/>
          <w:numId w:val="87"/>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4"/>
        <w:widowControl/>
        <w:numPr>
          <w:ilvl w:val="0"/>
          <w:numId w:val="89"/>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4"/>
        <w:widowControl/>
        <w:numPr>
          <w:ilvl w:val="0"/>
          <w:numId w:val="89"/>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4"/>
        <w:widowControl/>
        <w:numPr>
          <w:ilvl w:val="0"/>
          <w:numId w:val="89"/>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4"/>
        <w:widowControl/>
        <w:numPr>
          <w:ilvl w:val="0"/>
          <w:numId w:val="89"/>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4"/>
        <w:widowControl/>
        <w:numPr>
          <w:ilvl w:val="0"/>
          <w:numId w:val="89"/>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4"/>
        <w:widowControl/>
        <w:numPr>
          <w:ilvl w:val="0"/>
          <w:numId w:val="89"/>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89"/>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keepNext w:val="0"/>
        <w:keepLines w:val="0"/>
        <w:pageBreakBefore w:val="0"/>
        <w:widowControl/>
        <w:numPr>
          <w:ilvl w:val="0"/>
          <w:numId w:val="89"/>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参照</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，以确保评标的公平、公正。</w:t>
      </w:r>
    </w:p>
    <w:p w14:paraId="087B6B85">
      <w:pPr>
        <w:pStyle w:val="24"/>
        <w:widowControl/>
        <w:numPr>
          <w:ilvl w:val="3"/>
          <w:numId w:val="84"/>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4"/>
        <w:numPr>
          <w:ilvl w:val="0"/>
          <w:numId w:val="90"/>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4"/>
        <w:numPr>
          <w:ilvl w:val="0"/>
          <w:numId w:val="90"/>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4"/>
        <w:numPr>
          <w:ilvl w:val="0"/>
          <w:numId w:val="90"/>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4"/>
        <w:numPr>
          <w:ilvl w:val="0"/>
          <w:numId w:val="90"/>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4"/>
        <w:numPr>
          <w:ilvl w:val="0"/>
          <w:numId w:val="90"/>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4"/>
        <w:numPr>
          <w:ilvl w:val="0"/>
          <w:numId w:val="90"/>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4"/>
        <w:widowControl/>
        <w:numPr>
          <w:ilvl w:val="3"/>
          <w:numId w:val="84"/>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4"/>
        <w:widowControl/>
        <w:numPr>
          <w:ilvl w:val="3"/>
          <w:numId w:val="84"/>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4"/>
        <w:widowControl/>
        <w:numPr>
          <w:ilvl w:val="0"/>
          <w:numId w:val="91"/>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84"/>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4"/>
        <w:widowControl/>
        <w:numPr>
          <w:ilvl w:val="0"/>
          <w:numId w:val="92"/>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4"/>
        <w:widowControl/>
        <w:numPr>
          <w:ilvl w:val="0"/>
          <w:numId w:val="93"/>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4"/>
        <w:widowControl/>
        <w:numPr>
          <w:ilvl w:val="0"/>
          <w:numId w:val="93"/>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4"/>
        <w:widowControl/>
        <w:numPr>
          <w:ilvl w:val="0"/>
          <w:numId w:val="93"/>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4"/>
        <w:widowControl/>
        <w:numPr>
          <w:ilvl w:val="0"/>
          <w:numId w:val="93"/>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shd w:val="clear" w:color="auto" w:fill="FFFFFF"/>
        </w:rPr>
      </w:pPr>
      <w:bookmarkStart w:id="23"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3"/>
    <w:p w14:paraId="220127BA">
      <w:pPr>
        <w:pStyle w:val="24"/>
        <w:widowControl/>
        <w:numPr>
          <w:ilvl w:val="0"/>
          <w:numId w:val="92"/>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投标文件中开标一览表、分项报价表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内容与唱标信封中开标一览表</w:t>
      </w:r>
      <w:r>
        <w:rPr>
          <w:rFonts w:hint="eastAsia" w:ascii="宋体" w:hAnsi="宋体" w:eastAsia="宋体" w:cs="Times New Roman"/>
          <w:color w:val="auto"/>
          <w:kern w:val="0"/>
          <w:szCs w:val="21"/>
        </w:rPr>
        <w:t>、</w:t>
      </w:r>
      <w:r>
        <w:rPr>
          <w:rFonts w:ascii="宋体" w:hAnsi="宋体" w:eastAsia="宋体" w:cs="Times New Roman"/>
          <w:color w:val="auto"/>
          <w:kern w:val="0"/>
          <w:szCs w:val="21"/>
        </w:rPr>
        <w:t>分项报价</w:t>
      </w:r>
      <w:r>
        <w:rPr>
          <w:rFonts w:hint="eastAsia" w:ascii="宋体" w:hAnsi="宋体" w:eastAsia="宋体" w:cs="Times New Roman"/>
          <w:color w:val="auto"/>
          <w:kern w:val="0"/>
          <w:szCs w:val="21"/>
          <w:lang w:val="en-US" w:eastAsia="zh-CN"/>
        </w:rPr>
        <w:t>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内容不一致的，以唱标信封中开标一览表、分项报价表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内容为准。</w:t>
      </w:r>
    </w:p>
    <w:p w14:paraId="609FC80E">
      <w:pPr>
        <w:pStyle w:val="24"/>
        <w:numPr>
          <w:ilvl w:val="0"/>
          <w:numId w:val="83"/>
        </w:numPr>
        <w:ind w:firstLineChars="0"/>
        <w:rPr>
          <w:rFonts w:ascii="宋体" w:hAnsi="宋体" w:eastAsia="宋体" w:cs="Times New Roman"/>
          <w:kern w:val="0"/>
          <w:szCs w:val="21"/>
          <w:lang w:eastAsia="zh-Hans"/>
        </w:rPr>
      </w:pPr>
      <w:bookmarkStart w:id="24" w:name="_Toc169799782"/>
      <w:r>
        <w:rPr>
          <w:rFonts w:ascii="宋体" w:hAnsi="宋体" w:eastAsia="宋体"/>
          <w:b/>
          <w:bCs/>
        </w:rPr>
        <w:t>采购政策落实</w:t>
      </w:r>
      <w:bookmarkEnd w:id="24"/>
    </w:p>
    <w:p w14:paraId="79D17283">
      <w:pPr>
        <w:pStyle w:val="24"/>
        <w:numPr>
          <w:ilvl w:val="1"/>
          <w:numId w:val="94"/>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95"/>
        </w:numPr>
        <w:tabs>
          <w:tab w:val="left" w:pos="1418"/>
        </w:tabs>
        <w:ind w:left="426" w:hanging="426" w:firstLineChars="0"/>
        <w:rPr>
          <w:rFonts w:ascii="宋体" w:hAnsi="宋体" w:eastAsia="宋体"/>
          <w:bCs/>
          <w:color w:val="auto"/>
          <w:szCs w:val="21"/>
          <w:highlight w:val="none"/>
        </w:rPr>
      </w:pPr>
      <w:bookmarkStart w:id="25"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5"/>
      <w:r>
        <w:rPr>
          <w:rFonts w:hint="eastAsia" w:ascii="宋体" w:hAnsi="宋体" w:eastAsia="宋体"/>
          <w:b/>
          <w:color w:val="auto"/>
          <w:szCs w:val="21"/>
          <w:highlight w:val="none"/>
          <w:u w:val="single"/>
        </w:rPr>
        <w:t>格式详见招标文件第六章投标文件格式）。</w:t>
      </w:r>
    </w:p>
    <w:p w14:paraId="231C45DF">
      <w:pPr>
        <w:pStyle w:val="24"/>
        <w:numPr>
          <w:ilvl w:val="1"/>
          <w:numId w:val="94"/>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对监狱企业投标的扶持</w:t>
      </w:r>
    </w:p>
    <w:p w14:paraId="0EB14B84">
      <w:pPr>
        <w:pStyle w:val="24"/>
        <w:numPr>
          <w:ilvl w:val="2"/>
          <w:numId w:val="96"/>
        </w:numPr>
        <w:ind w:firstLineChars="0"/>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《关于政府采购支持监狱企业发展有关问题的通知》（财库</w:t>
      </w:r>
      <w:r>
        <w:rPr>
          <w:rFonts w:ascii="宋体" w:hAnsi="宋体" w:eastAsia="宋体"/>
          <w:bCs/>
          <w:color w:val="000000" w:themeColor="text1"/>
          <w:szCs w:val="21"/>
          <w14:textFill>
            <w14:solidFill>
              <w14:schemeClr w14:val="tx1"/>
            </w14:solidFill>
          </w14:textFill>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000000" w:themeColor="text1"/>
          <w:szCs w:val="21"/>
          <w:u w:val="single"/>
          <w14:textFill>
            <w14:solidFill>
              <w14:schemeClr w14:val="tx1"/>
            </w14:solidFill>
          </w14:textFill>
        </w:rPr>
        <w:t>（格式详见招标文件第</w:t>
      </w:r>
      <w:r>
        <w:rPr>
          <w:rFonts w:hint="eastAsia" w:ascii="宋体" w:hAnsi="宋体" w:eastAsia="宋体"/>
          <w:b/>
          <w:color w:val="000000" w:themeColor="text1"/>
          <w:szCs w:val="21"/>
          <w:u w:val="single"/>
          <w14:textFill>
            <w14:solidFill>
              <w14:schemeClr w14:val="tx1"/>
            </w14:solidFill>
          </w14:textFill>
        </w:rPr>
        <w:t>六章</w:t>
      </w:r>
      <w:r>
        <w:rPr>
          <w:rFonts w:ascii="宋体" w:hAnsi="宋体" w:eastAsia="宋体"/>
          <w:b/>
          <w:color w:val="000000" w:themeColor="text1"/>
          <w:szCs w:val="21"/>
          <w:u w:val="single"/>
          <w14:textFill>
            <w14:solidFill>
              <w14:schemeClr w14:val="tx1"/>
            </w14:solidFill>
          </w14:textFill>
        </w:rPr>
        <w:t>投标文件格式）</w:t>
      </w:r>
    </w:p>
    <w:p w14:paraId="42AAAFB7">
      <w:pPr>
        <w:pStyle w:val="24"/>
        <w:numPr>
          <w:ilvl w:val="1"/>
          <w:numId w:val="94"/>
        </w:numPr>
        <w:tabs>
          <w:tab w:val="left" w:pos="426"/>
          <w:tab w:val="left" w:pos="1418"/>
        </w:tabs>
        <w:ind w:left="851" w:hanging="851" w:firstLineChars="0"/>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对残疾人福利性单位投标的扶持</w:t>
      </w:r>
    </w:p>
    <w:p w14:paraId="2923D221">
      <w:pPr>
        <w:pStyle w:val="24"/>
        <w:numPr>
          <w:ilvl w:val="2"/>
          <w:numId w:val="97"/>
        </w:numPr>
        <w:ind w:left="424" w:hanging="424" w:hangingChars="202"/>
        <w:rPr>
          <w:rFonts w:ascii="宋体" w:hAnsi="宋体" w:eastAsia="宋体"/>
          <w:b/>
          <w:color w:val="000000" w:themeColor="text1"/>
          <w:szCs w:val="21"/>
          <w:u w:val="single"/>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参考</w:t>
      </w:r>
      <w:r>
        <w:rPr>
          <w:rFonts w:hint="eastAsia" w:ascii="宋体" w:hAnsi="宋体" w:eastAsia="宋体"/>
          <w:bCs/>
          <w:color w:val="000000" w:themeColor="text1"/>
          <w:szCs w:val="21"/>
          <w14:textFill>
            <w14:solidFill>
              <w14:schemeClr w14:val="tx1"/>
            </w14:solidFill>
          </w14:textFill>
        </w:rPr>
        <w:t>财政部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民政部</w:t>
      </w:r>
      <w:r>
        <w:rPr>
          <w:rFonts w:ascii="宋体" w:hAnsi="宋体" w:eastAsia="宋体"/>
          <w:bCs/>
          <w:color w:val="000000" w:themeColor="text1"/>
          <w:szCs w:val="21"/>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中国残疾人联合会《关于促进残疾人就业政府采购政策的通知》（财库</w:t>
      </w:r>
      <w:r>
        <w:rPr>
          <w:rFonts w:ascii="宋体" w:hAnsi="宋体" w:eastAsia="宋体"/>
          <w:bCs/>
          <w:color w:val="000000" w:themeColor="text1"/>
          <w:szCs w:val="21"/>
          <w14:textFill>
            <w14:solidFill>
              <w14:schemeClr w14:val="tx1"/>
            </w14:solidFill>
          </w14:textFill>
        </w:rPr>
        <w:t>[2017]</w:t>
      </w:r>
      <w:r>
        <w:rPr>
          <w:rFonts w:hint="eastAsia" w:ascii="宋体" w:hAnsi="宋体" w:eastAsia="宋体"/>
          <w:bCs/>
          <w:color w:val="000000" w:themeColor="text1"/>
          <w:szCs w:val="21"/>
          <w14:textFill>
            <w14:solidFill>
              <w14:schemeClr w14:val="tx1"/>
            </w14:solidFill>
          </w14:textFill>
        </w:rPr>
        <w:t>1</w:t>
      </w:r>
      <w:r>
        <w:rPr>
          <w:rFonts w:ascii="宋体" w:hAnsi="宋体" w:eastAsia="宋体"/>
          <w:bCs/>
          <w:color w:val="000000" w:themeColor="text1"/>
          <w:szCs w:val="21"/>
          <w14:textFill>
            <w14:solidFill>
              <w14:schemeClr w14:val="tx1"/>
            </w14:solidFill>
          </w14:textFill>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000000" w:themeColor="text1"/>
          <w:szCs w:val="21"/>
          <w:u w:val="single"/>
          <w14:textFill>
            <w14:solidFill>
              <w14:schemeClr w14:val="tx1"/>
            </w14:solidFill>
          </w14:textFill>
        </w:rPr>
        <w:t>（格式详见招标文件第六章投标文件格式）。</w:t>
      </w:r>
    </w:p>
    <w:p w14:paraId="5E40FCE0">
      <w:pPr>
        <w:pStyle w:val="24"/>
        <w:numPr>
          <w:ilvl w:val="1"/>
          <w:numId w:val="94"/>
        </w:numPr>
        <w:ind w:left="426" w:hanging="426" w:firstLineChars="0"/>
        <w:jc w:val="left"/>
        <w:rPr>
          <w:rFonts w:ascii="宋体" w:hAnsi="宋体" w:eastAsia="宋体"/>
          <w:b/>
          <w:color w:val="auto"/>
          <w:szCs w:val="21"/>
          <w:highlight w:val="none"/>
        </w:rPr>
      </w:pPr>
      <w:r>
        <w:rPr>
          <w:rFonts w:hint="eastAsia" w:ascii="宋体" w:hAnsi="宋体" w:eastAsia="宋体"/>
          <w:b/>
          <w:szCs w:val="21"/>
        </w:rPr>
        <w:t>大中型企业与小微企业组成联合体或者允许大中型企业向一家或者多家小微企业分包的采购项</w:t>
      </w:r>
      <w:r>
        <w:rPr>
          <w:rFonts w:hint="eastAsia" w:ascii="宋体" w:hAnsi="宋体" w:eastAsia="宋体"/>
          <w:b/>
          <w:color w:val="auto"/>
          <w:szCs w:val="21"/>
          <w:highlight w:val="none"/>
        </w:rPr>
        <w:t>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4"/>
        <w:numPr>
          <w:ilvl w:val="1"/>
          <w:numId w:val="94"/>
        </w:numPr>
        <w:tabs>
          <w:tab w:val="left" w:pos="426"/>
          <w:tab w:val="left" w:pos="1418"/>
        </w:tabs>
        <w:ind w:left="851" w:hanging="851" w:firstLineChars="0"/>
        <w:rPr>
          <w:rFonts w:ascii="宋体" w:hAnsi="宋体" w:eastAsia="宋体"/>
          <w:b/>
          <w:color w:val="auto"/>
          <w:szCs w:val="21"/>
          <w:highlight w:val="none"/>
        </w:rPr>
      </w:pPr>
      <w:bookmarkStart w:id="26" w:name="_Hlk86745708"/>
      <w:bookmarkStart w:id="27" w:name="_Hlk90987823"/>
      <w:r>
        <w:rPr>
          <w:rFonts w:hint="eastAsia" w:ascii="宋体" w:hAnsi="宋体" w:eastAsia="宋体"/>
          <w:b/>
          <w:bCs/>
          <w:color w:val="auto"/>
          <w:szCs w:val="21"/>
          <w:highlight w:val="none"/>
        </w:rPr>
        <w:t>监狱企业产品、残疾人福利性单位产品价格扣除</w:t>
      </w:r>
    </w:p>
    <w:p w14:paraId="5FA076BC">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6"/>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7"/>
    <w:p w14:paraId="288746E7">
      <w:pPr>
        <w:pStyle w:val="24"/>
        <w:numPr>
          <w:ilvl w:val="1"/>
          <w:numId w:val="94"/>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3FB4B18E">
      <w:pPr>
        <w:pStyle w:val="24"/>
        <w:numPr>
          <w:ilvl w:val="0"/>
          <w:numId w:val="98"/>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6F107683">
      <w:pPr>
        <w:pStyle w:val="24"/>
        <w:numPr>
          <w:ilvl w:val="0"/>
          <w:numId w:val="98"/>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59F7467">
      <w:pPr>
        <w:pStyle w:val="24"/>
        <w:numPr>
          <w:ilvl w:val="1"/>
          <w:numId w:val="94"/>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3F691DA3">
      <w:pPr>
        <w:ind w:firstLine="404" w:firstLineChars="200"/>
        <w:jc w:val="left"/>
        <w:rPr>
          <w:rFonts w:ascii="宋体" w:hAnsi="宋体" w:eastAsia="宋体"/>
          <w:bCs/>
          <w:spacing w:val="-4"/>
          <w:szCs w:val="21"/>
        </w:rPr>
      </w:pPr>
      <w:r>
        <w:rPr>
          <w:rFonts w:hint="eastAsia" w:ascii="宋体" w:hAnsi="宋体" w:eastAsia="宋体"/>
          <w:bCs/>
          <w:color w:val="auto"/>
          <w:spacing w:val="-4"/>
          <w:szCs w:val="21"/>
          <w:highlight w:val="none"/>
        </w:rPr>
        <w:t>注：因落实采</w:t>
      </w:r>
      <w:r>
        <w:rPr>
          <w:rFonts w:hint="eastAsia" w:ascii="宋体" w:hAnsi="宋体" w:eastAsia="宋体"/>
          <w:bCs/>
          <w:color w:val="000000" w:themeColor="text1"/>
          <w:spacing w:val="-4"/>
          <w:szCs w:val="21"/>
          <w14:textFill>
            <w14:solidFill>
              <w14:schemeClr w14:val="tx1"/>
            </w14:solidFill>
          </w14:textFill>
        </w:rPr>
        <w:t>购政策进行价格调整的，以调整后的价格计算评标基准价和投标报价。</w:t>
      </w:r>
    </w:p>
    <w:p w14:paraId="3EA2C08B">
      <w:pPr>
        <w:pStyle w:val="24"/>
        <w:numPr>
          <w:ilvl w:val="1"/>
          <w:numId w:val="94"/>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rPr>
            </w:pPr>
            <w:r>
              <w:rPr>
                <w:rFonts w:hint="eastAsia" w:ascii="宋体" w:hAnsi="宋体" w:eastAsia="宋体"/>
                <w:color w:val="auto"/>
                <w:szCs w:val="21"/>
              </w:rPr>
              <w:t>评分项目</w:t>
            </w:r>
          </w:p>
        </w:tc>
        <w:tc>
          <w:tcPr>
            <w:tcW w:w="1082" w:type="pct"/>
            <w:vAlign w:val="center"/>
          </w:tcPr>
          <w:p w14:paraId="0CC69E81">
            <w:pPr>
              <w:jc w:val="center"/>
              <w:rPr>
                <w:rFonts w:ascii="宋体" w:hAnsi="宋体" w:eastAsia="宋体"/>
                <w:color w:val="auto"/>
                <w:szCs w:val="21"/>
              </w:rPr>
            </w:pPr>
            <w:r>
              <w:rPr>
                <w:rFonts w:hint="eastAsia" w:ascii="宋体" w:hAnsi="宋体" w:eastAsia="宋体"/>
                <w:color w:val="auto"/>
                <w:szCs w:val="21"/>
              </w:rPr>
              <w:t>价格部分</w:t>
            </w:r>
          </w:p>
        </w:tc>
        <w:tc>
          <w:tcPr>
            <w:tcW w:w="1081" w:type="pct"/>
            <w:vAlign w:val="center"/>
          </w:tcPr>
          <w:p w14:paraId="3ABB61E7">
            <w:pPr>
              <w:jc w:val="center"/>
              <w:rPr>
                <w:rFonts w:ascii="宋体" w:hAnsi="宋体" w:eastAsia="宋体"/>
                <w:color w:val="auto"/>
                <w:szCs w:val="21"/>
              </w:rPr>
            </w:pPr>
            <w:r>
              <w:rPr>
                <w:rFonts w:hint="eastAsia" w:ascii="宋体" w:hAnsi="宋体" w:eastAsia="宋体"/>
                <w:color w:val="auto"/>
                <w:szCs w:val="21"/>
              </w:rPr>
              <w:t>商务部分</w:t>
            </w:r>
          </w:p>
        </w:tc>
        <w:tc>
          <w:tcPr>
            <w:tcW w:w="1081" w:type="pct"/>
            <w:vAlign w:val="center"/>
          </w:tcPr>
          <w:p w14:paraId="41A7A6BF">
            <w:pPr>
              <w:jc w:val="center"/>
              <w:rPr>
                <w:rFonts w:ascii="宋体" w:hAnsi="宋体" w:eastAsia="宋体"/>
                <w:color w:val="auto"/>
                <w:szCs w:val="21"/>
              </w:rPr>
            </w:pPr>
            <w:r>
              <w:rPr>
                <w:rFonts w:hint="eastAsia" w:ascii="宋体" w:hAnsi="宋体" w:eastAsia="宋体"/>
                <w:color w:val="auto"/>
                <w:szCs w:val="21"/>
              </w:rPr>
              <w:t>技术部分</w:t>
            </w:r>
          </w:p>
        </w:tc>
        <w:tc>
          <w:tcPr>
            <w:tcW w:w="780" w:type="pct"/>
            <w:vAlign w:val="center"/>
          </w:tcPr>
          <w:p w14:paraId="57B4C055">
            <w:pPr>
              <w:jc w:val="center"/>
              <w:rPr>
                <w:rFonts w:ascii="宋体" w:hAnsi="宋体" w:eastAsia="宋体"/>
                <w:color w:val="auto"/>
                <w:szCs w:val="21"/>
              </w:rPr>
            </w:pPr>
            <w:r>
              <w:rPr>
                <w:rFonts w:hint="eastAsia" w:ascii="宋体" w:hAnsi="宋体" w:eastAsia="宋体"/>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rPr>
            </w:pPr>
            <w:r>
              <w:rPr>
                <w:rFonts w:hint="eastAsia" w:ascii="宋体" w:hAnsi="宋体" w:eastAsia="宋体"/>
                <w:color w:val="auto"/>
                <w:szCs w:val="21"/>
              </w:rPr>
              <w:t>权值</w:t>
            </w:r>
          </w:p>
        </w:tc>
        <w:tc>
          <w:tcPr>
            <w:tcW w:w="1082" w:type="pct"/>
            <w:vAlign w:val="center"/>
          </w:tcPr>
          <w:p w14:paraId="05BB9D15">
            <w:pPr>
              <w:jc w:val="center"/>
              <w:rPr>
                <w:rFonts w:ascii="宋体" w:hAnsi="宋体" w:eastAsia="宋体"/>
                <w:color w:val="auto"/>
                <w:szCs w:val="21"/>
              </w:rPr>
            </w:pPr>
            <w:r>
              <w:rPr>
                <w:rFonts w:hint="eastAsia" w:ascii="宋体" w:hAnsi="宋体" w:eastAsia="宋体"/>
                <w:color w:val="auto"/>
                <w:szCs w:val="21"/>
                <w:lang w:val="en-US" w:eastAsia="zh-CN"/>
              </w:rPr>
              <w:t>30</w:t>
            </w:r>
            <w:r>
              <w:rPr>
                <w:rFonts w:hint="eastAsia" w:ascii="宋体" w:hAnsi="宋体" w:eastAsia="宋体"/>
                <w:color w:val="auto"/>
                <w:szCs w:val="21"/>
              </w:rPr>
              <w:t>%</w:t>
            </w:r>
          </w:p>
        </w:tc>
        <w:tc>
          <w:tcPr>
            <w:tcW w:w="1081" w:type="pct"/>
            <w:vAlign w:val="center"/>
          </w:tcPr>
          <w:p w14:paraId="0985E51B">
            <w:pPr>
              <w:jc w:val="center"/>
              <w:rPr>
                <w:rFonts w:ascii="宋体" w:hAnsi="宋体" w:eastAsia="宋体"/>
                <w:color w:val="auto"/>
                <w:szCs w:val="21"/>
                <w:highlight w:val="red"/>
              </w:rPr>
            </w:pPr>
            <w:r>
              <w:rPr>
                <w:rFonts w:hint="eastAsia" w:ascii="宋体" w:hAnsi="宋体" w:eastAsia="宋体"/>
                <w:color w:val="auto"/>
                <w:szCs w:val="21"/>
                <w:lang w:val="en-US" w:eastAsia="zh-CN"/>
              </w:rPr>
              <w:t>15</w:t>
            </w:r>
            <w:r>
              <w:rPr>
                <w:rFonts w:hint="eastAsia" w:ascii="宋体" w:hAnsi="宋体" w:eastAsia="宋体"/>
                <w:color w:val="auto"/>
                <w:szCs w:val="21"/>
              </w:rPr>
              <w:t>%</w:t>
            </w:r>
          </w:p>
        </w:tc>
        <w:tc>
          <w:tcPr>
            <w:tcW w:w="1081" w:type="pct"/>
            <w:vAlign w:val="center"/>
          </w:tcPr>
          <w:p w14:paraId="70B2F24E">
            <w:pPr>
              <w:jc w:val="center"/>
              <w:rPr>
                <w:rFonts w:ascii="宋体" w:hAnsi="宋体" w:eastAsia="宋体"/>
                <w:i/>
                <w:color w:val="auto"/>
                <w:szCs w:val="21"/>
                <w:highlight w:val="red"/>
              </w:rPr>
            </w:pPr>
            <w:r>
              <w:rPr>
                <w:rFonts w:hint="eastAsia" w:ascii="宋体" w:hAnsi="宋体" w:eastAsia="宋体"/>
                <w:color w:val="auto"/>
                <w:szCs w:val="21"/>
                <w:lang w:val="en-US" w:eastAsia="zh-CN"/>
              </w:rPr>
              <w:t>55</w:t>
            </w:r>
            <w:r>
              <w:rPr>
                <w:rFonts w:hint="eastAsia" w:ascii="宋体" w:hAnsi="宋体" w:eastAsia="宋体"/>
                <w:color w:val="auto"/>
                <w:szCs w:val="21"/>
              </w:rPr>
              <w:t>%</w:t>
            </w:r>
          </w:p>
        </w:tc>
        <w:tc>
          <w:tcPr>
            <w:tcW w:w="780" w:type="pct"/>
          </w:tcPr>
          <w:p w14:paraId="1C068EB4">
            <w:pPr>
              <w:jc w:val="center"/>
              <w:rPr>
                <w:rFonts w:ascii="宋体" w:hAnsi="宋体" w:eastAsia="宋体"/>
                <w:color w:val="auto"/>
                <w:szCs w:val="21"/>
                <w:highlight w:val="red"/>
              </w:rPr>
            </w:pPr>
            <w:r>
              <w:rPr>
                <w:rFonts w:hint="eastAsia" w:ascii="宋体" w:hAnsi="宋体" w:eastAsia="宋体"/>
                <w:color w:val="auto"/>
                <w:szCs w:val="21"/>
                <w:lang w:val="en-US" w:eastAsia="zh-CN"/>
              </w:rPr>
              <w:t>100</w:t>
            </w:r>
            <w:r>
              <w:rPr>
                <w:rFonts w:hint="eastAsia" w:ascii="宋体" w:hAnsi="宋体" w:eastAsia="宋体"/>
                <w:color w:val="auto"/>
                <w:szCs w:val="21"/>
              </w:rPr>
              <w:t>%</w:t>
            </w:r>
          </w:p>
        </w:tc>
      </w:tr>
    </w:tbl>
    <w:p w14:paraId="269F4A60">
      <w:pPr>
        <w:pStyle w:val="24"/>
        <w:numPr>
          <w:ilvl w:val="0"/>
          <w:numId w:val="99"/>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4"/>
        <w:numPr>
          <w:ilvl w:val="0"/>
          <w:numId w:val="83"/>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4"/>
        <w:widowControl/>
        <w:numPr>
          <w:ilvl w:val="3"/>
          <w:numId w:val="100"/>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4"/>
        <w:widowControl/>
        <w:numPr>
          <w:ilvl w:val="0"/>
          <w:numId w:val="101"/>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4"/>
        <w:widowControl/>
        <w:numPr>
          <w:ilvl w:val="0"/>
          <w:numId w:val="101"/>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4"/>
        <w:widowControl/>
        <w:numPr>
          <w:ilvl w:val="0"/>
          <w:numId w:val="101"/>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101"/>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101"/>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ascii="宋体" w:hAnsi="宋体" w:eastAsia="宋体" w:cs="Times New Roman"/>
                <w:b/>
                <w:bCs/>
                <w:kern w:val="0"/>
                <w:szCs w:val="21"/>
                <w:lang w:eastAsia="zh-Hans"/>
              </w:rPr>
            </w:pPr>
            <w:bookmarkStart w:id="28"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4DE1DEA5">
            <w:pPr>
              <w:widowControl/>
              <w:rPr>
                <w:rFonts w:ascii="宋体" w:hAnsi="宋体" w:eastAsia="宋体" w:cs="Times New Roman"/>
                <w:kern w:val="0"/>
                <w:szCs w:val="21"/>
                <w:lang w:eastAsia="zh-Hans"/>
              </w:rPr>
            </w:pPr>
            <w:r>
              <w:rPr>
                <w:rFonts w:hint="eastAsia" w:ascii="Calibri" w:hAnsi="Calibri" w:eastAsia="宋体" w:cs="Times New Roman"/>
                <w:bCs/>
                <w:kern w:val="0"/>
                <w:szCs w:val="21"/>
              </w:rPr>
              <w:t>提供</w:t>
            </w:r>
            <w:r>
              <w:rPr>
                <w:rFonts w:hint="eastAsia" w:ascii="宋体" w:hAnsi="宋体" w:eastAsia="宋体" w:cs="宋体"/>
                <w:bCs/>
                <w:kern w:val="0"/>
                <w:szCs w:val="21"/>
              </w:rPr>
              <w:t>2023年或2024年财</w:t>
            </w:r>
            <w:r>
              <w:rPr>
                <w:rFonts w:hint="eastAsia" w:ascii="Calibri" w:hAnsi="Calibri" w:eastAsia="宋体" w:cs="Times New Roman"/>
                <w:bCs/>
                <w:kern w:val="0"/>
                <w:szCs w:val="21"/>
              </w:rPr>
              <w:t>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409A969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45A3F9A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1381" w:type="pct"/>
            <w:vAlign w:val="center"/>
          </w:tcPr>
          <w:p w14:paraId="0D020E1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3159" w:type="pct"/>
            <w:vAlign w:val="center"/>
          </w:tcPr>
          <w:p w14:paraId="22E2D3A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bookmarkEnd w:id="28"/>
    </w:tbl>
    <w:p w14:paraId="33A23CF5">
      <w:pPr>
        <w:pageBreakBefore/>
        <w:jc w:val="left"/>
        <w:rPr>
          <w:rFonts w:ascii="宋体" w:hAnsi="宋体" w:eastAsia="宋体" w:cs="Times New Roman"/>
          <w:b/>
          <w:bCs/>
          <w:kern w:val="0"/>
          <w:szCs w:val="21"/>
          <w:lang w:eastAsia="zh-Hans"/>
        </w:rPr>
      </w:pPr>
      <w:bookmarkStart w:id="29"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9"/>
    </w:tbl>
    <w:p w14:paraId="0AEDB113">
      <w:pPr>
        <w:pStyle w:val="24"/>
        <w:numPr>
          <w:ilvl w:val="3"/>
          <w:numId w:val="100"/>
        </w:numPr>
        <w:spacing w:before="217" w:beforeLines="50"/>
        <w:ind w:left="284" w:hanging="284" w:firstLineChars="0"/>
        <w:jc w:val="left"/>
        <w:outlineLvl w:val="3"/>
        <w:rPr>
          <w:rFonts w:ascii="宋体" w:hAnsi="宋体" w:eastAsia="宋体" w:cs="Times New Roman"/>
          <w:kern w:val="0"/>
          <w:szCs w:val="21"/>
          <w:lang w:eastAsia="zh-Hans"/>
        </w:rPr>
      </w:pPr>
      <w:bookmarkStart w:id="30" w:name="_Hlk169889470"/>
      <w:r>
        <w:rPr>
          <w:rFonts w:ascii="宋体" w:hAnsi="宋体" w:eastAsia="宋体" w:cs="Times New Roman"/>
          <w:b/>
          <w:kern w:val="0"/>
          <w:szCs w:val="21"/>
          <w:lang w:eastAsia="zh-Hans"/>
        </w:rPr>
        <w:t>详细评审</w:t>
      </w:r>
      <w:bookmarkEnd w:id="30"/>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42"/>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31" w:name="_Hlk169889554"/>
            <w:r>
              <w:rPr>
                <w:rFonts w:hint="eastAsia" w:ascii="宋体" w:eastAsia="宋体"/>
                <w:b/>
                <w:color w:val="000000" w:themeColor="text1"/>
                <w:sz w:val="21"/>
                <w:szCs w:val="21"/>
                <w14:textFill>
                  <w14:solidFill>
                    <w14:schemeClr w14:val="tx1"/>
                  </w14:solidFill>
                </w14:textFill>
              </w:rPr>
              <w:t>序号</w:t>
            </w:r>
          </w:p>
        </w:tc>
        <w:tc>
          <w:tcPr>
            <w:tcW w:w="830" w:type="pct"/>
            <w:vAlign w:val="center"/>
          </w:tcPr>
          <w:p w14:paraId="6B159EA7">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377468C0">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07E35F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AE958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21917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49923F1E">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830" w:type="pct"/>
            <w:vAlign w:val="center"/>
          </w:tcPr>
          <w:p w14:paraId="0BDB4435">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售后服务响应承诺</w:t>
            </w:r>
          </w:p>
        </w:tc>
        <w:tc>
          <w:tcPr>
            <w:tcW w:w="529" w:type="pct"/>
            <w:vAlign w:val="center"/>
          </w:tcPr>
          <w:p w14:paraId="3AA9FA85">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3分</w:t>
            </w:r>
          </w:p>
        </w:tc>
        <w:tc>
          <w:tcPr>
            <w:tcW w:w="3161" w:type="pct"/>
            <w:vAlign w:val="center"/>
          </w:tcPr>
          <w:p w14:paraId="6EAA111D">
            <w:pPr>
              <w:spacing w:line="400" w:lineRule="exact"/>
              <w:rPr>
                <w:rFonts w:hint="eastAsia" w:ascii="宋体" w:hAnsi="宋体" w:eastAsia="宋体"/>
                <w:b/>
                <w:color w:val="000000" w:themeColor="text1"/>
                <w:szCs w:val="21"/>
                <w:u w:val="none"/>
                <w14:textFill>
                  <w14:solidFill>
                    <w14:schemeClr w14:val="tx1"/>
                  </w14:solidFill>
                </w14:textFill>
              </w:rPr>
            </w:pPr>
            <w:r>
              <w:rPr>
                <w:rFonts w:hint="eastAsia" w:ascii="宋体" w:hAnsi="宋体" w:eastAsia="宋体"/>
                <w:b/>
                <w:color w:val="000000" w:themeColor="text1"/>
                <w:szCs w:val="21"/>
                <w:u w:val="none"/>
                <w14:textFill>
                  <w14:solidFill>
                    <w14:schemeClr w14:val="tx1"/>
                  </w14:solidFill>
                </w14:textFill>
              </w:rPr>
              <w:t>根据投标人针对本项目提供的售后服务响应承诺进行评审：</w:t>
            </w:r>
          </w:p>
          <w:p w14:paraId="77D7FD54">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1、投标人承诺在接到采购人通知后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8</w:t>
            </w:r>
            <w:r>
              <w:rPr>
                <w:rFonts w:hint="eastAsia" w:ascii="宋体" w:hAnsi="宋体" w:eastAsia="宋体"/>
                <w:b w:val="0"/>
                <w:bCs/>
                <w:color w:val="000000" w:themeColor="text1"/>
                <w:szCs w:val="21"/>
                <w:u w:val="none"/>
                <w14:textFill>
                  <w14:solidFill>
                    <w14:schemeClr w14:val="tx1"/>
                  </w14:solidFill>
                </w14:textFill>
              </w:rPr>
              <w:t>小时（含）内将设备修复至正常运行的，得</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分；</w:t>
            </w:r>
          </w:p>
          <w:p w14:paraId="4D2002EB">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、投标人承诺在接到采购人通知后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8</w:t>
            </w:r>
            <w:r>
              <w:rPr>
                <w:rFonts w:hint="eastAsia" w:ascii="宋体" w:hAnsi="宋体" w:eastAsia="宋体"/>
                <w:b w:val="0"/>
                <w:bCs/>
                <w:color w:val="000000" w:themeColor="text1"/>
                <w:szCs w:val="21"/>
                <w:u w:val="none"/>
                <w14:textFill>
                  <w14:solidFill>
                    <w14:schemeClr w14:val="tx1"/>
                  </w14:solidFill>
                </w14:textFill>
              </w:rPr>
              <w:t>小时（不含）-1</w:t>
            </w:r>
            <w:r>
              <w:rPr>
                <w:rFonts w:hint="eastAsia" w:ascii="宋体" w:hAnsi="宋体" w:eastAsia="宋体"/>
                <w:b w:val="0"/>
                <w:bCs/>
                <w:color w:val="000000" w:themeColor="text1"/>
                <w:szCs w:val="21"/>
                <w:u w:val="none"/>
                <w:lang w:val="en-US" w:eastAsia="zh-CN"/>
                <w14:textFill>
                  <w14:solidFill>
                    <w14:schemeClr w14:val="tx1"/>
                  </w14:solidFill>
                </w14:textFill>
              </w:rPr>
              <w:t>6</w:t>
            </w:r>
            <w:r>
              <w:rPr>
                <w:rFonts w:hint="eastAsia" w:ascii="宋体" w:hAnsi="宋体" w:eastAsia="宋体"/>
                <w:b w:val="0"/>
                <w:bCs/>
                <w:color w:val="000000" w:themeColor="text1"/>
                <w:szCs w:val="21"/>
                <w:u w:val="none"/>
                <w14:textFill>
                  <w14:solidFill>
                    <w14:schemeClr w14:val="tx1"/>
                  </w14:solidFill>
                </w14:textFill>
              </w:rPr>
              <w:t>小时（含）将设备修复至正常运行的，得2分；</w:t>
            </w:r>
          </w:p>
          <w:p w14:paraId="66814936">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、投标人承诺在接到采购人通知后1</w:t>
            </w:r>
            <w:r>
              <w:rPr>
                <w:rFonts w:hint="eastAsia" w:ascii="宋体" w:hAnsi="宋体" w:eastAsia="宋体"/>
                <w:b w:val="0"/>
                <w:bCs/>
                <w:color w:val="000000" w:themeColor="text1"/>
                <w:szCs w:val="21"/>
                <w:u w:val="none"/>
                <w:lang w:val="en-US" w:eastAsia="zh-CN"/>
                <w14:textFill>
                  <w14:solidFill>
                    <w14:schemeClr w14:val="tx1"/>
                  </w14:solidFill>
                </w14:textFill>
              </w:rPr>
              <w:t>6</w:t>
            </w:r>
            <w:r>
              <w:rPr>
                <w:rFonts w:hint="eastAsia" w:ascii="宋体" w:hAnsi="宋体" w:eastAsia="宋体"/>
                <w:b w:val="0"/>
                <w:bCs/>
                <w:color w:val="000000" w:themeColor="text1"/>
                <w:szCs w:val="21"/>
                <w:u w:val="none"/>
                <w14:textFill>
                  <w14:solidFill>
                    <w14:schemeClr w14:val="tx1"/>
                  </w14:solidFill>
                </w14:textFill>
              </w:rPr>
              <w:t>小时（不含）-24小时（含）将设备修复至正常运行的，得1分；</w:t>
            </w:r>
          </w:p>
          <w:p w14:paraId="03E54325">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lang w:val="en-US" w:eastAsia="zh-CN"/>
                <w14:textFill>
                  <w14:solidFill>
                    <w14:schemeClr w14:val="tx1"/>
                  </w14:solidFill>
                </w14:textFill>
              </w:rPr>
              <w:t>4</w:t>
            </w:r>
            <w:r>
              <w:rPr>
                <w:rFonts w:hint="eastAsia" w:ascii="宋体" w:hAnsi="宋体" w:eastAsia="宋体"/>
                <w:b w:val="0"/>
                <w:bCs/>
                <w:color w:val="000000" w:themeColor="text1"/>
                <w:szCs w:val="21"/>
                <w:u w:val="none"/>
                <w14:textFill>
                  <w14:solidFill>
                    <w14:schemeClr w14:val="tx1"/>
                  </w14:solidFill>
                </w14:textFill>
              </w:rPr>
              <w:t>、未提供对应承诺函或其他情形的，得0分。</w:t>
            </w:r>
          </w:p>
          <w:p w14:paraId="1D7B95D6">
            <w:pPr>
              <w:spacing w:line="400" w:lineRule="exact"/>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none"/>
                <w14:textFill>
                  <w14:solidFill>
                    <w14:schemeClr w14:val="tx1"/>
                  </w14:solidFill>
                </w14:textFill>
              </w:rPr>
              <w:t>注：须提供单独的服务响应承诺函并加盖投标人公章。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30" w:type="pct"/>
            <w:vAlign w:val="center"/>
          </w:tcPr>
          <w:p w14:paraId="1F2B12E5">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529" w:type="pct"/>
            <w:vAlign w:val="center"/>
          </w:tcPr>
          <w:p w14:paraId="52809DCD">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2B32ADAC">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根据投标人具</w:t>
            </w:r>
            <w:r>
              <w:rPr>
                <w:rFonts w:hint="eastAsia" w:ascii="宋体" w:hAnsi="宋体" w:eastAsia="宋体"/>
                <w:color w:val="auto"/>
                <w:szCs w:val="21"/>
              </w:rPr>
              <w:t>有</w:t>
            </w:r>
            <w:r>
              <w:rPr>
                <w:rFonts w:hint="eastAsia" w:ascii="宋体" w:hAnsi="宋体" w:eastAsia="宋体"/>
                <w:color w:val="auto"/>
                <w:szCs w:val="21"/>
                <w:highlight w:val="none"/>
                <w:lang w:val="en-US" w:eastAsia="zh-CN"/>
              </w:rPr>
              <w:t>汽车实训设备</w:t>
            </w:r>
            <w:r>
              <w:rPr>
                <w:rFonts w:hint="eastAsia" w:ascii="宋体" w:hAnsi="宋体" w:eastAsia="宋体"/>
                <w:color w:val="auto"/>
                <w:szCs w:val="21"/>
                <w:highlight w:val="none"/>
              </w:rPr>
              <w:t>类</w:t>
            </w: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项目</w:t>
            </w:r>
            <w:r>
              <w:rPr>
                <w:rFonts w:hint="eastAsia" w:ascii="宋体" w:hAnsi="宋体" w:eastAsia="宋体"/>
                <w:color w:val="auto"/>
                <w:szCs w:val="21"/>
              </w:rPr>
              <w:t>业绩进</w:t>
            </w:r>
            <w:r>
              <w:rPr>
                <w:rFonts w:hint="eastAsia" w:ascii="宋体" w:hAnsi="宋体" w:eastAsia="宋体"/>
                <w:color w:val="000000" w:themeColor="text1"/>
                <w:szCs w:val="21"/>
                <w14:textFill>
                  <w14:solidFill>
                    <w14:schemeClr w14:val="tx1"/>
                  </w14:solidFill>
                </w14:textFill>
              </w:rPr>
              <w:t>行评审，每提供一项得</w:t>
            </w: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分，本项最高得</w:t>
            </w: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p w14:paraId="523D5E0C">
            <w:pPr>
              <w:spacing w:line="400" w:lineRule="exact"/>
              <w:rPr>
                <w:rFonts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注：须提供合同复印件加盖投标人公章。</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227985D8">
            <w:pPr>
              <w:pStyle w:val="27"/>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2F828625">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830" w:type="pct"/>
            <w:vAlign w:val="center"/>
          </w:tcPr>
          <w:p w14:paraId="3D6118E7">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项目实施方案</w:t>
            </w:r>
          </w:p>
        </w:tc>
        <w:tc>
          <w:tcPr>
            <w:tcW w:w="529" w:type="pct"/>
            <w:vAlign w:val="center"/>
          </w:tcPr>
          <w:p w14:paraId="51051921">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75EFA0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包装运输、装卸、安装调试等</w:t>
            </w:r>
            <w:r>
              <w:rPr>
                <w:rFonts w:hint="eastAsia" w:ascii="宋体" w:hAnsi="宋体" w:eastAsia="宋体" w:cs="宋体"/>
                <w:b/>
                <w:bCs/>
                <w:color w:val="auto"/>
                <w:kern w:val="0"/>
                <w:szCs w:val="21"/>
                <w:highlight w:val="none"/>
              </w:rPr>
              <w:t>项目实施流程）进行评审：</w:t>
            </w:r>
          </w:p>
          <w:p w14:paraId="142359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1、包装运输、装卸方案有明确详细的计划和步骤，供货有科学、合理可行的进度计划安排，安装调试流程严谨可靠，项目整体实施方案</w:t>
            </w:r>
            <w:r>
              <w:rPr>
                <w:rFonts w:hint="eastAsia" w:ascii="宋体" w:hAnsi="宋体" w:eastAsia="宋体" w:cs="宋体"/>
                <w:b w:val="0"/>
                <w:bCs w:val="0"/>
                <w:color w:val="auto"/>
                <w:highlight w:val="none"/>
              </w:rPr>
              <w:t>能完全</w:t>
            </w:r>
            <w:r>
              <w:rPr>
                <w:rFonts w:hint="eastAsia" w:ascii="宋体" w:hAnsi="宋体" w:eastAsia="宋体" w:cs="宋体"/>
                <w:b w:val="0"/>
                <w:bCs w:val="0"/>
                <w:color w:val="auto"/>
                <w:highlight w:val="none"/>
                <w:lang w:val="en-US" w:eastAsia="zh-CN"/>
              </w:rPr>
              <w:t>结合项目实际情况且</w:t>
            </w:r>
            <w:r>
              <w:rPr>
                <w:rFonts w:hint="eastAsia" w:ascii="宋体" w:hAnsi="宋体" w:eastAsia="宋体" w:cs="宋体"/>
                <w:b w:val="0"/>
                <w:bCs w:val="0"/>
                <w:color w:val="auto"/>
                <w:highlight w:val="none"/>
              </w:rPr>
              <w:t>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35004B1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2、包装运输、装卸方案有明确的计划和步骤，供货有较为合理可行的进度计划安排，安装调试流程较为严谨，项目整体实施方案各项内容</w:t>
            </w:r>
            <w:r>
              <w:rPr>
                <w:rFonts w:hint="eastAsia" w:ascii="宋体" w:hAnsi="宋体" w:eastAsia="宋体" w:cs="宋体"/>
                <w:b w:val="0"/>
                <w:bCs w:val="0"/>
                <w:color w:val="auto"/>
                <w:highlight w:val="none"/>
              </w:rPr>
              <w:t>能</w:t>
            </w:r>
            <w:r>
              <w:rPr>
                <w:rFonts w:hint="eastAsia" w:ascii="宋体" w:hAnsi="宋体" w:eastAsia="宋体" w:cs="宋体"/>
                <w:b w:val="0"/>
                <w:bCs w:val="0"/>
                <w:color w:val="auto"/>
                <w:highlight w:val="none"/>
                <w:lang w:val="en-US" w:eastAsia="zh-CN"/>
              </w:rPr>
              <w:t>部分结合项目实际情况且</w:t>
            </w:r>
            <w:r>
              <w:rPr>
                <w:rFonts w:hint="eastAsia" w:ascii="宋体" w:hAnsi="宋体" w:eastAsia="宋体" w:cs="宋体"/>
                <w:b w:val="0"/>
                <w:bCs w:val="0"/>
                <w:color w:val="auto"/>
                <w:highlight w:val="none"/>
              </w:rPr>
              <w:t>能满足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28EA98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3、包装运输、装卸方案有完整的步骤，供货进度计划安排完整，有提供安装调试流程，项目整体实施方案各项内容</w:t>
            </w:r>
            <w:r>
              <w:rPr>
                <w:rFonts w:hint="eastAsia" w:ascii="宋体" w:hAnsi="宋体" w:eastAsia="宋体" w:cs="宋体"/>
                <w:b w:val="0"/>
                <w:bCs w:val="0"/>
                <w:color w:val="auto"/>
                <w:highlight w:val="none"/>
                <w:lang w:val="en-US" w:eastAsia="zh-CN"/>
              </w:rPr>
              <w:t>未结合项目实际情况但</w:t>
            </w:r>
            <w:r>
              <w:rPr>
                <w:rFonts w:hint="eastAsia" w:ascii="宋体" w:hAnsi="宋体" w:eastAsia="宋体" w:cs="宋体"/>
                <w:b w:val="0"/>
                <w:bCs w:val="0"/>
                <w:color w:val="auto"/>
                <w:highlight w:val="none"/>
              </w:rPr>
              <w:t>能基本满足采购需求要求的，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5D2EB00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4、包装运输、装卸方案不完整，供货进度计划不合理，项目整体实施方案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38BF00A2">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30" w:type="pct"/>
            <w:vAlign w:val="center"/>
          </w:tcPr>
          <w:p w14:paraId="7C21C9FD">
            <w:pPr>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p w14:paraId="510116B4">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auto"/>
                <w:szCs w:val="21"/>
                <w:lang w:val="en-US" w:eastAsia="zh-CN"/>
              </w:rPr>
              <w:t>（货品）</w:t>
            </w:r>
          </w:p>
        </w:tc>
        <w:tc>
          <w:tcPr>
            <w:tcW w:w="529" w:type="pct"/>
            <w:vAlign w:val="center"/>
          </w:tcPr>
          <w:p w14:paraId="7D74B5DC">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7E38446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针对本项目</w:t>
            </w:r>
            <w:r>
              <w:rPr>
                <w:rFonts w:hint="eastAsia" w:ascii="宋体" w:hAnsi="宋体" w:eastAsia="宋体" w:cs="宋体"/>
                <w:b/>
                <w:bCs/>
                <w:color w:val="auto"/>
                <w:kern w:val="0"/>
                <w:szCs w:val="21"/>
                <w:highlight w:val="none"/>
                <w:lang w:val="en-US" w:eastAsia="zh-CN"/>
              </w:rPr>
              <w:t>制定</w:t>
            </w:r>
            <w:r>
              <w:rPr>
                <w:rFonts w:hint="eastAsia" w:ascii="宋体" w:hAnsi="宋体" w:eastAsia="宋体" w:cs="宋体"/>
                <w:b/>
                <w:bCs/>
                <w:color w:val="auto"/>
                <w:kern w:val="0"/>
                <w:szCs w:val="21"/>
                <w:highlight w:val="none"/>
              </w:rPr>
              <w:t>的</w:t>
            </w:r>
            <w:r>
              <w:rPr>
                <w:rFonts w:hint="eastAsia" w:ascii="宋体" w:hAnsi="宋体" w:eastAsia="宋体" w:cs="宋体"/>
                <w:b/>
                <w:bCs/>
                <w:color w:val="auto"/>
                <w:kern w:val="0"/>
                <w:szCs w:val="21"/>
                <w:highlight w:val="none"/>
                <w:lang w:val="en-US" w:eastAsia="zh-CN"/>
              </w:rPr>
              <w:t>货品质量保证措施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所投产品参数</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产品检验记录</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防伪及溯源措施</w:t>
            </w:r>
            <w:r>
              <w:rPr>
                <w:rFonts w:hint="eastAsia" w:ascii="宋体" w:hAnsi="宋体" w:eastAsia="宋体" w:cs="宋体"/>
                <w:b/>
                <w:bCs/>
                <w:color w:val="auto"/>
                <w:kern w:val="0"/>
                <w:szCs w:val="21"/>
                <w:highlight w:val="none"/>
              </w:rPr>
              <w:t>等）进行评审：</w:t>
            </w:r>
          </w:p>
          <w:p w14:paraId="38826A7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所投产品参数完全符合本项目技术要求，产品出厂检验全面、检验记录完整</w:t>
            </w:r>
            <w:r>
              <w:rPr>
                <w:rFonts w:hint="eastAsia" w:ascii="宋体" w:hAnsi="宋体" w:eastAsia="宋体" w:cs="宋体"/>
                <w:color w:val="auto"/>
                <w:kern w:val="0"/>
                <w:szCs w:val="21"/>
                <w:highlight w:val="none"/>
                <w:lang w:val="en-US" w:eastAsia="zh-CN"/>
              </w:rPr>
              <w:t>，货品具有清晰的防伪及溯源措施，</w:t>
            </w:r>
            <w:r>
              <w:rPr>
                <w:rFonts w:hint="eastAsia" w:ascii="宋体" w:hAnsi="宋体" w:eastAsia="宋体" w:cs="宋体"/>
                <w:b w:val="0"/>
                <w:bCs w:val="0"/>
                <w:color w:val="auto"/>
                <w:highlight w:val="none"/>
              </w:rPr>
              <w:t>能完全</w:t>
            </w:r>
            <w:r>
              <w:rPr>
                <w:rFonts w:hint="eastAsia" w:ascii="宋体" w:hAnsi="宋体" w:eastAsia="宋体" w:cs="宋体"/>
                <w:b w:val="0"/>
                <w:bCs w:val="0"/>
                <w:color w:val="auto"/>
                <w:highlight w:val="none"/>
                <w:lang w:val="en-US" w:eastAsia="zh-CN"/>
              </w:rPr>
              <w:t>结合项目实际情况且</w:t>
            </w:r>
            <w:r>
              <w:rPr>
                <w:rFonts w:hint="eastAsia" w:ascii="宋体" w:hAnsi="宋体" w:eastAsia="宋体" w:cs="宋体"/>
                <w:b w:val="0"/>
                <w:bCs w:val="0"/>
                <w:color w:val="auto"/>
                <w:highlight w:val="none"/>
              </w:rPr>
              <w:t>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14:paraId="7A7777C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2、</w:t>
            </w:r>
            <w:r>
              <w:rPr>
                <w:rFonts w:hint="eastAsia" w:ascii="宋体" w:hAnsi="宋体" w:eastAsia="宋体" w:cs="宋体"/>
                <w:color w:val="auto"/>
                <w:szCs w:val="21"/>
                <w:highlight w:val="none"/>
                <w:lang w:val="en-US" w:eastAsia="zh-CN"/>
              </w:rPr>
              <w:t>所投产品参数完全符合本项目技术要求，产品出厂检验记录完整</w:t>
            </w:r>
            <w:r>
              <w:rPr>
                <w:rFonts w:hint="eastAsia" w:ascii="宋体" w:hAnsi="宋体" w:eastAsia="宋体" w:cs="宋体"/>
                <w:color w:val="auto"/>
                <w:kern w:val="0"/>
                <w:szCs w:val="21"/>
                <w:highlight w:val="none"/>
                <w:lang w:val="en-US" w:eastAsia="zh-CN"/>
              </w:rPr>
              <w:t>，货品具有较为清晰的防伪及溯源措施，</w:t>
            </w:r>
            <w:r>
              <w:rPr>
                <w:rFonts w:hint="eastAsia" w:ascii="宋体" w:hAnsi="宋体" w:eastAsia="宋体" w:cs="宋体"/>
                <w:b w:val="0"/>
                <w:bCs w:val="0"/>
                <w:color w:val="auto"/>
                <w:highlight w:val="none"/>
              </w:rPr>
              <w:t>能</w:t>
            </w:r>
            <w:r>
              <w:rPr>
                <w:rFonts w:hint="eastAsia" w:ascii="宋体" w:hAnsi="宋体" w:eastAsia="宋体" w:cs="宋体"/>
                <w:b w:val="0"/>
                <w:bCs w:val="0"/>
                <w:color w:val="auto"/>
                <w:highlight w:val="none"/>
                <w:lang w:val="en-US" w:eastAsia="zh-CN"/>
              </w:rPr>
              <w:t>部分结合项目实际情况且</w:t>
            </w:r>
            <w:r>
              <w:rPr>
                <w:rFonts w:hint="eastAsia" w:ascii="宋体" w:hAnsi="宋体" w:eastAsia="宋体" w:cs="宋体"/>
                <w:b w:val="0"/>
                <w:bCs w:val="0"/>
                <w:color w:val="auto"/>
                <w:highlight w:val="none"/>
              </w:rPr>
              <w:t>能满足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0B6F61B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3、</w:t>
            </w:r>
            <w:r>
              <w:rPr>
                <w:rFonts w:hint="eastAsia" w:ascii="宋体" w:hAnsi="宋体" w:eastAsia="宋体" w:cs="宋体"/>
                <w:color w:val="auto"/>
                <w:szCs w:val="21"/>
                <w:highlight w:val="none"/>
                <w:lang w:val="en-US" w:eastAsia="zh-CN"/>
              </w:rPr>
              <w:t>所投产品参数基本符合本项目技术要求，产品出厂检验记录不完整</w:t>
            </w:r>
            <w:r>
              <w:rPr>
                <w:rFonts w:hint="eastAsia" w:ascii="宋体" w:hAnsi="宋体" w:eastAsia="宋体" w:cs="宋体"/>
                <w:color w:val="auto"/>
                <w:kern w:val="0"/>
                <w:szCs w:val="21"/>
                <w:highlight w:val="none"/>
                <w:lang w:val="en-US" w:eastAsia="zh-CN"/>
              </w:rPr>
              <w:t>，货品具有防伪及溯源措施，</w:t>
            </w:r>
            <w:r>
              <w:rPr>
                <w:rFonts w:hint="eastAsia" w:ascii="宋体" w:hAnsi="宋体" w:eastAsia="宋体" w:cs="宋体"/>
                <w:b w:val="0"/>
                <w:bCs w:val="0"/>
                <w:color w:val="auto"/>
                <w:highlight w:val="none"/>
                <w:lang w:val="en-US" w:eastAsia="zh-CN"/>
              </w:rPr>
              <w:t>未结合项目实际情况但</w:t>
            </w:r>
            <w:r>
              <w:rPr>
                <w:rFonts w:hint="eastAsia" w:ascii="宋体" w:hAnsi="宋体" w:eastAsia="宋体" w:cs="宋体"/>
                <w:b w:val="0"/>
                <w:bCs w:val="0"/>
                <w:color w:val="auto"/>
                <w:highlight w:val="none"/>
              </w:rPr>
              <w:t>能基本满足采购需求要求的，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63E5030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所投产品参数不太符合本项目技术要求，未提供产品出厂检验记录</w:t>
            </w:r>
            <w:r>
              <w:rPr>
                <w:rFonts w:hint="eastAsia" w:ascii="宋体" w:hAnsi="宋体" w:eastAsia="宋体" w:cs="宋体"/>
                <w:color w:val="auto"/>
                <w:kern w:val="0"/>
                <w:szCs w:val="21"/>
                <w:highlight w:val="none"/>
                <w:lang w:val="en-US" w:eastAsia="zh-CN"/>
              </w:rPr>
              <w:t>，货品不具有防伪及溯源措施，</w:t>
            </w:r>
            <w:r>
              <w:rPr>
                <w:rFonts w:hint="eastAsia" w:ascii="宋体" w:hAnsi="宋体" w:eastAsia="宋体" w:cs="宋体"/>
                <w:color w:val="auto"/>
                <w:kern w:val="0"/>
                <w:szCs w:val="21"/>
                <w:highlight w:val="none"/>
              </w:rPr>
              <w:t>难以满足采购需求要求的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得1分</w:t>
            </w:r>
            <w:r>
              <w:rPr>
                <w:rFonts w:hint="eastAsia" w:ascii="宋体" w:hAnsi="宋体" w:eastAsia="宋体" w:cs="宋体"/>
                <w:color w:val="auto"/>
                <w:highlight w:val="none"/>
                <w:lang w:eastAsia="zh-CN"/>
              </w:rPr>
              <w:t>；</w:t>
            </w:r>
          </w:p>
          <w:p w14:paraId="1BC25167">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未提供</w:t>
            </w:r>
            <w:r>
              <w:rPr>
                <w:rFonts w:hint="eastAsia" w:ascii="宋体" w:hAnsi="宋体" w:eastAsia="宋体" w:cs="宋体"/>
                <w:color w:val="auto"/>
                <w:szCs w:val="21"/>
                <w:highlight w:val="none"/>
                <w:lang w:val="en-US" w:eastAsia="zh-CN"/>
              </w:rPr>
              <w:t>相关</w:t>
            </w:r>
            <w:r>
              <w:rPr>
                <w:rFonts w:hint="eastAsia" w:ascii="宋体" w:hAnsi="宋体" w:eastAsia="宋体" w:cs="宋体"/>
                <w:color w:val="auto"/>
                <w:highlight w:val="none"/>
                <w:lang w:val="en-US" w:eastAsia="zh-CN"/>
              </w:rPr>
              <w:t>措施</w:t>
            </w:r>
            <w:r>
              <w:rPr>
                <w:rFonts w:hint="eastAsia" w:ascii="宋体" w:hAnsi="宋体" w:eastAsia="宋体" w:cs="宋体"/>
                <w:color w:val="auto"/>
                <w:highlight w:val="none"/>
              </w:rPr>
              <w:t>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30" w:type="pct"/>
            <w:vAlign w:val="center"/>
          </w:tcPr>
          <w:p w14:paraId="532B4D4A">
            <w:pPr>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p w14:paraId="3438BC2A">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（服务）</w:t>
            </w:r>
          </w:p>
        </w:tc>
        <w:tc>
          <w:tcPr>
            <w:tcW w:w="529" w:type="pct"/>
            <w:vAlign w:val="center"/>
          </w:tcPr>
          <w:p w14:paraId="53BD03D6">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2759388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包装运输、装卸</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1366D1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1、投标人货品包装方案严谨、标签标识清晰，运输具有强时效性，装卸环节制定了科学且行之有效的质控制度</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rPr>
              <w:t>能完全</w:t>
            </w:r>
            <w:r>
              <w:rPr>
                <w:rFonts w:hint="eastAsia" w:ascii="宋体" w:hAnsi="宋体" w:eastAsia="宋体" w:cs="宋体"/>
                <w:b w:val="0"/>
                <w:bCs w:val="0"/>
                <w:color w:val="auto"/>
                <w:highlight w:val="none"/>
                <w:lang w:val="en-US" w:eastAsia="zh-CN"/>
              </w:rPr>
              <w:t>结合项目实际情况且</w:t>
            </w:r>
            <w:r>
              <w:rPr>
                <w:rFonts w:hint="eastAsia" w:ascii="宋体" w:hAnsi="宋体" w:eastAsia="宋体" w:cs="宋体"/>
                <w:b w:val="0"/>
                <w:bCs w:val="0"/>
                <w:color w:val="auto"/>
                <w:highlight w:val="none"/>
              </w:rPr>
              <w:t>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 w:val="21"/>
                <w:szCs w:val="21"/>
                <w:highlight w:val="none"/>
                <w:lang w:val="en-US" w:eastAsia="zh-CN"/>
              </w:rPr>
              <w:t>得10分；</w:t>
            </w:r>
          </w:p>
          <w:p w14:paraId="7AF7E1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2、投标人货品包装方案严谨、标签标识清晰，运输时效性较强，装卸环节制定了较为有效的质控制度</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rPr>
              <w:t>能</w:t>
            </w:r>
            <w:r>
              <w:rPr>
                <w:rFonts w:hint="eastAsia" w:ascii="宋体" w:hAnsi="宋体" w:eastAsia="宋体" w:cs="宋体"/>
                <w:b w:val="0"/>
                <w:bCs w:val="0"/>
                <w:color w:val="auto"/>
                <w:highlight w:val="none"/>
                <w:lang w:val="en-US" w:eastAsia="zh-CN"/>
              </w:rPr>
              <w:t>部分结合项目实际情况且</w:t>
            </w:r>
            <w:r>
              <w:rPr>
                <w:rFonts w:hint="eastAsia" w:ascii="宋体" w:hAnsi="宋体" w:eastAsia="宋体" w:cs="宋体"/>
                <w:b w:val="0"/>
                <w:bCs w:val="0"/>
                <w:color w:val="auto"/>
                <w:highlight w:val="none"/>
              </w:rPr>
              <w:t>能满足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 w:val="21"/>
                <w:szCs w:val="21"/>
                <w:highlight w:val="none"/>
                <w:lang w:val="en-US" w:eastAsia="zh-CN"/>
              </w:rPr>
              <w:t>得7分；</w:t>
            </w:r>
          </w:p>
          <w:p w14:paraId="01BBFE8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3、投标人包装运输、装卸环节制定了对应的质控制度</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lang w:val="en-US" w:eastAsia="zh-CN"/>
              </w:rPr>
              <w:t>未结合项目实际情况但</w:t>
            </w:r>
            <w:r>
              <w:rPr>
                <w:rFonts w:hint="eastAsia" w:ascii="宋体" w:hAnsi="宋体" w:eastAsia="宋体" w:cs="宋体"/>
                <w:b w:val="0"/>
                <w:bCs w:val="0"/>
                <w:color w:val="auto"/>
                <w:highlight w:val="none"/>
              </w:rPr>
              <w:t>能基本满足采购需求要求的，</w:t>
            </w:r>
            <w:r>
              <w:rPr>
                <w:rFonts w:hint="eastAsia" w:ascii="宋体" w:hAnsi="宋体" w:eastAsia="宋体" w:cs="宋体"/>
                <w:color w:val="auto"/>
                <w:sz w:val="21"/>
                <w:szCs w:val="21"/>
                <w:highlight w:val="none"/>
                <w:lang w:val="en-US" w:eastAsia="zh-CN"/>
              </w:rPr>
              <w:t>得4分；</w:t>
            </w:r>
          </w:p>
          <w:p w14:paraId="07B3B3E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4、投标人包装运输、装卸环节的质控制度不可行，难以满足采购需求要求的，得1分；</w:t>
            </w:r>
          </w:p>
          <w:p w14:paraId="708D1072">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5、未提供相关措施或其他情形的，得0分。</w:t>
            </w:r>
          </w:p>
        </w:tc>
      </w:tr>
      <w:tr w14:paraId="7EBB1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59D8DBC">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30" w:type="pct"/>
            <w:vAlign w:val="center"/>
          </w:tcPr>
          <w:p w14:paraId="09586B28">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售后服务方案</w:t>
            </w:r>
          </w:p>
        </w:tc>
        <w:tc>
          <w:tcPr>
            <w:tcW w:w="529" w:type="pct"/>
            <w:vAlign w:val="center"/>
          </w:tcPr>
          <w:p w14:paraId="15B4B592">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22638E2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售后服务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包括但不限于售后服务承诺、服务人员配置、服务响应、退换货方案等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21617E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1、投标人针对本项目提供了完善的售后服务承诺，服务人员经验充足，服务响应迅速，退换货方案具有针对性</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rPr>
              <w:t>能完全</w:t>
            </w:r>
            <w:r>
              <w:rPr>
                <w:rFonts w:hint="eastAsia" w:ascii="宋体" w:hAnsi="宋体" w:eastAsia="宋体" w:cs="宋体"/>
                <w:b w:val="0"/>
                <w:bCs w:val="0"/>
                <w:color w:val="auto"/>
                <w:highlight w:val="none"/>
                <w:lang w:val="en-US" w:eastAsia="zh-CN"/>
              </w:rPr>
              <w:t>结合项目实际情况且</w:t>
            </w:r>
            <w:r>
              <w:rPr>
                <w:rFonts w:hint="eastAsia" w:ascii="宋体" w:hAnsi="宋体" w:eastAsia="宋体" w:cs="宋体"/>
                <w:b w:val="0"/>
                <w:bCs w:val="0"/>
                <w:color w:val="auto"/>
                <w:highlight w:val="none"/>
              </w:rPr>
              <w:t>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14C38C7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2、投标人针对本项目提供了较为完善的售后服务承诺，服务人员有同类项目经验，服务响应较为迅速，退换货方案具有一定针对性</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rPr>
              <w:t>能</w:t>
            </w:r>
            <w:r>
              <w:rPr>
                <w:rFonts w:hint="eastAsia" w:ascii="宋体" w:hAnsi="宋体" w:eastAsia="宋体" w:cs="宋体"/>
                <w:b w:val="0"/>
                <w:bCs w:val="0"/>
                <w:color w:val="auto"/>
                <w:highlight w:val="none"/>
                <w:lang w:val="en-US" w:eastAsia="zh-CN"/>
              </w:rPr>
              <w:t>部分结合项目实际情况且</w:t>
            </w:r>
            <w:r>
              <w:rPr>
                <w:rFonts w:hint="eastAsia" w:ascii="宋体" w:hAnsi="宋体" w:eastAsia="宋体" w:cs="宋体"/>
                <w:b w:val="0"/>
                <w:bCs w:val="0"/>
                <w:color w:val="auto"/>
                <w:highlight w:val="none"/>
              </w:rPr>
              <w:t>能满足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5522BB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3、投标人提供了售后服务承诺，服务响应速度一般，退换货方案一般</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lang w:val="en-US" w:eastAsia="zh-CN"/>
              </w:rPr>
              <w:t>未结合项目实际情况但</w:t>
            </w:r>
            <w:r>
              <w:rPr>
                <w:rFonts w:hint="eastAsia" w:ascii="宋体" w:hAnsi="宋体" w:eastAsia="宋体" w:cs="宋体"/>
                <w:b w:val="0"/>
                <w:bCs w:val="0"/>
                <w:color w:val="auto"/>
                <w:highlight w:val="none"/>
              </w:rPr>
              <w:t>能基本满足采购需求要求的，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1C3DE3E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4、投标人提供的售后服务承诺不完整，服务响应速度低，退换货方案没有针对性，难以满足采购需求要求的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5C9E9866">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7FB1A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E4186C7">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830" w:type="pct"/>
            <w:vAlign w:val="center"/>
          </w:tcPr>
          <w:p w14:paraId="679DABD1">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应急预案</w:t>
            </w:r>
          </w:p>
        </w:tc>
        <w:tc>
          <w:tcPr>
            <w:tcW w:w="529" w:type="pct"/>
            <w:vAlign w:val="center"/>
          </w:tcPr>
          <w:p w14:paraId="4F91D407">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116CA756">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34972CD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1、投标人针对本项目可能出现的突发事件有详尽周到的预见，根据突发事件制定了切实可行的处理方案，应急响应组织架构完善</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rPr>
              <w:t>能完全</w:t>
            </w:r>
            <w:r>
              <w:rPr>
                <w:rFonts w:hint="eastAsia" w:ascii="宋体" w:hAnsi="宋体" w:eastAsia="宋体" w:cs="宋体"/>
                <w:b w:val="0"/>
                <w:bCs w:val="0"/>
                <w:color w:val="auto"/>
                <w:highlight w:val="none"/>
                <w:lang w:val="en-US" w:eastAsia="zh-CN"/>
              </w:rPr>
              <w:t>结合项目实际情况且</w:t>
            </w:r>
            <w:r>
              <w:rPr>
                <w:rFonts w:hint="eastAsia" w:ascii="宋体" w:hAnsi="宋体" w:eastAsia="宋体" w:cs="宋体"/>
                <w:b w:val="0"/>
                <w:bCs w:val="0"/>
                <w:color w:val="auto"/>
                <w:highlight w:val="none"/>
              </w:rPr>
              <w:t>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17B55D0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2、投标人针对本项目可能出现的突发事件有较为周到的预见，根据突发事件制定了合理的处理方案，应急响应组织架构完整</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rPr>
              <w:t>能</w:t>
            </w:r>
            <w:r>
              <w:rPr>
                <w:rFonts w:hint="eastAsia" w:ascii="宋体" w:hAnsi="宋体" w:eastAsia="宋体" w:cs="宋体"/>
                <w:b w:val="0"/>
                <w:bCs w:val="0"/>
                <w:color w:val="auto"/>
                <w:highlight w:val="none"/>
                <w:lang w:val="en-US" w:eastAsia="zh-CN"/>
              </w:rPr>
              <w:t>部分结合项目实际情况且</w:t>
            </w:r>
            <w:r>
              <w:rPr>
                <w:rFonts w:hint="eastAsia" w:ascii="宋体" w:hAnsi="宋体" w:eastAsia="宋体" w:cs="宋体"/>
                <w:b w:val="0"/>
                <w:bCs w:val="0"/>
                <w:color w:val="auto"/>
                <w:highlight w:val="none"/>
              </w:rPr>
              <w:t>能满足</w:t>
            </w:r>
            <w:r>
              <w:rPr>
                <w:rFonts w:hint="eastAsia" w:ascii="宋体" w:hAnsi="宋体" w:eastAsia="宋体" w:cs="宋体"/>
                <w:b w:val="0"/>
                <w:bCs w:val="0"/>
                <w:color w:val="auto"/>
                <w:highlight w:val="none"/>
                <w:lang w:val="en-US" w:eastAsia="zh-CN"/>
              </w:rPr>
              <w:t>本项目</w:t>
            </w:r>
            <w:r>
              <w:rPr>
                <w:rFonts w:hint="eastAsia" w:ascii="宋体" w:hAnsi="宋体" w:eastAsia="宋体" w:cs="宋体"/>
                <w:b w:val="0"/>
                <w:bCs w:val="0"/>
                <w:color w:val="auto"/>
                <w:highlight w:val="none"/>
              </w:rPr>
              <w:t>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694001C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3、投标人针对本项目可能出现的突发事件有一定考量，根据突发事件制定了处理方案，有应急响应组织架构</w:t>
            </w:r>
            <w:r>
              <w:rPr>
                <w:rFonts w:hint="eastAsia" w:ascii="宋体" w:hAnsi="宋体" w:eastAsia="宋体" w:cs="宋体"/>
                <w:color w:val="auto"/>
                <w:kern w:val="0"/>
                <w:szCs w:val="21"/>
                <w:highlight w:val="none"/>
                <w:lang w:val="en-US" w:eastAsia="zh-CN"/>
              </w:rPr>
              <w:t>，</w:t>
            </w:r>
            <w:r>
              <w:rPr>
                <w:rFonts w:hint="eastAsia" w:ascii="宋体" w:hAnsi="宋体" w:eastAsia="宋体" w:cs="宋体"/>
                <w:b w:val="0"/>
                <w:bCs w:val="0"/>
                <w:color w:val="auto"/>
                <w:highlight w:val="none"/>
                <w:lang w:val="en-US" w:eastAsia="zh-CN"/>
              </w:rPr>
              <w:t>未结合项目实际情况但</w:t>
            </w:r>
            <w:r>
              <w:rPr>
                <w:rFonts w:hint="eastAsia" w:ascii="宋体" w:hAnsi="宋体" w:eastAsia="宋体" w:cs="宋体"/>
                <w:b w:val="0"/>
                <w:bCs w:val="0"/>
                <w:color w:val="auto"/>
                <w:highlight w:val="none"/>
              </w:rPr>
              <w:t>能基本满足采购需求要求的，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68F986F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4、投标人针对本项目可能出现的突发事件考量不足，制定的处理方案不可行，应急响应组织架构不完整，难以满足采购需求要求的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31D583AF">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1"/>
    </w:tbl>
    <w:p w14:paraId="151CEF5D">
      <w:pPr>
        <w:pStyle w:val="24"/>
        <w:numPr>
          <w:ilvl w:val="3"/>
          <w:numId w:val="100"/>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4"/>
        <w:widowControl/>
        <w:numPr>
          <w:ilvl w:val="0"/>
          <w:numId w:val="102"/>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10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中标价的确定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4"/>
        <w:numPr>
          <w:ilvl w:val="3"/>
          <w:numId w:val="100"/>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其他无效投标的情形：</w:t>
      </w:r>
    </w:p>
    <w:p w14:paraId="7B1FED0F">
      <w:pPr>
        <w:pStyle w:val="24"/>
        <w:widowControl/>
        <w:numPr>
          <w:ilvl w:val="0"/>
          <w:numId w:val="10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10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418D0D97">
      <w:pPr>
        <w:pStyle w:val="24"/>
        <w:widowControl/>
        <w:numPr>
          <w:ilvl w:val="0"/>
          <w:numId w:val="10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4"/>
        <w:widowControl/>
        <w:numPr>
          <w:ilvl w:val="0"/>
          <w:numId w:val="103"/>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4"/>
        <w:widowControl/>
        <w:numPr>
          <w:ilvl w:val="0"/>
          <w:numId w:val="10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4"/>
        <w:widowControl/>
        <w:numPr>
          <w:ilvl w:val="0"/>
          <w:numId w:val="10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1"/>
        <w:rPr>
          <w:rFonts w:ascii="宋体" w:hAnsi="宋体" w:eastAsia="宋体"/>
          <w:sz w:val="36"/>
          <w:szCs w:val="36"/>
        </w:rPr>
      </w:pPr>
      <w:bookmarkStart w:id="32" w:name="_Toc169799783"/>
      <w:bookmarkStart w:id="33" w:name="_Toc27246"/>
      <w:r>
        <w:rPr>
          <w:rFonts w:ascii="宋体" w:hAnsi="宋体" w:eastAsia="宋体" w:cs="Times New Roman"/>
          <w:b/>
          <w:kern w:val="0"/>
          <w:sz w:val="36"/>
          <w:szCs w:val="36"/>
          <w:lang w:eastAsia="zh-Hans"/>
        </w:rPr>
        <w:t>第五章 合同文本</w:t>
      </w:r>
      <w:bookmarkEnd w:id="32"/>
      <w:bookmarkEnd w:id="33"/>
    </w:p>
    <w:p w14:paraId="30A976CE">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szCs w:val="21"/>
          <w:u w:val="single"/>
        </w:rPr>
      </w:pPr>
      <w:r>
        <w:rPr>
          <w:rFonts w:hint="eastAsia" w:ascii="宋体" w:hAnsi="宋体" w:eastAsia="宋体"/>
          <w:szCs w:val="21"/>
        </w:rPr>
        <w:t>甲方（采购人）：</w:t>
      </w:r>
      <w:r>
        <w:rPr>
          <w:rFonts w:hint="eastAsia" w:ascii="宋体" w:hAnsi="宋体" w:eastAsia="宋体"/>
          <w:szCs w:val="21"/>
          <w:u w:val="single"/>
        </w:rPr>
        <w:t>东莞市汽车技术学校</w:t>
      </w:r>
    </w:p>
    <w:p w14:paraId="703F843D">
      <w:pPr>
        <w:keepNext w:val="0"/>
        <w:keepLines w:val="0"/>
        <w:pageBreakBefore w:val="0"/>
        <w:widowControl w:val="0"/>
        <w:kinsoku/>
        <w:wordWrap/>
        <w:overflowPunct/>
        <w:topLinePunct w:val="0"/>
        <w:autoSpaceDE/>
        <w:autoSpaceDN/>
        <w:bidi w:val="0"/>
        <w:adjustRightInd/>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p>
    <w:p w14:paraId="4FC11C5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14:paraId="3E68D29A">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cs="Times New Roman"/>
          <w:b/>
          <w:szCs w:val="21"/>
        </w:rPr>
        <w:t>项目基本情况</w:t>
      </w:r>
    </w:p>
    <w:p w14:paraId="56644319">
      <w:pPr>
        <w:pStyle w:val="24"/>
        <w:keepNext w:val="0"/>
        <w:keepLines w:val="0"/>
        <w:pageBreakBefore w:val="0"/>
        <w:widowControl w:val="0"/>
        <w:numPr>
          <w:ilvl w:val="0"/>
          <w:numId w:val="105"/>
        </w:numPr>
        <w:kinsoku/>
        <w:wordWrap/>
        <w:overflowPunct/>
        <w:topLinePunct w:val="0"/>
        <w:autoSpaceDE/>
        <w:autoSpaceDN/>
        <w:bidi w:val="0"/>
        <w:adjustRightInd/>
        <w:snapToGrid w:val="0"/>
        <w:spacing w:line="360" w:lineRule="auto"/>
        <w:ind w:firstLineChars="0"/>
        <w:textAlignment w:val="auto"/>
        <w:rPr>
          <w:rFonts w:ascii="宋体" w:hAnsi="宋体" w:eastAsia="宋体"/>
          <w:color w:val="auto"/>
          <w:szCs w:val="21"/>
        </w:rPr>
      </w:pPr>
      <w:r>
        <w:rPr>
          <w:rFonts w:hint="eastAsia" w:ascii="宋体" w:hAnsi="宋体" w:eastAsia="宋体"/>
          <w:color w:val="auto"/>
          <w:szCs w:val="21"/>
        </w:rPr>
        <w:t>项目名称：</w:t>
      </w:r>
      <w:r>
        <w:rPr>
          <w:rFonts w:hint="eastAsia" w:ascii="宋体" w:hAnsi="宋体" w:eastAsia="宋体"/>
          <w:color w:val="auto"/>
          <w:szCs w:val="21"/>
          <w:u w:val="single"/>
          <w:lang w:eastAsia="zh-CN"/>
        </w:rPr>
        <w:t>中德先进职业教育合作项目（SGAVE）</w:t>
      </w:r>
    </w:p>
    <w:p w14:paraId="5F6EF829">
      <w:pPr>
        <w:keepNext w:val="0"/>
        <w:keepLines w:val="0"/>
        <w:pageBreakBefore w:val="0"/>
        <w:widowControl w:val="0"/>
        <w:numPr>
          <w:ilvl w:val="0"/>
          <w:numId w:val="105"/>
        </w:numPr>
        <w:kinsoku/>
        <w:wordWrap/>
        <w:overflowPunct/>
        <w:topLinePunct w:val="0"/>
        <w:autoSpaceDE/>
        <w:autoSpaceDN/>
        <w:bidi w:val="0"/>
        <w:adjustRightInd/>
        <w:snapToGrid w:val="0"/>
        <w:spacing w:line="360" w:lineRule="auto"/>
        <w:textAlignment w:val="auto"/>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ascii="宋体" w:hAnsi="宋体" w:eastAsia="宋体"/>
          <w:szCs w:val="21"/>
          <w:u w:val="single"/>
        </w:rPr>
        <w:t xml:space="preserve">                 </w:t>
      </w:r>
      <w:r>
        <w:rPr>
          <w:rFonts w:hint="eastAsia" w:ascii="宋体" w:hAnsi="宋体" w:eastAsia="宋体"/>
          <w:szCs w:val="21"/>
          <w:u w:val="single"/>
        </w:rPr>
        <w:t>（小写￥</w:t>
      </w:r>
      <w:r>
        <w:rPr>
          <w:rFonts w:ascii="宋体" w:hAnsi="宋体" w:eastAsia="宋体"/>
          <w:szCs w:val="21"/>
          <w:u w:val="single"/>
        </w:rPr>
        <w:t xml:space="preserve">        </w:t>
      </w:r>
      <w:r>
        <w:rPr>
          <w:rFonts w:hint="eastAsia" w:ascii="宋体" w:hAnsi="宋体" w:eastAsia="宋体"/>
          <w:szCs w:val="21"/>
          <w:u w:val="single"/>
        </w:rPr>
        <w:t>元）</w:t>
      </w:r>
    </w:p>
    <w:p w14:paraId="3F33342E">
      <w:pPr>
        <w:keepNext w:val="0"/>
        <w:keepLines w:val="0"/>
        <w:pageBreakBefore w:val="0"/>
        <w:widowControl w:val="0"/>
        <w:kinsoku/>
        <w:wordWrap/>
        <w:overflowPunct/>
        <w:topLinePunct w:val="0"/>
        <w:autoSpaceDE/>
        <w:autoSpaceDN/>
        <w:bidi w:val="0"/>
        <w:adjustRightInd/>
        <w:snapToGrid w:val="0"/>
        <w:spacing w:line="360" w:lineRule="auto"/>
        <w:ind w:left="420"/>
        <w:textAlignment w:val="auto"/>
        <w:rPr>
          <w:rFonts w:ascii="宋体" w:hAnsi="宋体" w:eastAsia="宋体"/>
          <w:szCs w:val="21"/>
        </w:rPr>
      </w:pPr>
      <w:r>
        <w:rPr>
          <w:rFonts w:hint="eastAsia" w:ascii="宋体" w:hAnsi="宋体" w:eastAsia="宋体"/>
          <w:szCs w:val="21"/>
        </w:rPr>
        <w:t>合同总价</w:t>
      </w:r>
      <w:r>
        <w:rPr>
          <w:rFonts w:hint="eastAsia" w:ascii="宋体" w:hAnsi="宋体" w:eastAsia="宋体"/>
          <w:szCs w:val="21"/>
          <w:lang w:val="en-US" w:eastAsia="zh-CN"/>
        </w:rPr>
        <w:t>为甲方</w:t>
      </w:r>
      <w:r>
        <w:rPr>
          <w:rFonts w:hint="eastAsia" w:ascii="宋体" w:hAnsi="宋体" w:eastAsia="宋体"/>
          <w:szCs w:val="21"/>
        </w:rPr>
        <w:t>指定地点的现场交货价，应包含</w:t>
      </w:r>
      <w:r>
        <w:rPr>
          <w:rFonts w:hint="eastAsia" w:ascii="宋体" w:hAnsi="宋体" w:eastAsia="宋体"/>
          <w:szCs w:val="21"/>
          <w:lang w:eastAsia="zh-CN"/>
        </w:rPr>
        <w:t>乙方</w:t>
      </w:r>
      <w:r>
        <w:rPr>
          <w:rFonts w:hint="eastAsia" w:ascii="宋体" w:hAnsi="宋体" w:eastAsia="宋体"/>
          <w:szCs w:val="21"/>
        </w:rPr>
        <w:t>完成</w:t>
      </w:r>
      <w:r>
        <w:rPr>
          <w:rFonts w:hint="eastAsia" w:ascii="宋体" w:hAnsi="宋体" w:eastAsia="宋体"/>
          <w:szCs w:val="21"/>
          <w:lang w:val="en-US" w:eastAsia="zh-CN"/>
        </w:rPr>
        <w:t>合同</w:t>
      </w:r>
      <w:r>
        <w:rPr>
          <w:rFonts w:hint="eastAsia" w:ascii="宋体" w:hAnsi="宋体" w:eastAsia="宋体"/>
          <w:szCs w:val="21"/>
        </w:rPr>
        <w:t>所有服务内容的费用包括但不限于：1、货物及标准附件、备品备件、专用工具的价格；2、运输、装卸、安装、调试、技术支持、售后服务等费用；3、配套辅材及安装费；4、必要的保险费用和各项税费及合同实施过程中的应预见和不可预见费用等完成合同规定责任和义务、达到合同目的的一切费用。</w:t>
      </w:r>
    </w:p>
    <w:p w14:paraId="2A65A925">
      <w:pPr>
        <w:keepNext w:val="0"/>
        <w:keepLines w:val="0"/>
        <w:pageBreakBefore w:val="0"/>
        <w:widowControl w:val="0"/>
        <w:numPr>
          <w:ilvl w:val="0"/>
          <w:numId w:val="105"/>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szCs w:val="21"/>
        </w:rPr>
        <w:t>项目地点：</w:t>
      </w:r>
      <w:r>
        <w:rPr>
          <w:rFonts w:hint="eastAsia" w:ascii="宋体" w:hAnsi="宋体" w:eastAsia="宋体"/>
          <w:bCs/>
          <w:szCs w:val="21"/>
          <w:u w:val="single"/>
        </w:rPr>
        <w:t>东莞市汽车技术学校或</w:t>
      </w:r>
      <w:r>
        <w:rPr>
          <w:rFonts w:hint="eastAsia" w:ascii="宋体" w:hAnsi="宋体" w:eastAsia="宋体"/>
          <w:bCs/>
          <w:szCs w:val="21"/>
          <w:u w:val="single"/>
          <w:lang w:val="en-US" w:eastAsia="zh-CN"/>
        </w:rPr>
        <w:t>甲方</w:t>
      </w:r>
      <w:r>
        <w:rPr>
          <w:rFonts w:hint="eastAsia" w:ascii="宋体" w:hAnsi="宋体" w:eastAsia="宋体"/>
          <w:bCs/>
          <w:szCs w:val="21"/>
          <w:u w:val="single"/>
        </w:rPr>
        <w:t>指定地点。</w:t>
      </w:r>
    </w:p>
    <w:p w14:paraId="1916C184">
      <w:pPr>
        <w:keepNext w:val="0"/>
        <w:keepLines w:val="0"/>
        <w:pageBreakBefore w:val="0"/>
        <w:widowControl w:val="0"/>
        <w:numPr>
          <w:ilvl w:val="0"/>
          <w:numId w:val="105"/>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lang w:val="en-US" w:eastAsia="zh-CN"/>
        </w:rPr>
        <w:t>采购货物清单</w:t>
      </w:r>
      <w:r>
        <w:rPr>
          <w:rFonts w:hint="eastAsia" w:ascii="宋体" w:hAnsi="宋体" w:eastAsia="宋体"/>
          <w:bCs/>
          <w:szCs w:val="21"/>
        </w:rPr>
        <w:t>：</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4351"/>
        <w:gridCol w:w="1447"/>
        <w:gridCol w:w="2683"/>
      </w:tblGrid>
      <w:tr w14:paraId="4B415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3" w:type="pct"/>
            <w:vAlign w:val="center"/>
          </w:tcPr>
          <w:p w14:paraId="3D127658">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序号</w:t>
            </w:r>
          </w:p>
        </w:tc>
        <w:tc>
          <w:tcPr>
            <w:tcW w:w="2342" w:type="pct"/>
            <w:vAlign w:val="center"/>
          </w:tcPr>
          <w:p w14:paraId="6759908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货物名称</w:t>
            </w:r>
          </w:p>
        </w:tc>
        <w:tc>
          <w:tcPr>
            <w:tcW w:w="779" w:type="pct"/>
            <w:vAlign w:val="center"/>
          </w:tcPr>
          <w:p w14:paraId="127182A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数量（单位）</w:t>
            </w:r>
          </w:p>
        </w:tc>
        <w:tc>
          <w:tcPr>
            <w:tcW w:w="1444" w:type="pct"/>
            <w:vAlign w:val="center"/>
          </w:tcPr>
          <w:p w14:paraId="6E109D3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default"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备注</w:t>
            </w:r>
          </w:p>
        </w:tc>
      </w:tr>
      <w:tr w14:paraId="27AD5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Align w:val="center"/>
          </w:tcPr>
          <w:p w14:paraId="5E6CEA9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1</w:t>
            </w:r>
          </w:p>
        </w:tc>
        <w:tc>
          <w:tcPr>
            <w:tcW w:w="2342" w:type="pct"/>
            <w:vAlign w:val="center"/>
          </w:tcPr>
          <w:p w14:paraId="57990A4F">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4.5吨新能源电动龙门举升机</w:t>
            </w:r>
          </w:p>
        </w:tc>
        <w:tc>
          <w:tcPr>
            <w:tcW w:w="779" w:type="pct"/>
            <w:vAlign w:val="center"/>
          </w:tcPr>
          <w:p w14:paraId="66B0179A">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8（台）</w:t>
            </w:r>
          </w:p>
        </w:tc>
        <w:tc>
          <w:tcPr>
            <w:tcW w:w="1444" w:type="pct"/>
            <w:vAlign w:val="center"/>
          </w:tcPr>
          <w:p w14:paraId="05EFF64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含</w:t>
            </w:r>
            <w:r>
              <w:rPr>
                <w:rFonts w:hint="eastAsia" w:ascii="宋体" w:hAnsi="宋体" w:eastAsia="宋体"/>
                <w:bCs/>
                <w:sz w:val="21"/>
                <w:szCs w:val="21"/>
                <w:vertAlign w:val="baseline"/>
              </w:rPr>
              <w:t>举升机地基加固</w:t>
            </w:r>
          </w:p>
        </w:tc>
      </w:tr>
      <w:tr w14:paraId="398EA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Align w:val="center"/>
          </w:tcPr>
          <w:p w14:paraId="4710BC91">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2</w:t>
            </w:r>
          </w:p>
        </w:tc>
        <w:tc>
          <w:tcPr>
            <w:tcW w:w="2342" w:type="pct"/>
            <w:vAlign w:val="center"/>
          </w:tcPr>
          <w:p w14:paraId="167A7885">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新能源整车实训平台</w:t>
            </w:r>
          </w:p>
        </w:tc>
        <w:tc>
          <w:tcPr>
            <w:tcW w:w="779" w:type="pct"/>
            <w:vAlign w:val="center"/>
          </w:tcPr>
          <w:p w14:paraId="78798E7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2（台）</w:t>
            </w:r>
          </w:p>
        </w:tc>
        <w:tc>
          <w:tcPr>
            <w:tcW w:w="1444" w:type="pct"/>
            <w:vAlign w:val="center"/>
          </w:tcPr>
          <w:p w14:paraId="566908E6">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Cs/>
                <w:sz w:val="21"/>
                <w:szCs w:val="21"/>
                <w:vertAlign w:val="baseline"/>
                <w:lang w:val="en-US" w:eastAsia="zh-CN"/>
              </w:rPr>
            </w:pPr>
            <w:r>
              <w:rPr>
                <w:rFonts w:hint="eastAsia" w:ascii="宋体" w:hAnsi="宋体" w:eastAsia="宋体"/>
                <w:bCs/>
                <w:sz w:val="21"/>
                <w:szCs w:val="21"/>
                <w:vertAlign w:val="baseline"/>
                <w:lang w:val="en-US" w:eastAsia="zh-CN"/>
              </w:rPr>
              <w:t>/</w:t>
            </w:r>
          </w:p>
        </w:tc>
      </w:tr>
      <w:tr w14:paraId="6899C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Align w:val="center"/>
          </w:tcPr>
          <w:p w14:paraId="5817BC47">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3</w:t>
            </w:r>
          </w:p>
        </w:tc>
        <w:tc>
          <w:tcPr>
            <w:tcW w:w="2342" w:type="pct"/>
            <w:vAlign w:val="center"/>
          </w:tcPr>
          <w:p w14:paraId="42B6DA94">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新能源动力总成拆装实训平台</w:t>
            </w:r>
          </w:p>
        </w:tc>
        <w:tc>
          <w:tcPr>
            <w:tcW w:w="779" w:type="pct"/>
            <w:vAlign w:val="center"/>
          </w:tcPr>
          <w:p w14:paraId="580D4D29">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5（台）</w:t>
            </w:r>
          </w:p>
        </w:tc>
        <w:tc>
          <w:tcPr>
            <w:tcW w:w="1444" w:type="pct"/>
            <w:vAlign w:val="center"/>
          </w:tcPr>
          <w:p w14:paraId="11A7D4B0">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w:t>
            </w:r>
          </w:p>
        </w:tc>
      </w:tr>
      <w:tr w14:paraId="3E4F4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vAlign w:val="center"/>
          </w:tcPr>
          <w:p w14:paraId="2ECC98BB">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宋体" w:hAnsi="宋体" w:eastAsia="宋体"/>
                <w:b/>
                <w:bCs w:val="0"/>
                <w:sz w:val="21"/>
                <w:szCs w:val="21"/>
                <w:vertAlign w:val="baseline"/>
                <w:lang w:val="en-US" w:eastAsia="zh-CN"/>
              </w:rPr>
            </w:pPr>
            <w:r>
              <w:rPr>
                <w:rFonts w:hint="eastAsia" w:ascii="宋体" w:hAnsi="宋体" w:eastAsia="宋体"/>
                <w:b/>
                <w:bCs w:val="0"/>
                <w:sz w:val="21"/>
                <w:szCs w:val="21"/>
                <w:vertAlign w:val="baseline"/>
                <w:lang w:val="en-US" w:eastAsia="zh-CN"/>
              </w:rPr>
              <w:t>4</w:t>
            </w:r>
          </w:p>
        </w:tc>
        <w:tc>
          <w:tcPr>
            <w:tcW w:w="2342" w:type="pct"/>
            <w:vAlign w:val="center"/>
          </w:tcPr>
          <w:p w14:paraId="3D2E815E">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 w:val="0"/>
                <w:bCs/>
                <w:sz w:val="21"/>
                <w:szCs w:val="21"/>
                <w:u w:val="none"/>
                <w:vertAlign w:val="baseline"/>
              </w:rPr>
            </w:pPr>
            <w:r>
              <w:rPr>
                <w:rFonts w:hint="eastAsia" w:ascii="宋体" w:hAnsi="宋体" w:eastAsia="宋体"/>
                <w:b w:val="0"/>
                <w:bCs/>
                <w:sz w:val="21"/>
                <w:szCs w:val="21"/>
                <w:u w:val="none"/>
                <w:vertAlign w:val="baseline"/>
              </w:rPr>
              <w:t>新能源汽车电力电子技术基础积木实训板</w:t>
            </w:r>
          </w:p>
        </w:tc>
        <w:tc>
          <w:tcPr>
            <w:tcW w:w="779" w:type="pct"/>
            <w:vAlign w:val="center"/>
          </w:tcPr>
          <w:p w14:paraId="2F0C96C2">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lang w:val="en-US" w:eastAsia="zh-CN"/>
              </w:rPr>
              <w:t>8（套）</w:t>
            </w:r>
          </w:p>
        </w:tc>
        <w:tc>
          <w:tcPr>
            <w:tcW w:w="1444" w:type="pct"/>
            <w:vAlign w:val="center"/>
          </w:tcPr>
          <w:p w14:paraId="11B16AFC">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ascii="宋体" w:hAnsi="宋体" w:eastAsia="宋体"/>
                <w:bCs/>
                <w:sz w:val="21"/>
                <w:szCs w:val="21"/>
                <w:vertAlign w:val="baseline"/>
              </w:rPr>
            </w:pPr>
            <w:r>
              <w:rPr>
                <w:rFonts w:hint="eastAsia" w:ascii="宋体" w:hAnsi="宋体" w:eastAsia="宋体"/>
                <w:bCs/>
                <w:sz w:val="21"/>
                <w:szCs w:val="21"/>
                <w:vertAlign w:val="baseline"/>
              </w:rPr>
              <w:t>含积木模块存放与实训台</w:t>
            </w:r>
          </w:p>
        </w:tc>
      </w:tr>
    </w:tbl>
    <w:p w14:paraId="11D7A384">
      <w:pPr>
        <w:keepNext w:val="0"/>
        <w:keepLines w:val="0"/>
        <w:pageBreakBefore w:val="0"/>
        <w:widowControl w:val="0"/>
        <w:numPr>
          <w:ilvl w:val="0"/>
          <w:numId w:val="0"/>
        </w:numPr>
        <w:tabs>
          <w:tab w:val="left" w:pos="840"/>
        </w:tabs>
        <w:kinsoku/>
        <w:wordWrap/>
        <w:overflowPunct/>
        <w:topLinePunct w:val="0"/>
        <w:autoSpaceDE/>
        <w:autoSpaceDN/>
        <w:bidi w:val="0"/>
        <w:adjustRightInd/>
        <w:snapToGrid w:val="0"/>
        <w:spacing w:line="360" w:lineRule="auto"/>
        <w:ind w:leftChars="0" w:firstLine="420" w:firstLineChars="200"/>
        <w:textAlignment w:val="auto"/>
        <w:rPr>
          <w:rFonts w:ascii="宋体" w:hAnsi="宋体" w:eastAsia="宋体"/>
          <w:bCs/>
          <w:szCs w:val="21"/>
        </w:rPr>
      </w:pPr>
      <w:r>
        <w:rPr>
          <w:rFonts w:hint="eastAsia" w:ascii="宋体" w:hAnsi="宋体" w:eastAsia="宋体"/>
          <w:bCs/>
          <w:szCs w:val="21"/>
          <w:lang w:val="en-US" w:eastAsia="zh-CN"/>
        </w:rPr>
        <w:t>注：</w:t>
      </w:r>
      <w:r>
        <w:rPr>
          <w:rFonts w:hint="eastAsia" w:ascii="宋体" w:hAnsi="宋体" w:eastAsia="宋体"/>
          <w:bCs/>
          <w:szCs w:val="21"/>
        </w:rPr>
        <w:t>上表中产品属于中国国家强制性产品认证（CCC）产品的，</w:t>
      </w:r>
      <w:r>
        <w:rPr>
          <w:rFonts w:hint="eastAsia" w:ascii="宋体" w:hAnsi="宋体" w:eastAsia="宋体"/>
          <w:bCs/>
          <w:szCs w:val="21"/>
          <w:lang w:val="en-US" w:eastAsia="zh-CN"/>
        </w:rPr>
        <w:t>乙方</w:t>
      </w:r>
      <w:r>
        <w:rPr>
          <w:rFonts w:hint="eastAsia" w:ascii="宋体" w:hAnsi="宋体" w:eastAsia="宋体"/>
          <w:bCs/>
          <w:szCs w:val="21"/>
        </w:rPr>
        <w:t>须在交货时提供对应产品具有</w:t>
      </w:r>
      <w:r>
        <w:rPr>
          <w:rFonts w:hint="eastAsia" w:ascii="宋体" w:hAnsi="宋体" w:eastAsia="宋体"/>
          <w:bCs/>
          <w:szCs w:val="21"/>
          <w:lang w:val="en-US" w:eastAsia="zh-CN"/>
        </w:rPr>
        <w:t>的</w:t>
      </w:r>
      <w:r>
        <w:rPr>
          <w:rFonts w:hint="eastAsia" w:ascii="宋体" w:hAnsi="宋体" w:eastAsia="宋体"/>
          <w:bCs/>
          <w:szCs w:val="21"/>
        </w:rPr>
        <w:t>中国国家强制性产品认证（CCC）证书</w:t>
      </w:r>
      <w:r>
        <w:rPr>
          <w:rFonts w:hint="eastAsia" w:ascii="宋体" w:hAnsi="宋体" w:eastAsia="宋体"/>
          <w:bCs/>
          <w:szCs w:val="21"/>
          <w:lang w:val="en-US" w:eastAsia="zh-CN"/>
        </w:rPr>
        <w:t>至甲方处存档备查。</w:t>
      </w:r>
    </w:p>
    <w:p w14:paraId="190AACF6">
      <w:pPr>
        <w:keepNext w:val="0"/>
        <w:keepLines w:val="0"/>
        <w:pageBreakBefore w:val="0"/>
        <w:widowControl w:val="0"/>
        <w:numPr>
          <w:ilvl w:val="0"/>
          <w:numId w:val="105"/>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rPr>
        <w:t>交货期：</w:t>
      </w:r>
      <w:r>
        <w:rPr>
          <w:rFonts w:hint="eastAsia" w:ascii="宋体" w:hAnsi="宋体" w:eastAsia="宋体"/>
          <w:bCs/>
          <w:szCs w:val="21"/>
          <w:u w:val="single"/>
        </w:rPr>
        <w:t>自合同签订之日起30日内完成供货、安装、调试并经</w:t>
      </w:r>
      <w:r>
        <w:rPr>
          <w:rFonts w:hint="eastAsia" w:ascii="宋体" w:hAnsi="宋体" w:eastAsia="宋体"/>
          <w:bCs/>
          <w:szCs w:val="21"/>
          <w:u w:val="single"/>
          <w:lang w:val="en-US" w:eastAsia="zh-CN"/>
        </w:rPr>
        <w:t>甲方</w:t>
      </w:r>
      <w:r>
        <w:rPr>
          <w:rFonts w:hint="eastAsia" w:ascii="宋体" w:hAnsi="宋体" w:eastAsia="宋体"/>
          <w:bCs/>
          <w:szCs w:val="21"/>
          <w:u w:val="single"/>
        </w:rPr>
        <w:t>验收合格。</w:t>
      </w:r>
    </w:p>
    <w:p w14:paraId="499A2232">
      <w:pPr>
        <w:keepNext w:val="0"/>
        <w:keepLines w:val="0"/>
        <w:pageBreakBefore w:val="0"/>
        <w:widowControl w:val="0"/>
        <w:numPr>
          <w:ilvl w:val="0"/>
          <w:numId w:val="105"/>
        </w:numPr>
        <w:tabs>
          <w:tab w:val="left" w:pos="840"/>
        </w:tabs>
        <w:kinsoku/>
        <w:wordWrap/>
        <w:overflowPunct/>
        <w:topLinePunct w:val="0"/>
        <w:autoSpaceDE/>
        <w:autoSpaceDN/>
        <w:bidi w:val="0"/>
        <w:adjustRightInd/>
        <w:snapToGrid w:val="0"/>
        <w:spacing w:line="360" w:lineRule="auto"/>
        <w:textAlignment w:val="auto"/>
        <w:rPr>
          <w:rFonts w:ascii="宋体" w:hAnsi="宋体" w:eastAsia="宋体"/>
          <w:bCs/>
          <w:szCs w:val="21"/>
        </w:rPr>
      </w:pPr>
      <w:r>
        <w:rPr>
          <w:rFonts w:hint="eastAsia" w:ascii="宋体" w:hAnsi="宋体" w:eastAsia="宋体"/>
          <w:bCs/>
          <w:szCs w:val="21"/>
        </w:rPr>
        <w:t>质保期：</w:t>
      </w:r>
      <w:r>
        <w:rPr>
          <w:rFonts w:hint="eastAsia" w:ascii="宋体" w:hAnsi="宋体" w:eastAsia="宋体"/>
          <w:bCs/>
          <w:szCs w:val="21"/>
          <w:u w:val="single"/>
        </w:rPr>
        <w:t>自验收合格之日起</w:t>
      </w:r>
      <w:r>
        <w:rPr>
          <w:rFonts w:hint="eastAsia" w:ascii="宋体" w:hAnsi="宋体" w:eastAsia="宋体"/>
          <w:bCs/>
          <w:szCs w:val="21"/>
          <w:u w:val="single"/>
          <w:lang w:val="en-US" w:eastAsia="zh-CN"/>
        </w:rPr>
        <w:t xml:space="preserve">   </w:t>
      </w:r>
      <w:r>
        <w:rPr>
          <w:rFonts w:hint="eastAsia" w:ascii="宋体" w:hAnsi="宋体" w:eastAsia="宋体"/>
          <w:bCs/>
          <w:szCs w:val="21"/>
          <w:u w:val="single"/>
        </w:rPr>
        <w:t>年，质保期内</w:t>
      </w:r>
      <w:r>
        <w:rPr>
          <w:rFonts w:hint="eastAsia" w:ascii="宋体" w:hAnsi="宋体" w:eastAsia="宋体"/>
          <w:bCs/>
          <w:szCs w:val="21"/>
          <w:u w:val="single"/>
          <w:lang w:val="en-US" w:eastAsia="zh-CN"/>
        </w:rPr>
        <w:t>乙方</w:t>
      </w:r>
      <w:r>
        <w:rPr>
          <w:rFonts w:hint="eastAsia" w:ascii="宋体" w:hAnsi="宋体" w:eastAsia="宋体"/>
          <w:bCs/>
          <w:szCs w:val="21"/>
          <w:u w:val="single"/>
        </w:rPr>
        <w:t>所提供货物出现质量问题的，由</w:t>
      </w:r>
      <w:r>
        <w:rPr>
          <w:rFonts w:hint="eastAsia" w:ascii="宋体" w:hAnsi="宋体" w:eastAsia="宋体"/>
          <w:bCs/>
          <w:szCs w:val="21"/>
          <w:u w:val="single"/>
          <w:lang w:val="en-US" w:eastAsia="zh-CN"/>
        </w:rPr>
        <w:t>乙方</w:t>
      </w:r>
      <w:r>
        <w:rPr>
          <w:rFonts w:hint="eastAsia" w:ascii="宋体" w:hAnsi="宋体" w:eastAsia="宋体"/>
          <w:bCs/>
          <w:szCs w:val="21"/>
          <w:u w:val="single"/>
        </w:rPr>
        <w:t>负责包换包退。</w:t>
      </w:r>
    </w:p>
    <w:p w14:paraId="391EC749">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cs="Times New Roman"/>
          <w:b/>
          <w:szCs w:val="21"/>
        </w:rPr>
        <w:t>双方权利义务</w:t>
      </w:r>
    </w:p>
    <w:p w14:paraId="6CCFFD4E">
      <w:pPr>
        <w:pStyle w:val="24"/>
        <w:keepNext w:val="0"/>
        <w:keepLines w:val="0"/>
        <w:pageBreakBefore w:val="0"/>
        <w:widowControl w:val="0"/>
        <w:numPr>
          <w:ilvl w:val="0"/>
          <w:numId w:val="106"/>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甲方权力和义务</w:t>
      </w:r>
    </w:p>
    <w:p w14:paraId="0235859D">
      <w:pPr>
        <w:pStyle w:val="24"/>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验收乙方提供的合同货物。</w:t>
      </w:r>
    </w:p>
    <w:p w14:paraId="5A537747">
      <w:pPr>
        <w:pStyle w:val="24"/>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14:paraId="4F13D52E">
      <w:pPr>
        <w:pStyle w:val="24"/>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14:paraId="46E63641">
      <w:pPr>
        <w:pStyle w:val="24"/>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14:paraId="08BC2EB6">
      <w:pPr>
        <w:pStyle w:val="24"/>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14:paraId="3658C074">
      <w:pPr>
        <w:pStyle w:val="24"/>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招标文件和投标文件约定的甲方其余权利义务。</w:t>
      </w:r>
    </w:p>
    <w:p w14:paraId="05DBEECC">
      <w:pPr>
        <w:pStyle w:val="24"/>
        <w:keepNext w:val="0"/>
        <w:keepLines w:val="0"/>
        <w:pageBreakBefore w:val="0"/>
        <w:widowControl w:val="0"/>
        <w:numPr>
          <w:ilvl w:val="0"/>
          <w:numId w:val="106"/>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乙方权力和义务</w:t>
      </w:r>
    </w:p>
    <w:p w14:paraId="6164B49D">
      <w:pPr>
        <w:pStyle w:val="24"/>
        <w:keepNext w:val="0"/>
        <w:keepLines w:val="0"/>
        <w:pageBreakBefore w:val="0"/>
        <w:widowControl w:val="0"/>
        <w:numPr>
          <w:ilvl w:val="1"/>
          <w:numId w:val="108"/>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r>
        <w:rPr>
          <w:rFonts w:hint="eastAsia" w:ascii="宋体" w:hAnsi="宋体" w:eastAsia="宋体" w:cs="宋体"/>
          <w:szCs w:val="21"/>
          <w:lang w:eastAsia="zh-CN"/>
        </w:rPr>
        <w:t>，</w:t>
      </w:r>
      <w:r>
        <w:rPr>
          <w:rFonts w:hint="eastAsia" w:ascii="宋体" w:hAnsi="宋体" w:eastAsia="宋体" w:cs="宋体"/>
          <w:szCs w:val="21"/>
          <w:lang w:val="en-US" w:eastAsia="zh-CN"/>
        </w:rPr>
        <w:t>经甲方确认后方可实施</w:t>
      </w:r>
      <w:r>
        <w:rPr>
          <w:rFonts w:hint="eastAsia" w:ascii="宋体" w:hAnsi="宋体" w:eastAsia="宋体" w:cs="宋体"/>
          <w:szCs w:val="21"/>
        </w:rPr>
        <w:t>。</w:t>
      </w:r>
    </w:p>
    <w:p w14:paraId="6F71E730">
      <w:pPr>
        <w:pStyle w:val="24"/>
        <w:keepNext w:val="0"/>
        <w:keepLines w:val="0"/>
        <w:pageBreakBefore w:val="0"/>
        <w:widowControl w:val="0"/>
        <w:numPr>
          <w:ilvl w:val="1"/>
          <w:numId w:val="108"/>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14:paraId="7FBF1BD0">
      <w:pPr>
        <w:pStyle w:val="24"/>
        <w:keepNext w:val="0"/>
        <w:keepLines w:val="0"/>
        <w:pageBreakBefore w:val="0"/>
        <w:widowControl w:val="0"/>
        <w:numPr>
          <w:ilvl w:val="1"/>
          <w:numId w:val="108"/>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14:paraId="619AF2AC">
      <w:pPr>
        <w:pStyle w:val="24"/>
        <w:keepNext w:val="0"/>
        <w:keepLines w:val="0"/>
        <w:pageBreakBefore w:val="0"/>
        <w:widowControl w:val="0"/>
        <w:numPr>
          <w:ilvl w:val="1"/>
          <w:numId w:val="108"/>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14:paraId="105C90EC">
      <w:pPr>
        <w:pStyle w:val="24"/>
        <w:keepNext w:val="0"/>
        <w:keepLines w:val="0"/>
        <w:pageBreakBefore w:val="0"/>
        <w:widowControl w:val="0"/>
        <w:numPr>
          <w:ilvl w:val="1"/>
          <w:numId w:val="108"/>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bCs/>
          <w:szCs w:val="21"/>
        </w:rPr>
        <w:t>必须为从事危险作业的职工办理意外伤害保险，并为实施服务场地内自有人员生命财产和实施服务机械设备办理保险，支付保险费用。</w:t>
      </w:r>
    </w:p>
    <w:p w14:paraId="4A305871">
      <w:pPr>
        <w:pStyle w:val="24"/>
        <w:keepNext w:val="0"/>
        <w:keepLines w:val="0"/>
        <w:pageBreakBefore w:val="0"/>
        <w:widowControl w:val="0"/>
        <w:numPr>
          <w:ilvl w:val="1"/>
          <w:numId w:val="108"/>
        </w:numPr>
        <w:tabs>
          <w:tab w:val="left" w:pos="1456"/>
        </w:tabs>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szCs w:val="21"/>
        </w:rPr>
        <w:t>招标文件和投标文件约定的乙方其余权利义务。</w:t>
      </w:r>
    </w:p>
    <w:p w14:paraId="3BBDD56C">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包装和运输</w:t>
      </w:r>
    </w:p>
    <w:p w14:paraId="18D66CD3">
      <w:pPr>
        <w:pStyle w:val="24"/>
        <w:keepNext w:val="0"/>
        <w:keepLines w:val="0"/>
        <w:pageBreakBefore w:val="0"/>
        <w:widowControl w:val="0"/>
        <w:numPr>
          <w:ilvl w:val="1"/>
          <w:numId w:val="109"/>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szCs w:val="21"/>
        </w:rPr>
      </w:pPr>
      <w:r>
        <w:rPr>
          <w:rFonts w:hint="eastAsia" w:ascii="宋体" w:hAnsi="宋体" w:eastAsia="宋体" w:cs="宋体"/>
          <w:szCs w:val="21"/>
        </w:rPr>
        <w:t>货物（设备）的包装应符合国家相关标准或规定，且包装必须为制造商原厂包装，支持防伪及溯源查询，货物（设备）的包装均应有良好的防湿、防锈、防潮、防雨、防腐及防碰撞的措施。凡由于包装不良造成货物（设备）的损坏、损失和由此产生的费用均由</w:t>
      </w:r>
      <w:r>
        <w:rPr>
          <w:rFonts w:hint="eastAsia" w:ascii="宋体" w:hAnsi="宋体" w:eastAsia="宋体" w:cs="宋体"/>
          <w:szCs w:val="21"/>
          <w:lang w:val="en-US" w:eastAsia="zh-CN"/>
        </w:rPr>
        <w:t>乙方</w:t>
      </w:r>
      <w:r>
        <w:rPr>
          <w:rFonts w:hint="eastAsia" w:ascii="宋体" w:hAnsi="宋体" w:eastAsia="宋体" w:cs="宋体"/>
          <w:szCs w:val="21"/>
        </w:rPr>
        <w:t>承担；</w:t>
      </w:r>
    </w:p>
    <w:p w14:paraId="5FA7245F">
      <w:pPr>
        <w:pStyle w:val="24"/>
        <w:keepNext w:val="0"/>
        <w:keepLines w:val="0"/>
        <w:pageBreakBefore w:val="0"/>
        <w:widowControl w:val="0"/>
        <w:numPr>
          <w:ilvl w:val="1"/>
          <w:numId w:val="109"/>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szCs w:val="21"/>
        </w:rPr>
      </w:pPr>
      <w:r>
        <w:rPr>
          <w:rFonts w:hint="eastAsia" w:ascii="宋体" w:hAnsi="宋体" w:eastAsia="宋体" w:cs="宋体"/>
          <w:szCs w:val="21"/>
        </w:rPr>
        <w:t>货物（设备）、备品备件、专用工具须单独分箱包装，每个包装箱外表面须标有与装箱单一致的设备清单及编号，易于被区分；</w:t>
      </w:r>
    </w:p>
    <w:p w14:paraId="3F922C2D">
      <w:pPr>
        <w:pStyle w:val="24"/>
        <w:keepNext w:val="0"/>
        <w:keepLines w:val="0"/>
        <w:pageBreakBefore w:val="0"/>
        <w:widowControl w:val="0"/>
        <w:numPr>
          <w:ilvl w:val="1"/>
          <w:numId w:val="109"/>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szCs w:val="21"/>
        </w:rPr>
      </w:pPr>
      <w:r>
        <w:rPr>
          <w:rFonts w:hint="eastAsia" w:ascii="宋体" w:hAnsi="宋体" w:eastAsia="宋体" w:cs="宋体"/>
          <w:szCs w:val="21"/>
        </w:rPr>
        <w:t>包装箱内应有下列随箱资料：装箱单、产品合格证、产品检验记录、产品使用说明书、设备装配图、随箱清单等；</w:t>
      </w:r>
    </w:p>
    <w:p w14:paraId="2087B9D8">
      <w:pPr>
        <w:pStyle w:val="24"/>
        <w:keepNext w:val="0"/>
        <w:keepLines w:val="0"/>
        <w:pageBreakBefore w:val="0"/>
        <w:widowControl w:val="0"/>
        <w:numPr>
          <w:ilvl w:val="1"/>
          <w:numId w:val="109"/>
        </w:numPr>
        <w:kinsoku/>
        <w:wordWrap/>
        <w:overflowPunct/>
        <w:topLinePunct w:val="0"/>
        <w:autoSpaceDE/>
        <w:autoSpaceDN/>
        <w:bidi w:val="0"/>
        <w:adjustRightInd/>
        <w:snapToGrid w:val="0"/>
        <w:spacing w:line="360" w:lineRule="auto"/>
        <w:ind w:left="426" w:firstLineChars="0"/>
        <w:textAlignment w:val="auto"/>
        <w:rPr>
          <w:rFonts w:hint="eastAsia" w:ascii="宋体" w:hAnsi="宋体" w:eastAsia="宋体" w:cs="宋体"/>
          <w:szCs w:val="21"/>
        </w:rPr>
      </w:pPr>
      <w:r>
        <w:rPr>
          <w:rFonts w:hint="eastAsia" w:ascii="宋体" w:hAnsi="宋体" w:eastAsia="宋体" w:cs="宋体"/>
          <w:szCs w:val="21"/>
          <w:lang w:val="en-US" w:eastAsia="zh-CN"/>
        </w:rPr>
        <w:t>乙方</w:t>
      </w:r>
      <w:r>
        <w:rPr>
          <w:rFonts w:hint="eastAsia" w:ascii="宋体" w:hAnsi="宋体" w:eastAsia="宋体" w:cs="宋体"/>
          <w:szCs w:val="21"/>
        </w:rPr>
        <w:t>须负责所有货物从出厂到项目现场的运输（包括一次和二次运输）、搬运、装卸、就位等工作，因此产生的一切费用包含在</w:t>
      </w:r>
      <w:r>
        <w:rPr>
          <w:rFonts w:hint="eastAsia" w:ascii="宋体" w:hAnsi="宋体" w:eastAsia="宋体" w:cs="宋体"/>
          <w:szCs w:val="21"/>
          <w:lang w:val="en-US" w:eastAsia="zh-CN"/>
        </w:rPr>
        <w:t>合同总价</w:t>
      </w:r>
      <w:r>
        <w:rPr>
          <w:rFonts w:hint="eastAsia" w:ascii="宋体" w:hAnsi="宋体" w:eastAsia="宋体" w:cs="宋体"/>
          <w:szCs w:val="21"/>
        </w:rPr>
        <w:t>内；</w:t>
      </w:r>
    </w:p>
    <w:p w14:paraId="7EFC1C56">
      <w:pPr>
        <w:pStyle w:val="24"/>
        <w:keepNext w:val="0"/>
        <w:keepLines w:val="0"/>
        <w:pageBreakBefore w:val="0"/>
        <w:widowControl w:val="0"/>
        <w:numPr>
          <w:ilvl w:val="1"/>
          <w:numId w:val="109"/>
        </w:numPr>
        <w:kinsoku/>
        <w:wordWrap/>
        <w:overflowPunct/>
        <w:topLinePunct w:val="0"/>
        <w:autoSpaceDE/>
        <w:autoSpaceDN/>
        <w:bidi w:val="0"/>
        <w:adjustRightInd/>
        <w:snapToGrid w:val="0"/>
        <w:spacing w:line="360" w:lineRule="auto"/>
        <w:ind w:left="426" w:firstLineChars="0"/>
        <w:textAlignment w:val="auto"/>
        <w:rPr>
          <w:rFonts w:ascii="宋体" w:hAnsi="宋体" w:eastAsia="宋体"/>
          <w:szCs w:val="21"/>
        </w:rPr>
      </w:pPr>
      <w:r>
        <w:rPr>
          <w:rFonts w:hint="eastAsia" w:ascii="宋体" w:hAnsi="宋体" w:eastAsia="宋体" w:cs="宋体"/>
          <w:szCs w:val="21"/>
          <w:lang w:val="en-US" w:eastAsia="zh-CN"/>
        </w:rPr>
        <w:t>乙方</w:t>
      </w:r>
      <w:r>
        <w:rPr>
          <w:rFonts w:hint="eastAsia" w:ascii="宋体" w:hAnsi="宋体" w:eastAsia="宋体" w:cs="宋体"/>
          <w:szCs w:val="21"/>
        </w:rPr>
        <w:t>须负责所有货物在验收合格前的一切保险费用，包含但不限于保管、运输、装卸车、货物现场的卸货（由</w:t>
      </w:r>
      <w:r>
        <w:rPr>
          <w:rFonts w:hint="eastAsia" w:ascii="宋体" w:hAnsi="宋体" w:eastAsia="宋体" w:cs="宋体"/>
          <w:szCs w:val="21"/>
          <w:lang w:val="en-US" w:eastAsia="zh-CN"/>
        </w:rPr>
        <w:t>甲方</w:t>
      </w:r>
      <w:r>
        <w:rPr>
          <w:rFonts w:hint="eastAsia" w:ascii="宋体" w:hAnsi="宋体" w:eastAsia="宋体" w:cs="宋体"/>
          <w:szCs w:val="21"/>
        </w:rPr>
        <w:t>指定卸货地点）等，费用包含在</w:t>
      </w:r>
      <w:r>
        <w:rPr>
          <w:rFonts w:hint="eastAsia" w:ascii="宋体" w:hAnsi="宋体" w:eastAsia="宋体" w:cs="宋体"/>
          <w:szCs w:val="21"/>
          <w:lang w:val="en-US" w:eastAsia="zh-CN"/>
        </w:rPr>
        <w:t>合同总价</w:t>
      </w:r>
      <w:r>
        <w:rPr>
          <w:rFonts w:hint="eastAsia" w:ascii="宋体" w:hAnsi="宋体" w:eastAsia="宋体" w:cs="宋体"/>
          <w:szCs w:val="21"/>
        </w:rPr>
        <w:t>内。</w:t>
      </w:r>
    </w:p>
    <w:p w14:paraId="05F2075B">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验收要求</w:t>
      </w:r>
    </w:p>
    <w:p w14:paraId="522A40A4">
      <w:pPr>
        <w:pStyle w:val="24"/>
        <w:keepNext w:val="0"/>
        <w:keepLines w:val="0"/>
        <w:pageBreakBefore w:val="0"/>
        <w:widowControl w:val="0"/>
        <w:numPr>
          <w:ilvl w:val="0"/>
          <w:numId w:val="11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货物运抵</w:t>
      </w:r>
      <w:r>
        <w:rPr>
          <w:rFonts w:hint="eastAsia" w:ascii="宋体" w:hAnsi="宋体" w:eastAsia="宋体" w:cs="宋体"/>
          <w:szCs w:val="21"/>
          <w:lang w:val="en-US" w:eastAsia="zh-CN"/>
        </w:rPr>
        <w:t>甲方</w:t>
      </w:r>
      <w:r>
        <w:rPr>
          <w:rFonts w:hint="eastAsia" w:ascii="宋体" w:hAnsi="宋体" w:eastAsia="宋体" w:cs="宋体"/>
          <w:iCs/>
          <w:color w:val="auto"/>
          <w:sz w:val="21"/>
          <w:szCs w:val="21"/>
          <w:highlight w:val="none"/>
        </w:rPr>
        <w:t>指定地点后，双方对货物进行初验：</w:t>
      </w:r>
    </w:p>
    <w:p w14:paraId="27709563">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（1）检查货物外观，包括但不限于：外包装有无损伤、货物是否有损坏及腐蚀、掉漆现象，若外观有损坏及腐蚀、掉漆等，影响使用</w:t>
      </w:r>
      <w:r>
        <w:rPr>
          <w:rFonts w:hint="eastAsia" w:ascii="宋体" w:hAnsi="宋体" w:eastAsia="宋体" w:cs="宋体"/>
          <w:iCs/>
          <w:color w:val="auto"/>
          <w:sz w:val="21"/>
          <w:szCs w:val="21"/>
          <w:highlight w:val="none"/>
          <w:lang w:val="en-US" w:eastAsia="zh-CN"/>
        </w:rPr>
        <w:t>的</w:t>
      </w:r>
      <w:r>
        <w:rPr>
          <w:rFonts w:hint="eastAsia" w:ascii="宋体" w:hAnsi="宋体" w:eastAsia="宋体" w:cs="宋体"/>
          <w:iCs/>
          <w:color w:val="auto"/>
          <w:sz w:val="21"/>
          <w:szCs w:val="21"/>
          <w:highlight w:val="none"/>
        </w:rPr>
        <w:t>，</w:t>
      </w:r>
      <w:r>
        <w:rPr>
          <w:rFonts w:hint="eastAsia" w:ascii="宋体" w:hAnsi="宋体" w:eastAsia="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应负责更换；</w:t>
      </w:r>
    </w:p>
    <w:p w14:paraId="42F44782">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（2）检查货物标识，设备类应有铭牌、标注货物名称、规格、型号、生产商、出厂日期等。</w:t>
      </w:r>
    </w:p>
    <w:p w14:paraId="09ADD101">
      <w:pPr>
        <w:pStyle w:val="24"/>
        <w:keepNext w:val="0"/>
        <w:keepLines w:val="0"/>
        <w:pageBreakBefore w:val="0"/>
        <w:widowControl w:val="0"/>
        <w:numPr>
          <w:ilvl w:val="0"/>
          <w:numId w:val="11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货物初验后，需按</w:t>
      </w:r>
      <w:r>
        <w:rPr>
          <w:rFonts w:hint="eastAsia" w:ascii="宋体" w:hAnsi="宋体" w:eastAsia="宋体" w:cs="宋体"/>
          <w:szCs w:val="21"/>
          <w:lang w:val="en-US" w:eastAsia="zh-CN"/>
        </w:rPr>
        <w:t>甲方</w:t>
      </w:r>
      <w:r>
        <w:rPr>
          <w:rFonts w:hint="eastAsia" w:ascii="宋体" w:hAnsi="宋体" w:eastAsia="宋体" w:cs="宋体"/>
          <w:iCs/>
          <w:color w:val="auto"/>
          <w:sz w:val="21"/>
          <w:szCs w:val="21"/>
          <w:highlight w:val="none"/>
        </w:rPr>
        <w:t>要求，安装在指定位置，并配置至设备能正常运行后，由</w:t>
      </w:r>
      <w:r>
        <w:rPr>
          <w:rFonts w:hint="eastAsia" w:ascii="宋体" w:hAnsi="宋体" w:eastAsia="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向</w:t>
      </w:r>
      <w:r>
        <w:rPr>
          <w:rFonts w:hint="eastAsia" w:ascii="宋体" w:hAnsi="宋体" w:eastAsia="宋体" w:cs="宋体"/>
          <w:szCs w:val="21"/>
          <w:lang w:val="en-US" w:eastAsia="zh-CN"/>
        </w:rPr>
        <w:t>甲方</w:t>
      </w:r>
      <w:r>
        <w:rPr>
          <w:rFonts w:hint="eastAsia" w:ascii="宋体" w:hAnsi="宋体" w:eastAsia="宋体" w:cs="宋体"/>
          <w:iCs/>
          <w:color w:val="auto"/>
          <w:sz w:val="21"/>
          <w:szCs w:val="21"/>
          <w:highlight w:val="none"/>
        </w:rPr>
        <w:t>提出正式验收申请</w:t>
      </w:r>
      <w:r>
        <w:rPr>
          <w:rFonts w:hint="eastAsia" w:ascii="宋体" w:hAnsi="宋体" w:eastAsia="宋体" w:cs="宋体"/>
          <w:iCs/>
          <w:color w:val="auto"/>
          <w:sz w:val="21"/>
          <w:szCs w:val="21"/>
          <w:highlight w:val="none"/>
          <w:lang w:eastAsia="zh-CN"/>
        </w:rPr>
        <w:t>，</w:t>
      </w:r>
      <w:r>
        <w:rPr>
          <w:rFonts w:hint="eastAsia" w:ascii="宋体" w:hAnsi="宋体" w:eastAsia="宋体" w:cs="宋体"/>
          <w:szCs w:val="21"/>
          <w:lang w:val="en-US" w:eastAsia="zh-CN"/>
        </w:rPr>
        <w:t>甲方</w:t>
      </w:r>
      <w:r>
        <w:rPr>
          <w:rFonts w:hint="eastAsia" w:ascii="宋体" w:hAnsi="宋体" w:eastAsia="宋体" w:cs="宋体"/>
          <w:iCs/>
          <w:color w:val="auto"/>
          <w:sz w:val="21"/>
          <w:szCs w:val="21"/>
          <w:highlight w:val="none"/>
          <w:lang w:val="en-US" w:eastAsia="zh-CN"/>
        </w:rPr>
        <w:t>在收到乙方正式验收申请后7个工作日内组织验收工作</w:t>
      </w:r>
      <w:r>
        <w:rPr>
          <w:rFonts w:hint="eastAsia" w:ascii="宋体" w:hAnsi="宋体" w:eastAsia="宋体" w:cs="宋体"/>
          <w:iCs/>
          <w:color w:val="auto"/>
          <w:sz w:val="21"/>
          <w:szCs w:val="21"/>
          <w:highlight w:val="none"/>
        </w:rPr>
        <w:t>：</w:t>
      </w:r>
    </w:p>
    <w:p w14:paraId="5637DA14">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（1）正式验收以签订合同中各类目的数量与参数作为验收条件，设备应能正常运转，设备配件应符合合同要求；</w:t>
      </w:r>
    </w:p>
    <w:p w14:paraId="604C33DE">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ascii="宋体" w:hAnsi="宋体" w:eastAsia="宋体"/>
          <w:b/>
          <w:szCs w:val="21"/>
        </w:rPr>
      </w:pPr>
      <w:r>
        <w:rPr>
          <w:rFonts w:hint="eastAsia" w:ascii="宋体" w:hAnsi="宋体" w:eastAsia="宋体" w:cs="宋体"/>
          <w:iCs/>
          <w:color w:val="auto"/>
          <w:sz w:val="21"/>
          <w:szCs w:val="21"/>
          <w:highlight w:val="none"/>
        </w:rPr>
        <w:t>（2）若提供的货物数量、参数不符，或设备不能运转的，</w:t>
      </w:r>
      <w:r>
        <w:rPr>
          <w:rFonts w:hint="eastAsia" w:ascii="宋体" w:hAnsi="宋体" w:eastAsia="宋体" w:cs="宋体"/>
          <w:szCs w:val="21"/>
          <w:lang w:val="en-US" w:eastAsia="zh-CN"/>
        </w:rPr>
        <w:t>甲方</w:t>
      </w:r>
      <w:r>
        <w:rPr>
          <w:rFonts w:hint="eastAsia" w:ascii="宋体" w:hAnsi="宋体" w:eastAsia="宋体" w:cs="宋体"/>
          <w:iCs/>
          <w:color w:val="auto"/>
          <w:sz w:val="21"/>
          <w:szCs w:val="21"/>
          <w:highlight w:val="none"/>
        </w:rPr>
        <w:t>不给予验收。</w:t>
      </w:r>
    </w:p>
    <w:p w14:paraId="28D80B7A">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付款方式</w:t>
      </w:r>
    </w:p>
    <w:p w14:paraId="565FAAEB">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6" w:leftChars="0" w:firstLine="420" w:firstLineChars="200"/>
        <w:textAlignment w:val="auto"/>
        <w:rPr>
          <w:rFonts w:ascii="宋体" w:hAnsi="宋体" w:eastAsia="宋体"/>
          <w:bCs/>
          <w:color w:val="auto"/>
          <w:szCs w:val="21"/>
        </w:rPr>
      </w:pPr>
      <w:r>
        <w:rPr>
          <w:rFonts w:hint="eastAsia" w:ascii="宋体" w:hAnsi="宋体" w:eastAsia="宋体"/>
          <w:bCs/>
          <w:color w:val="auto"/>
          <w:szCs w:val="21"/>
        </w:rPr>
        <w:t>项目所有货物完成供货、安装、调试并经</w:t>
      </w:r>
      <w:r>
        <w:rPr>
          <w:rFonts w:hint="eastAsia" w:ascii="宋体" w:hAnsi="宋体" w:eastAsia="宋体"/>
          <w:bCs/>
          <w:color w:val="auto"/>
          <w:szCs w:val="21"/>
          <w:lang w:val="en-US" w:eastAsia="zh-CN"/>
        </w:rPr>
        <w:t>甲方</w:t>
      </w:r>
      <w:r>
        <w:rPr>
          <w:rFonts w:hint="eastAsia" w:ascii="宋体" w:hAnsi="宋体" w:eastAsia="宋体"/>
          <w:bCs/>
          <w:color w:val="auto"/>
          <w:szCs w:val="21"/>
        </w:rPr>
        <w:t>验收合格后，</w:t>
      </w:r>
      <w:r>
        <w:rPr>
          <w:rFonts w:hint="eastAsia" w:ascii="宋体" w:hAnsi="宋体" w:eastAsia="宋体"/>
          <w:bCs/>
          <w:color w:val="auto"/>
          <w:szCs w:val="21"/>
          <w:lang w:val="en-US" w:eastAsia="zh-CN"/>
        </w:rPr>
        <w:t>甲方</w:t>
      </w:r>
      <w:r>
        <w:rPr>
          <w:rFonts w:hint="eastAsia" w:ascii="宋体" w:hAnsi="宋体" w:eastAsia="宋体"/>
          <w:bCs/>
          <w:color w:val="auto"/>
          <w:szCs w:val="21"/>
        </w:rPr>
        <w:t>向</w:t>
      </w:r>
      <w:r>
        <w:rPr>
          <w:rFonts w:hint="eastAsia" w:ascii="宋体" w:hAnsi="宋体" w:eastAsia="宋体"/>
          <w:bCs/>
          <w:color w:val="auto"/>
          <w:szCs w:val="21"/>
          <w:lang w:val="en-US" w:eastAsia="zh-CN"/>
        </w:rPr>
        <w:t>乙方</w:t>
      </w:r>
      <w:r>
        <w:rPr>
          <w:rFonts w:hint="eastAsia" w:ascii="宋体" w:hAnsi="宋体" w:eastAsia="宋体"/>
          <w:bCs/>
          <w:color w:val="auto"/>
          <w:szCs w:val="21"/>
        </w:rPr>
        <w:t>支付合同总额100%的货款。</w:t>
      </w:r>
      <w:r>
        <w:rPr>
          <w:rFonts w:hint="eastAsia" w:ascii="宋体" w:hAnsi="宋体" w:eastAsia="宋体"/>
          <w:bCs/>
          <w:color w:val="auto"/>
          <w:szCs w:val="21"/>
          <w:lang w:val="en-US" w:eastAsia="zh-CN"/>
        </w:rPr>
        <w:t>乙方</w:t>
      </w:r>
      <w:r>
        <w:rPr>
          <w:rFonts w:hint="eastAsia" w:ascii="宋体" w:hAnsi="宋体" w:eastAsia="宋体"/>
          <w:bCs/>
          <w:color w:val="auto"/>
          <w:szCs w:val="21"/>
        </w:rPr>
        <w:t>须向</w:t>
      </w:r>
      <w:r>
        <w:rPr>
          <w:rFonts w:hint="eastAsia" w:ascii="宋体" w:hAnsi="宋体" w:eastAsia="宋体"/>
          <w:bCs/>
          <w:color w:val="auto"/>
          <w:szCs w:val="21"/>
          <w:lang w:val="en-US" w:eastAsia="zh-CN"/>
        </w:rPr>
        <w:t>甲方</w:t>
      </w:r>
      <w:r>
        <w:rPr>
          <w:rFonts w:hint="eastAsia" w:ascii="宋体" w:hAnsi="宋体" w:eastAsia="宋体"/>
          <w:bCs/>
          <w:color w:val="auto"/>
          <w:szCs w:val="21"/>
        </w:rPr>
        <w:t>提供等额、合规的正式增值税发票，</w:t>
      </w:r>
      <w:r>
        <w:rPr>
          <w:rFonts w:hint="eastAsia" w:ascii="宋体" w:hAnsi="宋体" w:eastAsia="宋体"/>
          <w:bCs/>
          <w:color w:val="auto"/>
          <w:szCs w:val="21"/>
          <w:lang w:val="en-US" w:eastAsia="zh-CN"/>
        </w:rPr>
        <w:t>甲方</w:t>
      </w:r>
      <w:r>
        <w:rPr>
          <w:rFonts w:hint="eastAsia" w:ascii="宋体" w:hAnsi="宋体" w:eastAsia="宋体"/>
          <w:bCs/>
          <w:color w:val="auto"/>
          <w:szCs w:val="21"/>
        </w:rPr>
        <w:t>在收到</w:t>
      </w:r>
      <w:r>
        <w:rPr>
          <w:rFonts w:hint="eastAsia" w:ascii="宋体" w:hAnsi="宋体" w:eastAsia="宋体"/>
          <w:bCs/>
          <w:color w:val="auto"/>
          <w:szCs w:val="21"/>
          <w:lang w:val="en-US" w:eastAsia="zh-CN"/>
        </w:rPr>
        <w:t>乙方</w:t>
      </w:r>
      <w:r>
        <w:rPr>
          <w:rFonts w:hint="eastAsia" w:ascii="宋体" w:hAnsi="宋体" w:eastAsia="宋体"/>
          <w:bCs/>
          <w:color w:val="auto"/>
          <w:szCs w:val="21"/>
        </w:rPr>
        <w:t>合格请款资料后10个工作日内办理支付。</w:t>
      </w:r>
    </w:p>
    <w:p w14:paraId="1BA18E46">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售后服务要求</w:t>
      </w:r>
    </w:p>
    <w:p w14:paraId="37716BF9">
      <w:pPr>
        <w:pStyle w:val="29"/>
        <w:keepNext w:val="0"/>
        <w:keepLines w:val="0"/>
        <w:pageBreakBefore w:val="0"/>
        <w:widowControl w:val="0"/>
        <w:numPr>
          <w:ilvl w:val="0"/>
          <w:numId w:val="111"/>
        </w:numPr>
        <w:tabs>
          <w:tab w:val="left" w:pos="840"/>
        </w:tabs>
        <w:kinsoku/>
        <w:wordWrap/>
        <w:overflowPunct/>
        <w:topLinePunct w:val="0"/>
        <w:autoSpaceDE/>
        <w:autoSpaceDN/>
        <w:bidi w:val="0"/>
        <w:adjustRightInd/>
        <w:snapToGrid w:val="0"/>
        <w:spacing w:line="360" w:lineRule="auto"/>
        <w:ind w:firstLineChars="0"/>
        <w:textAlignment w:val="auto"/>
        <w:rPr>
          <w:rFonts w:hint="eastAsia" w:ascii="宋体" w:hAnsi="宋体"/>
          <w:szCs w:val="21"/>
          <w:lang w:val="en-US" w:eastAsia="zh-CN"/>
        </w:rPr>
      </w:pPr>
      <w:r>
        <w:rPr>
          <w:rFonts w:hint="eastAsia" w:ascii="宋体" w:hAnsi="宋体"/>
          <w:szCs w:val="21"/>
          <w:lang w:val="en-US" w:eastAsia="zh-CN"/>
        </w:rPr>
        <w:t>质保期内乙方必须配置专业的维护团队，团队须提供至少1人作为维护对接人，该人员必须是参加本项目的主要人员，对接人须协助甲方处理本项目的建设和维护工作；</w:t>
      </w:r>
    </w:p>
    <w:p w14:paraId="7048706B">
      <w:pPr>
        <w:pStyle w:val="29"/>
        <w:keepNext w:val="0"/>
        <w:keepLines w:val="0"/>
        <w:pageBreakBefore w:val="0"/>
        <w:widowControl w:val="0"/>
        <w:numPr>
          <w:ilvl w:val="0"/>
          <w:numId w:val="111"/>
        </w:numPr>
        <w:tabs>
          <w:tab w:val="left" w:pos="840"/>
        </w:tabs>
        <w:kinsoku/>
        <w:wordWrap/>
        <w:overflowPunct/>
        <w:topLinePunct w:val="0"/>
        <w:autoSpaceDE/>
        <w:autoSpaceDN/>
        <w:bidi w:val="0"/>
        <w:adjustRightInd/>
        <w:snapToGrid w:val="0"/>
        <w:spacing w:line="360" w:lineRule="auto"/>
        <w:ind w:firstLineChars="0"/>
        <w:textAlignment w:val="auto"/>
        <w:rPr>
          <w:rFonts w:hint="eastAsia" w:ascii="宋体" w:hAnsi="宋体"/>
          <w:szCs w:val="21"/>
          <w:lang w:val="en-US" w:eastAsia="zh-CN"/>
        </w:rPr>
      </w:pPr>
      <w:r>
        <w:rPr>
          <w:rFonts w:hint="eastAsia" w:ascii="宋体" w:hAnsi="宋体"/>
          <w:szCs w:val="21"/>
          <w:lang w:val="en-US" w:eastAsia="zh-CN"/>
        </w:rPr>
        <w:t>质保期内提供的维护服务内容和方式包括：提供技术指导、功能优化与支持服务等内容，服务方式应包括但不限于网络支持与现场服务等；</w:t>
      </w:r>
    </w:p>
    <w:p w14:paraId="4085F42B">
      <w:pPr>
        <w:pStyle w:val="29"/>
        <w:keepNext w:val="0"/>
        <w:keepLines w:val="0"/>
        <w:pageBreakBefore w:val="0"/>
        <w:widowControl w:val="0"/>
        <w:numPr>
          <w:ilvl w:val="0"/>
          <w:numId w:val="111"/>
        </w:numPr>
        <w:tabs>
          <w:tab w:val="left" w:pos="840"/>
        </w:tabs>
        <w:kinsoku/>
        <w:wordWrap/>
        <w:overflowPunct/>
        <w:topLinePunct w:val="0"/>
        <w:autoSpaceDE/>
        <w:autoSpaceDN/>
        <w:bidi w:val="0"/>
        <w:adjustRightInd/>
        <w:snapToGrid w:val="0"/>
        <w:spacing w:line="360" w:lineRule="auto"/>
        <w:ind w:firstLineChars="0"/>
        <w:textAlignment w:val="auto"/>
        <w:rPr>
          <w:rFonts w:hint="eastAsia" w:ascii="宋体" w:hAnsi="宋体"/>
          <w:szCs w:val="21"/>
          <w:lang w:val="en-US" w:eastAsia="zh-CN"/>
        </w:rPr>
      </w:pPr>
      <w:r>
        <w:rPr>
          <w:rFonts w:hint="eastAsia" w:ascii="宋体" w:hAnsi="宋体"/>
          <w:szCs w:val="21"/>
          <w:lang w:val="en-US" w:eastAsia="zh-CN"/>
        </w:rPr>
        <w:t>质保期内乙方至少每半年对本项目货品进行全面的巡检（巡检内容包括设备整体检测、设备保养评估、故障隐患排查等），对巡检过程中发现的故障及隐患进行及时处理，并生成巡检报告提交甲方；</w:t>
      </w:r>
    </w:p>
    <w:p w14:paraId="08AE439D">
      <w:pPr>
        <w:pStyle w:val="29"/>
        <w:keepNext w:val="0"/>
        <w:keepLines w:val="0"/>
        <w:pageBreakBefore w:val="0"/>
        <w:widowControl w:val="0"/>
        <w:numPr>
          <w:ilvl w:val="0"/>
          <w:numId w:val="111"/>
        </w:numPr>
        <w:tabs>
          <w:tab w:val="left" w:pos="840"/>
        </w:tabs>
        <w:kinsoku/>
        <w:wordWrap/>
        <w:overflowPunct/>
        <w:topLinePunct w:val="0"/>
        <w:autoSpaceDE/>
        <w:autoSpaceDN/>
        <w:bidi w:val="0"/>
        <w:adjustRightInd/>
        <w:snapToGrid w:val="0"/>
        <w:spacing w:line="360" w:lineRule="auto"/>
        <w:ind w:firstLineChars="0"/>
        <w:textAlignment w:val="auto"/>
        <w:rPr>
          <w:rFonts w:hint="eastAsia" w:ascii="宋体" w:hAnsi="宋体"/>
          <w:szCs w:val="21"/>
          <w:lang w:val="en-US" w:eastAsia="zh-CN"/>
        </w:rPr>
      </w:pPr>
      <w:r>
        <w:rPr>
          <w:rFonts w:hint="eastAsia" w:ascii="宋体" w:hAnsi="宋体"/>
          <w:szCs w:val="21"/>
          <w:lang w:val="en-US" w:eastAsia="zh-CN"/>
        </w:rPr>
        <w:t>应急维护要求：乙方须提供应急维护方案，且质保期内提供24小时电话服务热线，保证在接到故障电话后即时响应，4小时内到达故障现场，并在24小时内修复设备，如24小时内无法修复的，乙方须无偿提供不低于原设备性能的替代货物给甲方使用，直到故障货物修复为止，质保服务方式均为乙方上门服务。</w:t>
      </w:r>
    </w:p>
    <w:p w14:paraId="2F2CD1DD">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违约责任</w:t>
      </w:r>
    </w:p>
    <w:p w14:paraId="657BE99E">
      <w:pPr>
        <w:pStyle w:val="29"/>
        <w:keepNext w:val="0"/>
        <w:keepLines w:val="0"/>
        <w:pageBreakBefore w:val="0"/>
        <w:widowControl w:val="0"/>
        <w:numPr>
          <w:ilvl w:val="0"/>
          <w:numId w:val="112"/>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5DBE4689">
      <w:pPr>
        <w:pStyle w:val="29"/>
        <w:keepNext w:val="0"/>
        <w:keepLines w:val="0"/>
        <w:pageBreakBefore w:val="0"/>
        <w:widowControl w:val="0"/>
        <w:numPr>
          <w:ilvl w:val="0"/>
          <w:numId w:val="112"/>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ascii="宋体" w:hAnsi="宋体" w:cs="Times New Roman"/>
          <w:szCs w:val="21"/>
          <w:u w:val="single"/>
        </w:rPr>
        <w:t xml:space="preserve"> </w:t>
      </w:r>
      <w:r>
        <w:rPr>
          <w:rFonts w:hint="eastAsia" w:ascii="宋体" w:hAnsi="宋体" w:cs="Times New Roman"/>
          <w:szCs w:val="21"/>
          <w:u w:val="single"/>
        </w:rPr>
        <w:t>3</w:t>
      </w:r>
      <w:r>
        <w:rPr>
          <w:rFonts w:ascii="宋体" w:hAnsi="宋体" w:cs="Times New Roman"/>
          <w:szCs w:val="21"/>
          <w:u w:val="single"/>
        </w:rPr>
        <w:t xml:space="preserve"> </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违约金，并且给甲方造成的经济损失由乙方承担赔偿责任。</w:t>
      </w:r>
    </w:p>
    <w:p w14:paraId="67A4E470">
      <w:pPr>
        <w:pStyle w:val="29"/>
        <w:keepNext w:val="0"/>
        <w:keepLines w:val="0"/>
        <w:pageBreakBefore w:val="0"/>
        <w:widowControl w:val="0"/>
        <w:numPr>
          <w:ilvl w:val="0"/>
          <w:numId w:val="112"/>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ascii="宋体" w:hAnsi="宋体" w:cstheme="minorBidi"/>
          <w:szCs w:val="21"/>
          <w:u w:val="single"/>
        </w:rPr>
        <w:t xml:space="preserve"> </w:t>
      </w:r>
      <w:r>
        <w:rPr>
          <w:rFonts w:hint="eastAsia" w:ascii="宋体" w:hAnsi="宋体" w:cstheme="minorBidi"/>
          <w:szCs w:val="21"/>
          <w:u w:val="single"/>
        </w:rPr>
        <w:t>20</w:t>
      </w:r>
      <w:r>
        <w:rPr>
          <w:rFonts w:ascii="宋体" w:hAnsi="宋体" w:cstheme="minorBidi"/>
          <w:szCs w:val="21"/>
          <w:u w:val="single"/>
        </w:rPr>
        <w:t xml:space="preserve"> %</w:t>
      </w:r>
      <w:r>
        <w:rPr>
          <w:rFonts w:hint="eastAsia" w:ascii="宋体" w:hAnsi="宋体" w:cstheme="minorBidi"/>
          <w:szCs w:val="21"/>
        </w:rPr>
        <w:t>的违约金，并且给甲方造成的经济损失由乙方承担赔偿责任。</w:t>
      </w:r>
    </w:p>
    <w:p w14:paraId="3BDC8164">
      <w:pPr>
        <w:pStyle w:val="29"/>
        <w:keepNext w:val="0"/>
        <w:keepLines w:val="0"/>
        <w:pageBreakBefore w:val="0"/>
        <w:widowControl w:val="0"/>
        <w:numPr>
          <w:ilvl w:val="0"/>
          <w:numId w:val="112"/>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甲方有权从未支付的款项中直接扣除乙方的违约金，不足的部分由乙方另行补足。</w:t>
      </w:r>
    </w:p>
    <w:p w14:paraId="155CB7F7">
      <w:pPr>
        <w:pStyle w:val="29"/>
        <w:keepNext w:val="0"/>
        <w:keepLines w:val="0"/>
        <w:pageBreakBefore w:val="0"/>
        <w:widowControl w:val="0"/>
        <w:numPr>
          <w:ilvl w:val="0"/>
          <w:numId w:val="112"/>
        </w:numPr>
        <w:tabs>
          <w:tab w:val="left" w:pos="840"/>
        </w:tabs>
        <w:kinsoku/>
        <w:wordWrap/>
        <w:overflowPunct/>
        <w:topLinePunct w:val="0"/>
        <w:autoSpaceDE/>
        <w:autoSpaceDN/>
        <w:bidi w:val="0"/>
        <w:adjustRightInd/>
        <w:snapToGrid w:val="0"/>
        <w:spacing w:line="360" w:lineRule="auto"/>
        <w:ind w:firstLineChars="0"/>
        <w:textAlignment w:val="auto"/>
        <w:rPr>
          <w:rFonts w:ascii="宋体" w:hAnsi="宋体"/>
          <w:szCs w:val="21"/>
        </w:rPr>
      </w:pPr>
      <w:r>
        <w:rPr>
          <w:rFonts w:hint="eastAsia" w:ascii="宋体" w:hAnsi="宋体"/>
          <w:szCs w:val="21"/>
        </w:rPr>
        <w:t>乙方交</w:t>
      </w:r>
      <w:bookmarkStart w:id="34" w:name="_Toc86481565"/>
      <w:r>
        <w:rPr>
          <w:rFonts w:hint="eastAsia" w:ascii="宋体" w:hAnsi="宋体"/>
          <w:szCs w:val="21"/>
        </w:rPr>
        <w:t>付的货物不符合</w:t>
      </w:r>
      <w:bookmarkEnd w:id="34"/>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 xml:space="preserve"> </w:t>
      </w:r>
      <w:r>
        <w:rPr>
          <w:rFonts w:hint="eastAsia" w:ascii="宋体" w:hAnsi="宋体"/>
          <w:szCs w:val="21"/>
          <w:u w:val="single"/>
          <w:lang w:val="en-US" w:eastAsia="zh-CN"/>
        </w:rPr>
        <w:t>20%</w:t>
      </w:r>
      <w:r>
        <w:rPr>
          <w:rFonts w:ascii="宋体" w:hAnsi="宋体"/>
          <w:szCs w:val="21"/>
          <w:u w:val="single"/>
        </w:rPr>
        <w:t xml:space="preserve"> </w:t>
      </w:r>
      <w:r>
        <w:rPr>
          <w:rFonts w:hint="eastAsia" w:ascii="宋体" w:hAnsi="宋体"/>
          <w:szCs w:val="21"/>
        </w:rPr>
        <w:t>的违约金。</w:t>
      </w:r>
    </w:p>
    <w:p w14:paraId="210A4205">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争议的解决</w:t>
      </w:r>
    </w:p>
    <w:p w14:paraId="219371A4">
      <w:pPr>
        <w:keepNext w:val="0"/>
        <w:keepLines w:val="0"/>
        <w:pageBreakBefore w:val="0"/>
        <w:widowControl w:val="0"/>
        <w:numPr>
          <w:ilvl w:val="0"/>
          <w:numId w:val="113"/>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凡与</w:t>
      </w:r>
      <w:bookmarkStart w:id="35" w:name="_Toc86481566"/>
      <w:r>
        <w:rPr>
          <w:rFonts w:hint="eastAsia" w:ascii="宋体" w:hAnsi="宋体" w:eastAsia="宋体" w:cs="Times New Roman"/>
          <w:szCs w:val="21"/>
        </w:rPr>
        <w:t>本合同有关而引起</w:t>
      </w:r>
      <w:bookmarkEnd w:id="35"/>
      <w:r>
        <w:rPr>
          <w:rFonts w:hint="eastAsia" w:ascii="宋体" w:hAnsi="宋体" w:eastAsia="宋体" w:cs="Times New Roman"/>
          <w:szCs w:val="21"/>
        </w:rPr>
        <w:t>的一切争议，甲乙双方应首先通过友好协商解决，如经协商后仍不能达成协议时，任何一方可以向</w:t>
      </w:r>
      <w:r>
        <w:rPr>
          <w:rFonts w:hint="eastAsia" w:ascii="宋体" w:hAnsi="宋体" w:eastAsia="宋体" w:cs="Times New Roman"/>
          <w:szCs w:val="21"/>
          <w:lang w:val="en-US" w:eastAsia="zh-CN"/>
        </w:rPr>
        <w:t>甲方所在地</w:t>
      </w:r>
      <w:r>
        <w:rPr>
          <w:rFonts w:hint="eastAsia" w:ascii="宋体" w:hAnsi="宋体" w:eastAsia="宋体" w:cs="Times New Roman"/>
          <w:szCs w:val="21"/>
        </w:rPr>
        <w:t>法院提出诉讼。</w:t>
      </w:r>
    </w:p>
    <w:p w14:paraId="082EB96C">
      <w:pPr>
        <w:keepNext w:val="0"/>
        <w:keepLines w:val="0"/>
        <w:pageBreakBefore w:val="0"/>
        <w:widowControl w:val="0"/>
        <w:numPr>
          <w:ilvl w:val="0"/>
          <w:numId w:val="113"/>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14:paraId="038C21D4">
      <w:pPr>
        <w:keepNext w:val="0"/>
        <w:keepLines w:val="0"/>
        <w:pageBreakBefore w:val="0"/>
        <w:widowControl w:val="0"/>
        <w:numPr>
          <w:ilvl w:val="0"/>
          <w:numId w:val="113"/>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本合同按照中华人民共和国的法律进行解释。</w:t>
      </w:r>
    </w:p>
    <w:p w14:paraId="31FA8155">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不可抗力</w:t>
      </w:r>
    </w:p>
    <w:p w14:paraId="72406002">
      <w:pPr>
        <w:keepNext w:val="0"/>
        <w:keepLines w:val="0"/>
        <w:pageBreakBefore w:val="0"/>
        <w:widowControl w:val="0"/>
        <w:numPr>
          <w:ilvl w:val="0"/>
          <w:numId w:val="114"/>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2AB02D88">
      <w:pPr>
        <w:keepNext w:val="0"/>
        <w:keepLines w:val="0"/>
        <w:pageBreakBefore w:val="0"/>
        <w:widowControl w:val="0"/>
        <w:numPr>
          <w:ilvl w:val="0"/>
          <w:numId w:val="114"/>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3CF772C">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合同生效</w:t>
      </w:r>
    </w:p>
    <w:p w14:paraId="091BB8BE">
      <w:pPr>
        <w:keepNext w:val="0"/>
        <w:keepLines w:val="0"/>
        <w:pageBreakBefore w:val="0"/>
        <w:widowControl w:val="0"/>
        <w:numPr>
          <w:ilvl w:val="0"/>
          <w:numId w:val="115"/>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w:t>
      </w:r>
      <w:bookmarkStart w:id="36" w:name="_Toc86481569"/>
      <w:r>
        <w:rPr>
          <w:rFonts w:hint="eastAsia" w:ascii="宋体" w:hAnsi="宋体" w:eastAsia="宋体" w:cs="Times New Roman"/>
          <w:szCs w:val="21"/>
        </w:rPr>
        <w:t>由双方法定代表</w:t>
      </w:r>
      <w:bookmarkEnd w:id="36"/>
      <w:r>
        <w:rPr>
          <w:rFonts w:hint="eastAsia" w:ascii="宋体" w:hAnsi="宋体" w:eastAsia="宋体" w:cs="Times New Roman"/>
          <w:szCs w:val="21"/>
        </w:rPr>
        <w:t>人或委托代理人签字盖章后立即生效。</w:t>
      </w:r>
    </w:p>
    <w:p w14:paraId="078AF7C4">
      <w:pPr>
        <w:keepNext w:val="0"/>
        <w:keepLines w:val="0"/>
        <w:pageBreakBefore w:val="0"/>
        <w:widowControl w:val="0"/>
        <w:numPr>
          <w:ilvl w:val="0"/>
          <w:numId w:val="115"/>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本合同一式</w:t>
      </w:r>
      <w:r>
        <w:rPr>
          <w:rFonts w:ascii="宋体" w:hAnsi="宋体" w:eastAsia="宋体" w:cs="Times New Roman"/>
          <w:szCs w:val="21"/>
          <w:u w:val="single"/>
        </w:rPr>
        <w:t xml:space="preserve">     </w:t>
      </w:r>
      <w:r>
        <w:rPr>
          <w:rFonts w:hint="eastAsia" w:ascii="宋体" w:hAnsi="宋体" w:eastAsia="宋体" w:cs="Times New Roman"/>
          <w:szCs w:val="21"/>
        </w:rPr>
        <w:t>份，其中甲方</w:t>
      </w:r>
      <w:r>
        <w:rPr>
          <w:rFonts w:ascii="宋体" w:hAnsi="宋体" w:eastAsia="宋体" w:cs="Times New Roman"/>
          <w:szCs w:val="21"/>
          <w:u w:val="single"/>
        </w:rPr>
        <w:t xml:space="preserve">     </w:t>
      </w:r>
      <w:r>
        <w:rPr>
          <w:rFonts w:hint="eastAsia" w:ascii="宋体" w:hAnsi="宋体" w:eastAsia="宋体" w:cs="Times New Roman"/>
          <w:szCs w:val="21"/>
        </w:rPr>
        <w:t>份、乙方</w:t>
      </w:r>
      <w:r>
        <w:rPr>
          <w:rFonts w:ascii="宋体" w:hAnsi="宋体" w:eastAsia="宋体" w:cs="Times New Roman"/>
          <w:szCs w:val="21"/>
          <w:u w:val="single"/>
        </w:rPr>
        <w:t xml:space="preserve">     </w:t>
      </w:r>
      <w:r>
        <w:rPr>
          <w:rFonts w:hint="eastAsia" w:ascii="宋体" w:hAnsi="宋体" w:eastAsia="宋体" w:cs="Times New Roman"/>
          <w:szCs w:val="21"/>
        </w:rPr>
        <w:t>份，采购代理机构</w:t>
      </w:r>
      <w:r>
        <w:rPr>
          <w:rFonts w:ascii="宋体" w:hAnsi="宋体" w:eastAsia="宋体" w:cs="Times New Roman"/>
          <w:szCs w:val="21"/>
          <w:u w:val="single"/>
        </w:rPr>
        <w:t xml:space="preserve"> 壹 </w:t>
      </w:r>
      <w:r>
        <w:rPr>
          <w:rFonts w:hint="eastAsia" w:ascii="宋体" w:hAnsi="宋体" w:eastAsia="宋体" w:cs="Times New Roman"/>
          <w:szCs w:val="21"/>
        </w:rPr>
        <w:t>份（须在合同签订之日起</w:t>
      </w:r>
      <w:r>
        <w:rPr>
          <w:rFonts w:ascii="宋体" w:hAnsi="宋体" w:eastAsia="宋体" w:cs="Times New Roman"/>
          <w:szCs w:val="21"/>
        </w:rPr>
        <w:t>5个工作日内递交）</w:t>
      </w:r>
      <w:r>
        <w:rPr>
          <w:rFonts w:hint="eastAsia" w:ascii="宋体" w:hAnsi="宋体" w:eastAsia="宋体" w:cs="Times New Roman"/>
          <w:szCs w:val="21"/>
        </w:rPr>
        <w:t>具有同等法律效力</w:t>
      </w:r>
      <w:r>
        <w:rPr>
          <w:rFonts w:ascii="宋体" w:hAnsi="宋体" w:eastAsia="宋体" w:cs="Times New Roman"/>
          <w:szCs w:val="21"/>
        </w:rPr>
        <w:t>。</w:t>
      </w:r>
    </w:p>
    <w:p w14:paraId="794FCA27">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ascii="宋体" w:hAnsi="宋体" w:eastAsia="宋体"/>
          <w:b/>
          <w:szCs w:val="21"/>
        </w:rPr>
      </w:pPr>
      <w:r>
        <w:rPr>
          <w:rFonts w:hint="eastAsia" w:ascii="宋体" w:hAnsi="宋体" w:eastAsia="宋体"/>
          <w:b/>
          <w:szCs w:val="21"/>
        </w:rPr>
        <w:t>其它</w:t>
      </w:r>
    </w:p>
    <w:p w14:paraId="050B43F7">
      <w:pPr>
        <w:keepNext w:val="0"/>
        <w:keepLines w:val="0"/>
        <w:pageBreakBefore w:val="0"/>
        <w:widowControl w:val="0"/>
        <w:numPr>
          <w:ilvl w:val="0"/>
          <w:numId w:val="116"/>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本合同未尽</w:t>
      </w:r>
      <w:bookmarkStart w:id="37" w:name="_Toc86481570"/>
      <w:r>
        <w:rPr>
          <w:rFonts w:hint="eastAsia" w:ascii="宋体" w:hAnsi="宋体" w:eastAsia="宋体" w:cs="Times New Roman"/>
          <w:szCs w:val="21"/>
        </w:rPr>
        <w:t>事宜，双方</w:t>
      </w:r>
      <w:bookmarkEnd w:id="37"/>
      <w:r>
        <w:rPr>
          <w:rFonts w:hint="eastAsia" w:ascii="宋体" w:hAnsi="宋体" w:eastAsia="宋体" w:cs="Times New Roman"/>
          <w:szCs w:val="21"/>
        </w:rPr>
        <w:t>可签订补充合同，补充合同与所有附件均为合同的有效组成部分，与本合同具有同等法律效力。</w:t>
      </w:r>
    </w:p>
    <w:p w14:paraId="1C3B0FB5">
      <w:pPr>
        <w:keepNext w:val="0"/>
        <w:keepLines w:val="0"/>
        <w:pageBreakBefore w:val="0"/>
        <w:widowControl w:val="0"/>
        <w:numPr>
          <w:ilvl w:val="0"/>
          <w:numId w:val="116"/>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14:paraId="20D65657">
      <w:pPr>
        <w:keepNext w:val="0"/>
        <w:keepLines w:val="0"/>
        <w:pageBreakBefore w:val="0"/>
        <w:widowControl w:val="0"/>
        <w:numPr>
          <w:ilvl w:val="0"/>
          <w:numId w:val="116"/>
        </w:numPr>
        <w:kinsoku/>
        <w:wordWrap/>
        <w:overflowPunct/>
        <w:topLinePunct w:val="0"/>
        <w:autoSpaceDE/>
        <w:autoSpaceDN/>
        <w:bidi w:val="0"/>
        <w:adjustRightInd/>
        <w:snapToGrid w:val="0"/>
        <w:spacing w:line="360" w:lineRule="auto"/>
        <w:textAlignment w:val="auto"/>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14:paraId="59BB1B4D">
      <w:pPr>
        <w:rPr>
          <w:rFonts w:hint="default" w:ascii="宋体" w:hAnsi="宋体" w:eastAsia="宋体"/>
          <w:b/>
          <w:bCs/>
          <w:szCs w:val="21"/>
          <w:lang w:val="en-US" w:eastAsia="zh-CN"/>
        </w:rPr>
      </w:pPr>
      <w:r>
        <w:rPr>
          <w:rFonts w:hint="eastAsia" w:ascii="宋体" w:hAnsi="宋体" w:eastAsia="宋体"/>
          <w:b/>
          <w:bCs/>
          <w:szCs w:val="21"/>
          <w:lang w:val="en-US" w:eastAsia="zh-CN"/>
        </w:rPr>
        <w:t>附件1：《供货清单及货品参数》</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926A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44D5E62">
            <w:pPr>
              <w:rPr>
                <w:rFonts w:ascii="宋体" w:hAnsi="宋体" w:eastAsia="宋体"/>
                <w:szCs w:val="21"/>
              </w:rPr>
            </w:pPr>
            <w:r>
              <w:rPr>
                <w:rFonts w:hint="eastAsia" w:ascii="宋体" w:hAnsi="宋体" w:eastAsia="宋体"/>
                <w:szCs w:val="21"/>
              </w:rPr>
              <w:t>甲方（盖章）：</w:t>
            </w:r>
          </w:p>
        </w:tc>
        <w:tc>
          <w:tcPr>
            <w:tcW w:w="2500" w:type="pct"/>
          </w:tcPr>
          <w:p w14:paraId="472A9F1B">
            <w:pPr>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006C9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C378D6E">
            <w:pPr>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2500" w:type="pct"/>
          </w:tcPr>
          <w:p w14:paraId="2A39A49B">
            <w:pPr>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14:paraId="4953D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17622C1">
            <w:pPr>
              <w:rPr>
                <w:rFonts w:ascii="宋体" w:hAnsi="宋体" w:eastAsia="宋体"/>
                <w:szCs w:val="21"/>
              </w:rPr>
            </w:pPr>
            <w:r>
              <w:rPr>
                <w:rFonts w:hint="eastAsia" w:ascii="宋体" w:hAnsi="宋体" w:eastAsia="宋体"/>
                <w:szCs w:val="21"/>
              </w:rPr>
              <w:t>签字日期：</w:t>
            </w:r>
          </w:p>
        </w:tc>
        <w:tc>
          <w:tcPr>
            <w:tcW w:w="2500" w:type="pct"/>
          </w:tcPr>
          <w:p w14:paraId="0C202C65">
            <w:pPr>
              <w:rPr>
                <w:rFonts w:ascii="宋体" w:hAnsi="宋体" w:eastAsia="宋体"/>
                <w:szCs w:val="21"/>
              </w:rPr>
            </w:pPr>
            <w:r>
              <w:rPr>
                <w:rFonts w:hint="eastAsia" w:ascii="宋体" w:hAnsi="宋体" w:eastAsia="宋体"/>
                <w:szCs w:val="21"/>
              </w:rPr>
              <w:t>签字日期：</w:t>
            </w:r>
          </w:p>
        </w:tc>
      </w:tr>
      <w:tr w14:paraId="10D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1113D84">
            <w:pPr>
              <w:rPr>
                <w:rFonts w:ascii="宋体" w:hAnsi="宋体" w:eastAsia="宋体"/>
                <w:szCs w:val="21"/>
              </w:rPr>
            </w:pPr>
            <w:r>
              <w:rPr>
                <w:rFonts w:hint="eastAsia" w:ascii="宋体" w:hAnsi="宋体" w:eastAsia="宋体"/>
                <w:szCs w:val="21"/>
              </w:rPr>
              <w:t>地址：</w:t>
            </w:r>
          </w:p>
        </w:tc>
        <w:tc>
          <w:tcPr>
            <w:tcW w:w="2500" w:type="pct"/>
          </w:tcPr>
          <w:p w14:paraId="7D71C64B">
            <w:pPr>
              <w:rPr>
                <w:rFonts w:ascii="宋体" w:hAnsi="宋体" w:eastAsia="宋体"/>
                <w:szCs w:val="21"/>
              </w:rPr>
            </w:pPr>
            <w:r>
              <w:rPr>
                <w:rFonts w:hint="eastAsia" w:ascii="宋体" w:hAnsi="宋体" w:eastAsia="宋体"/>
                <w:szCs w:val="21"/>
              </w:rPr>
              <w:t>地址：</w:t>
            </w:r>
          </w:p>
        </w:tc>
      </w:tr>
      <w:tr w14:paraId="688C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D8D3F9">
            <w:pPr>
              <w:rPr>
                <w:rFonts w:ascii="宋体" w:hAnsi="宋体" w:eastAsia="宋体"/>
                <w:szCs w:val="21"/>
              </w:rPr>
            </w:pPr>
            <w:r>
              <w:rPr>
                <w:rFonts w:hint="eastAsia" w:ascii="宋体" w:hAnsi="宋体" w:eastAsia="宋体"/>
                <w:szCs w:val="21"/>
              </w:rPr>
              <w:t>电话：</w:t>
            </w:r>
          </w:p>
        </w:tc>
        <w:tc>
          <w:tcPr>
            <w:tcW w:w="2500" w:type="pct"/>
          </w:tcPr>
          <w:p w14:paraId="1348BD25">
            <w:pPr>
              <w:rPr>
                <w:rFonts w:ascii="宋体" w:hAnsi="宋体" w:eastAsia="宋体"/>
                <w:szCs w:val="21"/>
              </w:rPr>
            </w:pPr>
            <w:r>
              <w:rPr>
                <w:rFonts w:hint="eastAsia" w:ascii="宋体" w:hAnsi="宋体" w:eastAsia="宋体"/>
                <w:szCs w:val="21"/>
              </w:rPr>
              <w:t>电话：</w:t>
            </w:r>
          </w:p>
        </w:tc>
      </w:tr>
      <w:tr w14:paraId="237A7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03CB8F6">
            <w:pPr>
              <w:rPr>
                <w:rFonts w:ascii="宋体" w:hAnsi="宋体" w:eastAsia="宋体"/>
                <w:szCs w:val="21"/>
              </w:rPr>
            </w:pPr>
            <w:r>
              <w:rPr>
                <w:rFonts w:hint="eastAsia" w:ascii="宋体" w:hAnsi="宋体" w:eastAsia="宋体"/>
                <w:szCs w:val="21"/>
              </w:rPr>
              <w:t>传真：</w:t>
            </w:r>
          </w:p>
        </w:tc>
        <w:tc>
          <w:tcPr>
            <w:tcW w:w="2500" w:type="pct"/>
          </w:tcPr>
          <w:p w14:paraId="34906B8B">
            <w:pPr>
              <w:rPr>
                <w:rFonts w:ascii="宋体" w:hAnsi="宋体" w:eastAsia="宋体"/>
                <w:szCs w:val="21"/>
              </w:rPr>
            </w:pPr>
            <w:r>
              <w:rPr>
                <w:rFonts w:hint="eastAsia" w:ascii="宋体" w:hAnsi="宋体" w:eastAsia="宋体"/>
                <w:szCs w:val="21"/>
              </w:rPr>
              <w:t>传真：</w:t>
            </w:r>
          </w:p>
        </w:tc>
      </w:tr>
      <w:tr w14:paraId="0ED6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AD48EB">
            <w:pPr>
              <w:rPr>
                <w:rFonts w:ascii="宋体" w:hAnsi="宋体" w:eastAsia="宋体"/>
                <w:szCs w:val="21"/>
              </w:rPr>
            </w:pPr>
            <w:r>
              <w:rPr>
                <w:rFonts w:hint="eastAsia" w:ascii="宋体" w:hAnsi="宋体" w:eastAsia="宋体"/>
                <w:szCs w:val="21"/>
              </w:rPr>
              <w:t>开户银行：</w:t>
            </w:r>
          </w:p>
        </w:tc>
        <w:tc>
          <w:tcPr>
            <w:tcW w:w="2500" w:type="pct"/>
          </w:tcPr>
          <w:p w14:paraId="31D3364A">
            <w:pPr>
              <w:rPr>
                <w:rFonts w:ascii="宋体" w:hAnsi="宋体" w:eastAsia="宋体"/>
                <w:szCs w:val="21"/>
              </w:rPr>
            </w:pPr>
            <w:r>
              <w:rPr>
                <w:rFonts w:hint="eastAsia" w:ascii="宋体" w:hAnsi="宋体" w:eastAsia="宋体"/>
                <w:szCs w:val="21"/>
              </w:rPr>
              <w:t>开户银行：</w:t>
            </w:r>
          </w:p>
        </w:tc>
      </w:tr>
      <w:tr w14:paraId="1909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6793489">
            <w:pPr>
              <w:rPr>
                <w:rFonts w:ascii="宋体" w:hAnsi="宋体" w:eastAsia="宋体"/>
                <w:szCs w:val="21"/>
              </w:rPr>
            </w:pPr>
            <w:r>
              <w:rPr>
                <w:rFonts w:hint="eastAsia" w:ascii="宋体" w:hAnsi="宋体" w:eastAsia="宋体"/>
                <w:szCs w:val="21"/>
              </w:rPr>
              <w:t>银行账户：</w:t>
            </w:r>
          </w:p>
        </w:tc>
        <w:tc>
          <w:tcPr>
            <w:tcW w:w="2500" w:type="pct"/>
          </w:tcPr>
          <w:p w14:paraId="02E151C0">
            <w:pPr>
              <w:rPr>
                <w:rFonts w:ascii="宋体" w:hAnsi="宋体" w:eastAsia="宋体"/>
                <w:szCs w:val="21"/>
              </w:rPr>
            </w:pPr>
            <w:r>
              <w:rPr>
                <w:rFonts w:hint="eastAsia" w:ascii="宋体" w:hAnsi="宋体" w:eastAsia="宋体"/>
                <w:szCs w:val="21"/>
              </w:rPr>
              <w:t>银行账户：</w:t>
            </w:r>
          </w:p>
        </w:tc>
      </w:tr>
    </w:tbl>
    <w:p w14:paraId="427BF558">
      <w:pPr>
        <w:pStyle w:val="18"/>
        <w:rPr>
          <w:rFonts w:hint="default" w:ascii="宋体" w:hAnsi="宋体" w:eastAsia="宋体"/>
          <w:sz w:val="21"/>
          <w:szCs w:val="21"/>
        </w:rPr>
      </w:pPr>
    </w:p>
    <w:p w14:paraId="25A164C6">
      <w:pPr>
        <w:pageBreakBefore/>
        <w:widowControl/>
        <w:jc w:val="center"/>
        <w:outlineLvl w:val="1"/>
        <w:rPr>
          <w:rFonts w:ascii="Calibri" w:hAnsi="Calibri" w:eastAsia="宋体" w:cs="Times New Roman"/>
          <w:kern w:val="0"/>
          <w:sz w:val="20"/>
          <w:szCs w:val="20"/>
          <w:lang w:eastAsia="zh-Hans"/>
        </w:rPr>
      </w:pPr>
      <w:bookmarkStart w:id="38" w:name="_Toc169799784"/>
      <w:bookmarkStart w:id="39" w:name="_Toc2959"/>
      <w:r>
        <w:rPr>
          <w:rFonts w:ascii="Calibri" w:hAnsi="Calibri" w:eastAsia="宋体" w:cs="Times New Roman"/>
          <w:b/>
          <w:kern w:val="0"/>
          <w:sz w:val="36"/>
          <w:szCs w:val="20"/>
          <w:lang w:eastAsia="zh-Hans"/>
        </w:rPr>
        <w:t>第六章 投标文件格式</w:t>
      </w:r>
      <w:bookmarkEnd w:id="38"/>
      <w:bookmarkEnd w:id="39"/>
    </w:p>
    <w:p w14:paraId="1CE5421E">
      <w:pPr>
        <w:widowControl/>
        <w:jc w:val="left"/>
        <w:rPr>
          <w:rFonts w:ascii="Calibri" w:hAnsi="Calibri" w:eastAsia="宋体" w:cs="Times New Roman"/>
          <w:kern w:val="0"/>
          <w:sz w:val="20"/>
          <w:szCs w:val="20"/>
          <w:lang w:eastAsia="zh-Hans"/>
        </w:rPr>
      </w:pPr>
    </w:p>
    <w:p w14:paraId="3A556CA0">
      <w:pPr>
        <w:spacing w:before="652" w:beforeLines="150"/>
        <w:jc w:val="center"/>
        <w:rPr>
          <w:rFonts w:hint="eastAsia" w:ascii="宋体" w:hAnsi="宋体" w:eastAsia="宋体"/>
          <w:b/>
          <w:bCs/>
          <w:sz w:val="80"/>
          <w:szCs w:val="80"/>
          <w:lang w:eastAsia="zh-CN"/>
        </w:rPr>
      </w:pPr>
      <w:bookmarkStart w:id="40" w:name="_Toc169799785"/>
      <w:r>
        <w:rPr>
          <w:rFonts w:hint="eastAsia" w:ascii="宋体" w:hAnsi="宋体" w:eastAsia="宋体"/>
          <w:b/>
          <w:bCs/>
          <w:sz w:val="80"/>
          <w:szCs w:val="80"/>
          <w:lang w:eastAsia="zh-CN"/>
        </w:rPr>
        <w:t>中德先进职业教育合作项目（SGAVE）</w:t>
      </w:r>
    </w:p>
    <w:p w14:paraId="22263F55">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40"/>
    </w:p>
    <w:p w14:paraId="4BC6EA96">
      <w:pPr>
        <w:jc w:val="center"/>
        <w:rPr>
          <w:rFonts w:ascii="宋体" w:hAnsi="宋体" w:eastAsia="宋体"/>
          <w:b/>
          <w:bCs/>
        </w:rPr>
      </w:pPr>
      <w:bookmarkStart w:id="41" w:name="_Toc169799786"/>
      <w:r>
        <w:rPr>
          <w:rFonts w:ascii="宋体" w:hAnsi="宋体" w:eastAsia="宋体"/>
          <w:b/>
          <w:bCs/>
          <w:sz w:val="44"/>
          <w:szCs w:val="48"/>
        </w:rPr>
        <w:t>（正本/副本）</w:t>
      </w:r>
      <w:bookmarkEnd w:id="41"/>
      <w:r>
        <w:rPr>
          <w:rFonts w:ascii="宋体" w:hAnsi="宋体" w:eastAsia="宋体"/>
          <w:b/>
          <w:bCs/>
        </w:rPr>
        <w:br w:type="textWrapping"/>
      </w:r>
    </w:p>
    <w:p w14:paraId="29225CC7">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ZHDGZC2025060</w:t>
      </w:r>
    </w:p>
    <w:p w14:paraId="1999A936">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6FD44B3">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2D4156D4">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057413D5">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投标函</w:t>
      </w:r>
    </w:p>
    <w:p w14:paraId="512994C4">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开标一览表</w:t>
      </w:r>
    </w:p>
    <w:p w14:paraId="433CFA7F">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ascii="Calibri" w:hAnsi="Calibri" w:eastAsia="宋体" w:cs="Times New Roman"/>
          <w:color w:val="auto"/>
          <w:kern w:val="0"/>
          <w:sz w:val="21"/>
          <w:szCs w:val="21"/>
          <w:lang w:eastAsia="zh-Hans"/>
        </w:rPr>
        <w:t>分项报价表</w:t>
      </w:r>
    </w:p>
    <w:p w14:paraId="6BBA1CBF">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Hans"/>
        </w:rPr>
        <w:t>中小企业声明函</w:t>
      </w:r>
    </w:p>
    <w:p w14:paraId="0F963B8C">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rPr>
      </w:pPr>
      <w:r>
        <w:rPr>
          <w:rFonts w:ascii="Calibri" w:hAnsi="Calibri" w:eastAsia="宋体" w:cs="Times New Roman"/>
          <w:color w:val="auto"/>
          <w:kern w:val="0"/>
          <w:sz w:val="21"/>
          <w:szCs w:val="21"/>
          <w:lang w:eastAsia="zh-Hans"/>
        </w:rPr>
        <w:t>监狱企业</w:t>
      </w:r>
    </w:p>
    <w:p w14:paraId="5FE1DDF1">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rPr>
      </w:pPr>
      <w:r>
        <w:rPr>
          <w:rFonts w:ascii="Calibri" w:hAnsi="Calibri" w:eastAsia="宋体" w:cs="Times New Roman"/>
          <w:color w:val="auto"/>
          <w:kern w:val="0"/>
          <w:sz w:val="21"/>
          <w:szCs w:val="21"/>
          <w:lang w:eastAsia="zh-Hans"/>
        </w:rPr>
        <w:t>残疾人福利性单位声明函</w:t>
      </w:r>
    </w:p>
    <w:p w14:paraId="06801FB1">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rPr>
      </w:pPr>
      <w:r>
        <w:rPr>
          <w:rFonts w:ascii="Calibri" w:hAnsi="Calibri" w:eastAsia="宋体" w:cs="Times New Roman"/>
          <w:color w:val="auto"/>
          <w:kern w:val="0"/>
          <w:sz w:val="21"/>
          <w:szCs w:val="21"/>
          <w:lang w:eastAsia="zh-Hans"/>
        </w:rPr>
        <w:t>政策适用性说明</w:t>
      </w:r>
    </w:p>
    <w:p w14:paraId="0463493B">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ascii="Calibri" w:hAnsi="Calibri" w:eastAsia="宋体" w:cs="Times New Roman"/>
          <w:color w:val="auto"/>
          <w:kern w:val="0"/>
          <w:sz w:val="21"/>
          <w:szCs w:val="21"/>
          <w:lang w:eastAsia="zh-Hans"/>
        </w:rPr>
        <w:t>法定代表人证明书</w:t>
      </w:r>
    </w:p>
    <w:p w14:paraId="6FFD1DEB">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ascii="Calibri" w:hAnsi="Calibri" w:eastAsia="宋体" w:cs="Times New Roman"/>
          <w:color w:val="auto"/>
          <w:kern w:val="0"/>
          <w:sz w:val="21"/>
          <w:szCs w:val="21"/>
          <w:lang w:eastAsia="zh-Hans"/>
        </w:rPr>
        <w:t>法定代表人授权</w:t>
      </w:r>
      <w:r>
        <w:rPr>
          <w:rFonts w:hint="eastAsia" w:ascii="Calibri" w:hAnsi="Calibri" w:eastAsia="宋体" w:cs="Times New Roman"/>
          <w:color w:val="auto"/>
          <w:kern w:val="0"/>
          <w:sz w:val="21"/>
          <w:szCs w:val="21"/>
          <w:lang w:eastAsia="zh-Hans"/>
        </w:rPr>
        <w:t>委托</w:t>
      </w:r>
      <w:r>
        <w:rPr>
          <w:rFonts w:ascii="Calibri" w:hAnsi="Calibri" w:eastAsia="宋体" w:cs="Times New Roman"/>
          <w:color w:val="auto"/>
          <w:kern w:val="0"/>
          <w:sz w:val="21"/>
          <w:szCs w:val="21"/>
          <w:lang w:eastAsia="zh-Hans"/>
        </w:rPr>
        <w:t>书</w:t>
      </w:r>
    </w:p>
    <w:p w14:paraId="31661940">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rPr>
        <w:t>资格条件承诺函</w:t>
      </w:r>
    </w:p>
    <w:p w14:paraId="118B6973">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ascii="Calibri" w:hAnsi="Calibri" w:eastAsia="宋体" w:cs="Times New Roman"/>
          <w:color w:val="auto"/>
          <w:kern w:val="0"/>
          <w:sz w:val="21"/>
          <w:szCs w:val="21"/>
          <w:lang w:eastAsia="zh-Hans"/>
        </w:rPr>
        <w:t>提供具有独立承担民事责任的能力的证明材料</w:t>
      </w:r>
    </w:p>
    <w:p w14:paraId="2C5908F1">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拟投入本项目设备情况表</w:t>
      </w:r>
    </w:p>
    <w:p w14:paraId="65C8EF60">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rPr>
      </w:pPr>
      <w:r>
        <w:rPr>
          <w:rFonts w:hint="eastAsia" w:ascii="Calibri" w:hAnsi="Calibri" w:eastAsia="宋体" w:cs="Times New Roman"/>
          <w:color w:val="auto"/>
          <w:kern w:val="0"/>
          <w:sz w:val="21"/>
          <w:szCs w:val="21"/>
          <w:lang w:eastAsia="zh-Hans"/>
        </w:rPr>
        <w:t>项目技术服务人员情况表</w:t>
      </w:r>
    </w:p>
    <w:p w14:paraId="41AFFB6B">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项目负责人简历表</w:t>
      </w:r>
    </w:p>
    <w:p w14:paraId="174D1A68">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投标人业绩情况表</w:t>
      </w:r>
    </w:p>
    <w:p w14:paraId="03FAB5CB">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技术和服务要求响应表</w:t>
      </w:r>
    </w:p>
    <w:p w14:paraId="441CCE17">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商务条件响应表</w:t>
      </w:r>
    </w:p>
    <w:p w14:paraId="3599D297">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★号条款响应表</w:t>
      </w:r>
    </w:p>
    <w:p w14:paraId="201B1BAE">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 w:val="21"/>
          <w:szCs w:val="21"/>
          <w:lang w:eastAsia="zh-Hans"/>
        </w:rPr>
      </w:pPr>
      <w:r>
        <w:rPr>
          <w:rFonts w:hint="eastAsia" w:ascii="Calibri" w:hAnsi="Calibri" w:eastAsia="宋体" w:cs="Times New Roman"/>
          <w:kern w:val="0"/>
          <w:sz w:val="21"/>
          <w:szCs w:val="21"/>
          <w:lang w:eastAsia="zh-Hans"/>
        </w:rPr>
        <w:t>各类证明材料</w:t>
      </w:r>
    </w:p>
    <w:p w14:paraId="4048C294">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 w:val="21"/>
          <w:szCs w:val="21"/>
        </w:rPr>
      </w:pPr>
      <w:r>
        <w:rPr>
          <w:rFonts w:hint="eastAsia" w:ascii="Calibri" w:hAnsi="Calibri" w:eastAsia="宋体" w:cs="Times New Roman"/>
          <w:kern w:val="0"/>
          <w:sz w:val="21"/>
          <w:szCs w:val="21"/>
          <w:lang w:eastAsia="zh-Hans"/>
        </w:rPr>
        <w:t>采购代理服务费支付承诺书</w:t>
      </w:r>
    </w:p>
    <w:p w14:paraId="16C153A6">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询问函、质疑函、投诉书格式</w:t>
      </w:r>
    </w:p>
    <w:p w14:paraId="2DC55D76">
      <w:pPr>
        <w:keepNext w:val="0"/>
        <w:keepLines w:val="0"/>
        <w:pageBreakBefore w:val="0"/>
        <w:widowControl/>
        <w:numPr>
          <w:ilvl w:val="0"/>
          <w:numId w:val="117"/>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1"/>
          <w:szCs w:val="21"/>
          <w:lang w:eastAsia="zh-Hans"/>
        </w:rPr>
      </w:pPr>
      <w:r>
        <w:rPr>
          <w:rFonts w:hint="eastAsia" w:ascii="Calibri" w:hAnsi="Calibri" w:eastAsia="宋体" w:cs="Times New Roman"/>
          <w:color w:val="auto"/>
          <w:kern w:val="0"/>
          <w:sz w:val="21"/>
          <w:szCs w:val="21"/>
          <w:lang w:eastAsia="zh-Hans"/>
        </w:rPr>
        <w:t>项目实施方案、质量保障措施（货品）、质量保障措施（服务）、售后服务方案、应急预案</w:t>
      </w:r>
      <w:r>
        <w:rPr>
          <w:rFonts w:ascii="Calibri" w:hAnsi="Calibri" w:eastAsia="宋体" w:cs="Times New Roman"/>
          <w:color w:val="auto"/>
          <w:kern w:val="0"/>
          <w:sz w:val="21"/>
          <w:szCs w:val="21"/>
          <w:lang w:eastAsia="zh-Hans"/>
        </w:rPr>
        <w:t>等</w:t>
      </w: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42" w:name="_Hlk169787866"/>
      <w:r>
        <w:rPr>
          <w:rFonts w:ascii="宋体" w:hAnsi="宋体" w:eastAsia="宋体"/>
          <w:b/>
          <w:bCs/>
          <w:sz w:val="24"/>
          <w:szCs w:val="24"/>
        </w:rPr>
        <w:t>详细评审</w:t>
      </w:r>
      <w:r>
        <w:rPr>
          <w:rFonts w:hint="eastAsia" w:ascii="宋体" w:hAnsi="宋体" w:eastAsia="宋体"/>
          <w:b/>
          <w:bCs/>
          <w:sz w:val="24"/>
          <w:szCs w:val="24"/>
        </w:rPr>
        <w:t>索引表</w:t>
      </w:r>
      <w:bookmarkEnd w:id="42"/>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43" w:name="_Toc169799787"/>
      <w:r>
        <w:rPr>
          <w:rFonts w:ascii="宋体" w:hAnsi="宋体" w:eastAsia="宋体"/>
          <w:b/>
          <w:bCs/>
          <w:sz w:val="24"/>
          <w:szCs w:val="28"/>
        </w:rPr>
        <w:t>格式一：</w:t>
      </w:r>
      <w:bookmarkEnd w:id="43"/>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ascii="Calibri" w:hAnsi="Calibri" w:eastAsia="宋体" w:cs="Times New Roman"/>
          <w:kern w:val="0"/>
          <w:szCs w:val="21"/>
          <w:lang w:eastAsia="zh-Hans"/>
        </w:rPr>
        <w:t>的招标</w:t>
      </w:r>
      <w:r>
        <w:rPr>
          <w:rFonts w:hint="eastAsia" w:ascii="Calibri" w:hAnsi="Calibri" w:eastAsia="宋体" w:cs="Times New Roman"/>
          <w:kern w:val="0"/>
          <w:szCs w:val="21"/>
          <w:lang w:eastAsia="zh-Hans"/>
        </w:rPr>
        <w:t>（</w:t>
      </w:r>
      <w:r>
        <w:rPr>
          <w:rFonts w:ascii="Calibri" w:hAnsi="Calibri" w:eastAsia="宋体" w:cs="Times New Roman"/>
          <w:kern w:val="0"/>
          <w:szCs w:val="21"/>
          <w:lang w:eastAsia="zh-Hans"/>
        </w:rPr>
        <w:t>项目编号为：</w:t>
      </w:r>
      <w:r>
        <w:rPr>
          <w:rFonts w:hint="eastAsia" w:ascii="Calibri" w:hAnsi="Calibri" w:eastAsia="宋体" w:cs="Times New Roman"/>
          <w:kern w:val="0"/>
          <w:szCs w:val="21"/>
          <w:u w:val="single"/>
        </w:rPr>
        <w:t xml:space="preserve">               </w:t>
      </w:r>
      <w:r>
        <w:rPr>
          <w:rFonts w:hint="eastAsia" w:ascii="Calibri" w:hAnsi="Calibri" w:eastAsia="宋体" w:cs="Times New Roman"/>
          <w:kern w:val="0"/>
          <w:szCs w:val="21"/>
        </w:rPr>
        <w:t>）</w:t>
      </w:r>
      <w:r>
        <w:rPr>
          <w:rFonts w:ascii="Calibri" w:hAnsi="Calibri" w:eastAsia="宋体" w:cs="Times New Roman"/>
          <w:kern w:val="0"/>
          <w:szCs w:val="21"/>
          <w:lang w:eastAsia="zh-Hans"/>
        </w:rPr>
        <w:t>，我方愿参与投标。</w:t>
      </w:r>
    </w:p>
    <w:p w14:paraId="1CA4C31D">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我方确认收到贵方提供的</w:t>
      </w:r>
      <w:r>
        <w:rPr>
          <w:rFonts w:hint="eastAsia" w:ascii="宋体" w:hAnsi="宋体" w:eastAsia="宋体" w:cs="Times New Roman"/>
          <w:kern w:val="0"/>
          <w:szCs w:val="21"/>
          <w:u w:val="single"/>
        </w:rPr>
        <w:t xml:space="preserve">      （项目名称）        </w:t>
      </w:r>
      <w:r>
        <w:rPr>
          <w:rFonts w:ascii="宋体" w:hAnsi="宋体" w:eastAsia="宋体" w:cs="Times New Roman"/>
          <w:kern w:val="0"/>
          <w:szCs w:val="21"/>
          <w:lang w:eastAsia="zh-Hans"/>
        </w:rPr>
        <w:t>的招标文件的全部内容。</w:t>
      </w:r>
    </w:p>
    <w:p w14:paraId="77DDE64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w:t>
      </w:r>
      <w:r>
        <w:rPr>
          <w:rFonts w:ascii="宋体" w:hAnsi="宋体" w:eastAsia="宋体" w:cs="Times New Roman"/>
          <w:color w:val="auto"/>
          <w:kern w:val="0"/>
          <w:szCs w:val="21"/>
          <w:lang w:eastAsia="zh-Hans"/>
        </w:rPr>
        <w:t>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val="en-US" w:eastAsia="zh-CN"/>
        </w:rPr>
        <w:t>采购</w:t>
      </w:r>
      <w:r>
        <w:rPr>
          <w:rFonts w:hint="eastAsia" w:ascii="宋体" w:hAnsi="宋体" w:eastAsia="宋体" w:cs="Times New Roman"/>
          <w:color w:val="auto"/>
          <w:kern w:val="0"/>
          <w:szCs w:val="21"/>
          <w:lang w:eastAsia="zh-Hans"/>
        </w:rPr>
        <w:t>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44" w:name="_Toc169799788"/>
      <w:r>
        <w:rPr>
          <w:rFonts w:ascii="宋体" w:hAnsi="宋体" w:eastAsia="宋体"/>
          <w:b/>
          <w:bCs/>
          <w:sz w:val="24"/>
          <w:szCs w:val="28"/>
        </w:rPr>
        <w:t>格式二：</w:t>
      </w:r>
      <w:bookmarkEnd w:id="44"/>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27C574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047A3F7C">
      <w:pPr>
        <w:pStyle w:val="24"/>
        <w:keepNext w:val="0"/>
        <w:keepLines w:val="0"/>
        <w:pageBreakBefore w:val="0"/>
        <w:widowControl w:val="0"/>
        <w:numPr>
          <w:ilvl w:val="0"/>
          <w:numId w:val="118"/>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价栏须用文字和数字两种方式表示投标总</w:t>
      </w:r>
      <w:r>
        <w:rPr>
          <w:rFonts w:hint="eastAsia" w:ascii="宋体" w:hAnsi="宋体" w:eastAsia="宋体" w:cs="宋体"/>
          <w:color w:val="auto"/>
          <w:sz w:val="21"/>
          <w:szCs w:val="21"/>
          <w:highlight w:val="none"/>
          <w:lang w:val="en-US" w:eastAsia="zh-CN"/>
        </w:rPr>
        <w:t>报</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42D0986D">
      <w:pPr>
        <w:pStyle w:val="24"/>
        <w:keepNext w:val="0"/>
        <w:keepLines w:val="0"/>
        <w:pageBreakBefore w:val="0"/>
        <w:widowControl w:val="0"/>
        <w:numPr>
          <w:ilvl w:val="0"/>
          <w:numId w:val="118"/>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开标一览表内容与投标文件中相应内容不一致的，以开标一览表为准</w:t>
      </w:r>
      <w:r>
        <w:rPr>
          <w:rFonts w:hint="eastAsia" w:ascii="宋体" w:hAnsi="宋体" w:eastAsia="宋体" w:cs="宋体"/>
          <w:color w:val="auto"/>
          <w:sz w:val="21"/>
          <w:szCs w:val="21"/>
          <w:highlight w:val="none"/>
          <w:lang w:eastAsia="zh-CN"/>
        </w:rPr>
        <w:t>；</w:t>
      </w:r>
    </w:p>
    <w:p w14:paraId="72E9C903">
      <w:pPr>
        <w:pStyle w:val="24"/>
        <w:keepNext w:val="0"/>
        <w:keepLines w:val="0"/>
        <w:pageBreakBefore w:val="0"/>
        <w:widowControl w:val="0"/>
        <w:numPr>
          <w:ilvl w:val="0"/>
          <w:numId w:val="118"/>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大写金额和小写金额不一致的，以大写金额为准。</w:t>
      </w:r>
    </w:p>
    <w:p w14:paraId="7AAB85BC">
      <w:pPr>
        <w:widowControl/>
        <w:jc w:val="left"/>
        <w:rPr>
          <w:rFonts w:ascii="Calibri" w:hAnsi="Calibri" w:eastAsia="宋体" w:cs="Times New Roman"/>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059DB25A">
      <w:pPr>
        <w:pageBreakBefore/>
        <w:rPr>
          <w:rFonts w:ascii="Calibri" w:hAnsi="Calibri" w:eastAsia="宋体" w:cs="Times New Roman"/>
          <w:kern w:val="0"/>
          <w:sz w:val="20"/>
          <w:szCs w:val="20"/>
          <w:lang w:eastAsia="zh-Hans"/>
        </w:rPr>
      </w:pPr>
      <w:bookmarkStart w:id="45" w:name="_Toc169799789"/>
      <w:r>
        <w:rPr>
          <w:rFonts w:ascii="宋体" w:hAnsi="宋体" w:eastAsia="宋体"/>
          <w:b/>
          <w:bCs/>
          <w:sz w:val="24"/>
          <w:szCs w:val="28"/>
        </w:rPr>
        <w:t>格式三：</w:t>
      </w:r>
      <w:bookmarkEnd w:id="45"/>
    </w:p>
    <w:p w14:paraId="0DCFDCF2">
      <w:pPr>
        <w:widowControl/>
        <w:jc w:val="center"/>
        <w:outlineLvl w:val="3"/>
        <w:rPr>
          <w:rFonts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351AA3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59FA76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143DBF10">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p w14:paraId="1FD77CB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53D5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AC2391B">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序号</w:t>
            </w:r>
          </w:p>
        </w:tc>
        <w:tc>
          <w:tcPr>
            <w:tcW w:w="1134" w:type="dxa"/>
            <w:vAlign w:val="center"/>
          </w:tcPr>
          <w:p w14:paraId="5815879D">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货物名称</w:t>
            </w:r>
          </w:p>
        </w:tc>
        <w:tc>
          <w:tcPr>
            <w:tcW w:w="1134" w:type="dxa"/>
            <w:vAlign w:val="center"/>
          </w:tcPr>
          <w:p w14:paraId="4D0084D3">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规格型号</w:t>
            </w:r>
          </w:p>
        </w:tc>
        <w:tc>
          <w:tcPr>
            <w:tcW w:w="709" w:type="dxa"/>
            <w:vAlign w:val="center"/>
          </w:tcPr>
          <w:p w14:paraId="27F476FC">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品牌</w:t>
            </w:r>
          </w:p>
        </w:tc>
        <w:tc>
          <w:tcPr>
            <w:tcW w:w="992" w:type="dxa"/>
            <w:vAlign w:val="center"/>
          </w:tcPr>
          <w:p w14:paraId="68855D56">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产地</w:t>
            </w:r>
          </w:p>
        </w:tc>
        <w:tc>
          <w:tcPr>
            <w:tcW w:w="1418" w:type="dxa"/>
            <w:vAlign w:val="center"/>
          </w:tcPr>
          <w:p w14:paraId="5F5AAA7F">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制造商名称</w:t>
            </w:r>
          </w:p>
        </w:tc>
        <w:tc>
          <w:tcPr>
            <w:tcW w:w="850" w:type="dxa"/>
            <w:vAlign w:val="center"/>
          </w:tcPr>
          <w:p w14:paraId="344BA673">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单价</w:t>
            </w:r>
          </w:p>
        </w:tc>
        <w:tc>
          <w:tcPr>
            <w:tcW w:w="851" w:type="dxa"/>
            <w:vAlign w:val="center"/>
          </w:tcPr>
          <w:p w14:paraId="4A0BD89C">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数量</w:t>
            </w:r>
          </w:p>
        </w:tc>
        <w:tc>
          <w:tcPr>
            <w:tcW w:w="1439" w:type="dxa"/>
            <w:vAlign w:val="center"/>
          </w:tcPr>
          <w:p w14:paraId="4D231DD0">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合计</w:t>
            </w:r>
          </w:p>
        </w:tc>
      </w:tr>
      <w:tr w14:paraId="70FD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DE1848E">
            <w:pPr>
              <w:widowControl/>
              <w:spacing w:line="300" w:lineRule="auto"/>
              <w:jc w:val="center"/>
              <w:rPr>
                <w:rFonts w:ascii="宋体" w:hAnsi="宋体" w:eastAsia="宋体" w:cs="Times New Roman"/>
                <w:kern w:val="0"/>
                <w:szCs w:val="21"/>
                <w:lang w:eastAsia="zh-Hans"/>
              </w:rPr>
            </w:pPr>
          </w:p>
        </w:tc>
        <w:tc>
          <w:tcPr>
            <w:tcW w:w="1134" w:type="dxa"/>
            <w:vAlign w:val="center"/>
          </w:tcPr>
          <w:p w14:paraId="3FA7162D">
            <w:pPr>
              <w:widowControl/>
              <w:spacing w:line="300" w:lineRule="auto"/>
              <w:jc w:val="center"/>
              <w:rPr>
                <w:rFonts w:ascii="宋体" w:hAnsi="宋体" w:eastAsia="宋体" w:cs="Times New Roman"/>
                <w:kern w:val="0"/>
                <w:szCs w:val="21"/>
                <w:lang w:eastAsia="zh-Hans"/>
              </w:rPr>
            </w:pPr>
          </w:p>
        </w:tc>
        <w:tc>
          <w:tcPr>
            <w:tcW w:w="1134" w:type="dxa"/>
            <w:vAlign w:val="center"/>
          </w:tcPr>
          <w:p w14:paraId="080A86FB">
            <w:pPr>
              <w:widowControl/>
              <w:spacing w:line="300" w:lineRule="auto"/>
              <w:jc w:val="center"/>
              <w:rPr>
                <w:rFonts w:ascii="宋体" w:hAnsi="宋体" w:eastAsia="宋体" w:cs="Times New Roman"/>
                <w:kern w:val="0"/>
                <w:szCs w:val="21"/>
                <w:lang w:eastAsia="zh-Hans"/>
              </w:rPr>
            </w:pPr>
          </w:p>
        </w:tc>
        <w:tc>
          <w:tcPr>
            <w:tcW w:w="709" w:type="dxa"/>
            <w:vAlign w:val="center"/>
          </w:tcPr>
          <w:p w14:paraId="16E8FB5E">
            <w:pPr>
              <w:widowControl/>
              <w:spacing w:line="300" w:lineRule="auto"/>
              <w:jc w:val="center"/>
              <w:rPr>
                <w:rFonts w:ascii="宋体" w:hAnsi="宋体" w:eastAsia="宋体" w:cs="Times New Roman"/>
                <w:kern w:val="0"/>
                <w:szCs w:val="21"/>
                <w:lang w:eastAsia="zh-Hans"/>
              </w:rPr>
            </w:pPr>
          </w:p>
        </w:tc>
        <w:tc>
          <w:tcPr>
            <w:tcW w:w="992" w:type="dxa"/>
            <w:vAlign w:val="center"/>
          </w:tcPr>
          <w:p w14:paraId="02FFF0C3">
            <w:pPr>
              <w:widowControl/>
              <w:spacing w:line="300" w:lineRule="auto"/>
              <w:jc w:val="center"/>
              <w:rPr>
                <w:rFonts w:ascii="宋体" w:hAnsi="宋体" w:eastAsia="宋体" w:cs="Times New Roman"/>
                <w:kern w:val="0"/>
                <w:szCs w:val="21"/>
                <w:lang w:eastAsia="zh-Hans"/>
              </w:rPr>
            </w:pPr>
          </w:p>
        </w:tc>
        <w:tc>
          <w:tcPr>
            <w:tcW w:w="1418" w:type="dxa"/>
            <w:vAlign w:val="center"/>
          </w:tcPr>
          <w:p w14:paraId="2FC41161">
            <w:pPr>
              <w:widowControl/>
              <w:spacing w:line="300" w:lineRule="auto"/>
              <w:jc w:val="center"/>
              <w:rPr>
                <w:rFonts w:ascii="宋体" w:hAnsi="宋体" w:eastAsia="宋体" w:cs="Times New Roman"/>
                <w:kern w:val="0"/>
                <w:szCs w:val="21"/>
                <w:lang w:eastAsia="zh-Hans"/>
              </w:rPr>
            </w:pPr>
          </w:p>
        </w:tc>
        <w:tc>
          <w:tcPr>
            <w:tcW w:w="850" w:type="dxa"/>
            <w:vAlign w:val="center"/>
          </w:tcPr>
          <w:p w14:paraId="0FDB73FC">
            <w:pPr>
              <w:widowControl/>
              <w:spacing w:line="300" w:lineRule="auto"/>
              <w:jc w:val="center"/>
              <w:rPr>
                <w:rFonts w:ascii="宋体" w:hAnsi="宋体" w:eastAsia="宋体" w:cs="Times New Roman"/>
                <w:kern w:val="0"/>
                <w:szCs w:val="21"/>
                <w:lang w:eastAsia="zh-Hans"/>
              </w:rPr>
            </w:pPr>
          </w:p>
        </w:tc>
        <w:tc>
          <w:tcPr>
            <w:tcW w:w="851" w:type="dxa"/>
            <w:vAlign w:val="center"/>
          </w:tcPr>
          <w:p w14:paraId="6333EB8B">
            <w:pPr>
              <w:widowControl/>
              <w:spacing w:line="300" w:lineRule="auto"/>
              <w:jc w:val="center"/>
              <w:rPr>
                <w:rFonts w:ascii="宋体" w:hAnsi="宋体" w:eastAsia="宋体" w:cs="Times New Roman"/>
                <w:kern w:val="0"/>
                <w:szCs w:val="21"/>
                <w:lang w:eastAsia="zh-Hans"/>
              </w:rPr>
            </w:pPr>
          </w:p>
        </w:tc>
        <w:tc>
          <w:tcPr>
            <w:tcW w:w="1439" w:type="dxa"/>
            <w:vAlign w:val="center"/>
          </w:tcPr>
          <w:p w14:paraId="24EF3EC7">
            <w:pPr>
              <w:widowControl/>
              <w:spacing w:line="300" w:lineRule="auto"/>
              <w:jc w:val="center"/>
              <w:rPr>
                <w:rFonts w:ascii="宋体" w:hAnsi="宋体" w:eastAsia="宋体" w:cs="Times New Roman"/>
                <w:kern w:val="0"/>
                <w:szCs w:val="21"/>
                <w:lang w:eastAsia="zh-Hans"/>
              </w:rPr>
            </w:pPr>
          </w:p>
        </w:tc>
      </w:tr>
      <w:tr w14:paraId="2942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D0CBE0">
            <w:pPr>
              <w:widowControl/>
              <w:spacing w:line="300" w:lineRule="auto"/>
              <w:jc w:val="center"/>
              <w:rPr>
                <w:rFonts w:ascii="宋体" w:hAnsi="宋体" w:eastAsia="宋体" w:cs="Times New Roman"/>
                <w:kern w:val="0"/>
                <w:szCs w:val="21"/>
                <w:lang w:eastAsia="zh-Hans"/>
              </w:rPr>
            </w:pPr>
          </w:p>
        </w:tc>
        <w:tc>
          <w:tcPr>
            <w:tcW w:w="1134" w:type="dxa"/>
            <w:vAlign w:val="center"/>
          </w:tcPr>
          <w:p w14:paraId="482A2C76">
            <w:pPr>
              <w:widowControl/>
              <w:spacing w:line="300" w:lineRule="auto"/>
              <w:jc w:val="center"/>
              <w:rPr>
                <w:rFonts w:ascii="宋体" w:hAnsi="宋体" w:eastAsia="宋体" w:cs="Times New Roman"/>
                <w:kern w:val="0"/>
                <w:szCs w:val="21"/>
                <w:lang w:eastAsia="zh-Hans"/>
              </w:rPr>
            </w:pPr>
          </w:p>
        </w:tc>
        <w:tc>
          <w:tcPr>
            <w:tcW w:w="1134" w:type="dxa"/>
            <w:vAlign w:val="center"/>
          </w:tcPr>
          <w:p w14:paraId="14F88DC7">
            <w:pPr>
              <w:widowControl/>
              <w:spacing w:line="300" w:lineRule="auto"/>
              <w:jc w:val="center"/>
              <w:rPr>
                <w:rFonts w:ascii="宋体" w:hAnsi="宋体" w:eastAsia="宋体" w:cs="Times New Roman"/>
                <w:kern w:val="0"/>
                <w:szCs w:val="21"/>
                <w:lang w:eastAsia="zh-Hans"/>
              </w:rPr>
            </w:pPr>
          </w:p>
        </w:tc>
        <w:tc>
          <w:tcPr>
            <w:tcW w:w="709" w:type="dxa"/>
            <w:vAlign w:val="center"/>
          </w:tcPr>
          <w:p w14:paraId="1E63B5C8">
            <w:pPr>
              <w:widowControl/>
              <w:spacing w:line="300" w:lineRule="auto"/>
              <w:jc w:val="center"/>
              <w:rPr>
                <w:rFonts w:ascii="宋体" w:hAnsi="宋体" w:eastAsia="宋体" w:cs="Times New Roman"/>
                <w:kern w:val="0"/>
                <w:szCs w:val="21"/>
                <w:lang w:eastAsia="zh-Hans"/>
              </w:rPr>
            </w:pPr>
          </w:p>
        </w:tc>
        <w:tc>
          <w:tcPr>
            <w:tcW w:w="992" w:type="dxa"/>
            <w:vAlign w:val="center"/>
          </w:tcPr>
          <w:p w14:paraId="72416CC1">
            <w:pPr>
              <w:widowControl/>
              <w:spacing w:line="300" w:lineRule="auto"/>
              <w:jc w:val="center"/>
              <w:rPr>
                <w:rFonts w:ascii="宋体" w:hAnsi="宋体" w:eastAsia="宋体" w:cs="Times New Roman"/>
                <w:kern w:val="0"/>
                <w:szCs w:val="21"/>
                <w:lang w:eastAsia="zh-Hans"/>
              </w:rPr>
            </w:pPr>
          </w:p>
        </w:tc>
        <w:tc>
          <w:tcPr>
            <w:tcW w:w="1418" w:type="dxa"/>
            <w:vAlign w:val="center"/>
          </w:tcPr>
          <w:p w14:paraId="52F623AB">
            <w:pPr>
              <w:widowControl/>
              <w:spacing w:line="300" w:lineRule="auto"/>
              <w:jc w:val="center"/>
              <w:rPr>
                <w:rFonts w:ascii="宋体" w:hAnsi="宋体" w:eastAsia="宋体" w:cs="Times New Roman"/>
                <w:kern w:val="0"/>
                <w:szCs w:val="21"/>
                <w:lang w:eastAsia="zh-Hans"/>
              </w:rPr>
            </w:pPr>
          </w:p>
        </w:tc>
        <w:tc>
          <w:tcPr>
            <w:tcW w:w="850" w:type="dxa"/>
            <w:vAlign w:val="center"/>
          </w:tcPr>
          <w:p w14:paraId="47C34531">
            <w:pPr>
              <w:widowControl/>
              <w:spacing w:line="300" w:lineRule="auto"/>
              <w:jc w:val="center"/>
              <w:rPr>
                <w:rFonts w:ascii="宋体" w:hAnsi="宋体" w:eastAsia="宋体" w:cs="Times New Roman"/>
                <w:kern w:val="0"/>
                <w:szCs w:val="21"/>
                <w:lang w:eastAsia="zh-Hans"/>
              </w:rPr>
            </w:pPr>
          </w:p>
        </w:tc>
        <w:tc>
          <w:tcPr>
            <w:tcW w:w="851" w:type="dxa"/>
            <w:vAlign w:val="center"/>
          </w:tcPr>
          <w:p w14:paraId="04FBFBF1">
            <w:pPr>
              <w:widowControl/>
              <w:spacing w:line="300" w:lineRule="auto"/>
              <w:jc w:val="center"/>
              <w:rPr>
                <w:rFonts w:ascii="宋体" w:hAnsi="宋体" w:eastAsia="宋体" w:cs="Times New Roman"/>
                <w:kern w:val="0"/>
                <w:szCs w:val="21"/>
                <w:lang w:eastAsia="zh-Hans"/>
              </w:rPr>
            </w:pPr>
          </w:p>
        </w:tc>
        <w:tc>
          <w:tcPr>
            <w:tcW w:w="1439" w:type="dxa"/>
            <w:vAlign w:val="center"/>
          </w:tcPr>
          <w:p w14:paraId="308761BC">
            <w:pPr>
              <w:widowControl/>
              <w:spacing w:line="300" w:lineRule="auto"/>
              <w:jc w:val="center"/>
              <w:rPr>
                <w:rFonts w:ascii="宋体" w:hAnsi="宋体" w:eastAsia="宋体" w:cs="Times New Roman"/>
                <w:kern w:val="0"/>
                <w:szCs w:val="21"/>
                <w:lang w:eastAsia="zh-Hans"/>
              </w:rPr>
            </w:pPr>
          </w:p>
        </w:tc>
      </w:tr>
      <w:tr w14:paraId="13EFF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6394780">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w:t>
            </w:r>
          </w:p>
        </w:tc>
        <w:tc>
          <w:tcPr>
            <w:tcW w:w="1134" w:type="dxa"/>
            <w:vAlign w:val="center"/>
          </w:tcPr>
          <w:p w14:paraId="5E78A841">
            <w:pPr>
              <w:widowControl/>
              <w:spacing w:line="300" w:lineRule="auto"/>
              <w:jc w:val="center"/>
              <w:rPr>
                <w:rFonts w:ascii="宋体" w:hAnsi="宋体" w:eastAsia="宋体" w:cs="Times New Roman"/>
                <w:kern w:val="0"/>
                <w:szCs w:val="21"/>
                <w:lang w:eastAsia="zh-Hans"/>
              </w:rPr>
            </w:pPr>
          </w:p>
        </w:tc>
        <w:tc>
          <w:tcPr>
            <w:tcW w:w="1134" w:type="dxa"/>
            <w:vAlign w:val="center"/>
          </w:tcPr>
          <w:p w14:paraId="55DBACA4">
            <w:pPr>
              <w:widowControl/>
              <w:spacing w:line="300" w:lineRule="auto"/>
              <w:jc w:val="center"/>
              <w:rPr>
                <w:rFonts w:ascii="宋体" w:hAnsi="宋体" w:eastAsia="宋体" w:cs="Times New Roman"/>
                <w:kern w:val="0"/>
                <w:szCs w:val="21"/>
                <w:lang w:eastAsia="zh-Hans"/>
              </w:rPr>
            </w:pPr>
          </w:p>
        </w:tc>
        <w:tc>
          <w:tcPr>
            <w:tcW w:w="709" w:type="dxa"/>
            <w:vAlign w:val="center"/>
          </w:tcPr>
          <w:p w14:paraId="677AE00D">
            <w:pPr>
              <w:widowControl/>
              <w:spacing w:line="300" w:lineRule="auto"/>
              <w:jc w:val="center"/>
              <w:rPr>
                <w:rFonts w:ascii="宋体" w:hAnsi="宋体" w:eastAsia="宋体" w:cs="Times New Roman"/>
                <w:kern w:val="0"/>
                <w:szCs w:val="21"/>
                <w:lang w:eastAsia="zh-Hans"/>
              </w:rPr>
            </w:pPr>
          </w:p>
        </w:tc>
        <w:tc>
          <w:tcPr>
            <w:tcW w:w="992" w:type="dxa"/>
            <w:vAlign w:val="center"/>
          </w:tcPr>
          <w:p w14:paraId="6FF22FB5">
            <w:pPr>
              <w:widowControl/>
              <w:spacing w:line="300" w:lineRule="auto"/>
              <w:jc w:val="center"/>
              <w:rPr>
                <w:rFonts w:ascii="宋体" w:hAnsi="宋体" w:eastAsia="宋体" w:cs="Times New Roman"/>
                <w:kern w:val="0"/>
                <w:szCs w:val="21"/>
                <w:lang w:eastAsia="zh-Hans"/>
              </w:rPr>
            </w:pPr>
          </w:p>
        </w:tc>
        <w:tc>
          <w:tcPr>
            <w:tcW w:w="1418" w:type="dxa"/>
            <w:vAlign w:val="center"/>
          </w:tcPr>
          <w:p w14:paraId="391D1C8E">
            <w:pPr>
              <w:widowControl/>
              <w:spacing w:line="300" w:lineRule="auto"/>
              <w:jc w:val="center"/>
              <w:rPr>
                <w:rFonts w:ascii="宋体" w:hAnsi="宋体" w:eastAsia="宋体" w:cs="Times New Roman"/>
                <w:kern w:val="0"/>
                <w:szCs w:val="21"/>
                <w:lang w:eastAsia="zh-Hans"/>
              </w:rPr>
            </w:pPr>
          </w:p>
        </w:tc>
        <w:tc>
          <w:tcPr>
            <w:tcW w:w="850" w:type="dxa"/>
            <w:vAlign w:val="center"/>
          </w:tcPr>
          <w:p w14:paraId="2CDD3958">
            <w:pPr>
              <w:widowControl/>
              <w:spacing w:line="300" w:lineRule="auto"/>
              <w:jc w:val="center"/>
              <w:rPr>
                <w:rFonts w:ascii="宋体" w:hAnsi="宋体" w:eastAsia="宋体" w:cs="Times New Roman"/>
                <w:kern w:val="0"/>
                <w:szCs w:val="21"/>
                <w:lang w:eastAsia="zh-Hans"/>
              </w:rPr>
            </w:pPr>
          </w:p>
        </w:tc>
        <w:tc>
          <w:tcPr>
            <w:tcW w:w="851" w:type="dxa"/>
            <w:vAlign w:val="center"/>
          </w:tcPr>
          <w:p w14:paraId="3DEDC2EE">
            <w:pPr>
              <w:widowControl/>
              <w:spacing w:line="300" w:lineRule="auto"/>
              <w:jc w:val="center"/>
              <w:rPr>
                <w:rFonts w:ascii="宋体" w:hAnsi="宋体" w:eastAsia="宋体" w:cs="Times New Roman"/>
                <w:kern w:val="0"/>
                <w:szCs w:val="21"/>
                <w:lang w:eastAsia="zh-Hans"/>
              </w:rPr>
            </w:pPr>
          </w:p>
        </w:tc>
        <w:tc>
          <w:tcPr>
            <w:tcW w:w="1439" w:type="dxa"/>
            <w:vAlign w:val="center"/>
          </w:tcPr>
          <w:p w14:paraId="655BF5C2">
            <w:pPr>
              <w:widowControl/>
              <w:spacing w:line="300" w:lineRule="auto"/>
              <w:jc w:val="center"/>
              <w:rPr>
                <w:rFonts w:ascii="宋体" w:hAnsi="宋体" w:eastAsia="宋体" w:cs="Times New Roman"/>
                <w:kern w:val="0"/>
                <w:szCs w:val="21"/>
                <w:lang w:eastAsia="zh-Hans"/>
              </w:rPr>
            </w:pPr>
          </w:p>
        </w:tc>
      </w:tr>
      <w:tr w14:paraId="46794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482ECCF2">
            <w:pPr>
              <w:spacing w:line="300" w:lineRule="auto"/>
              <w:rPr>
                <w:rFonts w:ascii="宋体" w:hAnsi="宋体" w:eastAsia="宋体"/>
                <w:szCs w:val="21"/>
              </w:rPr>
            </w:pPr>
            <w:r>
              <w:rPr>
                <w:rFonts w:hint="eastAsia" w:ascii="宋体" w:hAnsi="宋体" w:eastAsia="宋体" w:cs="Times New Roman"/>
                <w:kern w:val="0"/>
                <w:szCs w:val="21"/>
              </w:rPr>
              <w:t>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7DBFA6F4">
      <w:pPr>
        <w:widowControl/>
        <w:jc w:val="left"/>
        <w:rPr>
          <w:rFonts w:ascii="宋体" w:hAnsi="宋体" w:eastAsia="宋体" w:cs="Times New Roman"/>
          <w:kern w:val="0"/>
          <w:szCs w:val="21"/>
          <w:lang w:eastAsia="zh-Hans"/>
        </w:rPr>
      </w:pPr>
    </w:p>
    <w:p w14:paraId="23B7C16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131E920A">
      <w:pPr>
        <w:pStyle w:val="24"/>
        <w:keepNext w:val="0"/>
        <w:keepLines w:val="0"/>
        <w:pageBreakBefore w:val="0"/>
        <w:widowControl w:val="0"/>
        <w:numPr>
          <w:ilvl w:val="0"/>
          <w:numId w:val="119"/>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此表为开标一览表的分项报价表</w:t>
      </w:r>
      <w:r>
        <w:rPr>
          <w:rFonts w:hint="eastAsia" w:ascii="宋体" w:hAnsi="宋体" w:eastAsia="宋体" w:cs="宋体"/>
          <w:color w:val="auto"/>
          <w:szCs w:val="21"/>
          <w:highlight w:val="none"/>
          <w:lang w:eastAsia="zh-CN"/>
        </w:rPr>
        <w:t>；</w:t>
      </w:r>
    </w:p>
    <w:p w14:paraId="5DADF48F">
      <w:pPr>
        <w:pStyle w:val="24"/>
        <w:keepNext w:val="0"/>
        <w:keepLines w:val="0"/>
        <w:pageBreakBefore w:val="0"/>
        <w:widowControl w:val="0"/>
        <w:numPr>
          <w:ilvl w:val="0"/>
          <w:numId w:val="119"/>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如果单价和总价不符时，以单价为准，修正总价</w:t>
      </w:r>
      <w:r>
        <w:rPr>
          <w:rFonts w:hint="eastAsia" w:ascii="宋体" w:hAnsi="宋体" w:eastAsia="宋体" w:cs="宋体"/>
          <w:color w:val="auto"/>
          <w:szCs w:val="21"/>
          <w:highlight w:val="none"/>
          <w:lang w:eastAsia="zh-CN"/>
        </w:rPr>
        <w:t>；</w:t>
      </w:r>
    </w:p>
    <w:p w14:paraId="377386AE">
      <w:pPr>
        <w:pStyle w:val="24"/>
        <w:keepNext w:val="0"/>
        <w:keepLines w:val="0"/>
        <w:pageBreakBefore w:val="0"/>
        <w:widowControl w:val="0"/>
        <w:numPr>
          <w:ilvl w:val="0"/>
          <w:numId w:val="119"/>
        </w:numPr>
        <w:kinsoku/>
        <w:wordWrap/>
        <w:overflowPunct/>
        <w:topLinePunct w:val="0"/>
        <w:autoSpaceDE/>
        <w:autoSpaceDN/>
        <w:bidi w:val="0"/>
        <w:adjustRightInd/>
        <w:snapToGrid/>
        <w:spacing w:line="24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投标人应</w:t>
      </w:r>
      <w:r>
        <w:rPr>
          <w:rFonts w:hint="eastAsia" w:ascii="宋体" w:hAnsi="宋体" w:eastAsia="宋体" w:cs="宋体"/>
          <w:color w:val="auto"/>
          <w:szCs w:val="21"/>
          <w:highlight w:val="none"/>
          <w:lang w:val="en-US" w:eastAsia="zh-CN"/>
        </w:rPr>
        <w:t>按照“第二章 采购需求”中的货物清单填写本表，报价最多保留两位小数</w:t>
      </w:r>
      <w:r>
        <w:rPr>
          <w:rFonts w:hint="eastAsia" w:ascii="宋体" w:hAnsi="宋体" w:eastAsia="宋体" w:cs="宋体"/>
          <w:color w:val="auto"/>
          <w:szCs w:val="21"/>
          <w:highlight w:val="none"/>
        </w:rPr>
        <w:t>。</w:t>
      </w:r>
    </w:p>
    <w:p w14:paraId="1B3F9A85">
      <w:pPr>
        <w:widowControl/>
        <w:jc w:val="left"/>
        <w:rPr>
          <w:rFonts w:ascii="Calibri" w:hAnsi="Calibri" w:eastAsia="宋体" w:cs="Times New Roman"/>
          <w:kern w:val="0"/>
          <w:sz w:val="20"/>
          <w:szCs w:val="20"/>
          <w:lang w:eastAsia="zh-Hans"/>
        </w:rPr>
      </w:pPr>
    </w:p>
    <w:p w14:paraId="4D9A63D0">
      <w:pPr>
        <w:widowControl/>
        <w:jc w:val="left"/>
        <w:rPr>
          <w:rFonts w:ascii="Calibri" w:hAnsi="Calibri" w:eastAsia="宋体" w:cs="Times New Roman"/>
          <w:kern w:val="0"/>
          <w:sz w:val="20"/>
          <w:szCs w:val="20"/>
          <w:lang w:eastAsia="zh-Hans"/>
        </w:rPr>
      </w:pPr>
    </w:p>
    <w:p w14:paraId="4CEDCB9F">
      <w:pPr>
        <w:widowControl/>
        <w:jc w:val="left"/>
        <w:outlineLvl w:val="2"/>
        <w:rPr>
          <w:rFonts w:ascii="Calibri" w:hAnsi="Calibri" w:eastAsia="宋体" w:cs="Times New Roman"/>
          <w:b/>
          <w:kern w:val="0"/>
          <w:sz w:val="28"/>
          <w:szCs w:val="20"/>
        </w:rPr>
      </w:pPr>
    </w:p>
    <w:p w14:paraId="76EEE6F7">
      <w:pPr>
        <w:widowControl/>
        <w:spacing w:line="300" w:lineRule="auto"/>
        <w:jc w:val="left"/>
        <w:rPr>
          <w:rFonts w:ascii="宋体" w:hAnsi="宋体" w:eastAsia="宋体" w:cs="Times New Roman"/>
          <w:kern w:val="0"/>
          <w:szCs w:val="21"/>
          <w:lang w:eastAsia="zh-Hans"/>
        </w:rPr>
      </w:pPr>
    </w:p>
    <w:p w14:paraId="2DB9C27D">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1CB97E">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1FE5E8F">
      <w:pPr>
        <w:pageBreakBefore/>
        <w:rPr>
          <w:rFonts w:ascii="宋体" w:hAnsi="宋体" w:eastAsia="宋体" w:cs="Times New Roman"/>
          <w:kern w:val="0"/>
          <w:szCs w:val="21"/>
          <w:lang w:eastAsia="zh-Hans"/>
        </w:rPr>
      </w:pPr>
      <w:bookmarkStart w:id="46"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46"/>
    </w:p>
    <w:p w14:paraId="467E84B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7EB648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5167787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7330C1C0">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3085D3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901F79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5DE1411E">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58BFB82">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955E0D9">
      <w:pPr>
        <w:widowControl/>
        <w:jc w:val="left"/>
        <w:rPr>
          <w:rFonts w:ascii="宋体" w:hAnsi="宋体" w:eastAsia="宋体" w:cs="Times New Roman"/>
          <w:kern w:val="0"/>
          <w:szCs w:val="21"/>
          <w:lang w:eastAsia="zh-Hans"/>
        </w:rPr>
      </w:pPr>
    </w:p>
    <w:p w14:paraId="34BC5F13">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bookmarkStart w:id="47"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47"/>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694DBFF2">
      <w:pPr>
        <w:rPr>
          <w:rFonts w:ascii="宋体" w:hAnsi="宋体" w:eastAsia="宋体"/>
          <w:b/>
          <w:bCs/>
          <w:sz w:val="24"/>
          <w:szCs w:val="28"/>
        </w:rPr>
      </w:pPr>
      <w:bookmarkStart w:id="48" w:name="_Toc169799792"/>
      <w:r>
        <w:rPr>
          <w:rFonts w:ascii="宋体" w:hAnsi="宋体" w:eastAsia="宋体"/>
          <w:b/>
          <w:bCs/>
          <w:sz w:val="24"/>
          <w:szCs w:val="28"/>
        </w:rPr>
        <w:br w:type="page"/>
      </w:r>
    </w:p>
    <w:p w14:paraId="452DC3D0">
      <w:pPr>
        <w:keepLines/>
        <w:spacing w:before="652" w:beforeLines="150"/>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48"/>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49"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49"/>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50"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50"/>
    </w:p>
    <w:p w14:paraId="637B47E6">
      <w:pPr>
        <w:pageBreakBefore/>
        <w:rPr>
          <w:rFonts w:ascii="Calibri" w:hAnsi="Calibri" w:eastAsia="宋体" w:cs="Times New Roman"/>
          <w:kern w:val="0"/>
          <w:sz w:val="20"/>
          <w:szCs w:val="20"/>
          <w:lang w:eastAsia="zh-Hans"/>
        </w:rPr>
      </w:pPr>
      <w:bookmarkStart w:id="51"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51"/>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27"/>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52"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52"/>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7"/>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7"/>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7"/>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7"/>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ascii="宋体" w:hAnsi="宋体" w:eastAsia="宋体"/>
          <w:b/>
          <w:bCs/>
        </w:rPr>
      </w:pPr>
      <w:r>
        <w:rPr>
          <w:rFonts w:hint="eastAsia" w:ascii="宋体" w:hAnsi="宋体" w:eastAsia="宋体"/>
          <w:b/>
          <w:bCs/>
          <w:sz w:val="24"/>
          <w:szCs w:val="28"/>
        </w:rPr>
        <w:t>格式十：</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4"/>
        <w:widowControl/>
        <w:numPr>
          <w:ilvl w:val="0"/>
          <w:numId w:val="12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4"/>
        <w:widowControl/>
        <w:numPr>
          <w:ilvl w:val="0"/>
          <w:numId w:val="12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4"/>
        <w:widowControl/>
        <w:numPr>
          <w:ilvl w:val="0"/>
          <w:numId w:val="12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4"/>
        <w:widowControl/>
        <w:numPr>
          <w:ilvl w:val="0"/>
          <w:numId w:val="12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2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4"/>
        <w:widowControl/>
        <w:numPr>
          <w:ilvl w:val="0"/>
          <w:numId w:val="12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4"/>
        <w:widowControl/>
        <w:numPr>
          <w:ilvl w:val="0"/>
          <w:numId w:val="120"/>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53" w:name="_Toc169799798"/>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一</w:t>
      </w:r>
      <w:r>
        <w:rPr>
          <w:rFonts w:ascii="宋体" w:hAnsi="宋体" w:eastAsia="宋体"/>
          <w:b/>
          <w:bCs/>
          <w:sz w:val="24"/>
          <w:szCs w:val="28"/>
        </w:rPr>
        <w:t>：</w:t>
      </w:r>
      <w:bookmarkEnd w:id="53"/>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54" w:name="_Toc391627770"/>
      <w:bookmarkStart w:id="55" w:name="_Toc405313974"/>
      <w:r>
        <w:rPr>
          <w:rFonts w:hint="eastAsia" w:ascii="宋体" w:hAnsi="宋体" w:eastAsia="宋体"/>
          <w:b/>
          <w:bCs/>
          <w:sz w:val="24"/>
          <w:szCs w:val="28"/>
        </w:rPr>
        <w:t>格式十二：</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54"/>
    <w:bookmarkEnd w:id="55"/>
    <w:p w14:paraId="022E1B87">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eastAsia="zh-CN"/>
        </w:rPr>
        <w:t>三</w:t>
      </w:r>
      <w:r>
        <w:rPr>
          <w:rFonts w:hint="eastAsia" w:ascii="宋体" w:hAnsi="宋体" w:eastAsia="宋体"/>
          <w:b/>
          <w:bCs/>
          <w:sz w:val="24"/>
          <w:szCs w:val="28"/>
        </w:rPr>
        <w:t>：</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eastAsia="zh-CN"/>
        </w:rPr>
        <w:t>四</w:t>
      </w:r>
      <w:r>
        <w:rPr>
          <w:rFonts w:hint="eastAsia" w:ascii="宋体" w:hAnsi="宋体" w:eastAsia="宋体"/>
          <w:b/>
          <w:bCs/>
          <w:sz w:val="24"/>
          <w:szCs w:val="28"/>
        </w:rPr>
        <w:t>：</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56" w:name="_Toc169799799"/>
      <w:r>
        <w:rPr>
          <w:rFonts w:ascii="宋体" w:hAnsi="宋体" w:eastAsia="宋体"/>
          <w:b/>
          <w:bCs/>
          <w:sz w:val="24"/>
          <w:szCs w:val="28"/>
        </w:rPr>
        <w:t>格式十</w:t>
      </w:r>
      <w:r>
        <w:rPr>
          <w:rFonts w:hint="eastAsia" w:ascii="宋体" w:hAnsi="宋体" w:eastAsia="宋体"/>
          <w:b/>
          <w:bCs/>
          <w:sz w:val="24"/>
          <w:szCs w:val="28"/>
          <w:lang w:eastAsia="zh-CN"/>
        </w:rPr>
        <w:t>五</w:t>
      </w:r>
      <w:r>
        <w:rPr>
          <w:rFonts w:ascii="宋体" w:hAnsi="宋体" w:eastAsia="宋体"/>
          <w:b/>
          <w:bCs/>
          <w:sz w:val="24"/>
          <w:szCs w:val="28"/>
        </w:rPr>
        <w:t>：</w:t>
      </w:r>
      <w:bookmarkEnd w:id="56"/>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57" w:name="_Toc169799800"/>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57"/>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BB1D7AB">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AA621EE">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5"/>
          <w:rFonts w:ascii="宋体" w:hAnsi="宋体" w:eastAsia="宋体" w:cs="Arial"/>
          <w:i w:val="0"/>
          <w:iCs w:val="0"/>
          <w:szCs w:val="21"/>
          <w:shd w:val="clear" w:color="auto" w:fill="FFFFFF"/>
        </w:rPr>
        <w:t>/</w:t>
      </w:r>
      <w:r>
        <w:rPr>
          <w:rStyle w:val="15"/>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5"/>
          <w:rFonts w:ascii="宋体" w:hAnsi="宋体" w:eastAsia="宋体" w:cs="Arial"/>
          <w:i w:val="0"/>
          <w:iCs w:val="0"/>
          <w:szCs w:val="21"/>
          <w:shd w:val="clear" w:color="auto" w:fill="FFFFFF"/>
        </w:rPr>
        <w:t>。</w:t>
      </w:r>
    </w:p>
    <w:p w14:paraId="278EC07C">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58" w:name="_Hlk169717981"/>
      <w:r>
        <w:rPr>
          <w:rFonts w:ascii="宋体" w:hAnsi="宋体" w:eastAsia="宋体" w:cs="Times New Roman"/>
          <w:kern w:val="0"/>
          <w:szCs w:val="21"/>
          <w:lang w:eastAsia="zh-Hans"/>
        </w:rPr>
        <w:t>“备注”</w:t>
      </w:r>
      <w:bookmarkEnd w:id="58"/>
      <w:r>
        <w:rPr>
          <w:rFonts w:ascii="宋体" w:hAnsi="宋体" w:eastAsia="宋体" w:cs="Times New Roman"/>
          <w:kern w:val="0"/>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59" w:name="_Toc169799801"/>
      <w:r>
        <w:rPr>
          <w:rFonts w:ascii="宋体" w:hAnsi="宋体" w:eastAsia="宋体"/>
          <w:b/>
          <w:bCs/>
          <w:sz w:val="24"/>
          <w:szCs w:val="28"/>
        </w:rPr>
        <w:t>格式十</w:t>
      </w:r>
      <w:r>
        <w:rPr>
          <w:rFonts w:hint="eastAsia" w:ascii="宋体" w:hAnsi="宋体" w:eastAsia="宋体"/>
          <w:b/>
          <w:bCs/>
          <w:sz w:val="24"/>
          <w:szCs w:val="28"/>
          <w:lang w:eastAsia="zh-CN"/>
        </w:rPr>
        <w:t>七</w:t>
      </w:r>
      <w:r>
        <w:rPr>
          <w:rFonts w:ascii="宋体" w:hAnsi="宋体" w:eastAsia="宋体"/>
          <w:b/>
          <w:bCs/>
          <w:sz w:val="24"/>
          <w:szCs w:val="28"/>
        </w:rPr>
        <w:t>：</w:t>
      </w:r>
      <w:bookmarkEnd w:id="59"/>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7A6D9D1">
      <w:pPr>
        <w:rPr>
          <w:rFonts w:ascii="宋体" w:hAnsi="宋体" w:eastAsia="宋体"/>
          <w:b/>
          <w:bCs/>
          <w:sz w:val="24"/>
          <w:szCs w:val="28"/>
        </w:rPr>
      </w:pPr>
      <w:bookmarkStart w:id="60" w:name="_Toc169799802"/>
      <w:r>
        <w:rPr>
          <w:rFonts w:ascii="宋体" w:hAnsi="宋体" w:eastAsia="宋体"/>
          <w:b/>
          <w:bCs/>
          <w:sz w:val="24"/>
          <w:szCs w:val="28"/>
        </w:rPr>
        <w:br w:type="page"/>
      </w:r>
    </w:p>
    <w:p w14:paraId="56DE1900">
      <w:pPr>
        <w:pageBreakBefore/>
        <w:rPr>
          <w:rFonts w:ascii="Calibri" w:hAnsi="Calibri" w:eastAsia="宋体" w:cs="Times New Roman"/>
          <w:kern w:val="0"/>
          <w:sz w:val="20"/>
          <w:szCs w:val="20"/>
          <w:lang w:eastAsia="zh-Hans"/>
        </w:rPr>
      </w:pPr>
      <w:bookmarkStart w:id="61" w:name="_Hlk82385743"/>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p>
    <w:p w14:paraId="78364A91">
      <w:pPr>
        <w:spacing w:before="312" w:beforeLines="100" w:after="312" w:afterLines="100"/>
        <w:jc w:val="center"/>
        <w:rPr>
          <w:rFonts w:hint="eastAsia" w:ascii="宋体" w:hAnsi="宋体" w:eastAsia="宋体" w:cs="宋体"/>
          <w:b/>
          <w:spacing w:val="20"/>
          <w:sz w:val="30"/>
          <w:szCs w:val="30"/>
          <w:lang w:eastAsia="zh-CN"/>
        </w:rPr>
      </w:pPr>
      <w:r>
        <w:rPr>
          <w:rFonts w:hint="eastAsia" w:ascii="宋体" w:hAnsi="宋体" w:eastAsia="宋体" w:cs="宋体"/>
          <w:b/>
          <w:spacing w:val="20"/>
          <w:sz w:val="30"/>
          <w:szCs w:val="30"/>
        </w:rPr>
        <w:t>★号条款</w:t>
      </w:r>
      <w:bookmarkEnd w:id="61"/>
      <w:r>
        <w:rPr>
          <w:rFonts w:hint="eastAsia" w:ascii="宋体" w:hAnsi="宋体" w:eastAsia="宋体" w:cs="宋体"/>
          <w:b/>
          <w:spacing w:val="20"/>
          <w:sz w:val="30"/>
          <w:szCs w:val="30"/>
        </w:rPr>
        <w:t>响应表</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51"/>
        <w:gridCol w:w="2617"/>
        <w:gridCol w:w="1965"/>
        <w:gridCol w:w="1269"/>
      </w:tblGrid>
      <w:tr w14:paraId="0D57D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66" w:type="pct"/>
            <w:shd w:val="clear" w:color="auto" w:fill="auto"/>
            <w:vAlign w:val="center"/>
          </w:tcPr>
          <w:p w14:paraId="55D79622">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481" w:type="pct"/>
            <w:shd w:val="clear" w:color="auto" w:fill="auto"/>
            <w:vAlign w:val="center"/>
          </w:tcPr>
          <w:p w14:paraId="4AA78120">
            <w:pPr>
              <w:widowControl/>
              <w:jc w:val="center"/>
              <w:rPr>
                <w:rFonts w:hint="eastAsia"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采购需求★号条款要求</w:t>
            </w:r>
          </w:p>
        </w:tc>
        <w:tc>
          <w:tcPr>
            <w:tcW w:w="1409" w:type="pct"/>
            <w:shd w:val="clear" w:color="auto" w:fill="auto"/>
            <w:vAlign w:val="center"/>
          </w:tcPr>
          <w:p w14:paraId="17117C3F">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1058" w:type="pct"/>
            <w:shd w:val="clear" w:color="auto" w:fill="auto"/>
            <w:vAlign w:val="center"/>
          </w:tcPr>
          <w:p w14:paraId="48DA8262">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683" w:type="pct"/>
            <w:shd w:val="clear" w:color="auto" w:fill="auto"/>
            <w:vAlign w:val="center"/>
          </w:tcPr>
          <w:p w14:paraId="01C8BF19">
            <w:pPr>
              <w:widowControl/>
              <w:jc w:val="center"/>
              <w:rPr>
                <w:rFonts w:hint="eastAsia"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r>
      <w:tr w14:paraId="67C8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7F1B6FF0">
            <w:pPr>
              <w:spacing w:line="360" w:lineRule="auto"/>
              <w:jc w:val="center"/>
              <w:rPr>
                <w:rFonts w:hint="eastAsia" w:ascii="宋体" w:hAnsi="宋体" w:eastAsia="宋体" w:cs="宋体"/>
                <w:b/>
                <w:bCs/>
              </w:rPr>
            </w:pPr>
            <w:r>
              <w:rPr>
                <w:rFonts w:hint="eastAsia" w:ascii="宋体" w:hAnsi="宋体" w:eastAsia="宋体" w:cs="宋体"/>
                <w:b/>
                <w:bCs/>
              </w:rPr>
              <w:t>1</w:t>
            </w:r>
          </w:p>
        </w:tc>
        <w:tc>
          <w:tcPr>
            <w:tcW w:w="1481" w:type="pct"/>
            <w:shd w:val="clear" w:color="auto" w:fill="auto"/>
          </w:tcPr>
          <w:p w14:paraId="5AA2400A">
            <w:pPr>
              <w:spacing w:line="360" w:lineRule="auto"/>
              <w:rPr>
                <w:rFonts w:hint="eastAsia" w:ascii="宋体" w:hAnsi="宋体" w:eastAsia="宋体" w:cs="宋体"/>
              </w:rPr>
            </w:pPr>
          </w:p>
        </w:tc>
        <w:tc>
          <w:tcPr>
            <w:tcW w:w="1409" w:type="pct"/>
            <w:shd w:val="clear" w:color="auto" w:fill="auto"/>
          </w:tcPr>
          <w:p w14:paraId="1D7FA5EA">
            <w:pPr>
              <w:spacing w:line="360" w:lineRule="auto"/>
              <w:rPr>
                <w:rFonts w:hint="eastAsia" w:ascii="宋体" w:hAnsi="宋体" w:eastAsia="宋体" w:cs="宋体"/>
              </w:rPr>
            </w:pPr>
          </w:p>
        </w:tc>
        <w:tc>
          <w:tcPr>
            <w:tcW w:w="1058" w:type="pct"/>
            <w:shd w:val="clear" w:color="auto" w:fill="auto"/>
          </w:tcPr>
          <w:p w14:paraId="450CB329">
            <w:pPr>
              <w:spacing w:line="360" w:lineRule="auto"/>
              <w:rPr>
                <w:rFonts w:hint="eastAsia" w:ascii="宋体" w:hAnsi="宋体" w:eastAsia="宋体" w:cs="宋体"/>
              </w:rPr>
            </w:pPr>
          </w:p>
        </w:tc>
        <w:tc>
          <w:tcPr>
            <w:tcW w:w="683" w:type="pct"/>
            <w:shd w:val="clear" w:color="auto" w:fill="auto"/>
          </w:tcPr>
          <w:p w14:paraId="13420BBB">
            <w:pPr>
              <w:spacing w:line="360" w:lineRule="auto"/>
              <w:rPr>
                <w:rFonts w:hint="eastAsia" w:ascii="宋体" w:hAnsi="宋体" w:eastAsia="宋体" w:cs="宋体"/>
              </w:rPr>
            </w:pPr>
          </w:p>
        </w:tc>
      </w:tr>
      <w:tr w14:paraId="3D05B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C2BF0BD">
            <w:pPr>
              <w:spacing w:line="360" w:lineRule="auto"/>
              <w:jc w:val="center"/>
              <w:rPr>
                <w:rFonts w:hint="eastAsia" w:ascii="宋体" w:hAnsi="宋体" w:eastAsia="宋体" w:cs="宋体"/>
                <w:b/>
                <w:bCs/>
              </w:rPr>
            </w:pPr>
            <w:r>
              <w:rPr>
                <w:rFonts w:hint="eastAsia" w:ascii="宋体" w:hAnsi="宋体" w:eastAsia="宋体" w:cs="宋体"/>
                <w:b/>
                <w:bCs/>
              </w:rPr>
              <w:t>2</w:t>
            </w:r>
          </w:p>
        </w:tc>
        <w:tc>
          <w:tcPr>
            <w:tcW w:w="1481" w:type="pct"/>
            <w:shd w:val="clear" w:color="auto" w:fill="auto"/>
          </w:tcPr>
          <w:p w14:paraId="5CBF487E">
            <w:pPr>
              <w:spacing w:line="360" w:lineRule="auto"/>
              <w:rPr>
                <w:rFonts w:hint="eastAsia" w:ascii="宋体" w:hAnsi="宋体" w:eastAsia="宋体" w:cs="宋体"/>
              </w:rPr>
            </w:pPr>
          </w:p>
        </w:tc>
        <w:tc>
          <w:tcPr>
            <w:tcW w:w="1409" w:type="pct"/>
            <w:shd w:val="clear" w:color="auto" w:fill="auto"/>
          </w:tcPr>
          <w:p w14:paraId="314CEEB4">
            <w:pPr>
              <w:spacing w:line="360" w:lineRule="auto"/>
              <w:rPr>
                <w:rFonts w:hint="eastAsia" w:ascii="宋体" w:hAnsi="宋体" w:eastAsia="宋体" w:cs="宋体"/>
              </w:rPr>
            </w:pPr>
          </w:p>
        </w:tc>
        <w:tc>
          <w:tcPr>
            <w:tcW w:w="1058" w:type="pct"/>
            <w:shd w:val="clear" w:color="auto" w:fill="auto"/>
          </w:tcPr>
          <w:p w14:paraId="6F6E3C90">
            <w:pPr>
              <w:spacing w:line="360" w:lineRule="auto"/>
              <w:rPr>
                <w:rFonts w:hint="eastAsia" w:ascii="宋体" w:hAnsi="宋体" w:eastAsia="宋体" w:cs="宋体"/>
              </w:rPr>
            </w:pPr>
          </w:p>
        </w:tc>
        <w:tc>
          <w:tcPr>
            <w:tcW w:w="683" w:type="pct"/>
            <w:shd w:val="clear" w:color="auto" w:fill="auto"/>
          </w:tcPr>
          <w:p w14:paraId="731663F5">
            <w:pPr>
              <w:spacing w:line="360" w:lineRule="auto"/>
              <w:rPr>
                <w:rFonts w:hint="eastAsia" w:ascii="宋体" w:hAnsi="宋体" w:eastAsia="宋体" w:cs="宋体"/>
              </w:rPr>
            </w:pPr>
          </w:p>
        </w:tc>
      </w:tr>
      <w:tr w14:paraId="58E0A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ECDAF6F">
            <w:pPr>
              <w:spacing w:line="360" w:lineRule="auto"/>
              <w:jc w:val="center"/>
              <w:rPr>
                <w:rFonts w:hint="eastAsia" w:ascii="宋体" w:hAnsi="宋体" w:eastAsia="宋体" w:cs="宋体"/>
                <w:b/>
                <w:bCs/>
              </w:rPr>
            </w:pPr>
            <w:r>
              <w:rPr>
                <w:rFonts w:hint="eastAsia" w:ascii="宋体" w:hAnsi="宋体" w:eastAsia="宋体" w:cs="宋体"/>
                <w:b/>
                <w:bCs/>
              </w:rPr>
              <w:t>3</w:t>
            </w:r>
          </w:p>
        </w:tc>
        <w:tc>
          <w:tcPr>
            <w:tcW w:w="1481" w:type="pct"/>
            <w:shd w:val="clear" w:color="auto" w:fill="auto"/>
          </w:tcPr>
          <w:p w14:paraId="53CFF144">
            <w:pPr>
              <w:spacing w:line="360" w:lineRule="auto"/>
              <w:rPr>
                <w:rFonts w:hint="eastAsia" w:ascii="宋体" w:hAnsi="宋体" w:eastAsia="宋体" w:cs="宋体"/>
              </w:rPr>
            </w:pPr>
          </w:p>
        </w:tc>
        <w:tc>
          <w:tcPr>
            <w:tcW w:w="1409" w:type="pct"/>
            <w:shd w:val="clear" w:color="auto" w:fill="auto"/>
          </w:tcPr>
          <w:p w14:paraId="6B67A387">
            <w:pPr>
              <w:spacing w:line="360" w:lineRule="auto"/>
              <w:rPr>
                <w:rFonts w:hint="eastAsia" w:ascii="宋体" w:hAnsi="宋体" w:eastAsia="宋体" w:cs="宋体"/>
              </w:rPr>
            </w:pPr>
          </w:p>
        </w:tc>
        <w:tc>
          <w:tcPr>
            <w:tcW w:w="1058" w:type="pct"/>
            <w:shd w:val="clear" w:color="auto" w:fill="auto"/>
          </w:tcPr>
          <w:p w14:paraId="01F96C7B">
            <w:pPr>
              <w:spacing w:line="360" w:lineRule="auto"/>
              <w:rPr>
                <w:rFonts w:hint="eastAsia" w:ascii="宋体" w:hAnsi="宋体" w:eastAsia="宋体" w:cs="宋体"/>
              </w:rPr>
            </w:pPr>
          </w:p>
        </w:tc>
        <w:tc>
          <w:tcPr>
            <w:tcW w:w="683" w:type="pct"/>
            <w:shd w:val="clear" w:color="auto" w:fill="auto"/>
          </w:tcPr>
          <w:p w14:paraId="58C356AA">
            <w:pPr>
              <w:spacing w:line="360" w:lineRule="auto"/>
              <w:rPr>
                <w:rFonts w:hint="eastAsia" w:ascii="宋体" w:hAnsi="宋体" w:eastAsia="宋体" w:cs="宋体"/>
              </w:rPr>
            </w:pPr>
          </w:p>
        </w:tc>
      </w:tr>
      <w:tr w14:paraId="6E95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3DD37A0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481" w:type="pct"/>
            <w:shd w:val="clear" w:color="auto" w:fill="auto"/>
          </w:tcPr>
          <w:p w14:paraId="74FC3E6B">
            <w:pPr>
              <w:spacing w:line="360" w:lineRule="auto"/>
              <w:rPr>
                <w:rFonts w:hint="eastAsia" w:ascii="宋体" w:hAnsi="宋体" w:eastAsia="宋体" w:cs="宋体"/>
              </w:rPr>
            </w:pPr>
          </w:p>
        </w:tc>
        <w:tc>
          <w:tcPr>
            <w:tcW w:w="1409" w:type="pct"/>
            <w:shd w:val="clear" w:color="auto" w:fill="auto"/>
          </w:tcPr>
          <w:p w14:paraId="0BF388B5">
            <w:pPr>
              <w:spacing w:line="360" w:lineRule="auto"/>
              <w:rPr>
                <w:rFonts w:hint="eastAsia" w:ascii="宋体" w:hAnsi="宋体" w:eastAsia="宋体" w:cs="宋体"/>
              </w:rPr>
            </w:pPr>
          </w:p>
        </w:tc>
        <w:tc>
          <w:tcPr>
            <w:tcW w:w="1058" w:type="pct"/>
            <w:shd w:val="clear" w:color="auto" w:fill="auto"/>
          </w:tcPr>
          <w:p w14:paraId="18D048B8">
            <w:pPr>
              <w:spacing w:line="360" w:lineRule="auto"/>
              <w:rPr>
                <w:rFonts w:hint="eastAsia" w:ascii="宋体" w:hAnsi="宋体" w:eastAsia="宋体" w:cs="宋体"/>
              </w:rPr>
            </w:pPr>
          </w:p>
        </w:tc>
        <w:tc>
          <w:tcPr>
            <w:tcW w:w="683" w:type="pct"/>
            <w:shd w:val="clear" w:color="auto" w:fill="auto"/>
          </w:tcPr>
          <w:p w14:paraId="098280D5">
            <w:pPr>
              <w:spacing w:line="360" w:lineRule="auto"/>
              <w:rPr>
                <w:rFonts w:hint="eastAsia" w:ascii="宋体" w:hAnsi="宋体" w:eastAsia="宋体" w:cs="宋体"/>
              </w:rPr>
            </w:pPr>
          </w:p>
        </w:tc>
      </w:tr>
      <w:tr w14:paraId="18CE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67CDE040">
            <w:pPr>
              <w:spacing w:line="360" w:lineRule="auto"/>
              <w:jc w:val="center"/>
              <w:rPr>
                <w:rFonts w:hint="eastAsia" w:ascii="宋体" w:hAnsi="宋体" w:eastAsia="宋体" w:cs="宋体"/>
                <w:b/>
                <w:bCs/>
              </w:rPr>
            </w:pPr>
            <w:r>
              <w:rPr>
                <w:rFonts w:hint="eastAsia" w:ascii="宋体" w:hAnsi="宋体" w:eastAsia="宋体" w:cs="宋体"/>
                <w:b/>
                <w:bCs/>
              </w:rPr>
              <w:t>…</w:t>
            </w:r>
          </w:p>
        </w:tc>
        <w:tc>
          <w:tcPr>
            <w:tcW w:w="1481" w:type="pct"/>
            <w:shd w:val="clear" w:color="auto" w:fill="auto"/>
          </w:tcPr>
          <w:p w14:paraId="6020D549">
            <w:pPr>
              <w:spacing w:line="360" w:lineRule="auto"/>
              <w:rPr>
                <w:rFonts w:hint="eastAsia" w:ascii="宋体" w:hAnsi="宋体" w:eastAsia="宋体" w:cs="宋体"/>
              </w:rPr>
            </w:pPr>
          </w:p>
        </w:tc>
        <w:tc>
          <w:tcPr>
            <w:tcW w:w="1409" w:type="pct"/>
            <w:shd w:val="clear" w:color="auto" w:fill="auto"/>
          </w:tcPr>
          <w:p w14:paraId="66A329C8">
            <w:pPr>
              <w:spacing w:line="360" w:lineRule="auto"/>
              <w:rPr>
                <w:rFonts w:hint="eastAsia" w:ascii="宋体" w:hAnsi="宋体" w:eastAsia="宋体" w:cs="宋体"/>
              </w:rPr>
            </w:pPr>
          </w:p>
        </w:tc>
        <w:tc>
          <w:tcPr>
            <w:tcW w:w="1058" w:type="pct"/>
            <w:shd w:val="clear" w:color="auto" w:fill="auto"/>
          </w:tcPr>
          <w:p w14:paraId="1C86DCD0">
            <w:pPr>
              <w:spacing w:line="360" w:lineRule="auto"/>
              <w:rPr>
                <w:rFonts w:hint="eastAsia" w:ascii="宋体" w:hAnsi="宋体" w:eastAsia="宋体" w:cs="宋体"/>
              </w:rPr>
            </w:pPr>
          </w:p>
        </w:tc>
        <w:tc>
          <w:tcPr>
            <w:tcW w:w="683" w:type="pct"/>
            <w:shd w:val="clear" w:color="auto" w:fill="auto"/>
          </w:tcPr>
          <w:p w14:paraId="7CD1D467">
            <w:pPr>
              <w:spacing w:line="360" w:lineRule="auto"/>
              <w:rPr>
                <w:rFonts w:hint="eastAsia" w:ascii="宋体" w:hAnsi="宋体" w:eastAsia="宋体" w:cs="宋体"/>
              </w:rPr>
            </w:pPr>
          </w:p>
        </w:tc>
      </w:tr>
    </w:tbl>
    <w:p w14:paraId="404B0E22">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说</w:t>
      </w:r>
      <w:r>
        <w:rPr>
          <w:rFonts w:hint="eastAsia" w:ascii="宋体" w:hAnsi="宋体" w:eastAsia="宋体" w:cs="宋体"/>
          <w:kern w:val="0"/>
          <w:sz w:val="20"/>
          <w:szCs w:val="20"/>
          <w:lang w:eastAsia="zh-Hans"/>
        </w:rPr>
        <w:t>明：</w:t>
      </w:r>
    </w:p>
    <w:p w14:paraId="1A6A0C04">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eastAsia="zh-Hans"/>
        </w:rPr>
        <w:t>1.投标人必须对应招标文件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要求的</w:t>
      </w:r>
      <w:bookmarkStart w:id="62" w:name="_Hlk82385673"/>
      <w:r>
        <w:rPr>
          <w:rFonts w:hint="eastAsia" w:ascii="宋体" w:hAnsi="宋体" w:eastAsia="宋体" w:cs="宋体"/>
          <w:kern w:val="0"/>
          <w:sz w:val="20"/>
          <w:szCs w:val="20"/>
          <w:lang w:eastAsia="zh-Hans"/>
        </w:rPr>
        <w:t>★号条款</w:t>
      </w:r>
      <w:bookmarkEnd w:id="62"/>
      <w:r>
        <w:rPr>
          <w:rFonts w:hint="eastAsia" w:ascii="宋体" w:hAnsi="宋体" w:eastAsia="宋体" w:cs="宋体"/>
          <w:kern w:val="0"/>
          <w:sz w:val="20"/>
          <w:szCs w:val="20"/>
          <w:lang w:eastAsia="zh-Hans"/>
        </w:rPr>
        <w:t>逐条应答并按要求填写表格；</w:t>
      </w:r>
    </w:p>
    <w:p w14:paraId="715BAAE0">
      <w:pPr>
        <w:widowControl/>
        <w:jc w:val="left"/>
        <w:rPr>
          <w:rFonts w:hint="eastAsia" w:ascii="宋体" w:hAnsi="宋体" w:eastAsia="宋体" w:cs="宋体"/>
          <w:kern w:val="0"/>
          <w:sz w:val="20"/>
          <w:szCs w:val="20"/>
          <w:lang w:eastAsia="zh-Hans"/>
        </w:rPr>
      </w:pPr>
      <w:r>
        <w:rPr>
          <w:rFonts w:hint="eastAsia" w:ascii="宋体" w:hAnsi="宋体" w:eastAsia="宋体" w:cs="宋体"/>
          <w:kern w:val="0"/>
          <w:sz w:val="20"/>
          <w:szCs w:val="20"/>
          <w:lang w:val="en-US" w:eastAsia="zh-CN"/>
        </w:rPr>
        <w:t>2</w:t>
      </w:r>
      <w:r>
        <w:rPr>
          <w:rFonts w:hint="eastAsia" w:ascii="宋体" w:hAnsi="宋体" w:eastAsia="宋体" w:cs="宋体"/>
          <w:kern w:val="0"/>
          <w:sz w:val="20"/>
          <w:szCs w:val="20"/>
          <w:lang w:eastAsia="zh-Hans"/>
        </w:rPr>
        <w:t>.若招标文件</w:t>
      </w:r>
      <w:r>
        <w:rPr>
          <w:rFonts w:hint="eastAsia" w:ascii="宋体" w:hAnsi="宋体" w:eastAsia="宋体" w:cs="宋体"/>
          <w:b/>
          <w:bCs/>
          <w:kern w:val="0"/>
          <w:sz w:val="20"/>
          <w:szCs w:val="20"/>
          <w:lang w:eastAsia="zh-Hans"/>
        </w:rPr>
        <w:t>“采购需求”</w:t>
      </w:r>
      <w:r>
        <w:rPr>
          <w:rFonts w:hint="eastAsia" w:ascii="宋体" w:hAnsi="宋体" w:eastAsia="宋体" w:cs="宋体"/>
          <w:kern w:val="0"/>
          <w:sz w:val="20"/>
          <w:szCs w:val="20"/>
          <w:lang w:eastAsia="zh-Hans"/>
        </w:rPr>
        <w:t>中的★号条款中规定须提交相关证明文件的，须按要求提供，并作为附件附于表格后。未按要求提供或未提供完整的，视为负偏离处理。</w:t>
      </w:r>
    </w:p>
    <w:p w14:paraId="64B740C5">
      <w:pPr>
        <w:spacing w:line="360" w:lineRule="auto"/>
        <w:rPr>
          <w:rFonts w:hint="eastAsia" w:ascii="宋体" w:hAnsi="宋体" w:eastAsia="宋体" w:cs="宋体"/>
          <w:szCs w:val="21"/>
        </w:rPr>
      </w:pPr>
    </w:p>
    <w:p w14:paraId="653CA6E5">
      <w:pPr>
        <w:spacing w:line="360" w:lineRule="auto"/>
        <w:rPr>
          <w:rFonts w:hint="eastAsia" w:ascii="宋体" w:hAnsi="宋体" w:eastAsia="宋体" w:cs="宋体"/>
          <w:szCs w:val="21"/>
        </w:rPr>
      </w:pPr>
    </w:p>
    <w:p w14:paraId="62DB9D85">
      <w:pPr>
        <w:spacing w:line="360" w:lineRule="auto"/>
        <w:rPr>
          <w:rFonts w:hint="eastAsia" w:ascii="宋体" w:hAnsi="宋体" w:eastAsia="宋体" w:cs="宋体"/>
          <w:szCs w:val="21"/>
        </w:rPr>
      </w:pPr>
    </w:p>
    <w:p w14:paraId="22700AD8">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288FF32">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036A102">
      <w:pPr>
        <w:spacing w:line="360" w:lineRule="auto"/>
        <w:rPr>
          <w:rFonts w:ascii="黑体" w:hAnsi="黑体" w:eastAsia="黑体"/>
          <w:szCs w:val="21"/>
        </w:rPr>
      </w:pPr>
    </w:p>
    <w:p w14:paraId="6ED281EA">
      <w:pPr>
        <w:pageBreakBefore/>
        <w:rPr>
          <w:rFonts w:ascii="Calibri" w:hAnsi="Calibri" w:eastAsia="宋体" w:cs="Times New Roman"/>
          <w:kern w:val="0"/>
          <w:sz w:val="20"/>
          <w:szCs w:val="20"/>
          <w:lang w:eastAsia="zh-Hans"/>
        </w:rPr>
      </w:pPr>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60"/>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63" w:name="_Toc169799803"/>
      <w:r>
        <w:rPr>
          <w:rFonts w:ascii="宋体" w:hAnsi="宋体" w:eastAsia="宋体"/>
          <w:b/>
          <w:bCs/>
          <w:sz w:val="24"/>
          <w:szCs w:val="28"/>
        </w:rPr>
        <w:t>格式</w:t>
      </w:r>
      <w:r>
        <w:rPr>
          <w:rFonts w:hint="eastAsia" w:ascii="宋体" w:hAnsi="宋体" w:eastAsia="宋体"/>
          <w:b/>
          <w:bCs/>
          <w:sz w:val="24"/>
          <w:szCs w:val="28"/>
          <w:lang w:val="en-US" w:eastAsia="zh-CN"/>
        </w:rPr>
        <w:t>二十</w:t>
      </w:r>
      <w:r>
        <w:rPr>
          <w:rFonts w:ascii="宋体" w:hAnsi="宋体" w:eastAsia="宋体"/>
          <w:b/>
          <w:bCs/>
          <w:sz w:val="24"/>
          <w:szCs w:val="28"/>
        </w:rPr>
        <w:t>：</w:t>
      </w:r>
      <w:bookmarkEnd w:id="63"/>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64" w:name="_Toc169799804"/>
      <w:r>
        <w:rPr>
          <w:rFonts w:ascii="宋体" w:hAnsi="宋体" w:eastAsia="宋体"/>
          <w:b/>
          <w:bCs/>
          <w:sz w:val="24"/>
          <w:szCs w:val="28"/>
        </w:rPr>
        <w:t>格式二十</w:t>
      </w:r>
      <w:r>
        <w:rPr>
          <w:rFonts w:hint="eastAsia" w:ascii="宋体" w:hAnsi="宋体" w:eastAsia="宋体"/>
          <w:b/>
          <w:bCs/>
          <w:sz w:val="24"/>
          <w:szCs w:val="28"/>
          <w:lang w:val="en-US" w:eastAsia="zh-CN"/>
        </w:rPr>
        <w:t>一</w:t>
      </w:r>
      <w:r>
        <w:rPr>
          <w:rFonts w:ascii="宋体" w:hAnsi="宋体" w:eastAsia="宋体"/>
          <w:b/>
          <w:bCs/>
          <w:sz w:val="24"/>
          <w:szCs w:val="28"/>
        </w:rPr>
        <w:t>：</w:t>
      </w:r>
      <w:bookmarkEnd w:id="64"/>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ascii="宋体" w:hAnsi="宋体" w:eastAsia="宋体" w:cs="Times New Roman"/>
          <w:kern w:val="0"/>
          <w:szCs w:val="21"/>
          <w:lang w:eastAsia="zh-Hans"/>
        </w:rPr>
      </w:pPr>
      <w:bookmarkStart w:id="65" w:name="_Hlk170136144"/>
      <w:r>
        <w:rPr>
          <w:rFonts w:ascii="宋体" w:hAnsi="宋体" w:eastAsia="宋体" w:cs="Times New Roman"/>
          <w:kern w:val="0"/>
          <w:szCs w:val="21"/>
          <w:lang w:eastAsia="zh-Hans"/>
        </w:rPr>
        <w:t>一、投诉相关主体基本情况</w:t>
      </w:r>
    </w:p>
    <w:p w14:paraId="63A946CA">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65"/>
    <w:p w14:paraId="6DD17965">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04D5DD31">
      <w:pPr>
        <w:widowControl/>
        <w:jc w:val="left"/>
        <w:rPr>
          <w:rFonts w:ascii="Calibri" w:hAnsi="Calibri" w:eastAsia="宋体" w:cs="Times New Roman"/>
          <w:kern w:val="0"/>
          <w:sz w:val="20"/>
          <w:szCs w:val="20"/>
          <w:lang w:eastAsia="zh-Hans"/>
        </w:rPr>
      </w:pPr>
    </w:p>
    <w:p w14:paraId="1B936669">
      <w:pPr>
        <w:widowControl/>
        <w:jc w:val="left"/>
        <w:rPr>
          <w:rFonts w:ascii="Calibri" w:hAnsi="Calibri" w:eastAsia="宋体" w:cs="Times New Roman"/>
          <w:kern w:val="0"/>
          <w:sz w:val="20"/>
          <w:szCs w:val="20"/>
          <w:lang w:eastAsia="zh-Hans"/>
        </w:rPr>
      </w:pPr>
    </w:p>
    <w:p w14:paraId="10008520">
      <w:pPr>
        <w:pageBreakBefore/>
        <w:rPr>
          <w:rFonts w:ascii="Calibri" w:hAnsi="Calibri" w:eastAsia="宋体" w:cs="Times New Roman"/>
          <w:kern w:val="0"/>
          <w:sz w:val="20"/>
          <w:szCs w:val="20"/>
          <w:lang w:eastAsia="zh-Hans"/>
        </w:rPr>
      </w:pPr>
      <w:bookmarkStart w:id="66" w:name="_Toc169799806"/>
      <w:r>
        <w:rPr>
          <w:rFonts w:ascii="宋体" w:hAnsi="宋体" w:eastAsia="宋体"/>
          <w:b/>
          <w:bCs/>
          <w:sz w:val="24"/>
          <w:szCs w:val="28"/>
        </w:rPr>
        <w:t>格式二十</w:t>
      </w:r>
      <w:r>
        <w:rPr>
          <w:rFonts w:hint="eastAsia" w:ascii="宋体" w:hAnsi="宋体" w:eastAsia="宋体"/>
          <w:b/>
          <w:bCs/>
          <w:sz w:val="24"/>
          <w:szCs w:val="28"/>
          <w:lang w:val="en-US" w:eastAsia="zh-CN"/>
        </w:rPr>
        <w:t>二</w:t>
      </w:r>
      <w:r>
        <w:rPr>
          <w:rFonts w:ascii="宋体" w:hAnsi="宋体" w:eastAsia="宋体"/>
          <w:b/>
          <w:bCs/>
          <w:sz w:val="24"/>
          <w:szCs w:val="28"/>
        </w:rPr>
        <w:t>：</w:t>
      </w:r>
      <w:bookmarkEnd w:id="66"/>
    </w:p>
    <w:p w14:paraId="7EFFC828">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（以下格式文件由供应商根据需要选用）</w:t>
      </w:r>
    </w:p>
    <w:p w14:paraId="55BBCC38">
      <w:pPr>
        <w:pStyle w:val="18"/>
        <w:rPr>
          <w:rFonts w:hint="default" w:ascii="Calibri" w:hAnsi="Calibri" w:eastAsia="宋体" w:cs="Times New Roman"/>
          <w:color w:val="auto"/>
        </w:rPr>
      </w:pPr>
      <w:r>
        <w:rPr>
          <w:rFonts w:hint="eastAsia" w:ascii="Calibri" w:hAnsi="Calibri" w:eastAsia="宋体" w:cs="Times New Roman"/>
          <w:color w:val="auto"/>
        </w:rPr>
        <w:t>项目实施方案、质量保障措施（货品）、质量保障措施（服务）、售后服务方案、应急预案</w:t>
      </w:r>
      <w:r>
        <w:rPr>
          <w:rFonts w:ascii="Calibri" w:hAnsi="Calibri" w:eastAsia="宋体" w:cs="Times New Roman"/>
          <w:color w:val="auto"/>
        </w:rPr>
        <w:t>等内容和格式自拟。</w:t>
      </w:r>
    </w:p>
    <w:p w14:paraId="718F3F21"/>
    <w:p w14:paraId="0524BA46">
      <w:pPr>
        <w:rPr>
          <w:rFonts w:ascii="Calibri" w:hAnsi="Calibri" w:eastAsia="宋体" w:cs="Times New Roman"/>
          <w:kern w:val="0"/>
          <w:sz w:val="20"/>
          <w:szCs w:val="20"/>
          <w:lang w:eastAsia="zh-Hans"/>
        </w:rPr>
      </w:pPr>
    </w:p>
    <w:p w14:paraId="7380E788">
      <w:pPr>
        <w:pageBreakBefore/>
        <w:rPr>
          <w:bCs/>
        </w:rPr>
      </w:pPr>
      <w:r>
        <w:rPr>
          <w:rFonts w:hint="eastAsia" w:ascii="宋体" w:hAnsi="宋体" w:eastAsia="宋体"/>
          <w:b/>
          <w:bCs/>
          <w:sz w:val="24"/>
          <w:szCs w:val="28"/>
        </w:rPr>
        <w:t>唱标信封格式</w:t>
      </w:r>
    </w:p>
    <w:p w14:paraId="333F3E4C">
      <w:pPr>
        <w:spacing w:before="652" w:beforeLines="150"/>
        <w:jc w:val="center"/>
        <w:rPr>
          <w:rFonts w:hint="eastAsia" w:ascii="宋体" w:hAnsi="宋体" w:eastAsia="宋体"/>
          <w:b/>
          <w:bCs/>
          <w:sz w:val="80"/>
          <w:szCs w:val="80"/>
          <w:lang w:eastAsia="zh-CN"/>
        </w:rPr>
      </w:pPr>
      <w:r>
        <w:rPr>
          <w:rFonts w:hint="eastAsia" w:ascii="宋体" w:hAnsi="宋体" w:eastAsia="宋体"/>
          <w:b/>
          <w:bCs/>
          <w:sz w:val="80"/>
          <w:szCs w:val="80"/>
          <w:lang w:eastAsia="zh-CN"/>
        </w:rPr>
        <w:t>中德先进职业教育合作项目（SGAVE）</w:t>
      </w:r>
    </w:p>
    <w:p w14:paraId="1C45C70C">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3BF1DE3E">
      <w:pPr>
        <w:jc w:val="center"/>
        <w:rPr>
          <w:rFonts w:ascii="宋体" w:hAnsi="宋体" w:eastAsia="宋体"/>
          <w:b/>
          <w:bCs/>
        </w:rPr>
      </w:pPr>
      <w:r>
        <w:rPr>
          <w:rFonts w:ascii="宋体" w:hAnsi="宋体" w:eastAsia="宋体"/>
          <w:b/>
          <w:bCs/>
        </w:rPr>
        <w:br w:type="textWrapping"/>
      </w:r>
    </w:p>
    <w:p w14:paraId="48E7C3EB">
      <w:pPr>
        <w:keepNext w:val="0"/>
        <w:keepLines w:val="0"/>
        <w:pageBreakBefore w:val="0"/>
        <w:widowControl/>
        <w:kinsoku/>
        <w:wordWrap/>
        <w:overflowPunct/>
        <w:topLinePunct w:val="0"/>
        <w:autoSpaceDE/>
        <w:autoSpaceDN/>
        <w:bidi w:val="0"/>
        <w:adjustRightInd/>
        <w:snapToGrid/>
        <w:spacing w:before="3047" w:beforeLines="7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ZHDGZC2025060</w:t>
      </w:r>
    </w:p>
    <w:p w14:paraId="7E53EE93">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74F4864B">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63D0E60D">
      <w:pPr>
        <w:spacing w:line="360" w:lineRule="auto"/>
        <w:jc w:val="center"/>
        <w:rPr>
          <w:rFonts w:ascii="黑体" w:hAnsi="黑体" w:eastAsia="黑体"/>
          <w:bCs/>
          <w:color w:val="000000" w:themeColor="text1"/>
          <w:sz w:val="50"/>
          <w:szCs w:val="50"/>
          <w14:textFill>
            <w14:solidFill>
              <w14:schemeClr w14:val="tx1"/>
            </w14:solidFill>
          </w14:textFill>
        </w:rPr>
      </w:pPr>
    </w:p>
    <w:p w14:paraId="601675D5">
      <w:pPr>
        <w:pStyle w:val="24"/>
        <w:keepNext w:val="0"/>
        <w:keepLines w:val="0"/>
        <w:pageBreakBefore/>
        <w:widowControl w:val="0"/>
        <w:numPr>
          <w:ilvl w:val="0"/>
          <w:numId w:val="121"/>
        </w:numPr>
        <w:kinsoku/>
        <w:wordWrap/>
        <w:overflowPunct/>
        <w:topLinePunct w:val="0"/>
        <w:autoSpaceDE/>
        <w:autoSpaceDN/>
        <w:bidi w:val="0"/>
        <w:adjustRightInd/>
        <w:snapToGrid/>
        <w:spacing w:line="360" w:lineRule="auto"/>
        <w:ind w:left="420" w:hanging="420" w:firstLineChars="0"/>
        <w:textAlignment w:val="auto"/>
        <w:rPr>
          <w:rFonts w:ascii="宋体" w:hAnsi="宋体" w:eastAsia="宋体"/>
          <w:szCs w:val="21"/>
        </w:rPr>
      </w:pPr>
      <w:r>
        <w:rPr>
          <w:rFonts w:hint="eastAsia" w:ascii="宋体" w:hAnsi="宋体" w:eastAsia="宋体"/>
          <w:szCs w:val="21"/>
        </w:rPr>
        <w:t>开标一览表加盖投标人公章；</w:t>
      </w:r>
    </w:p>
    <w:p w14:paraId="58B368E9">
      <w:pPr>
        <w:pStyle w:val="24"/>
        <w:numPr>
          <w:ilvl w:val="0"/>
          <w:numId w:val="121"/>
        </w:numPr>
        <w:spacing w:line="360" w:lineRule="auto"/>
        <w:ind w:firstLineChars="0"/>
        <w:rPr>
          <w:rFonts w:ascii="宋体" w:hAnsi="宋体" w:eastAsia="宋体"/>
          <w:color w:val="auto"/>
          <w:szCs w:val="21"/>
        </w:rPr>
      </w:pPr>
      <w:r>
        <w:rPr>
          <w:rFonts w:hint="eastAsia" w:ascii="宋体" w:hAnsi="宋体" w:eastAsia="宋体"/>
          <w:color w:val="auto"/>
          <w:szCs w:val="21"/>
        </w:rPr>
        <w:t>分项报价表加盖投标人公章；</w:t>
      </w:r>
    </w:p>
    <w:p w14:paraId="52E698CE">
      <w:pPr>
        <w:pStyle w:val="24"/>
        <w:numPr>
          <w:ilvl w:val="0"/>
          <w:numId w:val="121"/>
        </w:numPr>
        <w:spacing w:line="360" w:lineRule="auto"/>
        <w:ind w:firstLineChars="0"/>
      </w:pPr>
      <w:r>
        <w:rPr>
          <w:rFonts w:hint="eastAsia" w:ascii="宋体" w:hAnsi="宋体" w:eastAsia="宋体"/>
          <w:szCs w:val="21"/>
        </w:rPr>
        <w:t>法定代表人证明书或法定代表人授权委托书加盖投标人公章</w:t>
      </w:r>
      <w:r>
        <w:rPr>
          <w:rFonts w:hint="eastAsia" w:ascii="宋体" w:hAnsi="宋体" w:eastAsia="宋体"/>
          <w:szCs w:val="21"/>
          <w:lang w:eastAsia="zh-CN"/>
        </w:rPr>
        <w:t>。</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B2183"/>
    <w:multiLevelType w:val="singleLevel"/>
    <w:tmpl w:val="84BB2183"/>
    <w:lvl w:ilvl="0" w:tentative="0">
      <w:start w:val="1"/>
      <w:numFmt w:val="decimal"/>
      <w:suff w:val="space"/>
      <w:lvlText w:val="%1."/>
      <w:lvlJc w:val="left"/>
      <w:pPr>
        <w:ind w:left="425" w:hanging="425"/>
      </w:pPr>
      <w:rPr>
        <w:rFonts w:hint="default"/>
        <w:b w:val="0"/>
        <w:bCs w:val="0"/>
        <w:sz w:val="21"/>
        <w:szCs w:val="21"/>
      </w:rPr>
    </w:lvl>
  </w:abstractNum>
  <w:abstractNum w:abstractNumId="1">
    <w:nsid w:val="85E05F11"/>
    <w:multiLevelType w:val="singleLevel"/>
    <w:tmpl w:val="85E05F11"/>
    <w:lvl w:ilvl="0" w:tentative="0">
      <w:start w:val="1"/>
      <w:numFmt w:val="decimalEnclosedCircleChinese"/>
      <w:suff w:val="nothing"/>
      <w:lvlText w:val="%1　"/>
      <w:lvlJc w:val="left"/>
      <w:pPr>
        <w:ind w:left="0" w:firstLine="400"/>
      </w:pPr>
      <w:rPr>
        <w:rFonts w:hint="eastAsia"/>
      </w:rPr>
    </w:lvl>
  </w:abstractNum>
  <w:abstractNum w:abstractNumId="2">
    <w:nsid w:val="8B8A83D9"/>
    <w:multiLevelType w:val="singleLevel"/>
    <w:tmpl w:val="8B8A83D9"/>
    <w:lvl w:ilvl="0" w:tentative="0">
      <w:start w:val="1"/>
      <w:numFmt w:val="decimal"/>
      <w:lvlText w:val="(%1)"/>
      <w:lvlJc w:val="left"/>
      <w:pPr>
        <w:ind w:left="425" w:hanging="425"/>
      </w:pPr>
      <w:rPr>
        <w:rFonts w:hint="default"/>
      </w:rPr>
    </w:lvl>
  </w:abstractNum>
  <w:abstractNum w:abstractNumId="3">
    <w:nsid w:val="8C31B8CB"/>
    <w:multiLevelType w:val="multilevel"/>
    <w:tmpl w:val="8C31B8CB"/>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8D96FDC0"/>
    <w:multiLevelType w:val="singleLevel"/>
    <w:tmpl w:val="8D96FDC0"/>
    <w:lvl w:ilvl="0" w:tentative="0">
      <w:start w:val="1"/>
      <w:numFmt w:val="decimal"/>
      <w:lvlText w:val="(%1)"/>
      <w:lvlJc w:val="left"/>
      <w:pPr>
        <w:ind w:left="425" w:hanging="425"/>
      </w:pPr>
      <w:rPr>
        <w:rFonts w:hint="default"/>
      </w:rPr>
    </w:lvl>
  </w:abstractNum>
  <w:abstractNum w:abstractNumId="5">
    <w:nsid w:val="9321C79F"/>
    <w:multiLevelType w:val="singleLevel"/>
    <w:tmpl w:val="9321C79F"/>
    <w:lvl w:ilvl="0" w:tentative="0">
      <w:start w:val="1"/>
      <w:numFmt w:val="decimalEnclosedCircleChinese"/>
      <w:suff w:val="nothing"/>
      <w:lvlText w:val="%1　"/>
      <w:lvlJc w:val="left"/>
      <w:pPr>
        <w:ind w:left="0" w:firstLine="400"/>
      </w:pPr>
      <w:rPr>
        <w:rFonts w:hint="eastAsia"/>
      </w:rPr>
    </w:lvl>
  </w:abstractNum>
  <w:abstractNum w:abstractNumId="6">
    <w:nsid w:val="98D57594"/>
    <w:multiLevelType w:val="singleLevel"/>
    <w:tmpl w:val="98D57594"/>
    <w:lvl w:ilvl="0" w:tentative="0">
      <w:start w:val="1"/>
      <w:numFmt w:val="decimal"/>
      <w:lvlText w:val="%1."/>
      <w:lvlJc w:val="left"/>
      <w:pPr>
        <w:ind w:left="425" w:hanging="425"/>
      </w:pPr>
      <w:rPr>
        <w:rFonts w:hint="default"/>
      </w:rPr>
    </w:lvl>
  </w:abstractNum>
  <w:abstractNum w:abstractNumId="7">
    <w:nsid w:val="B6144072"/>
    <w:multiLevelType w:val="singleLevel"/>
    <w:tmpl w:val="B6144072"/>
    <w:lvl w:ilvl="0" w:tentative="0">
      <w:start w:val="1"/>
      <w:numFmt w:val="decimal"/>
      <w:lvlText w:val="%1."/>
      <w:lvlJc w:val="left"/>
      <w:pPr>
        <w:ind w:left="425" w:hanging="425"/>
      </w:pPr>
      <w:rPr>
        <w:rFonts w:hint="default"/>
      </w:rPr>
    </w:lvl>
  </w:abstractNum>
  <w:abstractNum w:abstractNumId="8">
    <w:nsid w:val="B7420C6D"/>
    <w:multiLevelType w:val="singleLevel"/>
    <w:tmpl w:val="B7420C6D"/>
    <w:lvl w:ilvl="0" w:tentative="0">
      <w:start w:val="1"/>
      <w:numFmt w:val="decimalEnclosedCircleChinese"/>
      <w:suff w:val="nothing"/>
      <w:lvlText w:val="%1　"/>
      <w:lvlJc w:val="left"/>
      <w:pPr>
        <w:ind w:left="0" w:firstLine="400"/>
      </w:pPr>
      <w:rPr>
        <w:rFonts w:hint="eastAsia"/>
      </w:rPr>
    </w:lvl>
  </w:abstractNum>
  <w:abstractNum w:abstractNumId="9">
    <w:nsid w:val="B97B5B15"/>
    <w:multiLevelType w:val="singleLevel"/>
    <w:tmpl w:val="B97B5B15"/>
    <w:lvl w:ilvl="0" w:tentative="0">
      <w:start w:val="1"/>
      <w:numFmt w:val="decimal"/>
      <w:lvlText w:val="%1)"/>
      <w:lvlJc w:val="left"/>
      <w:pPr>
        <w:ind w:left="425" w:hanging="425"/>
      </w:pPr>
      <w:rPr>
        <w:rFonts w:hint="default"/>
        <w:color w:val="auto"/>
      </w:rPr>
    </w:lvl>
  </w:abstractNum>
  <w:abstractNum w:abstractNumId="10">
    <w:nsid w:val="C1AA86EC"/>
    <w:multiLevelType w:val="singleLevel"/>
    <w:tmpl w:val="C1AA86EC"/>
    <w:lvl w:ilvl="0" w:tentative="0">
      <w:start w:val="1"/>
      <w:numFmt w:val="decimal"/>
      <w:lvlText w:val="(%1)"/>
      <w:lvlJc w:val="left"/>
      <w:pPr>
        <w:ind w:left="425" w:hanging="425"/>
      </w:pPr>
      <w:rPr>
        <w:rFonts w:hint="default"/>
      </w:rPr>
    </w:lvl>
  </w:abstractNum>
  <w:abstractNum w:abstractNumId="11">
    <w:nsid w:val="C2474B39"/>
    <w:multiLevelType w:val="singleLevel"/>
    <w:tmpl w:val="C2474B39"/>
    <w:lvl w:ilvl="0" w:tentative="0">
      <w:start w:val="1"/>
      <w:numFmt w:val="decimal"/>
      <w:lvlText w:val="%1)"/>
      <w:lvlJc w:val="left"/>
      <w:pPr>
        <w:ind w:left="425" w:hanging="425"/>
      </w:pPr>
      <w:rPr>
        <w:rFonts w:hint="default"/>
      </w:rPr>
    </w:lvl>
  </w:abstractNum>
  <w:abstractNum w:abstractNumId="12">
    <w:nsid w:val="C2BEB4C7"/>
    <w:multiLevelType w:val="singleLevel"/>
    <w:tmpl w:val="C2BEB4C7"/>
    <w:lvl w:ilvl="0" w:tentative="0">
      <w:start w:val="1"/>
      <w:numFmt w:val="lowerLetter"/>
      <w:lvlText w:val="%1."/>
      <w:lvlJc w:val="left"/>
      <w:pPr>
        <w:ind w:left="425" w:hanging="425"/>
      </w:pPr>
      <w:rPr>
        <w:rFonts w:hint="default"/>
        <w:color w:val="auto"/>
      </w:rPr>
    </w:lvl>
  </w:abstractNum>
  <w:abstractNum w:abstractNumId="13">
    <w:nsid w:val="D8F214DE"/>
    <w:multiLevelType w:val="singleLevel"/>
    <w:tmpl w:val="D8F214DE"/>
    <w:lvl w:ilvl="0" w:tentative="0">
      <w:start w:val="1"/>
      <w:numFmt w:val="decimal"/>
      <w:suff w:val="space"/>
      <w:lvlText w:val="%1."/>
      <w:lvlJc w:val="left"/>
      <w:pPr>
        <w:ind w:left="425" w:hanging="425"/>
      </w:pPr>
      <w:rPr>
        <w:rFonts w:hint="default"/>
        <w:b w:val="0"/>
        <w:bCs w:val="0"/>
        <w:sz w:val="21"/>
        <w:szCs w:val="21"/>
      </w:rPr>
    </w:lvl>
  </w:abstractNum>
  <w:abstractNum w:abstractNumId="14">
    <w:nsid w:val="DEBEE662"/>
    <w:multiLevelType w:val="singleLevel"/>
    <w:tmpl w:val="DEBEE662"/>
    <w:lvl w:ilvl="0" w:tentative="0">
      <w:start w:val="1"/>
      <w:numFmt w:val="decimal"/>
      <w:lvlText w:val="%1."/>
      <w:lvlJc w:val="left"/>
      <w:pPr>
        <w:ind w:left="425" w:hanging="425"/>
      </w:pPr>
      <w:rPr>
        <w:rFonts w:hint="default"/>
      </w:rPr>
    </w:lvl>
  </w:abstractNum>
  <w:abstractNum w:abstractNumId="15">
    <w:nsid w:val="E415590B"/>
    <w:multiLevelType w:val="multilevel"/>
    <w:tmpl w:val="E415590B"/>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EC4895EE"/>
    <w:multiLevelType w:val="singleLevel"/>
    <w:tmpl w:val="EC4895EE"/>
    <w:lvl w:ilvl="0" w:tentative="0">
      <w:start w:val="1"/>
      <w:numFmt w:val="decimalEnclosedCircleChinese"/>
      <w:suff w:val="nothing"/>
      <w:lvlText w:val="%1　"/>
      <w:lvlJc w:val="left"/>
      <w:pPr>
        <w:ind w:left="0" w:firstLine="400"/>
      </w:pPr>
      <w:rPr>
        <w:rFonts w:hint="eastAsia"/>
      </w:rPr>
    </w:lvl>
  </w:abstractNum>
  <w:abstractNum w:abstractNumId="17">
    <w:nsid w:val="FE32E0B8"/>
    <w:multiLevelType w:val="singleLevel"/>
    <w:tmpl w:val="FE32E0B8"/>
    <w:lvl w:ilvl="0" w:tentative="0">
      <w:start w:val="1"/>
      <w:numFmt w:val="decimal"/>
      <w:lvlText w:val="%1."/>
      <w:lvlJc w:val="left"/>
      <w:pPr>
        <w:ind w:left="425" w:hanging="425"/>
      </w:pPr>
      <w:rPr>
        <w:rFonts w:hint="default"/>
      </w:rPr>
    </w:lvl>
  </w:abstractNum>
  <w:abstractNum w:abstractNumId="18">
    <w:nsid w:val="FF845E11"/>
    <w:multiLevelType w:val="singleLevel"/>
    <w:tmpl w:val="FF845E11"/>
    <w:lvl w:ilvl="0" w:tentative="0">
      <w:start w:val="1"/>
      <w:numFmt w:val="decimal"/>
      <w:suff w:val="space"/>
      <w:lvlText w:val="%1."/>
      <w:lvlJc w:val="left"/>
      <w:pPr>
        <w:ind w:left="425" w:hanging="425"/>
      </w:pPr>
      <w:rPr>
        <w:rFonts w:hint="default"/>
        <w:b/>
        <w:bCs/>
        <w:sz w:val="21"/>
        <w:szCs w:val="21"/>
      </w:rPr>
    </w:lvl>
  </w:abstractNum>
  <w:abstractNum w:abstractNumId="19">
    <w:nsid w:val="01A8ECC4"/>
    <w:multiLevelType w:val="singleLevel"/>
    <w:tmpl w:val="01A8ECC4"/>
    <w:lvl w:ilvl="0" w:tentative="0">
      <w:start w:val="1"/>
      <w:numFmt w:val="decimal"/>
      <w:lvlText w:val="%1)"/>
      <w:lvlJc w:val="left"/>
      <w:pPr>
        <w:ind w:left="425" w:hanging="425"/>
      </w:pPr>
      <w:rPr>
        <w:rFonts w:hint="default"/>
        <w:strike w:val="0"/>
        <w:dstrike w:val="0"/>
        <w:color w:val="auto"/>
      </w:rPr>
    </w:lvl>
  </w:abstractNum>
  <w:abstractNum w:abstractNumId="20">
    <w:nsid w:val="0238A59E"/>
    <w:multiLevelType w:val="singleLevel"/>
    <w:tmpl w:val="0238A59E"/>
    <w:lvl w:ilvl="0" w:tentative="0">
      <w:start w:val="1"/>
      <w:numFmt w:val="decimal"/>
      <w:lvlText w:val="(%1)"/>
      <w:lvlJc w:val="left"/>
      <w:pPr>
        <w:ind w:left="425" w:hanging="425"/>
      </w:pPr>
      <w:rPr>
        <w:rFonts w:hint="default"/>
      </w:rPr>
    </w:lvl>
  </w:abstractNum>
  <w:abstractNum w:abstractNumId="21">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02A67BF8"/>
    <w:multiLevelType w:val="singleLevel"/>
    <w:tmpl w:val="02A67BF8"/>
    <w:lvl w:ilvl="0" w:tentative="0">
      <w:start w:val="1"/>
      <w:numFmt w:val="decimal"/>
      <w:suff w:val="space"/>
      <w:lvlText w:val="%1."/>
      <w:lvlJc w:val="left"/>
      <w:pPr>
        <w:ind w:left="425" w:hanging="425"/>
      </w:pPr>
      <w:rPr>
        <w:rFonts w:hint="default"/>
      </w:rPr>
    </w:lvl>
  </w:abstractNum>
  <w:abstractNum w:abstractNumId="24">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5">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26">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0BFEF084"/>
    <w:multiLevelType w:val="singleLevel"/>
    <w:tmpl w:val="0BFEF084"/>
    <w:lvl w:ilvl="0" w:tentative="0">
      <w:start w:val="1"/>
      <w:numFmt w:val="decimal"/>
      <w:suff w:val="space"/>
      <w:lvlText w:val="%1."/>
      <w:lvlJc w:val="left"/>
      <w:pPr>
        <w:ind w:left="425" w:hanging="425"/>
      </w:pPr>
      <w:rPr>
        <w:rFonts w:hint="default"/>
      </w:rPr>
    </w:lvl>
  </w:abstractNum>
  <w:abstractNum w:abstractNumId="30">
    <w:nsid w:val="0C6026B2"/>
    <w:multiLevelType w:val="singleLevel"/>
    <w:tmpl w:val="0C6026B2"/>
    <w:lvl w:ilvl="0" w:tentative="0">
      <w:start w:val="1"/>
      <w:numFmt w:val="decimal"/>
      <w:lvlText w:val="%1)"/>
      <w:lvlJc w:val="left"/>
      <w:pPr>
        <w:ind w:left="425" w:hanging="425"/>
      </w:pPr>
      <w:rPr>
        <w:rFonts w:hint="default"/>
      </w:rPr>
    </w:lvl>
  </w:abstractNum>
  <w:abstractNum w:abstractNumId="31">
    <w:nsid w:val="11854C77"/>
    <w:multiLevelType w:val="multilevel"/>
    <w:tmpl w:val="11854C7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09DCF8C"/>
    <w:multiLevelType w:val="singleLevel"/>
    <w:tmpl w:val="209DCF8C"/>
    <w:lvl w:ilvl="0" w:tentative="0">
      <w:start w:val="1"/>
      <w:numFmt w:val="decimal"/>
      <w:lvlText w:val="(%1)"/>
      <w:lvlJc w:val="left"/>
      <w:pPr>
        <w:ind w:left="425" w:hanging="425"/>
      </w:pPr>
      <w:rPr>
        <w:rFonts w:hint="default"/>
      </w:rPr>
    </w:lvl>
  </w:abstractNum>
  <w:abstractNum w:abstractNumId="42">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0D03DEF"/>
    <w:multiLevelType w:val="singleLevel"/>
    <w:tmpl w:val="20D03DEF"/>
    <w:lvl w:ilvl="0" w:tentative="0">
      <w:start w:val="1"/>
      <w:numFmt w:val="decimal"/>
      <w:lvlText w:val="(%1)"/>
      <w:lvlJc w:val="left"/>
      <w:pPr>
        <w:ind w:left="425" w:hanging="425"/>
      </w:pPr>
      <w:rPr>
        <w:rFonts w:hint="default"/>
      </w:rPr>
    </w:lvl>
  </w:abstractNum>
  <w:abstractNum w:abstractNumId="4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6">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262F8E44"/>
    <w:multiLevelType w:val="singleLevel"/>
    <w:tmpl w:val="262F8E44"/>
    <w:lvl w:ilvl="0" w:tentative="0">
      <w:start w:val="1"/>
      <w:numFmt w:val="decimal"/>
      <w:lvlText w:val="%1)"/>
      <w:lvlJc w:val="left"/>
      <w:pPr>
        <w:ind w:left="425" w:hanging="425"/>
      </w:pPr>
      <w:rPr>
        <w:rFonts w:hint="default"/>
      </w:rPr>
    </w:lvl>
  </w:abstractNum>
  <w:abstractNum w:abstractNumId="48">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28BA8AEF"/>
    <w:multiLevelType w:val="singleLevel"/>
    <w:tmpl w:val="28BA8AEF"/>
    <w:lvl w:ilvl="0" w:tentative="0">
      <w:start w:val="1"/>
      <w:numFmt w:val="decimal"/>
      <w:suff w:val="space"/>
      <w:lvlText w:val="(%1)"/>
      <w:lvlJc w:val="left"/>
      <w:pPr>
        <w:ind w:left="425" w:hanging="425"/>
      </w:pPr>
      <w:rPr>
        <w:rFonts w:hint="default"/>
      </w:rPr>
    </w:lvl>
  </w:abstractNum>
  <w:abstractNum w:abstractNumId="52">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2C0D6F2A"/>
    <w:multiLevelType w:val="singleLevel"/>
    <w:tmpl w:val="2C0D6F2A"/>
    <w:lvl w:ilvl="0" w:tentative="0">
      <w:start w:val="1"/>
      <w:numFmt w:val="decimal"/>
      <w:lvlText w:val="%1)"/>
      <w:lvlJc w:val="left"/>
      <w:pPr>
        <w:ind w:left="425" w:hanging="425"/>
      </w:pPr>
      <w:rPr>
        <w:rFonts w:hint="default"/>
      </w:rPr>
    </w:lvl>
  </w:abstractNum>
  <w:abstractNum w:abstractNumId="55">
    <w:nsid w:val="2C4B92CF"/>
    <w:multiLevelType w:val="singleLevel"/>
    <w:tmpl w:val="2C4B92CF"/>
    <w:lvl w:ilvl="0" w:tentative="0">
      <w:start w:val="1"/>
      <w:numFmt w:val="lowerLetter"/>
      <w:lvlText w:val="%1."/>
      <w:lvlJc w:val="left"/>
      <w:pPr>
        <w:ind w:left="425" w:hanging="425"/>
      </w:pPr>
      <w:rPr>
        <w:rFonts w:hint="default"/>
      </w:rPr>
    </w:lvl>
  </w:abstractNum>
  <w:abstractNum w:abstractNumId="56">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2ECA4C0A"/>
    <w:multiLevelType w:val="singleLevel"/>
    <w:tmpl w:val="2ECA4C0A"/>
    <w:lvl w:ilvl="0" w:tentative="0">
      <w:start w:val="1"/>
      <w:numFmt w:val="lowerLetter"/>
      <w:lvlText w:val="%1."/>
      <w:lvlJc w:val="left"/>
      <w:pPr>
        <w:ind w:left="425" w:hanging="425"/>
      </w:pPr>
      <w:rPr>
        <w:rFonts w:hint="default"/>
        <w:strike w:val="0"/>
        <w:dstrike w:val="0"/>
        <w:color w:val="auto"/>
      </w:rPr>
    </w:lvl>
  </w:abstractNum>
  <w:abstractNum w:abstractNumId="58">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39BB059E"/>
    <w:multiLevelType w:val="singleLevel"/>
    <w:tmpl w:val="39BB059E"/>
    <w:lvl w:ilvl="0" w:tentative="0">
      <w:start w:val="1"/>
      <w:numFmt w:val="decimal"/>
      <w:lvlText w:val="(%1)"/>
      <w:lvlJc w:val="left"/>
      <w:pPr>
        <w:ind w:left="425" w:hanging="425"/>
      </w:pPr>
      <w:rPr>
        <w:rFonts w:hint="default"/>
      </w:rPr>
    </w:lvl>
  </w:abstractNum>
  <w:abstractNum w:abstractNumId="6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40E8E2B8"/>
    <w:multiLevelType w:val="multilevel"/>
    <w:tmpl w:val="40E8E2B8"/>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9">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5">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48562FA2"/>
    <w:multiLevelType w:val="singleLevel"/>
    <w:tmpl w:val="48562FA2"/>
    <w:lvl w:ilvl="0" w:tentative="0">
      <w:start w:val="1"/>
      <w:numFmt w:val="decimal"/>
      <w:lvlText w:val="%1)"/>
      <w:lvlJc w:val="left"/>
      <w:pPr>
        <w:ind w:left="425" w:hanging="425"/>
      </w:pPr>
      <w:rPr>
        <w:rFonts w:hint="default"/>
      </w:rPr>
    </w:lvl>
  </w:abstractNum>
  <w:abstractNum w:abstractNumId="78">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8">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54BECF0C"/>
    <w:multiLevelType w:val="singleLevel"/>
    <w:tmpl w:val="54BECF0C"/>
    <w:lvl w:ilvl="0" w:tentative="0">
      <w:start w:val="1"/>
      <w:numFmt w:val="decimalEnclosedCircleChinese"/>
      <w:suff w:val="nothing"/>
      <w:lvlText w:val="%1　"/>
      <w:lvlJc w:val="left"/>
      <w:pPr>
        <w:ind w:left="0" w:firstLine="400"/>
      </w:pPr>
      <w:rPr>
        <w:rFonts w:hint="eastAsia"/>
      </w:rPr>
    </w:lvl>
  </w:abstractNum>
  <w:abstractNum w:abstractNumId="90">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667B56F9"/>
    <w:multiLevelType w:val="multilevel"/>
    <w:tmpl w:val="667B56F9"/>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4">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5">
    <w:nsid w:val="79F69961"/>
    <w:multiLevelType w:val="singleLevel"/>
    <w:tmpl w:val="79F69961"/>
    <w:lvl w:ilvl="0" w:tentative="0">
      <w:start w:val="1"/>
      <w:numFmt w:val="lowerLetter"/>
      <w:lvlText w:val="%1."/>
      <w:lvlJc w:val="left"/>
      <w:pPr>
        <w:ind w:left="425" w:hanging="425"/>
      </w:pPr>
      <w:rPr>
        <w:rFonts w:hint="default"/>
        <w:color w:val="auto"/>
      </w:rPr>
    </w:lvl>
  </w:abstractNum>
  <w:abstractNum w:abstractNumId="116">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7">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8">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9">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59"/>
  </w:num>
  <w:num w:numId="2">
    <w:abstractNumId w:val="49"/>
  </w:num>
  <w:num w:numId="3">
    <w:abstractNumId w:val="73"/>
  </w:num>
  <w:num w:numId="4">
    <w:abstractNumId w:val="58"/>
  </w:num>
  <w:num w:numId="5">
    <w:abstractNumId w:val="81"/>
  </w:num>
  <w:num w:numId="6">
    <w:abstractNumId w:val="112"/>
  </w:num>
  <w:num w:numId="7">
    <w:abstractNumId w:val="52"/>
  </w:num>
  <w:num w:numId="8">
    <w:abstractNumId w:val="72"/>
  </w:num>
  <w:num w:numId="9">
    <w:abstractNumId w:val="103"/>
  </w:num>
  <w:num w:numId="10">
    <w:abstractNumId w:val="15"/>
  </w:num>
  <w:num w:numId="11">
    <w:abstractNumId w:val="18"/>
  </w:num>
  <w:num w:numId="12">
    <w:abstractNumId w:val="0"/>
  </w:num>
  <w:num w:numId="13">
    <w:abstractNumId w:val="13"/>
  </w:num>
  <w:num w:numId="14">
    <w:abstractNumId w:val="23"/>
  </w:num>
  <w:num w:numId="15">
    <w:abstractNumId w:val="68"/>
  </w:num>
  <w:num w:numId="16">
    <w:abstractNumId w:val="17"/>
  </w:num>
  <w:num w:numId="17">
    <w:abstractNumId w:val="6"/>
  </w:num>
  <w:num w:numId="18">
    <w:abstractNumId w:val="4"/>
  </w:num>
  <w:num w:numId="19">
    <w:abstractNumId w:val="19"/>
  </w:num>
  <w:num w:numId="20">
    <w:abstractNumId w:val="9"/>
  </w:num>
  <w:num w:numId="21">
    <w:abstractNumId w:val="7"/>
  </w:num>
  <w:num w:numId="22">
    <w:abstractNumId w:val="41"/>
  </w:num>
  <w:num w:numId="23">
    <w:abstractNumId w:val="61"/>
  </w:num>
  <w:num w:numId="24">
    <w:abstractNumId w:val="43"/>
  </w:num>
  <w:num w:numId="25">
    <w:abstractNumId w:val="30"/>
  </w:num>
  <w:num w:numId="26">
    <w:abstractNumId w:val="8"/>
  </w:num>
  <w:num w:numId="27">
    <w:abstractNumId w:val="1"/>
  </w:num>
  <w:num w:numId="28">
    <w:abstractNumId w:val="55"/>
  </w:num>
  <w:num w:numId="29">
    <w:abstractNumId w:val="57"/>
  </w:num>
  <w:num w:numId="30">
    <w:abstractNumId w:val="115"/>
  </w:num>
  <w:num w:numId="31">
    <w:abstractNumId w:val="12"/>
  </w:num>
  <w:num w:numId="32">
    <w:abstractNumId w:val="16"/>
  </w:num>
  <w:num w:numId="33">
    <w:abstractNumId w:val="89"/>
  </w:num>
  <w:num w:numId="34">
    <w:abstractNumId w:val="14"/>
  </w:num>
  <w:num w:numId="35">
    <w:abstractNumId w:val="20"/>
  </w:num>
  <w:num w:numId="36">
    <w:abstractNumId w:val="51"/>
  </w:num>
  <w:num w:numId="37">
    <w:abstractNumId w:val="11"/>
  </w:num>
  <w:num w:numId="38">
    <w:abstractNumId w:val="77"/>
  </w:num>
  <w:num w:numId="39">
    <w:abstractNumId w:val="47"/>
  </w:num>
  <w:num w:numId="40">
    <w:abstractNumId w:val="10"/>
  </w:num>
  <w:num w:numId="41">
    <w:abstractNumId w:val="2"/>
  </w:num>
  <w:num w:numId="42">
    <w:abstractNumId w:val="54"/>
  </w:num>
  <w:num w:numId="43">
    <w:abstractNumId w:val="5"/>
  </w:num>
  <w:num w:numId="44">
    <w:abstractNumId w:val="70"/>
  </w:num>
  <w:num w:numId="45">
    <w:abstractNumId w:val="110"/>
  </w:num>
  <w:num w:numId="46">
    <w:abstractNumId w:val="95"/>
  </w:num>
  <w:num w:numId="47">
    <w:abstractNumId w:val="67"/>
  </w:num>
  <w:num w:numId="48">
    <w:abstractNumId w:val="40"/>
  </w:num>
  <w:num w:numId="49">
    <w:abstractNumId w:val="117"/>
  </w:num>
  <w:num w:numId="50">
    <w:abstractNumId w:val="91"/>
  </w:num>
  <w:num w:numId="51">
    <w:abstractNumId w:val="53"/>
  </w:num>
  <w:num w:numId="52">
    <w:abstractNumId w:val="98"/>
  </w:num>
  <w:num w:numId="53">
    <w:abstractNumId w:val="60"/>
  </w:num>
  <w:num w:numId="54">
    <w:abstractNumId w:val="99"/>
  </w:num>
  <w:num w:numId="55">
    <w:abstractNumId w:val="96"/>
  </w:num>
  <w:num w:numId="56">
    <w:abstractNumId w:val="108"/>
  </w:num>
  <w:num w:numId="57">
    <w:abstractNumId w:val="106"/>
  </w:num>
  <w:num w:numId="58">
    <w:abstractNumId w:val="44"/>
  </w:num>
  <w:num w:numId="59">
    <w:abstractNumId w:val="32"/>
  </w:num>
  <w:num w:numId="60">
    <w:abstractNumId w:val="111"/>
  </w:num>
  <w:num w:numId="61">
    <w:abstractNumId w:val="80"/>
  </w:num>
  <w:num w:numId="62">
    <w:abstractNumId w:val="71"/>
  </w:num>
  <w:num w:numId="63">
    <w:abstractNumId w:val="94"/>
  </w:num>
  <w:num w:numId="64">
    <w:abstractNumId w:val="113"/>
  </w:num>
  <w:num w:numId="65">
    <w:abstractNumId w:val="76"/>
  </w:num>
  <w:num w:numId="66">
    <w:abstractNumId w:val="64"/>
  </w:num>
  <w:num w:numId="67">
    <w:abstractNumId w:val="63"/>
  </w:num>
  <w:num w:numId="68">
    <w:abstractNumId w:val="79"/>
  </w:num>
  <w:num w:numId="69">
    <w:abstractNumId w:val="22"/>
  </w:num>
  <w:num w:numId="70">
    <w:abstractNumId w:val="92"/>
  </w:num>
  <w:num w:numId="71">
    <w:abstractNumId w:val="105"/>
  </w:num>
  <w:num w:numId="72">
    <w:abstractNumId w:val="107"/>
  </w:num>
  <w:num w:numId="73">
    <w:abstractNumId w:val="38"/>
  </w:num>
  <w:num w:numId="74">
    <w:abstractNumId w:val="50"/>
  </w:num>
  <w:num w:numId="75">
    <w:abstractNumId w:val="93"/>
  </w:num>
  <w:num w:numId="76">
    <w:abstractNumId w:val="35"/>
  </w:num>
  <w:num w:numId="77">
    <w:abstractNumId w:val="39"/>
  </w:num>
  <w:num w:numId="78">
    <w:abstractNumId w:val="27"/>
  </w:num>
  <w:num w:numId="79">
    <w:abstractNumId w:val="75"/>
  </w:num>
  <w:num w:numId="80">
    <w:abstractNumId w:val="86"/>
  </w:num>
  <w:num w:numId="81">
    <w:abstractNumId w:val="97"/>
  </w:num>
  <w:num w:numId="82">
    <w:abstractNumId w:val="66"/>
  </w:num>
  <w:num w:numId="83">
    <w:abstractNumId w:val="69"/>
  </w:num>
  <w:num w:numId="84">
    <w:abstractNumId w:val="88"/>
  </w:num>
  <w:num w:numId="85">
    <w:abstractNumId w:val="100"/>
  </w:num>
  <w:num w:numId="86">
    <w:abstractNumId w:val="104"/>
  </w:num>
  <w:num w:numId="87">
    <w:abstractNumId w:val="82"/>
  </w:num>
  <w:num w:numId="88">
    <w:abstractNumId w:val="83"/>
  </w:num>
  <w:num w:numId="89">
    <w:abstractNumId w:val="119"/>
  </w:num>
  <w:num w:numId="90">
    <w:abstractNumId w:val="46"/>
  </w:num>
  <w:num w:numId="91">
    <w:abstractNumId w:val="84"/>
  </w:num>
  <w:num w:numId="92">
    <w:abstractNumId w:val="78"/>
  </w:num>
  <w:num w:numId="93">
    <w:abstractNumId w:val="118"/>
  </w:num>
  <w:num w:numId="94">
    <w:abstractNumId w:val="45"/>
  </w:num>
  <w:num w:numId="95">
    <w:abstractNumId w:val="74"/>
  </w:num>
  <w:num w:numId="96">
    <w:abstractNumId w:val="116"/>
  </w:num>
  <w:num w:numId="97">
    <w:abstractNumId w:val="24"/>
  </w:num>
  <w:num w:numId="98">
    <w:abstractNumId w:val="48"/>
  </w:num>
  <w:num w:numId="99">
    <w:abstractNumId w:val="87"/>
  </w:num>
  <w:num w:numId="100">
    <w:abstractNumId w:val="85"/>
  </w:num>
  <w:num w:numId="101">
    <w:abstractNumId w:val="34"/>
  </w:num>
  <w:num w:numId="102">
    <w:abstractNumId w:val="21"/>
  </w:num>
  <w:num w:numId="103">
    <w:abstractNumId w:val="114"/>
  </w:num>
  <w:num w:numId="104">
    <w:abstractNumId w:val="28"/>
  </w:num>
  <w:num w:numId="105">
    <w:abstractNumId w:val="65"/>
  </w:num>
  <w:num w:numId="106">
    <w:abstractNumId w:val="37"/>
  </w:num>
  <w:num w:numId="107">
    <w:abstractNumId w:val="120"/>
  </w:num>
  <w:num w:numId="108">
    <w:abstractNumId w:val="33"/>
  </w:num>
  <w:num w:numId="109">
    <w:abstractNumId w:val="101"/>
  </w:num>
  <w:num w:numId="110">
    <w:abstractNumId w:val="29"/>
  </w:num>
  <w:num w:numId="111">
    <w:abstractNumId w:val="26"/>
  </w:num>
  <w:num w:numId="112">
    <w:abstractNumId w:val="3"/>
  </w:num>
  <w:num w:numId="113">
    <w:abstractNumId w:val="109"/>
  </w:num>
  <w:num w:numId="114">
    <w:abstractNumId w:val="36"/>
  </w:num>
  <w:num w:numId="115">
    <w:abstractNumId w:val="42"/>
  </w:num>
  <w:num w:numId="116">
    <w:abstractNumId w:val="56"/>
  </w:num>
  <w:num w:numId="117">
    <w:abstractNumId w:val="25"/>
  </w:num>
  <w:num w:numId="118">
    <w:abstractNumId w:val="102"/>
  </w:num>
  <w:num w:numId="119">
    <w:abstractNumId w:val="31"/>
  </w:num>
  <w:num w:numId="120">
    <w:abstractNumId w:val="62"/>
  </w:num>
  <w:num w:numId="121">
    <w:abstractNumId w:val="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585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52A8D"/>
    <w:rsid w:val="00F72D56"/>
    <w:rsid w:val="00F77AFB"/>
    <w:rsid w:val="00F85FA3"/>
    <w:rsid w:val="00F9215D"/>
    <w:rsid w:val="00F952BC"/>
    <w:rsid w:val="00F96FB5"/>
    <w:rsid w:val="00FA1715"/>
    <w:rsid w:val="00FA6090"/>
    <w:rsid w:val="00FA7F4B"/>
    <w:rsid w:val="00FC7957"/>
    <w:rsid w:val="00FE239F"/>
    <w:rsid w:val="00FE277A"/>
    <w:rsid w:val="017D4F5C"/>
    <w:rsid w:val="019E3125"/>
    <w:rsid w:val="02544950"/>
    <w:rsid w:val="02936A01"/>
    <w:rsid w:val="03250FEA"/>
    <w:rsid w:val="0365214C"/>
    <w:rsid w:val="03670C57"/>
    <w:rsid w:val="03674364"/>
    <w:rsid w:val="03A762C0"/>
    <w:rsid w:val="03EC56F6"/>
    <w:rsid w:val="043833BC"/>
    <w:rsid w:val="048E122E"/>
    <w:rsid w:val="049820AD"/>
    <w:rsid w:val="04BA3C3B"/>
    <w:rsid w:val="04D4291E"/>
    <w:rsid w:val="04FC6AE0"/>
    <w:rsid w:val="05860D21"/>
    <w:rsid w:val="05A7587F"/>
    <w:rsid w:val="061A0D79"/>
    <w:rsid w:val="0620399E"/>
    <w:rsid w:val="062736E9"/>
    <w:rsid w:val="06ED5932"/>
    <w:rsid w:val="071C229E"/>
    <w:rsid w:val="07F24B51"/>
    <w:rsid w:val="08010F28"/>
    <w:rsid w:val="083572E7"/>
    <w:rsid w:val="08702488"/>
    <w:rsid w:val="0870581B"/>
    <w:rsid w:val="08723A01"/>
    <w:rsid w:val="088200BE"/>
    <w:rsid w:val="08F8136C"/>
    <w:rsid w:val="09047D11"/>
    <w:rsid w:val="094C3466"/>
    <w:rsid w:val="09B90AFC"/>
    <w:rsid w:val="0A406813"/>
    <w:rsid w:val="0A9F23E7"/>
    <w:rsid w:val="0B5A630E"/>
    <w:rsid w:val="0B9F6417"/>
    <w:rsid w:val="0BC1013B"/>
    <w:rsid w:val="0C48260B"/>
    <w:rsid w:val="0C9151CB"/>
    <w:rsid w:val="0CBD33D0"/>
    <w:rsid w:val="0D1878EB"/>
    <w:rsid w:val="0D5B6275"/>
    <w:rsid w:val="0DE16873"/>
    <w:rsid w:val="0ED62150"/>
    <w:rsid w:val="0F8C4EA2"/>
    <w:rsid w:val="107A6B0B"/>
    <w:rsid w:val="118440E5"/>
    <w:rsid w:val="12A52565"/>
    <w:rsid w:val="12C87391"/>
    <w:rsid w:val="12DE7825"/>
    <w:rsid w:val="130C25E4"/>
    <w:rsid w:val="132539EB"/>
    <w:rsid w:val="13286FC7"/>
    <w:rsid w:val="13441D7E"/>
    <w:rsid w:val="13710699"/>
    <w:rsid w:val="137361BF"/>
    <w:rsid w:val="13A97E33"/>
    <w:rsid w:val="14511B61"/>
    <w:rsid w:val="148E0DD7"/>
    <w:rsid w:val="14A26437"/>
    <w:rsid w:val="14D637E3"/>
    <w:rsid w:val="151F5428"/>
    <w:rsid w:val="15212909"/>
    <w:rsid w:val="154A4DA1"/>
    <w:rsid w:val="157478C5"/>
    <w:rsid w:val="15B609E4"/>
    <w:rsid w:val="160550C9"/>
    <w:rsid w:val="165E4F6A"/>
    <w:rsid w:val="182A5940"/>
    <w:rsid w:val="18E86D07"/>
    <w:rsid w:val="191C7400"/>
    <w:rsid w:val="19735B2F"/>
    <w:rsid w:val="19832ED4"/>
    <w:rsid w:val="198C7FDB"/>
    <w:rsid w:val="19AD1261"/>
    <w:rsid w:val="19F5712E"/>
    <w:rsid w:val="1A023DF9"/>
    <w:rsid w:val="1A7A6085"/>
    <w:rsid w:val="1A861BC0"/>
    <w:rsid w:val="1AED2CFB"/>
    <w:rsid w:val="1B0919D7"/>
    <w:rsid w:val="1B0B13D3"/>
    <w:rsid w:val="1BA17641"/>
    <w:rsid w:val="1BA62EAA"/>
    <w:rsid w:val="1BE834C2"/>
    <w:rsid w:val="1BF73D9A"/>
    <w:rsid w:val="1C3E5F02"/>
    <w:rsid w:val="1C6010F7"/>
    <w:rsid w:val="1CA737E6"/>
    <w:rsid w:val="1CB3587E"/>
    <w:rsid w:val="1D7C3EC2"/>
    <w:rsid w:val="1E004AF3"/>
    <w:rsid w:val="1E217D0B"/>
    <w:rsid w:val="1E5730FC"/>
    <w:rsid w:val="1F044C17"/>
    <w:rsid w:val="1F164D67"/>
    <w:rsid w:val="1F4E5D32"/>
    <w:rsid w:val="1F896D6A"/>
    <w:rsid w:val="1FB21E1D"/>
    <w:rsid w:val="1FDF698A"/>
    <w:rsid w:val="216058A9"/>
    <w:rsid w:val="21B856E5"/>
    <w:rsid w:val="21C978F2"/>
    <w:rsid w:val="21FF3314"/>
    <w:rsid w:val="220F3805"/>
    <w:rsid w:val="225278E7"/>
    <w:rsid w:val="23841D23"/>
    <w:rsid w:val="23A128D5"/>
    <w:rsid w:val="23D27417"/>
    <w:rsid w:val="24156E1F"/>
    <w:rsid w:val="249E0BC2"/>
    <w:rsid w:val="256B7B2F"/>
    <w:rsid w:val="25DC5E46"/>
    <w:rsid w:val="25EA0545"/>
    <w:rsid w:val="26A83F7A"/>
    <w:rsid w:val="279F712B"/>
    <w:rsid w:val="27AF30E6"/>
    <w:rsid w:val="27CC1EEA"/>
    <w:rsid w:val="286F5E18"/>
    <w:rsid w:val="28795BCE"/>
    <w:rsid w:val="288D37FB"/>
    <w:rsid w:val="29475CCC"/>
    <w:rsid w:val="295B52D4"/>
    <w:rsid w:val="2AC375D4"/>
    <w:rsid w:val="2B4C1378"/>
    <w:rsid w:val="2B577D1D"/>
    <w:rsid w:val="2B972C46"/>
    <w:rsid w:val="2BCD373A"/>
    <w:rsid w:val="2C5B55EB"/>
    <w:rsid w:val="2C8B5ED0"/>
    <w:rsid w:val="2C8C39F6"/>
    <w:rsid w:val="2CD47877"/>
    <w:rsid w:val="2CDC672B"/>
    <w:rsid w:val="2CF75313"/>
    <w:rsid w:val="2DFA2FBF"/>
    <w:rsid w:val="2E0C1292"/>
    <w:rsid w:val="2E5D1AEE"/>
    <w:rsid w:val="2EEF6BEA"/>
    <w:rsid w:val="2FC82F97"/>
    <w:rsid w:val="2FFB6FF1"/>
    <w:rsid w:val="302C30C3"/>
    <w:rsid w:val="30BD6874"/>
    <w:rsid w:val="314D5E4A"/>
    <w:rsid w:val="31BE4652"/>
    <w:rsid w:val="31FE7144"/>
    <w:rsid w:val="3202598B"/>
    <w:rsid w:val="321F34EA"/>
    <w:rsid w:val="32204794"/>
    <w:rsid w:val="32427031"/>
    <w:rsid w:val="32764F2C"/>
    <w:rsid w:val="327C753A"/>
    <w:rsid w:val="32931F82"/>
    <w:rsid w:val="32C8504E"/>
    <w:rsid w:val="33114C55"/>
    <w:rsid w:val="33604E27"/>
    <w:rsid w:val="337C47C4"/>
    <w:rsid w:val="339064C2"/>
    <w:rsid w:val="33A61841"/>
    <w:rsid w:val="344B4813"/>
    <w:rsid w:val="34DB19BE"/>
    <w:rsid w:val="35152498"/>
    <w:rsid w:val="3521523C"/>
    <w:rsid w:val="354C01C6"/>
    <w:rsid w:val="355718E2"/>
    <w:rsid w:val="356814A4"/>
    <w:rsid w:val="36162A70"/>
    <w:rsid w:val="36E7464B"/>
    <w:rsid w:val="373A0C1E"/>
    <w:rsid w:val="382D0783"/>
    <w:rsid w:val="38303DCF"/>
    <w:rsid w:val="38C42E95"/>
    <w:rsid w:val="38CD161E"/>
    <w:rsid w:val="39463C3B"/>
    <w:rsid w:val="39C40C73"/>
    <w:rsid w:val="39D9043B"/>
    <w:rsid w:val="3A5045E6"/>
    <w:rsid w:val="3AA976C2"/>
    <w:rsid w:val="3B07350D"/>
    <w:rsid w:val="3B1F3DBB"/>
    <w:rsid w:val="3B334302"/>
    <w:rsid w:val="3B353FB4"/>
    <w:rsid w:val="3BCF6ED8"/>
    <w:rsid w:val="3BEA0763"/>
    <w:rsid w:val="3C096E11"/>
    <w:rsid w:val="3C2974B3"/>
    <w:rsid w:val="3C797AF3"/>
    <w:rsid w:val="3D08531B"/>
    <w:rsid w:val="3D2748D8"/>
    <w:rsid w:val="3DD27E02"/>
    <w:rsid w:val="3E2C6003"/>
    <w:rsid w:val="3EDD43D4"/>
    <w:rsid w:val="3F6853D5"/>
    <w:rsid w:val="3F9A3787"/>
    <w:rsid w:val="3FCF098B"/>
    <w:rsid w:val="3FEA5058"/>
    <w:rsid w:val="402725F6"/>
    <w:rsid w:val="40B27A77"/>
    <w:rsid w:val="40C63523"/>
    <w:rsid w:val="40ED0AAF"/>
    <w:rsid w:val="40FE0F0E"/>
    <w:rsid w:val="4114428E"/>
    <w:rsid w:val="41856F3A"/>
    <w:rsid w:val="419E1DAA"/>
    <w:rsid w:val="41AE2885"/>
    <w:rsid w:val="41DB6B9B"/>
    <w:rsid w:val="421D53C4"/>
    <w:rsid w:val="42BA0E65"/>
    <w:rsid w:val="42F0276F"/>
    <w:rsid w:val="42FE0076"/>
    <w:rsid w:val="431A1904"/>
    <w:rsid w:val="43EE526A"/>
    <w:rsid w:val="44604B4B"/>
    <w:rsid w:val="448E07FB"/>
    <w:rsid w:val="458539AC"/>
    <w:rsid w:val="45A73923"/>
    <w:rsid w:val="466F2815"/>
    <w:rsid w:val="46AC6D17"/>
    <w:rsid w:val="46BD2CD2"/>
    <w:rsid w:val="46C6725C"/>
    <w:rsid w:val="475A5DAA"/>
    <w:rsid w:val="47947ED7"/>
    <w:rsid w:val="47A3432B"/>
    <w:rsid w:val="48DB38E3"/>
    <w:rsid w:val="48EC789E"/>
    <w:rsid w:val="48F30C2D"/>
    <w:rsid w:val="49072873"/>
    <w:rsid w:val="491F5EC6"/>
    <w:rsid w:val="49B2476E"/>
    <w:rsid w:val="49E669E4"/>
    <w:rsid w:val="4A174DEF"/>
    <w:rsid w:val="4A2420E4"/>
    <w:rsid w:val="4A392FB7"/>
    <w:rsid w:val="4A584FD3"/>
    <w:rsid w:val="4ACC5BD9"/>
    <w:rsid w:val="4AF62BCD"/>
    <w:rsid w:val="4B2772B4"/>
    <w:rsid w:val="4B6F3019"/>
    <w:rsid w:val="4B8169C4"/>
    <w:rsid w:val="4BA34B8C"/>
    <w:rsid w:val="4C101AF6"/>
    <w:rsid w:val="4C681932"/>
    <w:rsid w:val="4D163C3E"/>
    <w:rsid w:val="4D2E2B7B"/>
    <w:rsid w:val="4D435757"/>
    <w:rsid w:val="4D573E80"/>
    <w:rsid w:val="4DB1031F"/>
    <w:rsid w:val="4DD4573C"/>
    <w:rsid w:val="4E2A1318"/>
    <w:rsid w:val="4E76044F"/>
    <w:rsid w:val="4EB24694"/>
    <w:rsid w:val="4F2A2ECF"/>
    <w:rsid w:val="4F2C4E99"/>
    <w:rsid w:val="4F334479"/>
    <w:rsid w:val="4F6F5AF6"/>
    <w:rsid w:val="4F735774"/>
    <w:rsid w:val="4FFF1B10"/>
    <w:rsid w:val="50D650BC"/>
    <w:rsid w:val="51791EEB"/>
    <w:rsid w:val="518B234A"/>
    <w:rsid w:val="51F872B4"/>
    <w:rsid w:val="524F53C2"/>
    <w:rsid w:val="52652565"/>
    <w:rsid w:val="52974D1F"/>
    <w:rsid w:val="53136E4C"/>
    <w:rsid w:val="536B2E30"/>
    <w:rsid w:val="53ED0E1F"/>
    <w:rsid w:val="54091C4C"/>
    <w:rsid w:val="54102FDB"/>
    <w:rsid w:val="54680721"/>
    <w:rsid w:val="549C41C1"/>
    <w:rsid w:val="55652EB2"/>
    <w:rsid w:val="558C7C12"/>
    <w:rsid w:val="55B5279C"/>
    <w:rsid w:val="55BD2CEE"/>
    <w:rsid w:val="56737851"/>
    <w:rsid w:val="569B7451"/>
    <w:rsid w:val="574511ED"/>
    <w:rsid w:val="574B0E81"/>
    <w:rsid w:val="57B26712"/>
    <w:rsid w:val="57CD3623"/>
    <w:rsid w:val="57E37D4B"/>
    <w:rsid w:val="580A1AEF"/>
    <w:rsid w:val="58871392"/>
    <w:rsid w:val="589A7317"/>
    <w:rsid w:val="591702BF"/>
    <w:rsid w:val="59337BDA"/>
    <w:rsid w:val="59A463F5"/>
    <w:rsid w:val="5A2B3745"/>
    <w:rsid w:val="5A4968FF"/>
    <w:rsid w:val="5A71428A"/>
    <w:rsid w:val="5AF34ABD"/>
    <w:rsid w:val="5B4700E5"/>
    <w:rsid w:val="5D303DA6"/>
    <w:rsid w:val="5D331AE8"/>
    <w:rsid w:val="5D6567A1"/>
    <w:rsid w:val="5D8365CC"/>
    <w:rsid w:val="5DF82331"/>
    <w:rsid w:val="5E8334C6"/>
    <w:rsid w:val="5F001D70"/>
    <w:rsid w:val="5F592AFE"/>
    <w:rsid w:val="5FAA42E4"/>
    <w:rsid w:val="5FB17A73"/>
    <w:rsid w:val="5FB962D5"/>
    <w:rsid w:val="60F01468"/>
    <w:rsid w:val="617862D8"/>
    <w:rsid w:val="61860438"/>
    <w:rsid w:val="61C3168D"/>
    <w:rsid w:val="621517BC"/>
    <w:rsid w:val="624B3430"/>
    <w:rsid w:val="627209BD"/>
    <w:rsid w:val="62F12229"/>
    <w:rsid w:val="62F83BAB"/>
    <w:rsid w:val="630737FB"/>
    <w:rsid w:val="6315416A"/>
    <w:rsid w:val="63294A47"/>
    <w:rsid w:val="63342300"/>
    <w:rsid w:val="639A466F"/>
    <w:rsid w:val="64384D2D"/>
    <w:rsid w:val="6486074F"/>
    <w:rsid w:val="648669A1"/>
    <w:rsid w:val="65145C7D"/>
    <w:rsid w:val="65801643"/>
    <w:rsid w:val="658866DB"/>
    <w:rsid w:val="65A36D1C"/>
    <w:rsid w:val="660202AA"/>
    <w:rsid w:val="663568D1"/>
    <w:rsid w:val="664561D7"/>
    <w:rsid w:val="66E27B57"/>
    <w:rsid w:val="66E86B42"/>
    <w:rsid w:val="67472418"/>
    <w:rsid w:val="6787763F"/>
    <w:rsid w:val="67AD4C6F"/>
    <w:rsid w:val="67D53EC8"/>
    <w:rsid w:val="67E660D5"/>
    <w:rsid w:val="67F0485E"/>
    <w:rsid w:val="67F500C6"/>
    <w:rsid w:val="68116E94"/>
    <w:rsid w:val="68297D70"/>
    <w:rsid w:val="683D1B58"/>
    <w:rsid w:val="687946E6"/>
    <w:rsid w:val="689C49E5"/>
    <w:rsid w:val="68B7339D"/>
    <w:rsid w:val="69FC59C4"/>
    <w:rsid w:val="6A093665"/>
    <w:rsid w:val="6A3D3329"/>
    <w:rsid w:val="6A8C3F25"/>
    <w:rsid w:val="6AD0778C"/>
    <w:rsid w:val="6B166CD1"/>
    <w:rsid w:val="6B4578EA"/>
    <w:rsid w:val="6B826114"/>
    <w:rsid w:val="6C2157F2"/>
    <w:rsid w:val="6D2E6D7C"/>
    <w:rsid w:val="6D716441"/>
    <w:rsid w:val="6D9E0565"/>
    <w:rsid w:val="6F4B2CC1"/>
    <w:rsid w:val="6FF869A5"/>
    <w:rsid w:val="706D4A75"/>
    <w:rsid w:val="70920F76"/>
    <w:rsid w:val="70C662FB"/>
    <w:rsid w:val="70E707C8"/>
    <w:rsid w:val="718D75C1"/>
    <w:rsid w:val="71A05546"/>
    <w:rsid w:val="71C72AD3"/>
    <w:rsid w:val="721E46BD"/>
    <w:rsid w:val="72F01BB6"/>
    <w:rsid w:val="73726A6F"/>
    <w:rsid w:val="73DA2024"/>
    <w:rsid w:val="73F90F3E"/>
    <w:rsid w:val="74024296"/>
    <w:rsid w:val="74031DBD"/>
    <w:rsid w:val="751E2445"/>
    <w:rsid w:val="75F1685F"/>
    <w:rsid w:val="769B452E"/>
    <w:rsid w:val="76AF7FDA"/>
    <w:rsid w:val="772D6E8E"/>
    <w:rsid w:val="77493F8A"/>
    <w:rsid w:val="78146346"/>
    <w:rsid w:val="78191BAF"/>
    <w:rsid w:val="78CC6C21"/>
    <w:rsid w:val="78DE0702"/>
    <w:rsid w:val="79905EA0"/>
    <w:rsid w:val="79BF0534"/>
    <w:rsid w:val="79CE0C1F"/>
    <w:rsid w:val="79D446F2"/>
    <w:rsid w:val="7A19268B"/>
    <w:rsid w:val="7A230AC3"/>
    <w:rsid w:val="7AD95625"/>
    <w:rsid w:val="7C4946DF"/>
    <w:rsid w:val="7CC83BA3"/>
    <w:rsid w:val="7D9046C1"/>
    <w:rsid w:val="7DB303AF"/>
    <w:rsid w:val="7DF509C8"/>
    <w:rsid w:val="7EDA5F30"/>
    <w:rsid w:val="7EDB5E10"/>
    <w:rsid w:val="7EE04A9D"/>
    <w:rsid w:val="7EED5B43"/>
    <w:rsid w:val="7F6A7194"/>
    <w:rsid w:val="7F963AE5"/>
    <w:rsid w:val="7FD03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81</Pages>
  <Words>20704</Words>
  <Characters>22294</Characters>
  <Lines>304</Lines>
  <Paragraphs>85</Paragraphs>
  <TotalTime>0</TotalTime>
  <ScaleCrop>false</ScaleCrop>
  <LinksUpToDate>false</LinksUpToDate>
  <CharactersWithSpaces>22353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2025-08-08T00:46:20Z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