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62F71">
      <w:pPr>
        <w:spacing w:before="870" w:beforeLines="200" w:after="652" w:afterLines="150" w:line="360" w:lineRule="auto"/>
        <w:jc w:val="center"/>
        <w:rPr>
          <w:rFonts w:hint="eastAsia"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591E9C38">
      <w:pPr>
        <w:spacing w:before="652" w:beforeLines="150" w:after="870" w:afterLines="200" w:line="360" w:lineRule="auto"/>
        <w:jc w:val="center"/>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0FA9E382">
      <w:pPr>
        <w:pStyle w:val="18"/>
        <w:tabs>
          <w:tab w:val="left" w:pos="9072"/>
        </w:tabs>
        <w:spacing w:line="640" w:lineRule="exact"/>
        <w:ind w:firstLine="826" w:firstLineChars="235"/>
        <w:outlineLvl w:val="3"/>
        <w:rPr>
          <w:rFonts w:ascii="宋体" w:hAnsi="宋体" w:eastAsia="宋体"/>
          <w:sz w:val="35"/>
          <w:szCs w:val="35"/>
          <w:lang w:eastAsia="zh-CN"/>
        </w:rPr>
      </w:pPr>
      <w:r>
        <w:rPr>
          <w:rFonts w:ascii="宋体" w:hAnsi="宋体" w:eastAsia="宋体"/>
          <w:b/>
          <w:sz w:val="35"/>
          <w:szCs w:val="35"/>
        </w:rPr>
        <w:t>项目编号：ZHDGZC2025070</w:t>
      </w:r>
    </w:p>
    <w:p w14:paraId="5DF71874">
      <w:pPr>
        <w:pStyle w:val="18"/>
        <w:spacing w:line="640" w:lineRule="exact"/>
        <w:ind w:left="2527" w:leftChars="400" w:hanging="1687" w:hangingChars="480"/>
        <w:outlineLvl w:val="3"/>
        <w:rPr>
          <w:rFonts w:ascii="宋体" w:hAnsi="宋体" w:eastAsia="宋体"/>
          <w:sz w:val="35"/>
          <w:szCs w:val="35"/>
        </w:rPr>
      </w:pPr>
      <w:r>
        <w:rPr>
          <w:rFonts w:ascii="宋体" w:hAnsi="宋体" w:eastAsia="宋体"/>
          <w:b/>
          <w:sz w:val="35"/>
          <w:szCs w:val="35"/>
        </w:rPr>
        <w:t>项目名称：2025年东莞市农药包装废弃物与废旧农膜回收处理项目</w:t>
      </w:r>
    </w:p>
    <w:p w14:paraId="6F7AF5C7">
      <w:pPr>
        <w:pStyle w:val="18"/>
        <w:spacing w:line="640" w:lineRule="exact"/>
        <w:ind w:firstLine="826" w:firstLineChars="235"/>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人：东莞市农业技术推广管理办公室</w:t>
      </w:r>
    </w:p>
    <w:p w14:paraId="23D3DCAD">
      <w:pPr>
        <w:pStyle w:val="18"/>
        <w:spacing w:line="640" w:lineRule="exact"/>
        <w:ind w:firstLine="826" w:firstLineChars="235"/>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64C352B0">
          <w:pPr>
            <w:pStyle w:val="32"/>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2BBE8846">
          <w:pPr>
            <w:pStyle w:val="10"/>
            <w:tabs>
              <w:tab w:val="right" w:leader="dot" w:pos="9231"/>
            </w:tabs>
            <w:spacing w:line="360" w:lineRule="auto"/>
            <w:ind w:left="419" w:leftChars="68" w:hanging="276" w:hangingChars="115"/>
            <w:rPr>
              <w:rFonts w:hint="eastAsia"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6"/>
              <w:rFonts w:ascii="宋体" w:hAnsi="宋体" w:eastAsia="宋体" w:cs="Times New Roman"/>
              <w:kern w:val="0"/>
              <w:sz w:val="24"/>
              <w:szCs w:val="24"/>
              <w:lang w:eastAsia="zh-Hans"/>
            </w:rPr>
            <w:t>第一章</w:t>
          </w:r>
          <w:r>
            <w:rPr>
              <w:rStyle w:val="16"/>
              <w:rFonts w:ascii="宋体" w:hAnsi="宋体" w:eastAsia="宋体" w:cs="Times New Roman"/>
              <w:kern w:val="0"/>
              <w:sz w:val="24"/>
              <w:szCs w:val="24"/>
            </w:rPr>
            <w:t xml:space="preserve"> </w:t>
          </w:r>
          <w:r>
            <w:rPr>
              <w:rStyle w:val="16"/>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163AD646">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"_Toc169807541" </w:instrText>
          </w:r>
          <w:r>
            <w:fldChar w:fldCharType="separate"/>
          </w:r>
          <w:r>
            <w:rPr>
              <w:rStyle w:val="16"/>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33D09290">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"_Toc169807542" </w:instrText>
          </w:r>
          <w:r>
            <w:fldChar w:fldCharType="separate"/>
          </w:r>
          <w:r>
            <w:rPr>
              <w:rStyle w:val="16"/>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11</w:t>
          </w:r>
          <w:r>
            <w:rPr>
              <w:rFonts w:ascii="宋体" w:hAnsi="宋体" w:eastAsia="宋体"/>
              <w:sz w:val="24"/>
              <w:szCs w:val="24"/>
            </w:rPr>
            <w:fldChar w:fldCharType="end"/>
          </w:r>
          <w:r>
            <w:rPr>
              <w:rFonts w:ascii="宋体" w:hAnsi="宋体" w:eastAsia="宋体"/>
              <w:sz w:val="24"/>
              <w:szCs w:val="24"/>
            </w:rPr>
            <w:fldChar w:fldCharType="end"/>
          </w:r>
        </w:p>
        <w:p w14:paraId="08276CF6">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"_Toc169807543" </w:instrText>
          </w:r>
          <w:r>
            <w:fldChar w:fldCharType="separate"/>
          </w:r>
          <w:r>
            <w:rPr>
              <w:rStyle w:val="16"/>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14:paraId="109E6CAF">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"_Toc169807544" </w:instrText>
          </w:r>
          <w:r>
            <w:fldChar w:fldCharType="separate"/>
          </w:r>
          <w:r>
            <w:rPr>
              <w:rStyle w:val="16"/>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14:paraId="0B807855">
          <w:pPr>
            <w:pStyle w:val="10"/>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"_Toc169807545" </w:instrText>
          </w:r>
          <w:r>
            <w:fldChar w:fldCharType="separate"/>
          </w:r>
          <w:r>
            <w:rPr>
              <w:rStyle w:val="16"/>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40</w:t>
          </w:r>
          <w:r>
            <w:rPr>
              <w:rFonts w:ascii="宋体" w:hAnsi="宋体" w:eastAsia="宋体"/>
              <w:sz w:val="24"/>
              <w:szCs w:val="24"/>
            </w:rPr>
            <w:fldChar w:fldCharType="end"/>
          </w:r>
          <w:r>
            <w:rPr>
              <w:rFonts w:ascii="宋体" w:hAnsi="宋体" w:eastAsia="宋体"/>
              <w:sz w:val="24"/>
              <w:szCs w:val="24"/>
            </w:rPr>
            <w:fldChar w:fldCharType="end"/>
          </w:r>
        </w:p>
        <w:p w14:paraId="4D65E689">
          <w:pPr>
            <w:pStyle w:val="18"/>
            <w:rPr>
              <w:rFonts w:ascii="宋体" w:hAnsi="宋体" w:eastAsia="宋体"/>
              <w:lang w:eastAsia="zh-CN"/>
            </w:rPr>
          </w:pPr>
          <w:r>
            <w:rPr>
              <w:rFonts w:ascii="宋体" w:hAnsi="宋体" w:eastAsia="宋体"/>
              <w:sz w:val="24"/>
              <w:szCs w:val="24"/>
              <w:lang w:val="zh-CN"/>
            </w:rPr>
            <w:fldChar w:fldCharType="end"/>
          </w:r>
        </w:p>
      </w:sdtContent>
    </w:sdt>
    <w:p w14:paraId="153F978C">
      <w:pPr>
        <w:pageBreakBefore/>
        <w:jc w:val="center"/>
        <w:outlineLvl w:val="1"/>
        <w:rPr>
          <w:rFonts w:ascii="Calibri" w:hAnsi="Calibri" w:eastAsia="宋体" w:cs="Times New Roman"/>
          <w:color w:val="auto"/>
          <w:kern w:val="0"/>
          <w:sz w:val="20"/>
          <w:szCs w:val="20"/>
          <w:lang w:eastAsia="zh-Hans"/>
        </w:rPr>
      </w:pPr>
      <w:bookmarkStart w:id="0" w:name="_Toc169807540"/>
      <w:bookmarkStart w:id="1" w:name="_Toc16979977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w:t>
      </w:r>
      <w:r>
        <w:rPr>
          <w:rFonts w:ascii="Calibri" w:hAnsi="Calibri" w:eastAsia="宋体" w:cs="Times New Roman"/>
          <w:b/>
          <w:color w:val="auto"/>
          <w:kern w:val="0"/>
          <w:sz w:val="36"/>
          <w:szCs w:val="20"/>
          <w:lang w:eastAsia="zh-Hans"/>
        </w:rPr>
        <w:t>标邀请</w:t>
      </w:r>
      <w:bookmarkEnd w:id="0"/>
      <w:bookmarkEnd w:id="1"/>
    </w:p>
    <w:p w14:paraId="48949A93">
      <w:pPr>
        <w:widowControl/>
        <w:ind w:firstLine="420" w:firstLineChars="200"/>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（2025年东莞市农药包装废弃物与废旧农膜回收处理项目）</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09</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23</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09</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30</w:t>
      </w:r>
      <w:r>
        <w:rPr>
          <w:rFonts w:ascii="宋体" w:hAnsi="宋体" w:eastAsia="宋体" w:cs="Times New Roman"/>
          <w:color w:val="auto"/>
          <w:kern w:val="0"/>
          <w:szCs w:val="21"/>
          <w:lang w:eastAsia="zh-Hans"/>
        </w:rPr>
        <w:t>分（北京时间）前递交投标文件。</w:t>
      </w:r>
    </w:p>
    <w:p w14:paraId="4C3EA92D">
      <w:pPr>
        <w:spacing w:before="217" w:beforeLines="50"/>
        <w:rPr>
          <w:rFonts w:hint="eastAsia"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0FE9AB1B">
      <w:pPr>
        <w:pStyle w:val="24"/>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192098C6">
      <w:pPr>
        <w:widowControl/>
        <w:jc w:val="left"/>
        <w:rPr>
          <w:rFonts w:hint="eastAsia" w:ascii="宋体" w:hAnsi="宋体" w:eastAsia="宋体" w:cs="Times New Roman"/>
          <w:kern w:val="0"/>
          <w:szCs w:val="21"/>
        </w:rPr>
      </w:pPr>
      <w:r>
        <w:rPr>
          <w:rFonts w:hint="eastAsia" w:ascii="宋体" w:hAnsi="宋体" w:eastAsia="宋体" w:cs="Times New Roman"/>
          <w:kern w:val="0"/>
          <w:szCs w:val="21"/>
        </w:rPr>
        <w:t>项目编号：ZHDGZC2025070</w:t>
      </w:r>
    </w:p>
    <w:p w14:paraId="21762A41">
      <w:pPr>
        <w:widowControl/>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项目名称：2</w:t>
      </w:r>
      <w:r>
        <w:rPr>
          <w:rFonts w:ascii="宋体" w:hAnsi="宋体" w:eastAsia="宋体" w:cs="Times New Roman"/>
          <w:color w:val="auto"/>
          <w:kern w:val="0"/>
          <w:szCs w:val="21"/>
          <w:lang w:eastAsia="zh-Hans"/>
        </w:rPr>
        <w:t>025年东莞市农药包装废弃物与废旧农膜回收处理项目</w:t>
      </w:r>
    </w:p>
    <w:p w14:paraId="22BBF6C1">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75103FA">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566,000.00</w:t>
      </w:r>
      <w:r>
        <w:rPr>
          <w:rFonts w:ascii="宋体" w:hAnsi="宋体" w:eastAsia="宋体" w:cs="Times New Roman"/>
          <w:color w:val="auto"/>
          <w:kern w:val="0"/>
          <w:szCs w:val="21"/>
          <w:lang w:eastAsia="zh-Hans"/>
        </w:rPr>
        <w:t>元</w:t>
      </w:r>
    </w:p>
    <w:p w14:paraId="028DE1EC">
      <w:pPr>
        <w:pStyle w:val="24"/>
        <w:widowControl/>
        <w:numPr>
          <w:ilvl w:val="0"/>
          <w:numId w:val="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hint="eastAsia" w:ascii="宋体" w:hAnsi="宋体" w:eastAsia="宋体" w:cs="Times New Roman"/>
          <w:b/>
          <w:color w:val="auto"/>
          <w:kern w:val="0"/>
          <w:szCs w:val="21"/>
          <w:lang w:eastAsia="zh-CN"/>
        </w:rPr>
        <w:t>：</w:t>
      </w:r>
      <w:r>
        <w:rPr>
          <w:rFonts w:ascii="宋体" w:hAnsi="宋体" w:eastAsia="宋体" w:cs="Times New Roman"/>
          <w:color w:val="auto"/>
          <w:kern w:val="0"/>
          <w:szCs w:val="21"/>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29"/>
        <w:gridCol w:w="1826"/>
        <w:gridCol w:w="1447"/>
        <w:gridCol w:w="2604"/>
      </w:tblGrid>
      <w:tr w14:paraId="7EB7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366" w:type="pct"/>
            <w:vAlign w:val="center"/>
          </w:tcPr>
          <w:p w14:paraId="19A8D82E">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469" w:type="pct"/>
            <w:vAlign w:val="center"/>
          </w:tcPr>
          <w:p w14:paraId="60C09E5A">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983" w:type="pct"/>
            <w:vAlign w:val="center"/>
          </w:tcPr>
          <w:p w14:paraId="52E3FA4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779" w:type="pct"/>
            <w:vAlign w:val="center"/>
          </w:tcPr>
          <w:p w14:paraId="6A048C3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1402" w:type="pct"/>
            <w:vAlign w:val="center"/>
          </w:tcPr>
          <w:p w14:paraId="2BA40A5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22578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366" w:type="pct"/>
            <w:vAlign w:val="center"/>
          </w:tcPr>
          <w:p w14:paraId="7C9F6908">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469" w:type="pct"/>
            <w:vAlign w:val="center"/>
          </w:tcPr>
          <w:p w14:paraId="29482A89">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农药包装废弃物与废旧农膜回收处理</w:t>
            </w:r>
          </w:p>
        </w:tc>
        <w:tc>
          <w:tcPr>
            <w:tcW w:w="983" w:type="pct"/>
            <w:vAlign w:val="center"/>
          </w:tcPr>
          <w:p w14:paraId="2C6C814A">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566,000.00</w:t>
            </w:r>
          </w:p>
        </w:tc>
        <w:tc>
          <w:tcPr>
            <w:tcW w:w="779" w:type="pct"/>
            <w:vAlign w:val="center"/>
          </w:tcPr>
          <w:p w14:paraId="7454BC9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1402" w:type="pct"/>
            <w:vAlign w:val="center"/>
          </w:tcPr>
          <w:p w14:paraId="321C57E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3A2387D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lang w:eastAsia="zh-Hans"/>
        </w:rPr>
        <w:t>合同履行期限：</w:t>
      </w:r>
      <w:r>
        <w:rPr>
          <w:rFonts w:ascii="宋体" w:hAnsi="宋体" w:eastAsia="宋体" w:cs="Times New Roman"/>
          <w:color w:val="auto"/>
          <w:kern w:val="0"/>
          <w:szCs w:val="21"/>
          <w:highlight w:val="none"/>
          <w:lang w:eastAsia="zh-Hans"/>
        </w:rPr>
        <w:t>1年</w:t>
      </w:r>
      <w:r>
        <w:rPr>
          <w:rFonts w:hint="eastAsia" w:ascii="宋体" w:hAnsi="宋体" w:eastAsia="宋体" w:cs="Times New Roman"/>
          <w:color w:val="auto"/>
          <w:kern w:val="0"/>
          <w:szCs w:val="21"/>
          <w:highlight w:val="none"/>
          <w:lang w:eastAsia="zh-CN"/>
        </w:rPr>
        <w:t>，</w:t>
      </w:r>
      <w:r>
        <w:rPr>
          <w:rFonts w:hint="eastAsia" w:ascii="宋体" w:hAnsi="宋体" w:eastAsia="宋体" w:cs="宋体"/>
          <w:sz w:val="21"/>
          <w:szCs w:val="21"/>
          <w:highlight w:val="none"/>
          <w:lang w:val="en-US" w:eastAsia="zh-Hans"/>
        </w:rPr>
        <w:t>具体服务时间合同签订时确认，服务期满或合同期内项目结算金额达到项目预算金额的，合同自动终止</w:t>
      </w:r>
      <w:r>
        <w:rPr>
          <w:rFonts w:ascii="宋体" w:hAnsi="宋体" w:eastAsia="宋体" w:cs="Times New Roman"/>
          <w:color w:val="auto"/>
          <w:kern w:val="0"/>
          <w:szCs w:val="21"/>
          <w:highlight w:val="none"/>
          <w:lang w:eastAsia="zh-Hans"/>
        </w:rPr>
        <w:t>。</w:t>
      </w:r>
    </w:p>
    <w:p w14:paraId="15145FE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本项目接受联合体投标。</w:t>
      </w:r>
    </w:p>
    <w:p w14:paraId="6A05AE41">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color w:val="auto"/>
          <w:kern w:val="0"/>
          <w:sz w:val="24"/>
          <w:szCs w:val="24"/>
          <w:lang w:eastAsia="zh-Hans"/>
        </w:rPr>
        <w:t>二、申请人的资</w:t>
      </w:r>
      <w:r>
        <w:rPr>
          <w:rFonts w:hint="eastAsia" w:ascii="宋体" w:hAnsi="宋体" w:eastAsia="宋体" w:cs="Times New Roman"/>
          <w:b/>
          <w:kern w:val="0"/>
          <w:sz w:val="24"/>
          <w:szCs w:val="24"/>
          <w:lang w:eastAsia="zh-Hans"/>
        </w:rPr>
        <w:t>格要求：</w:t>
      </w:r>
    </w:p>
    <w:p w14:paraId="4A4F39EB">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3DA0B87D">
      <w:pPr>
        <w:pStyle w:val="24"/>
        <w:widowControl/>
        <w:numPr>
          <w:ilvl w:val="0"/>
          <w:numId w:val="3"/>
        </w:numPr>
        <w:ind w:firstLineChars="0"/>
        <w:jc w:val="left"/>
        <w:outlineLvl w:val="3"/>
        <w:rPr>
          <w:rFonts w:ascii="Calibri" w:hAnsi="Calibri" w:eastAsia="宋体" w:cs="Times New Roman"/>
          <w:bCs/>
          <w:color w:val="auto"/>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w:t>
      </w:r>
      <w:r>
        <w:rPr>
          <w:rFonts w:ascii="Calibri" w:hAnsi="Calibri" w:eastAsia="宋体" w:cs="Times New Roman"/>
          <w:bCs/>
          <w:color w:val="auto"/>
          <w:kern w:val="0"/>
          <w:szCs w:val="21"/>
        </w:rPr>
        <w:t>总所）取得的相关资质证书对分支机构有效，法律法规或者行业另有规定的除外。）</w:t>
      </w:r>
    </w:p>
    <w:p w14:paraId="6CF07834">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color w:val="auto"/>
          <w:kern w:val="0"/>
          <w:szCs w:val="21"/>
        </w:rPr>
        <w:t>具有良好的商业信誉和健全的财务会计制度，</w:t>
      </w: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r>
        <w:rPr>
          <w:rFonts w:ascii="Calibri" w:hAnsi="Calibri" w:eastAsia="宋体" w:cs="Times New Roman"/>
          <w:bCs/>
          <w:kern w:val="0"/>
          <w:szCs w:val="21"/>
        </w:rPr>
        <w:t>）。</w:t>
      </w:r>
    </w:p>
    <w:p w14:paraId="1A185685">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2838A882">
      <w:pPr>
        <w:pStyle w:val="24"/>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19CD47E7">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4CBD3917">
      <w:pPr>
        <w:pStyle w:val="24"/>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41012102">
      <w:pPr>
        <w:pStyle w:val="24"/>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5A67D956">
      <w:pPr>
        <w:pStyle w:val="24"/>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231EC87A">
      <w:pPr>
        <w:pStyle w:val="24"/>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w:t>
      </w:r>
      <w:r>
        <w:rPr>
          <w:rFonts w:ascii="宋体" w:hAnsi="宋体" w:eastAsia="宋体" w:cs="Times New Roman"/>
          <w:color w:val="auto"/>
          <w:kern w:val="0"/>
          <w:szCs w:val="21"/>
          <w:highlight w:val="none"/>
          <w:lang w:eastAsia="zh-Hans"/>
        </w:rPr>
        <w:t>应）。投标（报价）函相关承诺要求内容。</w:t>
      </w:r>
    </w:p>
    <w:p w14:paraId="6D6CE851">
      <w:pPr>
        <w:pStyle w:val="24"/>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其他特定资格要求</w:t>
      </w:r>
      <w:r>
        <w:rPr>
          <w:rFonts w:hint="eastAsia" w:ascii="宋体" w:hAnsi="宋体" w:eastAsia="宋体" w:cs="宋体"/>
          <w:color w:val="auto"/>
          <w:kern w:val="0"/>
          <w:szCs w:val="21"/>
          <w:highlight w:val="none"/>
        </w:rPr>
        <w:t>：</w:t>
      </w:r>
    </w:p>
    <w:p w14:paraId="0066903F">
      <w:pPr>
        <w:pStyle w:val="18"/>
        <w:ind w:left="420" w:leftChars="200" w:firstLine="0" w:firstLineChars="0"/>
        <w:rPr>
          <w:rFonts w:hint="eastAsia" w:ascii="宋体" w:hAnsi="宋体" w:eastAsia="宋体" w:cs="Times New Roman"/>
          <w:b/>
          <w:bCs/>
          <w:color w:val="auto"/>
          <w:sz w:val="21"/>
          <w:szCs w:val="21"/>
          <w:highlight w:val="none"/>
          <w:lang w:eastAsia="zh-Hans"/>
        </w:rPr>
      </w:pPr>
      <w:r>
        <w:rPr>
          <w:rFonts w:hint="eastAsia" w:ascii="宋体" w:hAnsi="宋体" w:eastAsia="宋体" w:cs="Times New Roman"/>
          <w:b/>
          <w:bCs/>
          <w:color w:val="auto"/>
          <w:sz w:val="21"/>
          <w:szCs w:val="21"/>
          <w:highlight w:val="none"/>
          <w:lang w:eastAsia="zh-CN"/>
        </w:rPr>
        <w:t>（1）</w:t>
      </w:r>
      <w:bookmarkEnd w:id="3"/>
      <w:r>
        <w:rPr>
          <w:rFonts w:hint="eastAsia" w:ascii="宋体" w:hAnsi="宋体" w:eastAsia="宋体" w:cs="Times New Roman"/>
          <w:b/>
          <w:bCs/>
          <w:color w:val="auto"/>
          <w:sz w:val="21"/>
          <w:szCs w:val="21"/>
          <w:highlight w:val="none"/>
          <w:lang w:eastAsia="zh-CN"/>
        </w:rPr>
        <w:t>投标人须</w:t>
      </w:r>
      <w:r>
        <w:rPr>
          <w:rFonts w:hint="eastAsia" w:ascii="宋体" w:hAnsi="宋体" w:eastAsia="宋体" w:cs="Times New Roman"/>
          <w:b/>
          <w:bCs/>
          <w:color w:val="auto"/>
          <w:sz w:val="21"/>
          <w:szCs w:val="21"/>
          <w:highlight w:val="none"/>
          <w:lang w:val="en-US" w:eastAsia="zh-CN"/>
        </w:rPr>
        <w:t>提供</w:t>
      </w:r>
      <w:r>
        <w:rPr>
          <w:rFonts w:hint="eastAsia" w:ascii="宋体" w:hAnsi="宋体" w:eastAsia="宋体" w:cs="Times New Roman"/>
          <w:b/>
          <w:bCs/>
          <w:color w:val="auto"/>
          <w:sz w:val="21"/>
          <w:szCs w:val="21"/>
          <w:highlight w:val="none"/>
          <w:lang w:eastAsia="zh-Hans"/>
        </w:rPr>
        <w:t>有效期内</w:t>
      </w:r>
      <w:r>
        <w:rPr>
          <w:rFonts w:hint="eastAsia" w:ascii="宋体" w:hAnsi="宋体" w:eastAsia="宋体" w:cs="Times New Roman"/>
          <w:b/>
          <w:bCs/>
          <w:color w:val="auto"/>
          <w:sz w:val="21"/>
          <w:szCs w:val="21"/>
          <w:highlight w:val="none"/>
          <w:lang w:val="en-US" w:eastAsia="zh-CN"/>
        </w:rPr>
        <w:t>的</w:t>
      </w:r>
      <w:r>
        <w:rPr>
          <w:rFonts w:hint="eastAsia" w:ascii="宋体" w:hAnsi="宋体" w:eastAsia="宋体" w:cs="Times New Roman"/>
          <w:b/>
          <w:bCs/>
          <w:color w:val="auto"/>
          <w:sz w:val="21"/>
          <w:szCs w:val="21"/>
          <w:highlight w:val="none"/>
          <w:lang w:eastAsia="zh-CN"/>
        </w:rPr>
        <w:t>《危险废物经营许可证》（</w:t>
      </w:r>
      <w:r>
        <w:rPr>
          <w:rFonts w:hint="eastAsia" w:ascii="宋体" w:hAnsi="宋体" w:eastAsia="宋体" w:cs="Times New Roman"/>
          <w:b/>
          <w:bCs/>
          <w:color w:val="auto"/>
          <w:sz w:val="21"/>
          <w:szCs w:val="21"/>
          <w:highlight w:val="none"/>
          <w:lang w:val="en-US" w:eastAsia="zh-CN"/>
        </w:rPr>
        <w:t>核准经营危险</w:t>
      </w:r>
      <w:r>
        <w:rPr>
          <w:rFonts w:hint="eastAsia" w:ascii="宋体" w:hAnsi="宋体" w:eastAsia="宋体" w:cs="Times New Roman"/>
          <w:b/>
          <w:bCs/>
          <w:color w:val="auto"/>
          <w:sz w:val="21"/>
          <w:szCs w:val="21"/>
          <w:highlight w:val="none"/>
          <w:lang w:eastAsia="zh-CN"/>
        </w:rPr>
        <w:t>废物类别：HW</w:t>
      </w:r>
      <w:r>
        <w:rPr>
          <w:rFonts w:hint="eastAsia" w:ascii="宋体" w:hAnsi="宋体" w:eastAsia="宋体" w:cs="Times New Roman"/>
          <w:b/>
          <w:bCs/>
          <w:color w:val="auto"/>
          <w:sz w:val="21"/>
          <w:szCs w:val="21"/>
          <w:highlight w:val="none"/>
          <w:lang w:val="en-US" w:eastAsia="zh-CN"/>
        </w:rPr>
        <w:t>04</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复印件</w:t>
      </w:r>
      <w:r>
        <w:rPr>
          <w:rFonts w:hint="eastAsia" w:ascii="宋体" w:hAnsi="宋体" w:eastAsia="宋体" w:cs="Times New Roman"/>
          <w:b/>
          <w:bCs/>
          <w:color w:val="auto"/>
          <w:sz w:val="21"/>
          <w:szCs w:val="21"/>
          <w:highlight w:val="none"/>
          <w:lang w:val="en-US" w:eastAsia="zh-CN"/>
        </w:rPr>
        <w:t>并加盖投标人公章</w:t>
      </w:r>
      <w:r>
        <w:rPr>
          <w:rFonts w:hint="eastAsia" w:ascii="宋体" w:hAnsi="宋体" w:eastAsia="宋体" w:cs="Times New Roman"/>
          <w:b/>
          <w:bCs/>
          <w:color w:val="auto"/>
          <w:sz w:val="21"/>
          <w:szCs w:val="21"/>
          <w:highlight w:val="none"/>
          <w:lang w:eastAsia="zh-CN"/>
        </w:rPr>
        <w:t>；</w:t>
      </w:r>
    </w:p>
    <w:p w14:paraId="3209EB05">
      <w:pPr>
        <w:pStyle w:val="18"/>
        <w:ind w:left="420" w:leftChars="200" w:firstLine="0" w:firstLineChars="0"/>
        <w:rPr>
          <w:rFonts w:hint="default" w:ascii="宋体" w:hAnsi="宋体" w:eastAsia="宋体" w:cs="Times New Roman"/>
          <w:b/>
          <w:bCs/>
          <w:color w:val="auto"/>
          <w:sz w:val="21"/>
          <w:szCs w:val="21"/>
          <w:highlight w:val="none"/>
          <w:lang w:val="en-US" w:eastAsia="zh-CN"/>
        </w:rPr>
      </w:pPr>
      <w:r>
        <w:rPr>
          <w:rFonts w:hint="eastAsia" w:ascii="宋体" w:hAnsi="宋体" w:eastAsia="宋体" w:cs="Times New Roman"/>
          <w:b/>
          <w:bCs/>
          <w:color w:val="auto"/>
          <w:sz w:val="21"/>
          <w:szCs w:val="21"/>
          <w:highlight w:val="none"/>
          <w:lang w:eastAsia="zh-Hans"/>
        </w:rPr>
        <w:t>（2）投标人</w:t>
      </w:r>
      <w:r>
        <w:rPr>
          <w:rFonts w:hint="eastAsia" w:ascii="宋体" w:hAnsi="宋体" w:eastAsia="宋体" w:cs="Times New Roman"/>
          <w:b/>
          <w:bCs/>
          <w:color w:val="auto"/>
          <w:sz w:val="21"/>
          <w:szCs w:val="21"/>
          <w:highlight w:val="none"/>
          <w:lang w:val="en-US" w:eastAsia="zh-CN"/>
        </w:rPr>
        <w:t>须提供</w:t>
      </w:r>
      <w:r>
        <w:rPr>
          <w:rFonts w:hint="eastAsia" w:ascii="宋体" w:hAnsi="宋体" w:eastAsia="宋体" w:cs="Times New Roman"/>
          <w:b/>
          <w:bCs/>
          <w:color w:val="auto"/>
          <w:sz w:val="21"/>
          <w:szCs w:val="21"/>
          <w:highlight w:val="none"/>
          <w:lang w:eastAsia="zh-Hans"/>
        </w:rPr>
        <w:t>有效期内</w:t>
      </w:r>
      <w:r>
        <w:rPr>
          <w:rFonts w:hint="eastAsia" w:ascii="宋体" w:hAnsi="宋体" w:eastAsia="宋体" w:cs="Times New Roman"/>
          <w:b/>
          <w:bCs/>
          <w:color w:val="auto"/>
          <w:sz w:val="21"/>
          <w:szCs w:val="21"/>
          <w:highlight w:val="none"/>
          <w:lang w:val="en-US" w:eastAsia="zh-CN"/>
        </w:rPr>
        <w:t>的</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道路运输</w:t>
      </w:r>
      <w:r>
        <w:rPr>
          <w:rFonts w:hint="eastAsia" w:ascii="宋体" w:hAnsi="宋体" w:eastAsia="宋体" w:cs="Times New Roman"/>
          <w:b/>
          <w:bCs/>
          <w:color w:val="auto"/>
          <w:sz w:val="21"/>
          <w:szCs w:val="21"/>
          <w:highlight w:val="none"/>
          <w:lang w:val="en-US" w:eastAsia="zh-CN"/>
        </w:rPr>
        <w:t>经营</w:t>
      </w:r>
      <w:r>
        <w:rPr>
          <w:rFonts w:hint="eastAsia" w:ascii="宋体" w:hAnsi="宋体" w:eastAsia="宋体" w:cs="Times New Roman"/>
          <w:b/>
          <w:bCs/>
          <w:color w:val="auto"/>
          <w:sz w:val="21"/>
          <w:szCs w:val="21"/>
          <w:highlight w:val="none"/>
          <w:lang w:eastAsia="zh-Hans"/>
        </w:rPr>
        <w:t>许可证</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经营范围包含危险货物运输</w:t>
      </w:r>
      <w:r>
        <w:rPr>
          <w:rFonts w:hint="eastAsia" w:ascii="宋体" w:hAnsi="宋体" w:eastAsia="宋体" w:cs="Times New Roman"/>
          <w:b/>
          <w:bCs/>
          <w:color w:val="auto"/>
          <w:sz w:val="21"/>
          <w:szCs w:val="21"/>
          <w:highlight w:val="none"/>
          <w:lang w:eastAsia="zh-CN"/>
        </w:rPr>
        <w:t>）</w:t>
      </w:r>
      <w:r>
        <w:rPr>
          <w:rFonts w:hint="eastAsia" w:ascii="宋体" w:hAnsi="宋体" w:eastAsia="宋体" w:cs="Times New Roman"/>
          <w:b/>
          <w:bCs/>
          <w:color w:val="auto"/>
          <w:sz w:val="21"/>
          <w:szCs w:val="21"/>
          <w:highlight w:val="none"/>
          <w:lang w:eastAsia="zh-Hans"/>
        </w:rPr>
        <w:t>复印件</w:t>
      </w:r>
      <w:r>
        <w:rPr>
          <w:rFonts w:hint="eastAsia" w:ascii="宋体" w:hAnsi="宋体" w:eastAsia="宋体" w:cs="Times New Roman"/>
          <w:b/>
          <w:bCs/>
          <w:color w:val="auto"/>
          <w:sz w:val="21"/>
          <w:szCs w:val="21"/>
          <w:highlight w:val="none"/>
          <w:lang w:val="en-US" w:eastAsia="zh-CN"/>
        </w:rPr>
        <w:t>并加盖投标人公章。</w:t>
      </w:r>
    </w:p>
    <w:bookmarkEnd w:id="4"/>
    <w:p w14:paraId="5049727E">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0088AFB7">
      <w:pPr>
        <w:pStyle w:val="18"/>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09</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02</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09</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16</w:t>
      </w:r>
      <w:r>
        <w:rPr>
          <w:rFonts w:ascii="宋体" w:hAnsi="宋体" w:eastAsia="宋体" w:cs="Times New Roman"/>
          <w:color w:val="auto"/>
          <w:sz w:val="21"/>
          <w:szCs w:val="21"/>
          <w:highlight w:val="none"/>
          <w:lang w:eastAsia="zh-CN"/>
        </w:rPr>
        <w:t>日</w:t>
      </w:r>
      <w:r>
        <w:rPr>
          <w:rFonts w:ascii="宋体" w:hAnsi="宋体" w:eastAsia="宋体" w:cs="Times New Roman"/>
          <w:color w:val="auto"/>
          <w:sz w:val="21"/>
          <w:szCs w:val="21"/>
          <w:lang w:eastAsia="zh-CN"/>
        </w:rPr>
        <w:t>，每天上午9:00至12:00，下午14:30至17:30。（北京时间，法定节假日除外）</w:t>
      </w:r>
    </w:p>
    <w:p w14:paraId="0303EA97">
      <w:pPr>
        <w:pStyle w:val="18"/>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地点：东莞市南城街道雅园产业园区路5号1栋1楼或微信搜索公众号“广东智汇城市招标采购有限公司”。</w:t>
      </w:r>
      <w:bookmarkStart w:id="60" w:name="_GoBack"/>
      <w:bookmarkEnd w:id="60"/>
    </w:p>
    <w:p w14:paraId="53427474">
      <w:pPr>
        <w:pStyle w:val="18"/>
        <w:ind w:firstLine="420" w:firstLineChars="200"/>
        <w:rPr>
          <w:rFonts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3BFDA854">
      <w:pPr>
        <w:pStyle w:val="18"/>
        <w:ind w:firstLine="420" w:firstLineChars="200"/>
        <w:rPr>
          <w:rFonts w:ascii="宋体" w:hAnsi="宋体" w:eastAsia="宋体" w:cs="Times New Roman"/>
          <w:color w:val="auto"/>
          <w:sz w:val="21"/>
          <w:szCs w:val="21"/>
        </w:rPr>
      </w:pPr>
      <w:r>
        <w:rPr>
          <w:rFonts w:ascii="宋体" w:hAnsi="宋体" w:eastAsia="宋体" w:cs="Times New Roman"/>
          <w:color w:val="auto"/>
          <w:sz w:val="21"/>
          <w:szCs w:val="21"/>
        </w:rPr>
        <w:t>售价：¥200元</w:t>
      </w:r>
    </w:p>
    <w:p w14:paraId="2BF038CF">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7622BE5C">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eastAsia="宋体" w:cs="Times New Roman"/>
          <w:color w:val="auto"/>
          <w:sz w:val="21"/>
          <w:szCs w:val="21"/>
          <w:highlight w:val="none"/>
        </w:rPr>
      </w:pP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23</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30</w:t>
      </w:r>
      <w:r>
        <w:rPr>
          <w:rFonts w:ascii="宋体" w:hAnsi="宋体" w:eastAsia="宋体" w:cs="Times New Roman"/>
          <w:color w:val="auto"/>
          <w:sz w:val="21"/>
          <w:szCs w:val="21"/>
        </w:rPr>
        <w:t>分（北京时间）（自招标文件开始发出之日起至投标</w:t>
      </w:r>
      <w:r>
        <w:rPr>
          <w:rFonts w:ascii="宋体" w:hAnsi="宋体" w:eastAsia="宋体" w:cs="Times New Roman"/>
          <w:color w:val="auto"/>
          <w:sz w:val="21"/>
          <w:szCs w:val="21"/>
          <w:highlight w:val="none"/>
        </w:rPr>
        <w:t>人提交投标文件截止之日止，不得少于20日）</w:t>
      </w:r>
    </w:p>
    <w:p w14:paraId="12DDECA8">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地点：东莞市南城街道雅园产业园区路5号1栋1楼</w:t>
      </w:r>
    </w:p>
    <w:p w14:paraId="7CB9B14C">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3A66543">
      <w:pPr>
        <w:pStyle w:val="18"/>
        <w:ind w:firstLine="420" w:firstLineChars="2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自本公告发布之日起5个工作日。</w:t>
      </w:r>
    </w:p>
    <w:p w14:paraId="6A2F2E68">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37B79A18">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highlight w:val="none"/>
        </w:rPr>
        <w:t xml:space="preserve">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w:t>
      </w:r>
      <w:r>
        <w:rPr>
          <w:rFonts w:ascii="宋体" w:hAnsi="宋体" w:eastAsia="宋体" w:cs="Times New Roman"/>
          <w:sz w:val="21"/>
          <w:szCs w:val="21"/>
        </w:rPr>
        <w:t>市场监管总局关于调整优化节能产品、环境标志产品政府采购执行机制的通知》（财库〔2019〕9号）、《商品包装政府采购需求标准（试行）》（财办库〔</w:t>
      </w:r>
      <w:r>
        <w:rPr>
          <w:rFonts w:ascii="宋体" w:hAnsi="宋体" w:eastAsia="宋体" w:cs="Times New Roman"/>
          <w:color w:val="auto"/>
          <w:sz w:val="21"/>
          <w:szCs w:val="21"/>
        </w:rPr>
        <w:t>2020〕123号）、《快递包装政府采购需求标准（试行）》（财办库〔2020〕123号）等。</w:t>
      </w:r>
    </w:p>
    <w:p w14:paraId="55AE9A98">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其他未列明行业 </w:t>
      </w:r>
      <w:r>
        <w:rPr>
          <w:rFonts w:ascii="宋体" w:hAnsi="宋体" w:eastAsia="宋体" w:cs="Times New Roman"/>
          <w:color w:val="auto"/>
          <w:sz w:val="21"/>
          <w:szCs w:val="21"/>
        </w:rPr>
        <w:t>。</w:t>
      </w:r>
    </w:p>
    <w:p w14:paraId="1C5CCB82">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发布公告的媒介</w:t>
      </w:r>
    </w:p>
    <w:p w14:paraId="2CC68B50">
      <w:pPr>
        <w:pStyle w:val="18"/>
        <w:ind w:left="425" w:leftChars="181" w:hanging="45" w:hangingChars="24"/>
        <w:rPr>
          <w:rFonts w:ascii="宋体" w:hAnsi="宋体" w:eastAsia="宋体" w:cs="Times New Roman"/>
          <w:color w:val="auto"/>
          <w:spacing w:val="-10"/>
          <w:sz w:val="21"/>
          <w:szCs w:val="21"/>
          <w:lang w:eastAsia="zh-CN"/>
        </w:rPr>
      </w:pPr>
      <w:r>
        <w:rPr>
          <w:rFonts w:ascii="宋体" w:hAnsi="宋体" w:eastAsia="宋体" w:cs="Times New Roman"/>
          <w:color w:val="auto"/>
          <w:spacing w:val="-10"/>
          <w:sz w:val="21"/>
          <w:szCs w:val="21"/>
        </w:rPr>
        <w:t>中国采购与招标网（https://zbdt.chinabidding.cn/）、广东智汇城市招标采购有限公司网站(http://www.gdzhcity.com/)</w:t>
      </w:r>
    </w:p>
    <w:p w14:paraId="2A392332">
      <w:pPr>
        <w:pStyle w:val="18"/>
        <w:numPr>
          <w:ilvl w:val="0"/>
          <w:numId w:val="5"/>
        </w:numPr>
        <w:rPr>
          <w:rFonts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01EE8DED">
      <w:pPr>
        <w:pStyle w:val="18"/>
        <w:numPr>
          <w:ilvl w:val="0"/>
          <w:numId w:val="5"/>
        </w:numPr>
        <w:rPr>
          <w:rFonts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获取招标文件联系人及联系方式：黄小姐（0769）22367009 邮箱：zhcity_gd@163.com</w:t>
      </w:r>
    </w:p>
    <w:p w14:paraId="3E84E901">
      <w:pPr>
        <w:spacing w:before="217" w:beforeLines="50"/>
        <w:rPr>
          <w:rFonts w:hint="eastAsia"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7574979E">
      <w:pPr>
        <w:pStyle w:val="18"/>
        <w:numPr>
          <w:ilvl w:val="0"/>
          <w:numId w:val="6"/>
        </w:numPr>
        <w:ind w:left="284" w:hanging="284"/>
        <w:rPr>
          <w:rFonts w:ascii="宋体" w:hAnsi="宋体" w:eastAsia="宋体" w:cs="Times New Roman"/>
          <w:sz w:val="21"/>
          <w:szCs w:val="21"/>
        </w:rPr>
      </w:pPr>
      <w:bookmarkStart w:id="5" w:name="_Hlk170131668"/>
      <w:r>
        <w:rPr>
          <w:rFonts w:ascii="宋体" w:hAnsi="宋体" w:eastAsia="宋体" w:cs="Times New Roman"/>
          <w:sz w:val="21"/>
          <w:szCs w:val="21"/>
        </w:rPr>
        <w:t>采购人信息</w:t>
      </w:r>
    </w:p>
    <w:p w14:paraId="50B16B0E">
      <w:pPr>
        <w:pStyle w:val="18"/>
        <w:ind w:firstLine="283" w:firstLineChars="135"/>
        <w:rPr>
          <w:rFonts w:hint="eastAsia" w:ascii="宋体" w:hAnsi="宋体" w:eastAsia="宋体" w:cs="宋体"/>
          <w:sz w:val="21"/>
          <w:szCs w:val="21"/>
        </w:rPr>
      </w:pPr>
      <w:r>
        <w:rPr>
          <w:rFonts w:ascii="宋体" w:hAnsi="宋体" w:eastAsia="宋体" w:cs="Times New Roman"/>
          <w:sz w:val="21"/>
          <w:szCs w:val="21"/>
        </w:rPr>
        <w:t>名称：</w:t>
      </w:r>
      <w:r>
        <w:rPr>
          <w:rFonts w:hint="eastAsia" w:ascii="宋体" w:hAnsi="宋体" w:eastAsia="宋体" w:cs="Times New Roman"/>
          <w:sz w:val="21"/>
          <w:szCs w:val="21"/>
        </w:rPr>
        <w:t>东莞市农业技术推广管理办公室</w:t>
      </w:r>
    </w:p>
    <w:p w14:paraId="44029CAD">
      <w:pPr>
        <w:pStyle w:val="18"/>
        <w:ind w:firstLine="283" w:firstLineChars="135"/>
        <w:rPr>
          <w:rFonts w:hint="eastAsia" w:ascii="宋体" w:hAnsi="宋体" w:eastAsia="宋体" w:cs="宋体"/>
          <w:sz w:val="21"/>
          <w:szCs w:val="21"/>
        </w:rPr>
      </w:pPr>
      <w:r>
        <w:rPr>
          <w:rFonts w:hint="eastAsia" w:ascii="宋体" w:hAnsi="宋体" w:eastAsia="宋体" w:cs="宋体"/>
          <w:sz w:val="21"/>
          <w:szCs w:val="21"/>
        </w:rPr>
        <w:t>地址：东莞市莞城街道金牛路</w:t>
      </w:r>
      <w:r>
        <w:rPr>
          <w:rFonts w:hint="eastAsia" w:ascii="宋体" w:hAnsi="宋体" w:eastAsia="宋体" w:cs="宋体"/>
          <w:color w:val="auto"/>
          <w:sz w:val="21"/>
          <w:szCs w:val="21"/>
          <w:highlight w:val="none"/>
        </w:rPr>
        <w:t>63号</w:t>
      </w:r>
    </w:p>
    <w:p w14:paraId="4DF13899">
      <w:pPr>
        <w:pStyle w:val="18"/>
        <w:ind w:firstLine="283" w:firstLineChars="135"/>
        <w:rPr>
          <w:rFonts w:hint="eastAsia" w:ascii="宋体" w:hAnsi="宋体" w:eastAsia="宋体" w:cs="宋体"/>
          <w:sz w:val="21"/>
          <w:szCs w:val="21"/>
          <w:lang w:val="en-US" w:eastAsia="zh-CN"/>
        </w:rPr>
      </w:pPr>
      <w:r>
        <w:rPr>
          <w:rFonts w:hint="eastAsia" w:ascii="宋体" w:hAnsi="宋体" w:eastAsia="宋体" w:cs="宋体"/>
          <w:sz w:val="21"/>
          <w:szCs w:val="21"/>
        </w:rPr>
        <w:t>联系方式：</w:t>
      </w:r>
      <w:r>
        <w:rPr>
          <w:rFonts w:hint="eastAsia" w:ascii="宋体" w:hAnsi="宋体" w:eastAsia="宋体" w:cs="宋体"/>
          <w:sz w:val="21"/>
          <w:szCs w:val="21"/>
          <w:lang w:val="en-US" w:eastAsia="zh-CN"/>
        </w:rPr>
        <w:t>（0769）22501631</w:t>
      </w:r>
    </w:p>
    <w:p w14:paraId="3872603C">
      <w:pPr>
        <w:pStyle w:val="18"/>
        <w:numPr>
          <w:ilvl w:val="0"/>
          <w:numId w:val="6"/>
        </w:numPr>
        <w:ind w:left="284" w:hanging="284"/>
        <w:rPr>
          <w:rFonts w:hint="eastAsia" w:ascii="宋体" w:hAnsi="宋体" w:eastAsia="宋体" w:cs="宋体"/>
          <w:sz w:val="21"/>
          <w:szCs w:val="21"/>
        </w:rPr>
      </w:pPr>
      <w:r>
        <w:rPr>
          <w:rFonts w:hint="eastAsia" w:ascii="宋体" w:hAnsi="宋体" w:eastAsia="宋体" w:cs="宋体"/>
          <w:sz w:val="21"/>
          <w:szCs w:val="21"/>
        </w:rPr>
        <w:t>采购代理机构信息</w:t>
      </w:r>
    </w:p>
    <w:p w14:paraId="1550126D">
      <w:pPr>
        <w:pStyle w:val="18"/>
        <w:ind w:firstLine="283" w:firstLineChars="135"/>
        <w:rPr>
          <w:rFonts w:ascii="宋体" w:hAnsi="宋体" w:eastAsia="宋体" w:cs="Times New Roman"/>
          <w:color w:val="auto"/>
          <w:sz w:val="21"/>
          <w:szCs w:val="21"/>
          <w:lang w:eastAsia="zh-CN"/>
        </w:rPr>
      </w:pPr>
      <w:r>
        <w:rPr>
          <w:rFonts w:ascii="宋体" w:hAnsi="宋体" w:eastAsia="宋体" w:cs="Times New Roman"/>
          <w:sz w:val="21"/>
          <w:szCs w:val="21"/>
        </w:rPr>
        <w:t>名称：广东智汇城市招</w:t>
      </w:r>
      <w:r>
        <w:rPr>
          <w:rFonts w:ascii="宋体" w:hAnsi="宋体" w:eastAsia="宋体" w:cs="Times New Roman"/>
          <w:color w:val="auto"/>
          <w:sz w:val="21"/>
          <w:szCs w:val="21"/>
        </w:rPr>
        <w:t>标采购有限公司</w:t>
      </w:r>
    </w:p>
    <w:p w14:paraId="366DDCBA">
      <w:pPr>
        <w:pStyle w:val="18"/>
        <w:ind w:firstLine="283" w:firstLineChars="135"/>
        <w:rPr>
          <w:rFonts w:ascii="宋体" w:hAnsi="宋体" w:eastAsia="宋体" w:cs="Times New Roman"/>
          <w:color w:val="auto"/>
          <w:sz w:val="21"/>
          <w:szCs w:val="21"/>
          <w:lang w:eastAsia="zh-CN"/>
        </w:rPr>
      </w:pPr>
      <w:r>
        <w:rPr>
          <w:rFonts w:ascii="宋体" w:hAnsi="宋体" w:eastAsia="宋体" w:cs="Times New Roman"/>
          <w:color w:val="auto"/>
          <w:sz w:val="21"/>
          <w:szCs w:val="21"/>
        </w:rPr>
        <w:t>地址：东莞市南城街道雅园产业园区路5号1栋1楼</w:t>
      </w:r>
    </w:p>
    <w:p w14:paraId="7052579D">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eastAsia="zh-CN"/>
        </w:rPr>
        <w:t>22367009</w:t>
      </w:r>
    </w:p>
    <w:p w14:paraId="7F9B8449">
      <w:pPr>
        <w:pStyle w:val="18"/>
        <w:numPr>
          <w:ilvl w:val="0"/>
          <w:numId w:val="6"/>
        </w:numPr>
        <w:ind w:left="284" w:hanging="284"/>
        <w:rPr>
          <w:rFonts w:ascii="宋体" w:hAnsi="宋体" w:eastAsia="宋体" w:cs="Times New Roman"/>
          <w:color w:val="auto"/>
          <w:sz w:val="21"/>
          <w:szCs w:val="21"/>
        </w:rPr>
      </w:pPr>
      <w:r>
        <w:rPr>
          <w:rFonts w:ascii="宋体" w:hAnsi="宋体" w:eastAsia="宋体" w:cs="Times New Roman"/>
          <w:color w:val="auto"/>
          <w:sz w:val="21"/>
          <w:szCs w:val="21"/>
        </w:rPr>
        <w:t>项目联系方式</w:t>
      </w:r>
    </w:p>
    <w:p w14:paraId="07A141D7">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6466F510">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电话：（0769）</w:t>
      </w:r>
      <w:bookmarkEnd w:id="5"/>
      <w:r>
        <w:rPr>
          <w:rFonts w:hint="eastAsia" w:ascii="宋体" w:hAnsi="宋体" w:eastAsia="宋体" w:cs="Times New Roman"/>
          <w:color w:val="auto"/>
          <w:sz w:val="21"/>
          <w:szCs w:val="21"/>
          <w:lang w:eastAsia="zh-CN"/>
        </w:rPr>
        <w:t>22367009</w:t>
      </w:r>
    </w:p>
    <w:p w14:paraId="4CE08A8D">
      <w:pPr>
        <w:pStyle w:val="18"/>
        <w:jc w:val="center"/>
        <w:rPr>
          <w:rFonts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A6BCF19">
      <w:pPr>
        <w:pStyle w:val="18"/>
        <w:jc w:val="center"/>
        <w:rPr>
          <w:rFonts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09</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02</w:t>
      </w:r>
      <w:r>
        <w:rPr>
          <w:rFonts w:ascii="宋体" w:hAnsi="宋体" w:eastAsia="宋体" w:cs="Times New Roman"/>
          <w:b/>
          <w:bCs/>
          <w:sz w:val="21"/>
          <w:szCs w:val="21"/>
        </w:rPr>
        <w:t>日</w:t>
      </w:r>
    </w:p>
    <w:p w14:paraId="70D12FEA">
      <w:pPr>
        <w:pageBreakBefore/>
        <w:jc w:val="center"/>
        <w:outlineLvl w:val="1"/>
        <w:rPr>
          <w:rFonts w:hint="eastAsia" w:ascii="宋体" w:hAnsi="宋体" w:eastAsia="宋体" w:cs="Times New Roman"/>
          <w:kern w:val="0"/>
          <w:sz w:val="20"/>
          <w:szCs w:val="20"/>
        </w:rPr>
      </w:pPr>
      <w:bookmarkStart w:id="6" w:name="_Toc169807541"/>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3E07ECDA">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0CB2FF70">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3B8BD1E4">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标有“▲”符号的内容为采购需求重点技术参数，若未能响应，则在评标过程中根据评审内容作扣分处理。</w:t>
      </w:r>
    </w:p>
    <w:p w14:paraId="19AC15E7">
      <w:pPr>
        <w:pStyle w:val="24"/>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4DB4E350">
      <w:pPr>
        <w:snapToGrid w:val="0"/>
        <w:spacing w:line="360" w:lineRule="auto"/>
        <w:contextualSpacing/>
        <w:rPr>
          <w:rFonts w:hint="eastAsia"/>
        </w:rPr>
      </w:pPr>
    </w:p>
    <w:p w14:paraId="5B7CCB91">
      <w:pPr>
        <w:pStyle w:val="24"/>
        <w:numPr>
          <w:ilvl w:val="0"/>
          <w:numId w:val="8"/>
        </w:numPr>
        <w:snapToGrid w:val="0"/>
        <w:spacing w:line="360" w:lineRule="auto"/>
        <w:ind w:left="442" w:hanging="442" w:firstLineChars="0"/>
        <w:contextualSpacing/>
        <w:rPr>
          <w:rFonts w:hint="eastAsia"/>
        </w:rPr>
      </w:pPr>
      <w:r>
        <w:rPr>
          <w:rFonts w:ascii="宋体" w:hAnsi="宋体" w:eastAsia="宋体"/>
          <w:b/>
          <w:bCs/>
        </w:rPr>
        <w:t>项目概况</w:t>
      </w:r>
    </w:p>
    <w:p w14:paraId="04FA5CC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szCs w:val="21"/>
        </w:rPr>
      </w:pPr>
      <w:r>
        <w:rPr>
          <w:rFonts w:hint="eastAsia" w:ascii="宋体" w:hAnsi="宋体" w:eastAsia="宋体"/>
          <w:b w:val="0"/>
          <w:bCs/>
          <w:szCs w:val="21"/>
        </w:rPr>
        <w:t>为进一步加强我市</w:t>
      </w:r>
      <w:r>
        <w:rPr>
          <w:rFonts w:hint="eastAsia" w:ascii="宋体" w:hAnsi="宋体" w:eastAsia="宋体"/>
          <w:b w:val="0"/>
          <w:bCs/>
          <w:szCs w:val="21"/>
          <w:lang w:eastAsia="zh-CN"/>
        </w:rPr>
        <w:t>农药包装废弃物与废旧农膜</w:t>
      </w:r>
      <w:r>
        <w:rPr>
          <w:rFonts w:hint="eastAsia" w:ascii="宋体" w:hAnsi="宋体" w:eastAsia="宋体"/>
          <w:b w:val="0"/>
          <w:bCs/>
          <w:szCs w:val="21"/>
        </w:rPr>
        <w:t>回收</w:t>
      </w:r>
      <w:r>
        <w:rPr>
          <w:rFonts w:hint="eastAsia" w:ascii="宋体" w:hAnsi="宋体" w:eastAsia="宋体"/>
          <w:b w:val="0"/>
          <w:bCs/>
          <w:szCs w:val="21"/>
          <w:lang w:val="en-US" w:eastAsia="zh-CN"/>
        </w:rPr>
        <w:t>处理</w:t>
      </w:r>
      <w:r>
        <w:rPr>
          <w:rFonts w:hint="eastAsia" w:ascii="宋体" w:hAnsi="宋体" w:eastAsia="宋体"/>
          <w:b w:val="0"/>
          <w:bCs/>
          <w:szCs w:val="21"/>
        </w:rPr>
        <w:t>工作，推动“无废城市”建设，东莞市农业技术推广管理办公室计划采取</w:t>
      </w:r>
      <w:r>
        <w:rPr>
          <w:rFonts w:hint="eastAsia" w:ascii="宋体" w:hAnsi="宋体" w:eastAsia="宋体"/>
          <w:b w:val="0"/>
          <w:bCs/>
          <w:szCs w:val="21"/>
          <w:lang w:val="en-US" w:eastAsia="zh-CN"/>
        </w:rPr>
        <w:t>公开招标</w:t>
      </w:r>
      <w:r>
        <w:rPr>
          <w:rFonts w:hint="eastAsia" w:ascii="宋体" w:hAnsi="宋体" w:eastAsia="宋体"/>
          <w:b w:val="0"/>
          <w:bCs/>
          <w:szCs w:val="21"/>
        </w:rPr>
        <w:t>的方式</w:t>
      </w:r>
      <w:r>
        <w:rPr>
          <w:rFonts w:hint="eastAsia" w:ascii="宋体" w:hAnsi="宋体" w:eastAsia="宋体"/>
          <w:b w:val="0"/>
          <w:bCs/>
          <w:szCs w:val="21"/>
          <w:lang w:val="en-US" w:eastAsia="zh-CN"/>
        </w:rPr>
        <w:t>选择1家单位（或联合体）</w:t>
      </w:r>
      <w:r>
        <w:rPr>
          <w:rFonts w:hint="eastAsia" w:ascii="宋体" w:hAnsi="宋体" w:eastAsia="宋体"/>
          <w:b w:val="0"/>
          <w:bCs/>
          <w:szCs w:val="21"/>
        </w:rPr>
        <w:t>实施202</w:t>
      </w:r>
      <w:r>
        <w:rPr>
          <w:rFonts w:hint="eastAsia" w:ascii="宋体" w:hAnsi="宋体" w:eastAsia="宋体"/>
          <w:b w:val="0"/>
          <w:bCs/>
          <w:szCs w:val="21"/>
          <w:lang w:val="en-US" w:eastAsia="zh-CN"/>
        </w:rPr>
        <w:t>5</w:t>
      </w:r>
      <w:r>
        <w:rPr>
          <w:rFonts w:hint="eastAsia" w:ascii="宋体" w:hAnsi="宋体" w:eastAsia="宋体"/>
          <w:b w:val="0"/>
          <w:bCs/>
          <w:szCs w:val="21"/>
        </w:rPr>
        <w:t>年全市</w:t>
      </w:r>
      <w:r>
        <w:rPr>
          <w:rFonts w:hint="eastAsia" w:ascii="宋体" w:hAnsi="宋体" w:eastAsia="宋体"/>
          <w:b w:val="0"/>
          <w:bCs/>
          <w:szCs w:val="21"/>
          <w:lang w:eastAsia="zh-CN"/>
        </w:rPr>
        <w:t>农药包装废弃物与废旧农膜</w:t>
      </w:r>
      <w:r>
        <w:rPr>
          <w:rFonts w:hint="eastAsia" w:ascii="宋体" w:hAnsi="宋体" w:eastAsia="宋体"/>
          <w:b w:val="0"/>
          <w:bCs/>
          <w:szCs w:val="21"/>
        </w:rPr>
        <w:t>回收</w:t>
      </w:r>
      <w:r>
        <w:rPr>
          <w:rFonts w:hint="eastAsia" w:ascii="宋体" w:hAnsi="宋体" w:eastAsia="宋体"/>
          <w:b w:val="0"/>
          <w:bCs/>
          <w:szCs w:val="21"/>
          <w:lang w:eastAsia="zh-CN"/>
        </w:rPr>
        <w:t>处理</w:t>
      </w:r>
      <w:r>
        <w:rPr>
          <w:rFonts w:hint="eastAsia" w:ascii="宋体" w:hAnsi="宋体" w:eastAsia="宋体"/>
          <w:b w:val="0"/>
          <w:bCs/>
          <w:szCs w:val="21"/>
          <w:lang w:val="en-US" w:eastAsia="zh-CN"/>
        </w:rPr>
        <w:t>工作。</w:t>
      </w:r>
    </w:p>
    <w:p w14:paraId="60ADBFB4">
      <w:pPr>
        <w:pStyle w:val="24"/>
        <w:numPr>
          <w:ilvl w:val="0"/>
          <w:numId w:val="8"/>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p w14:paraId="4666CF3D">
      <w:pPr>
        <w:pStyle w:val="24"/>
        <w:numPr>
          <w:ilvl w:val="0"/>
          <w:numId w:val="9"/>
        </w:numPr>
        <w:snapToGrid w:val="0"/>
        <w:spacing w:line="360" w:lineRule="auto"/>
        <w:ind w:firstLineChars="0"/>
        <w:contextualSpacing/>
        <w:rPr>
          <w:rFonts w:hint="eastAsia" w:ascii="宋体" w:hAnsi="宋体" w:eastAsia="宋体"/>
          <w:bCs/>
          <w:szCs w:val="21"/>
        </w:rPr>
      </w:pPr>
      <w:r>
        <w:rPr>
          <w:rFonts w:ascii="宋体" w:hAnsi="宋体" w:eastAsia="宋体"/>
          <w:bCs/>
          <w:szCs w:val="21"/>
        </w:rPr>
        <w:t>采购标的</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4036"/>
        <w:gridCol w:w="1145"/>
        <w:gridCol w:w="888"/>
        <w:gridCol w:w="2389"/>
      </w:tblGrid>
      <w:tr w14:paraId="3C04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tcPr>
          <w:p w14:paraId="6727D6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序号</w:t>
            </w:r>
          </w:p>
        </w:tc>
        <w:tc>
          <w:tcPr>
            <w:tcW w:w="2172" w:type="pct"/>
          </w:tcPr>
          <w:p w14:paraId="1022AC1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标的名称</w:t>
            </w:r>
          </w:p>
        </w:tc>
        <w:tc>
          <w:tcPr>
            <w:tcW w:w="616" w:type="pct"/>
          </w:tcPr>
          <w:p w14:paraId="766BA13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单位</w:t>
            </w:r>
          </w:p>
        </w:tc>
        <w:tc>
          <w:tcPr>
            <w:tcW w:w="478" w:type="pct"/>
          </w:tcPr>
          <w:p w14:paraId="5DF0744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数量</w:t>
            </w:r>
          </w:p>
        </w:tc>
        <w:tc>
          <w:tcPr>
            <w:tcW w:w="1286" w:type="pct"/>
          </w:tcPr>
          <w:p w14:paraId="765C810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rPr>
              <w:t>采购标的所属行业</w:t>
            </w:r>
          </w:p>
        </w:tc>
      </w:tr>
      <w:tr w14:paraId="674F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29BA5AF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2172" w:type="pct"/>
            <w:vAlign w:val="center"/>
          </w:tcPr>
          <w:p w14:paraId="53FC4F0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cs="宋体"/>
                <w:color w:val="auto"/>
                <w:kern w:val="0"/>
                <w:sz w:val="21"/>
                <w:szCs w:val="21"/>
                <w:lang w:eastAsia="zh-Hans"/>
              </w:rPr>
              <w:t>农药包装废弃物与废旧农膜回收处理</w:t>
            </w:r>
          </w:p>
        </w:tc>
        <w:tc>
          <w:tcPr>
            <w:tcW w:w="616" w:type="pct"/>
            <w:vAlign w:val="center"/>
          </w:tcPr>
          <w:p w14:paraId="449B2D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项</w:t>
            </w:r>
          </w:p>
        </w:tc>
        <w:tc>
          <w:tcPr>
            <w:tcW w:w="478" w:type="pct"/>
            <w:vAlign w:val="center"/>
          </w:tcPr>
          <w:p w14:paraId="30F9C1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286" w:type="pct"/>
            <w:vAlign w:val="center"/>
          </w:tcPr>
          <w:p w14:paraId="7FDF17F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Cs/>
                <w:szCs w:val="21"/>
              </w:rPr>
            </w:pPr>
            <w:r>
              <w:rPr>
                <w:rFonts w:hint="eastAsia" w:ascii="宋体" w:hAnsi="宋体" w:eastAsia="宋体"/>
                <w:bCs/>
                <w:szCs w:val="21"/>
                <w:lang w:eastAsia="zh-CN"/>
              </w:rPr>
              <w:t>其他未列明行业</w:t>
            </w:r>
          </w:p>
        </w:tc>
      </w:tr>
    </w:tbl>
    <w:p w14:paraId="78681BD1">
      <w:pPr>
        <w:pStyle w:val="24"/>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49AB169A">
      <w:pPr>
        <w:pStyle w:val="24"/>
        <w:numPr>
          <w:ilvl w:val="0"/>
          <w:numId w:val="10"/>
        </w:numPr>
        <w:snapToGrid w:val="0"/>
        <w:spacing w:line="360" w:lineRule="auto"/>
        <w:ind w:firstLineChars="0"/>
        <w:contextualSpacing/>
        <w:rPr>
          <w:rFonts w:hint="eastAsia" w:ascii="宋体" w:hAnsi="宋体" w:eastAsia="宋体" w:cs="宋体"/>
          <w:iCs/>
          <w:sz w:val="21"/>
          <w:szCs w:val="21"/>
        </w:rPr>
      </w:pPr>
      <w:r>
        <w:rPr>
          <w:rFonts w:hint="eastAsia" w:ascii="宋体" w:hAnsi="宋体" w:eastAsia="宋体" w:cs="宋体"/>
          <w:iCs/>
          <w:sz w:val="21"/>
          <w:szCs w:val="21"/>
        </w:rPr>
        <w:t>服务时间</w:t>
      </w:r>
      <w:r>
        <w:rPr>
          <w:rFonts w:hint="eastAsia" w:ascii="宋体" w:hAnsi="宋体" w:eastAsia="宋体" w:cs="宋体"/>
          <w:iCs/>
          <w:sz w:val="21"/>
          <w:szCs w:val="21"/>
          <w:lang w:eastAsia="zh-CN"/>
        </w:rPr>
        <w:t>：</w:t>
      </w:r>
      <w:r>
        <w:rPr>
          <w:rFonts w:ascii="宋体" w:hAnsi="宋体" w:eastAsia="宋体" w:cs="Times New Roman"/>
          <w:color w:val="auto"/>
          <w:kern w:val="0"/>
          <w:szCs w:val="21"/>
          <w:highlight w:val="none"/>
          <w:lang w:eastAsia="zh-Hans"/>
        </w:rPr>
        <w:t>1年</w:t>
      </w:r>
      <w:r>
        <w:rPr>
          <w:rFonts w:hint="eastAsia" w:ascii="宋体" w:hAnsi="宋体" w:eastAsia="宋体" w:cs="Times New Roman"/>
          <w:color w:val="auto"/>
          <w:kern w:val="0"/>
          <w:szCs w:val="21"/>
          <w:highlight w:val="none"/>
          <w:lang w:eastAsia="zh-CN"/>
        </w:rPr>
        <w:t>，</w:t>
      </w:r>
      <w:r>
        <w:rPr>
          <w:rFonts w:hint="eastAsia" w:ascii="宋体" w:hAnsi="宋体" w:eastAsia="宋体" w:cs="宋体"/>
          <w:sz w:val="21"/>
          <w:szCs w:val="21"/>
          <w:highlight w:val="none"/>
          <w:lang w:val="en-US" w:eastAsia="zh-Hans"/>
        </w:rPr>
        <w:t>具体服务时间合同签订时确认，服务期满或合同期内项目结算金额达到项目预算金额的，合同自动终止</w:t>
      </w:r>
      <w:r>
        <w:rPr>
          <w:rFonts w:ascii="宋体" w:hAnsi="宋体" w:eastAsia="宋体" w:cs="Times New Roman"/>
          <w:color w:val="auto"/>
          <w:kern w:val="0"/>
          <w:szCs w:val="21"/>
          <w:highlight w:val="none"/>
          <w:lang w:eastAsia="zh-Hans"/>
        </w:rPr>
        <w:t>。</w:t>
      </w:r>
    </w:p>
    <w:p w14:paraId="7D1ED232">
      <w:pPr>
        <w:pStyle w:val="24"/>
        <w:numPr>
          <w:ilvl w:val="0"/>
          <w:numId w:val="10"/>
        </w:numPr>
        <w:snapToGrid w:val="0"/>
        <w:spacing w:line="360" w:lineRule="auto"/>
        <w:ind w:leftChars="0" w:firstLineChars="0"/>
        <w:contextualSpacing/>
        <w:rPr>
          <w:rFonts w:hint="eastAsia" w:ascii="宋体" w:hAnsi="宋体" w:eastAsia="宋体" w:cs="宋体"/>
          <w:iCs/>
          <w:sz w:val="21"/>
          <w:szCs w:val="21"/>
          <w:lang w:val="en-US" w:eastAsia="zh-CN"/>
        </w:rPr>
      </w:pPr>
      <w:r>
        <w:rPr>
          <w:rFonts w:hint="eastAsia" w:ascii="宋体" w:hAnsi="宋体" w:eastAsia="宋体" w:cs="宋体"/>
          <w:iCs/>
          <w:sz w:val="21"/>
          <w:szCs w:val="21"/>
        </w:rPr>
        <w:t>服务地点</w:t>
      </w:r>
    </w:p>
    <w:p w14:paraId="6F3993F0">
      <w:pPr>
        <w:pStyle w:val="24"/>
        <w:numPr>
          <w:ilvl w:val="0"/>
          <w:numId w:val="0"/>
        </w:numPr>
        <w:ind w:firstLine="420" w:firstLineChars="200"/>
        <w:rPr>
          <w:rFonts w:hint="eastAsia" w:ascii="宋体" w:hAnsi="宋体" w:eastAsia="宋体" w:cs="宋体"/>
          <w:iCs/>
          <w:sz w:val="21"/>
          <w:szCs w:val="21"/>
          <w:lang w:val="en-US" w:eastAsia="zh-CN"/>
        </w:rPr>
      </w:pPr>
      <w:r>
        <w:rPr>
          <w:rFonts w:hint="eastAsia" w:ascii="宋体" w:hAnsi="宋体" w:eastAsia="宋体" w:cs="宋体"/>
          <w:iCs/>
          <w:sz w:val="21"/>
          <w:szCs w:val="21"/>
          <w:lang w:val="en-US" w:eastAsia="zh-CN"/>
        </w:rPr>
        <w:t>东莞市内或</w:t>
      </w:r>
      <w:r>
        <w:rPr>
          <w:rFonts w:hint="eastAsia" w:ascii="宋体" w:hAnsi="宋体" w:eastAsia="宋体" w:cs="宋体"/>
          <w:iCs/>
          <w:sz w:val="21"/>
          <w:szCs w:val="21"/>
          <w:lang w:val="en-US" w:eastAsia="zh-Hans"/>
        </w:rPr>
        <w:t>采购人指定地点</w:t>
      </w:r>
      <w:r>
        <w:rPr>
          <w:rFonts w:hint="eastAsia" w:ascii="宋体" w:hAnsi="宋体" w:eastAsia="宋体" w:cs="宋体"/>
          <w:iCs/>
          <w:sz w:val="21"/>
          <w:szCs w:val="21"/>
          <w:lang w:val="en-US" w:eastAsia="zh-CN"/>
        </w:rPr>
        <w:t>。</w:t>
      </w:r>
    </w:p>
    <w:p w14:paraId="4FEAF1F4">
      <w:pPr>
        <w:pStyle w:val="24"/>
        <w:numPr>
          <w:ilvl w:val="0"/>
          <w:numId w:val="10"/>
        </w:numPr>
        <w:tabs>
          <w:tab w:val="left" w:pos="420"/>
          <w:tab w:val="left" w:pos="630"/>
          <w:tab w:val="left" w:pos="840"/>
        </w:tabs>
        <w:snapToGrid w:val="0"/>
        <w:spacing w:line="360" w:lineRule="auto"/>
        <w:ind w:firstLineChars="0"/>
        <w:contextualSpacing/>
        <w:rPr>
          <w:rFonts w:hint="eastAsia" w:ascii="宋体" w:hAnsi="宋体" w:eastAsia="宋体" w:cs="宋体"/>
          <w:b w:val="0"/>
          <w:bCs w:val="0"/>
          <w:color w:val="auto"/>
          <w:sz w:val="21"/>
          <w:szCs w:val="21"/>
          <w:highlight w:val="none"/>
          <w:lang w:val="en-US" w:eastAsia="zh-CN"/>
        </w:rPr>
      </w:pPr>
      <w:r>
        <w:rPr>
          <w:rFonts w:hint="eastAsia" w:ascii="宋体" w:hAnsi="宋体" w:eastAsia="宋体"/>
          <w:szCs w:val="21"/>
          <w:u w:val="single"/>
        </w:rPr>
        <w:t>★</w:t>
      </w:r>
      <w:r>
        <w:rPr>
          <w:rFonts w:hint="eastAsia" w:ascii="宋体" w:hAnsi="宋体" w:eastAsia="宋体" w:cs="宋体"/>
          <w:b/>
          <w:bCs/>
          <w:iCs/>
          <w:sz w:val="21"/>
          <w:szCs w:val="21"/>
          <w:u w:val="single"/>
          <w:lang w:val="en-US" w:eastAsia="zh-CN"/>
        </w:rPr>
        <w:t>报价要</w:t>
      </w:r>
      <w:r>
        <w:rPr>
          <w:rFonts w:hint="eastAsia" w:ascii="宋体" w:hAnsi="宋体" w:eastAsia="宋体" w:cs="宋体"/>
          <w:b/>
          <w:bCs/>
          <w:iCs/>
          <w:color w:val="auto"/>
          <w:sz w:val="21"/>
          <w:szCs w:val="21"/>
          <w:u w:val="single"/>
          <w:lang w:val="en-US" w:eastAsia="zh-CN"/>
        </w:rPr>
        <w:t>求：</w:t>
      </w:r>
      <w:r>
        <w:rPr>
          <w:rFonts w:hint="eastAsia" w:ascii="宋体" w:hAnsi="宋体" w:eastAsia="宋体" w:cs="宋体"/>
          <w:b/>
          <w:bCs/>
          <w:iCs/>
          <w:color w:val="auto"/>
          <w:sz w:val="21"/>
          <w:szCs w:val="21"/>
          <w:u w:val="single"/>
        </w:rPr>
        <w:t>本项目</w:t>
      </w:r>
      <w:r>
        <w:rPr>
          <w:rFonts w:hint="eastAsia" w:ascii="宋体" w:hAnsi="宋体" w:eastAsia="宋体" w:cs="宋体"/>
          <w:b/>
          <w:bCs/>
          <w:iCs/>
          <w:color w:val="auto"/>
          <w:sz w:val="21"/>
          <w:szCs w:val="21"/>
          <w:u w:val="single"/>
          <w:lang w:val="en-US" w:eastAsia="zh-CN"/>
        </w:rPr>
        <w:t>需根据《</w:t>
      </w:r>
      <w:r>
        <w:rPr>
          <w:rFonts w:hint="eastAsia" w:ascii="宋体" w:hAnsi="宋体" w:eastAsia="宋体" w:cs="Times New Roman"/>
          <w:b/>
          <w:bCs/>
          <w:color w:val="auto"/>
          <w:kern w:val="0"/>
          <w:sz w:val="21"/>
          <w:szCs w:val="21"/>
          <w:u w:val="single"/>
          <w:lang w:val="en-US" w:eastAsia="zh-CN"/>
        </w:rPr>
        <w:t>开标一览表</w:t>
      </w:r>
      <w:r>
        <w:rPr>
          <w:rFonts w:hint="eastAsia" w:ascii="宋体" w:hAnsi="宋体" w:eastAsia="宋体" w:cs="宋体"/>
          <w:b/>
          <w:bCs/>
          <w:iCs/>
          <w:color w:val="auto"/>
          <w:sz w:val="21"/>
          <w:szCs w:val="21"/>
          <w:u w:val="single"/>
          <w:lang w:val="en-US" w:eastAsia="zh-CN"/>
        </w:rPr>
        <w:t>》进行分项明细</w:t>
      </w:r>
      <w:r>
        <w:rPr>
          <w:rFonts w:hint="eastAsia" w:ascii="宋体" w:hAnsi="宋体" w:eastAsia="宋体" w:cs="宋体"/>
          <w:b/>
          <w:bCs/>
          <w:iCs/>
          <w:color w:val="auto"/>
          <w:sz w:val="21"/>
          <w:szCs w:val="21"/>
          <w:u w:val="single"/>
        </w:rPr>
        <w:t>报价，</w:t>
      </w:r>
      <w:r>
        <w:rPr>
          <w:rFonts w:hint="eastAsia" w:ascii="宋体" w:hAnsi="宋体" w:eastAsia="宋体" w:cs="宋体"/>
          <w:b/>
          <w:bCs/>
          <w:iCs/>
          <w:color w:val="auto"/>
          <w:sz w:val="21"/>
          <w:szCs w:val="21"/>
          <w:u w:val="single"/>
          <w:lang w:val="en-US" w:eastAsia="zh-CN"/>
        </w:rPr>
        <w:t>不按要求报价将做无效响应。投标人</w:t>
      </w:r>
      <w:r>
        <w:rPr>
          <w:rFonts w:hint="eastAsia" w:ascii="宋体" w:hAnsi="宋体" w:eastAsia="宋体" w:cs="宋体"/>
          <w:b/>
          <w:bCs/>
          <w:iCs/>
          <w:color w:val="auto"/>
          <w:sz w:val="21"/>
          <w:szCs w:val="21"/>
          <w:highlight w:val="none"/>
          <w:u w:val="single"/>
        </w:rPr>
        <w:t>的</w:t>
      </w:r>
      <w:r>
        <w:rPr>
          <w:rFonts w:hint="eastAsia" w:ascii="宋体" w:hAnsi="宋体" w:eastAsia="宋体" w:cs="宋体"/>
          <w:b/>
          <w:bCs/>
          <w:iCs/>
          <w:color w:val="auto"/>
          <w:sz w:val="21"/>
          <w:szCs w:val="21"/>
          <w:u w:val="single"/>
          <w:lang w:val="en-US" w:eastAsia="zh-CN"/>
        </w:rPr>
        <w:t>投标</w:t>
      </w:r>
      <w:r>
        <w:rPr>
          <w:rFonts w:hint="eastAsia" w:ascii="宋体" w:hAnsi="宋体" w:eastAsia="宋体" w:cs="宋体"/>
          <w:b/>
          <w:bCs/>
          <w:iCs/>
          <w:color w:val="auto"/>
          <w:sz w:val="21"/>
          <w:szCs w:val="21"/>
          <w:u w:val="single"/>
        </w:rPr>
        <w:t>报价</w:t>
      </w:r>
      <w:r>
        <w:rPr>
          <w:rFonts w:hint="eastAsia" w:ascii="宋体" w:hAnsi="宋体" w:eastAsia="宋体" w:cs="宋体"/>
          <w:b/>
          <w:bCs/>
          <w:iCs/>
          <w:sz w:val="21"/>
          <w:szCs w:val="21"/>
          <w:u w:val="single"/>
        </w:rPr>
        <w:t>必须包含为完成本项目全部内容所需的一切费用，包括但不限于：</w:t>
      </w:r>
      <w:r>
        <w:rPr>
          <w:rFonts w:hint="eastAsia" w:ascii="宋体" w:hAnsi="宋体" w:eastAsia="宋体" w:cs="宋体"/>
          <w:b/>
          <w:bCs/>
          <w:color w:val="auto"/>
          <w:sz w:val="21"/>
          <w:szCs w:val="21"/>
          <w:highlight w:val="none"/>
          <w:u w:val="single"/>
          <w:lang w:val="en-US" w:eastAsia="zh-CN"/>
        </w:rPr>
        <w:t>仓库租赁及管理设施设备费用、处理服务费、验收费用、管理费、宣传费、物资费（回收桶、配套PE内衬袋等）、人员成本、</w:t>
      </w:r>
      <w:r>
        <w:rPr>
          <w:rFonts w:hint="eastAsia" w:ascii="宋体" w:hAnsi="宋体" w:eastAsia="宋体" w:cs="宋体"/>
          <w:b/>
          <w:bCs/>
          <w:iCs/>
          <w:sz w:val="21"/>
          <w:szCs w:val="21"/>
          <w:u w:val="single"/>
        </w:rPr>
        <w:t>搬运费、保险费、工具费、技术服务费、利润、各项税费等合同实施过程中应预见及不可预见的</w:t>
      </w:r>
      <w:r>
        <w:rPr>
          <w:rFonts w:hint="eastAsia" w:ascii="宋体" w:hAnsi="宋体" w:eastAsia="宋体" w:cs="宋体"/>
          <w:b/>
          <w:bCs/>
          <w:iCs/>
          <w:sz w:val="21"/>
          <w:szCs w:val="21"/>
          <w:highlight w:val="none"/>
          <w:u w:val="single"/>
        </w:rPr>
        <w:t>一切费用。采购人不再另行支付与本项目有关的任何费用。</w:t>
      </w:r>
    </w:p>
    <w:p w14:paraId="58868441">
      <w:pPr>
        <w:pStyle w:val="24"/>
        <w:numPr>
          <w:ilvl w:val="0"/>
          <w:numId w:val="10"/>
        </w:numPr>
        <w:snapToGrid w:val="0"/>
        <w:spacing w:line="360" w:lineRule="auto"/>
        <w:ind w:firstLineChars="0"/>
        <w:contextualSpacing/>
        <w:rPr>
          <w:rFonts w:hint="eastAsia" w:ascii="宋体" w:hAnsi="宋体" w:eastAsia="宋体" w:cs="宋体"/>
          <w:iCs/>
          <w:sz w:val="21"/>
          <w:szCs w:val="21"/>
          <w:highlight w:val="none"/>
        </w:rPr>
      </w:pPr>
      <w:r>
        <w:rPr>
          <w:rFonts w:hint="eastAsia" w:ascii="宋体" w:hAnsi="宋体" w:eastAsia="宋体" w:cs="宋体"/>
          <w:iCs/>
          <w:sz w:val="21"/>
          <w:szCs w:val="21"/>
          <w:highlight w:val="none"/>
        </w:rPr>
        <w:t>付款条件（进度和方式）</w:t>
      </w:r>
    </w:p>
    <w:p w14:paraId="0BBDD3B2">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本项目采购人分2次把合同总价支付至中标人处；中标人与采购人按季度根据分项报价单价进行据实核算，核算时需提供核算资料至采购人处。（核算资料包括但不限于回收奖励金签收单、回收处理台账等；因本项目属于据实核算，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还有未使用完合同价款的，中标人需在合同终止后10个工作日内无条件把余款退回至采购人指定账户。）</w:t>
      </w:r>
    </w:p>
    <w:p w14:paraId="07DD8EE7">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采购人与中标人签订合同并收到中标人的等额有效发票后，采购人于5个工作日内向中标人支付合同总价的50%；</w:t>
      </w:r>
    </w:p>
    <w:p w14:paraId="5A97A80D">
      <w:pPr>
        <w:pStyle w:val="24"/>
        <w:numPr>
          <w:ilvl w:val="0"/>
          <w:numId w:val="12"/>
        </w:numPr>
        <w:snapToGrid w:val="0"/>
        <w:spacing w:line="360" w:lineRule="auto"/>
        <w:ind w:left="425" w:leftChars="0" w:hanging="425"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项目合同签订2个月内，中标人能依据合同条款响应采购人回收处理需求，采购人收到中标人的等额有效发票后10个工作日内向中标人支付合同总价的50%。</w:t>
      </w:r>
    </w:p>
    <w:p w14:paraId="50A96569">
      <w:pPr>
        <w:pStyle w:val="24"/>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验收要求</w:t>
      </w:r>
    </w:p>
    <w:p w14:paraId="14E1BEA0">
      <w:pPr>
        <w:pStyle w:val="24"/>
        <w:numPr>
          <w:ilvl w:val="0"/>
          <w:numId w:val="13"/>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中标人需在每轮回收处理结束后的5个工作日内，向采购人提交当轮次的所有数据的纸质材料及电子台帐（含收运、储存、处理等环节的联单、台账、照片等），并按采购人要求提供对应材料的扫描件。同时，中标人需在完成第一轮全市农药包装废弃物与废旧农膜回运处理和合同期满后的10个工作日内，向采购人提交工作总结。</w:t>
      </w:r>
    </w:p>
    <w:p w14:paraId="2220EC56">
      <w:pPr>
        <w:pStyle w:val="24"/>
        <w:numPr>
          <w:ilvl w:val="0"/>
          <w:numId w:val="13"/>
        </w:numPr>
        <w:snapToGrid w:val="0"/>
        <w:spacing w:line="360" w:lineRule="auto"/>
        <w:ind w:left="425" w:leftChars="0" w:hanging="425"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由采购人组织验收小组按国家有关规定、规范进行验收。必要时邀请相关的专业人员或机构参与验收。</w:t>
      </w:r>
    </w:p>
    <w:p w14:paraId="46B8B2B1">
      <w:pPr>
        <w:pStyle w:val="24"/>
        <w:numPr>
          <w:ilvl w:val="0"/>
          <w:numId w:val="8"/>
        </w:numPr>
        <w:snapToGrid w:val="0"/>
        <w:spacing w:before="217" w:beforeLines="50" w:line="360" w:lineRule="auto"/>
        <w:ind w:left="442" w:hanging="442"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rPr>
        <w:t>技术要求</w:t>
      </w:r>
    </w:p>
    <w:p w14:paraId="722AE6A5">
      <w:pPr>
        <w:pStyle w:val="24"/>
        <w:numPr>
          <w:ilvl w:val="0"/>
          <w:numId w:val="14"/>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项目目标</w:t>
      </w:r>
    </w:p>
    <w:p w14:paraId="6D07184C">
      <w:pPr>
        <w:pStyle w:val="24"/>
        <w:numPr>
          <w:ilvl w:val="0"/>
          <w:numId w:val="1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农药包装废弃物是指农药使用后被废弃的与农药直接接触或含有农药残留余物的包装物（瓶、罐、桶、袋等）；农膜是指用于农业生</w:t>
      </w:r>
      <w:r>
        <w:rPr>
          <w:rFonts w:hint="eastAsia" w:ascii="宋体" w:hAnsi="宋体" w:eastAsia="宋体" w:cs="宋体"/>
          <w:color w:val="auto"/>
          <w:sz w:val="21"/>
          <w:szCs w:val="21"/>
          <w:lang w:val="en-US" w:eastAsia="zh-CN"/>
        </w:rPr>
        <w:t>产的地面覆盖薄膜和棚膜等。</w:t>
      </w:r>
    </w:p>
    <w:p w14:paraId="70D30F95">
      <w:pPr>
        <w:pStyle w:val="24"/>
        <w:numPr>
          <w:ilvl w:val="0"/>
          <w:numId w:val="1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实现农药包装废弃物及废旧农膜高效回收与处理在我市全覆盖。在全市开展农药包装废弃物及废旧农膜收集、运输、处理工作，设立农药包装废弃物及废旧农膜转运点约200个，回收处理农药包装废弃物27吨，废旧农膜20吨，无害化处理率达到100%。</w:t>
      </w:r>
    </w:p>
    <w:p w14:paraId="30AFD5F4">
      <w:pPr>
        <w:pStyle w:val="24"/>
        <w:numPr>
          <w:ilvl w:val="0"/>
          <w:numId w:val="1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转运市内假农药、劣质农药、过期农药及罚没农药并进行无害化处理，无害化处理率达到100%。按实际需求开展工作，</w:t>
      </w:r>
      <w:r>
        <w:rPr>
          <w:rFonts w:hint="eastAsia" w:ascii="宋体" w:hAnsi="宋体" w:eastAsia="宋体" w:cs="宋体"/>
          <w:b w:val="0"/>
          <w:bCs w:val="0"/>
          <w:color w:val="auto"/>
          <w:sz w:val="21"/>
          <w:szCs w:val="21"/>
          <w:highlight w:val="none"/>
          <w:lang w:val="en-US" w:eastAsia="zh-CN"/>
        </w:rPr>
        <w:t>转运处理量上限为1吨。</w:t>
      </w:r>
    </w:p>
    <w:p w14:paraId="2A38C030">
      <w:pPr>
        <w:pStyle w:val="24"/>
        <w:numPr>
          <w:ilvl w:val="0"/>
          <w:numId w:val="14"/>
        </w:numPr>
        <w:snapToGrid w:val="0"/>
        <w:spacing w:line="360" w:lineRule="auto"/>
        <w:ind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服务要求</w:t>
      </w:r>
    </w:p>
    <w:p w14:paraId="1DD2A6D5">
      <w:pPr>
        <w:pStyle w:val="24"/>
        <w:widowControl/>
        <w:numPr>
          <w:ilvl w:val="0"/>
          <w:numId w:val="16"/>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履行项目职责。自觉接受、服从并配合采购人及有关部门的监督指导。服务、指导各转运点正确开展农药包装废弃物及废旧农膜的收集、暂存，及时转运收集的农药包装废弃物及废旧农膜并进行专业化处理，落实安全防范措施。负责转运及处理台账登记、归档及汇总统计，转运时向</w:t>
      </w:r>
      <w:r>
        <w:rPr>
          <w:rFonts w:hint="eastAsia" w:ascii="宋体" w:hAnsi="宋体" w:eastAsia="宋体" w:cs="宋体"/>
          <w:color w:val="auto"/>
          <w:sz w:val="21"/>
          <w:szCs w:val="21"/>
          <w:highlight w:val="none"/>
          <w:lang w:val="en-US" w:eastAsia="zh-CN"/>
        </w:rPr>
        <w:t>转运点负责人支付回收奖励金。杜绝市外农药包装废弃物及废旧农膜流入我市，若发现转运点回收市外农药废弃物等异常情况，应及时制止并向采购人和相关监管单位报告。</w:t>
      </w:r>
    </w:p>
    <w:p w14:paraId="75CC13B0">
      <w:pPr>
        <w:pStyle w:val="24"/>
        <w:widowControl/>
        <w:numPr>
          <w:ilvl w:val="0"/>
          <w:numId w:val="16"/>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中标人需根据项目情况提供“</w:t>
      </w:r>
      <w:r>
        <w:rPr>
          <w:rFonts w:hint="eastAsia" w:ascii="宋体" w:hAnsi="宋体" w:eastAsia="宋体"/>
          <w:b w:val="0"/>
          <w:bCs/>
          <w:color w:val="auto"/>
          <w:szCs w:val="21"/>
          <w:highlight w:val="none"/>
          <w:u w:val="none"/>
          <w:lang w:val="en-US" w:eastAsia="zh-CN"/>
        </w:rPr>
        <w:t>农药包装废弃物及废旧农膜</w:t>
      </w:r>
      <w:r>
        <w:rPr>
          <w:rFonts w:hint="eastAsia" w:ascii="宋体" w:hAnsi="宋体" w:eastAsia="宋体" w:cs="宋体"/>
          <w:color w:val="auto"/>
          <w:sz w:val="21"/>
          <w:szCs w:val="21"/>
          <w:highlight w:val="none"/>
          <w:lang w:val="en-US" w:eastAsia="zh-CN"/>
        </w:rPr>
        <w:t>”</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场地及“假农药、劣质农药、过期农药及罚没农药”</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w:t>
      </w:r>
    </w:p>
    <w:p w14:paraId="56746413">
      <w:pPr>
        <w:pStyle w:val="24"/>
        <w:widowControl/>
        <w:numPr>
          <w:ilvl w:val="0"/>
          <w:numId w:val="16"/>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highlight w:val="none"/>
          <w:lang w:val="en-US" w:eastAsia="zh-CN"/>
        </w:rPr>
        <w:t>我市已在辖区内30个镇街设有转运点约200个，均具备标识牌及农药包装废弃物回收桶2个，可正常使用。中标人在项目开展过程中需根据实际需要更新补充相应物资。</w:t>
      </w:r>
    </w:p>
    <w:p w14:paraId="0DBC20F1">
      <w:pPr>
        <w:pStyle w:val="24"/>
        <w:widowControl/>
        <w:numPr>
          <w:ilvl w:val="0"/>
          <w:numId w:val="16"/>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中标人收集、运输、储存和无害化处理假农药、劣质农药、过期农药及罚没农药过程中必须符合以下要求（包含但不限于）：</w:t>
      </w:r>
    </w:p>
    <w:p w14:paraId="4CAFE64F">
      <w:pPr>
        <w:pStyle w:val="24"/>
        <w:widowControl/>
        <w:numPr>
          <w:ilvl w:val="0"/>
          <w:numId w:val="1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18597-2023 《危险废物贮存污染控制标准》</w:t>
      </w:r>
    </w:p>
    <w:p w14:paraId="4CDCDC25">
      <w:pPr>
        <w:pStyle w:val="24"/>
        <w:widowControl/>
        <w:numPr>
          <w:ilvl w:val="0"/>
          <w:numId w:val="1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15603-2022 《危险化学品仓库储存通则》</w:t>
      </w:r>
    </w:p>
    <w:p w14:paraId="051ECEDA">
      <w:pPr>
        <w:pStyle w:val="24"/>
        <w:widowControl/>
        <w:numPr>
          <w:ilvl w:val="0"/>
          <w:numId w:val="1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12463-2009 《危险货物运输包装通用技术条件》</w:t>
      </w:r>
    </w:p>
    <w:p w14:paraId="153011C8">
      <w:pPr>
        <w:pStyle w:val="24"/>
        <w:widowControl/>
        <w:numPr>
          <w:ilvl w:val="0"/>
          <w:numId w:val="17"/>
        </w:numPr>
        <w:snapToGrid w:val="0"/>
        <w:spacing w:line="360" w:lineRule="auto"/>
        <w:ind w:left="425" w:leftChars="0" w:hanging="425"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JT/T 617 《危险货物道路运输规则》</w:t>
      </w:r>
    </w:p>
    <w:p w14:paraId="34DA3408">
      <w:pPr>
        <w:pStyle w:val="24"/>
        <w:numPr>
          <w:ilvl w:val="0"/>
          <w:numId w:val="14"/>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主要工作内容</w:t>
      </w:r>
    </w:p>
    <w:p w14:paraId="7E3D65C2">
      <w:pPr>
        <w:pStyle w:val="24"/>
        <w:widowControl/>
        <w:numPr>
          <w:ilvl w:val="0"/>
          <w:numId w:val="18"/>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回收转运</w:t>
      </w:r>
    </w:p>
    <w:p w14:paraId="2870D16F">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采购人统筹协调全市农药包装废弃物和废旧农膜回收工作，统筹布局全市回收点（转运点），监督指导镇街落实回收和转运相关工作，委托中标人开展上门清运、奖励金发放、无害化处置等。</w:t>
      </w:r>
    </w:p>
    <w:p w14:paraId="3B2861C1">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镇街农业农村部门具体负责农药包装废弃物和废旧农膜的回收环节（从田间收集到转运上车前的工作），包括建立健全回收体系，统筹协调回收工作，科学设置回收点（转运点），摸排上报转运需求，监督检查回收台账，现场核实转运情况，科普宣传法规政策，清理田间农药包装废弃物和废旧农膜等。</w:t>
      </w:r>
    </w:p>
    <w:p w14:paraId="2FAFD93E">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转运点负有回收义务，负责开展农药包装废弃物、废旧农膜回收工作并做好回收记录。</w:t>
      </w:r>
    </w:p>
    <w:p w14:paraId="01CACD81">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中标人根据项目需求及合同，按照回收计划对转运点开展农药包装废弃物及废旧农膜归集和转运，包含分类打包、称重等相关工作。合同期内，开展转运800个次（具体转运点名单由采购人提供）。中标人需为转运点设置醒目统一标识牌，配备至少两个带盖、防渗漏的农药包装废弃物回收桶（内部放置专用的PE内衬袋）。</w:t>
      </w:r>
    </w:p>
    <w:p w14:paraId="04510588">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中标人按照项目需求及合同，指导转运点做好回收工作，及时掌握各环节信息数据，开展农药包装废弃物与废旧农膜的回收种类、数量等各环节的信息数据汇总统计分析，供随时查询。每轮回收处理结束后，向采购人提供项目开展情况记录。</w:t>
      </w:r>
    </w:p>
    <w:p w14:paraId="5989A763">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rPr>
        <w:t>因本项目假农药、劣质农药、过期农药及罚没农药收运及处理量、农药包装废弃物及废旧农膜转运个次及回收处理量存在不可控因素，如合同期满后还有未使用完合同价款的（含对应回收奖励金），中标人需在合同终止后10个工作日内无条件把余款退回至</w:t>
      </w:r>
      <w:r>
        <w:rPr>
          <w:rFonts w:hint="eastAsia" w:ascii="宋体" w:hAnsi="宋体" w:eastAsia="宋体" w:cs="宋体"/>
          <w:iCs/>
          <w:color w:val="auto"/>
          <w:sz w:val="21"/>
          <w:szCs w:val="21"/>
          <w:lang w:val="en-US" w:eastAsia="zh-CN"/>
        </w:rPr>
        <w:t>采购人</w:t>
      </w:r>
      <w:r>
        <w:rPr>
          <w:rFonts w:hint="eastAsia" w:ascii="宋体" w:hAnsi="宋体" w:eastAsia="宋体" w:cs="宋体"/>
          <w:iCs/>
          <w:color w:val="auto"/>
          <w:sz w:val="21"/>
          <w:szCs w:val="21"/>
        </w:rPr>
        <w:t>指定账户。</w:t>
      </w:r>
    </w:p>
    <w:p w14:paraId="6F331B96">
      <w:pPr>
        <w:pStyle w:val="24"/>
        <w:widowControl/>
        <w:numPr>
          <w:ilvl w:val="0"/>
          <w:numId w:val="19"/>
        </w:numPr>
        <w:snapToGrid w:val="0"/>
        <w:spacing w:line="360" w:lineRule="auto"/>
        <w:ind w:left="425" w:leftChars="0" w:hanging="425"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实行回收奖励政策。中标人根据转运点接收的农药使用者交回的农药包装废弃物、废旧农膜的重量，核算奖励金额并做好回收奖励记录台账。转运时，中标人根据实际回收情况，将奖励金交付转运点管理人。其后，由镇街工作人员指导并监督转运点采取合适方式返还给交回农药包装的农药使用者及回收废旧农膜的使用者。回收奖励金上限总额为175，000.00元。采购人根据付款方式提前将奖励金支付至中标人处，中标人需按标准据实发放至转运点管理人处；若发放金额达到上限，即停止奖励金发放。</w:t>
      </w:r>
    </w:p>
    <w:p w14:paraId="74B67E4A">
      <w:pPr>
        <w:pStyle w:val="24"/>
        <w:widowControl/>
        <w:numPr>
          <w:ilvl w:val="-1"/>
          <w:numId w:val="0"/>
        </w:numPr>
        <w:snapToGrid w:val="0"/>
        <w:spacing w:line="360" w:lineRule="auto"/>
        <w:ind w:left="0" w:leftChars="0" w:firstLine="0" w:firstLineChars="0"/>
        <w:contextualSpacing/>
        <w:jc w:val="center"/>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回收奖励金明细</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182"/>
        <w:gridCol w:w="1589"/>
        <w:gridCol w:w="6005"/>
      </w:tblGrid>
      <w:tr w14:paraId="62BA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5" w:type="pct"/>
            <w:noWrap w:val="0"/>
            <w:vAlign w:val="center"/>
          </w:tcPr>
          <w:p w14:paraId="638A434B">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序号</w:t>
            </w:r>
          </w:p>
        </w:tc>
        <w:tc>
          <w:tcPr>
            <w:tcW w:w="636" w:type="pct"/>
            <w:noWrap w:val="0"/>
            <w:vAlign w:val="center"/>
          </w:tcPr>
          <w:p w14:paraId="11947114">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回收产品</w:t>
            </w:r>
          </w:p>
        </w:tc>
        <w:tc>
          <w:tcPr>
            <w:tcW w:w="855" w:type="pct"/>
            <w:noWrap w:val="0"/>
            <w:vAlign w:val="center"/>
          </w:tcPr>
          <w:p w14:paraId="2E320E41">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奖励金标准</w:t>
            </w:r>
          </w:p>
        </w:tc>
        <w:tc>
          <w:tcPr>
            <w:tcW w:w="3232" w:type="pct"/>
            <w:noWrap w:val="0"/>
            <w:vAlign w:val="center"/>
          </w:tcPr>
          <w:p w14:paraId="0A197AE5">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备注</w:t>
            </w:r>
          </w:p>
        </w:tc>
      </w:tr>
      <w:tr w14:paraId="7EABB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75" w:type="pct"/>
            <w:noWrap w:val="0"/>
            <w:vAlign w:val="center"/>
          </w:tcPr>
          <w:p w14:paraId="14621B7F">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1</w:t>
            </w:r>
          </w:p>
        </w:tc>
        <w:tc>
          <w:tcPr>
            <w:tcW w:w="636" w:type="pct"/>
            <w:noWrap w:val="0"/>
            <w:vAlign w:val="center"/>
          </w:tcPr>
          <w:p w14:paraId="285BE921">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农药包装废弃物</w:t>
            </w:r>
          </w:p>
        </w:tc>
        <w:tc>
          <w:tcPr>
            <w:tcW w:w="855" w:type="pct"/>
            <w:noWrap w:val="0"/>
            <w:vAlign w:val="center"/>
          </w:tcPr>
          <w:p w14:paraId="7A81CE5A">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3232" w:type="pct"/>
            <w:noWrap w:val="0"/>
            <w:vAlign w:val="center"/>
          </w:tcPr>
          <w:p w14:paraId="2B9F807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13BEE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275" w:type="pct"/>
            <w:noWrap w:val="0"/>
            <w:vAlign w:val="center"/>
          </w:tcPr>
          <w:p w14:paraId="4ADB58E8">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2</w:t>
            </w:r>
          </w:p>
        </w:tc>
        <w:tc>
          <w:tcPr>
            <w:tcW w:w="636" w:type="pct"/>
            <w:noWrap w:val="0"/>
            <w:vAlign w:val="center"/>
          </w:tcPr>
          <w:p w14:paraId="5EF1ADD9">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w:t>
            </w:r>
          </w:p>
        </w:tc>
        <w:tc>
          <w:tcPr>
            <w:tcW w:w="855" w:type="pct"/>
            <w:noWrap w:val="0"/>
            <w:vAlign w:val="center"/>
          </w:tcPr>
          <w:p w14:paraId="3D55F69E">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3232" w:type="pct"/>
            <w:noWrap w:val="0"/>
            <w:vAlign w:val="center"/>
          </w:tcPr>
          <w:p w14:paraId="4F9E6118">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10518A0C">
      <w:pPr>
        <w:pStyle w:val="24"/>
        <w:widowControl/>
        <w:numPr>
          <w:ilvl w:val="0"/>
          <w:numId w:val="18"/>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运输储存</w:t>
      </w:r>
    </w:p>
    <w:p w14:paraId="2C9716E1">
      <w:pPr>
        <w:pStyle w:val="24"/>
        <w:widowControl/>
        <w:numPr>
          <w:ilvl w:val="0"/>
          <w:numId w:val="20"/>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农药包装废弃物及废旧农膜</w:t>
      </w:r>
    </w:p>
    <w:p w14:paraId="040E35ED">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由中标人进行转运，要使用封闭的厢式车辆，从转运点转运回收的农药包装废弃物及废旧农膜，并指定专人负责收集。对回收收集的农药包装废弃物及废旧农膜进行妥善储存，不得擅自倾倒、堆放、遗撒；运输时应当采取防止污染环境的措施，不得丢弃、遗撒，运输工具应当满足防雨、防渗漏、防遗撒要求。中标人承担项目实施中车辆的维修、保养及燃油、车辆保险等一切车辆和工作人员涉及的费用及安全管理责任。</w:t>
      </w:r>
    </w:p>
    <w:p w14:paraId="5565E941">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中标人需与镇街农业农村部门沟通后形成收运计划，并可按照收运计划合理制定多点拼车路线，建立转运台账。每一轮收运需提前两周制定计划并发给采购人，经采购人同意后开展工作。</w:t>
      </w:r>
    </w:p>
    <w:p w14:paraId="01F28258">
      <w:pPr>
        <w:pStyle w:val="24"/>
        <w:widowControl/>
        <w:numPr>
          <w:ilvl w:val="0"/>
          <w:numId w:val="20"/>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假农药、劣质农药、过期农药及罚没农药</w:t>
      </w:r>
    </w:p>
    <w:p w14:paraId="3943A56E">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中标人根据《国家危险废物名录（2025年版）》规定以及东莞市道路状况，响应采购人要求合理安排危险货物运输车辆，开展假农药、劣质农药、过期农药及罚没农药运输储存工作。中标人须保证转运车辆在运输过程中不会发生渗漏、遗撒等现象，以杜绝对沿途环境造成污染。如发生渗漏、遗撒等情形，应及时向采购人和相关管理部门报告并采取相应措施防止危害及影响扩大。收运车辆须具备相应资质、车况良好，配置灭火器具、配套GPS监控装置，转运前应检查车辆状况，发现异常情况及时报告、尽快处理。因运输过程发生的事故及应承担的法律责任全部由中标人承担。</w:t>
      </w:r>
    </w:p>
    <w:p w14:paraId="505654FC">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中标人应按相关法律法规要求，对经回收的假农药、劣质农药、过期农药及罚没农药进行集中保管、统一处理，不得擅自倾倒、堆放、遗撒，严防二次污染。</w:t>
      </w:r>
    </w:p>
    <w:p w14:paraId="6CD67121">
      <w:pPr>
        <w:pStyle w:val="24"/>
        <w:widowControl/>
        <w:numPr>
          <w:ilvl w:val="0"/>
          <w:numId w:val="18"/>
        </w:numPr>
        <w:snapToGrid w:val="0"/>
        <w:spacing w:line="360" w:lineRule="auto"/>
        <w:ind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处理</w:t>
      </w:r>
    </w:p>
    <w:p w14:paraId="34FBEF31">
      <w:pPr>
        <w:pStyle w:val="24"/>
        <w:widowControl/>
        <w:numPr>
          <w:ilvl w:val="0"/>
          <w:numId w:val="21"/>
        </w:numPr>
        <w:snapToGrid w:val="0"/>
        <w:spacing w:line="360" w:lineRule="auto"/>
        <w:ind w:left="425" w:leftChars="0" w:hanging="425" w:firstLineChars="0"/>
        <w:contextualSpacing/>
        <w:rPr>
          <w:rFonts w:hint="eastAsia" w:ascii="宋体" w:hAnsi="宋体" w:eastAsia="宋体" w:cs="宋体"/>
          <w:b/>
          <w:bCs/>
          <w:iCs/>
          <w:color w:val="C00000"/>
          <w:sz w:val="21"/>
          <w:szCs w:val="21"/>
          <w:highlight w:val="none"/>
          <w:u w:val="single"/>
        </w:rPr>
      </w:pPr>
      <w:r>
        <w:rPr>
          <w:rFonts w:hint="eastAsia" w:ascii="宋体" w:hAnsi="宋体" w:eastAsia="宋体" w:cs="宋体"/>
          <w:b w:val="0"/>
          <w:bCs w:val="0"/>
          <w:iCs/>
          <w:color w:val="auto"/>
          <w:sz w:val="21"/>
          <w:szCs w:val="21"/>
          <w:lang w:val="en-US" w:eastAsia="zh-CN"/>
        </w:rPr>
        <w:t>实施无害化处理模式。根据《国家危险废物名录（2025年版）》规定，农药包装废弃物收集、运输、利用、处置等环节实行危险废物豁免管理，中标人确保合同期内回收的</w:t>
      </w:r>
      <w:r>
        <w:rPr>
          <w:rFonts w:hint="eastAsia" w:ascii="宋体" w:hAnsi="宋体" w:eastAsia="宋体" w:cs="宋体"/>
          <w:iCs/>
          <w:color w:val="auto"/>
          <w:sz w:val="21"/>
          <w:szCs w:val="21"/>
          <w:lang w:val="en-US" w:eastAsia="zh-CN"/>
        </w:rPr>
        <w:t>农药包装废弃物及废旧农膜100％无害化处理或资源化利用，并提供相应的接收及处理证明。</w:t>
      </w:r>
    </w:p>
    <w:p w14:paraId="6A1BF5CE">
      <w:pPr>
        <w:pStyle w:val="24"/>
        <w:widowControl/>
        <w:numPr>
          <w:ilvl w:val="0"/>
          <w:numId w:val="18"/>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宣传</w:t>
      </w:r>
    </w:p>
    <w:p w14:paraId="43B8BC4F">
      <w:pPr>
        <w:pStyle w:val="24"/>
        <w:widowControl/>
        <w:numPr>
          <w:ilvl w:val="0"/>
          <w:numId w:val="22"/>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中标人需协助采购人和转运点所在镇街，做好东莞市农药包装废弃物及废旧农膜回收处理的宣传和教育工作。</w:t>
      </w:r>
    </w:p>
    <w:p w14:paraId="392E8564">
      <w:pPr>
        <w:pStyle w:val="24"/>
        <w:widowControl/>
        <w:numPr>
          <w:ilvl w:val="0"/>
          <w:numId w:val="18"/>
        </w:numPr>
        <w:snapToGrid w:val="0"/>
        <w:spacing w:line="360" w:lineRule="auto"/>
        <w:ind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档案及文书管理</w:t>
      </w:r>
    </w:p>
    <w:p w14:paraId="2932C9E0">
      <w:pPr>
        <w:pStyle w:val="24"/>
        <w:widowControl/>
        <w:numPr>
          <w:ilvl w:val="0"/>
          <w:numId w:val="23"/>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在完成第一轮全市农药包装废弃物与废旧农膜收运处理及服务期满时，对工作情况进行总结。服务期内配合采购人做好农药包装废弃物及废旧农膜回收处理相关数据测算、统计和分析工作，建立收运、储存、处理等环节的纸质及电子台帐，做好日常工作图文资料收集和档案管理。</w:t>
      </w:r>
    </w:p>
    <w:p w14:paraId="199A6AA0">
      <w:pPr>
        <w:pStyle w:val="24"/>
        <w:widowControl/>
        <w:numPr>
          <w:ilvl w:val="0"/>
          <w:numId w:val="23"/>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中标人需在服务期满时对假农药、劣质农药、过期农药及罚没农药的回收处理工作情况进行总结。服务期内配合采购人做好相关数据统计工作，建立收运、储存、处理等环节的纸质及电子台帐，做好日常工作图文资料收集和档案管理。</w:t>
      </w:r>
    </w:p>
    <w:p w14:paraId="4FABCA33">
      <w:pPr>
        <w:pStyle w:val="24"/>
        <w:numPr>
          <w:ilvl w:val="0"/>
          <w:numId w:val="14"/>
        </w:numPr>
        <w:snapToGrid w:val="0"/>
        <w:spacing w:line="360" w:lineRule="auto"/>
        <w:ind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专职人员要求及其他要求</w:t>
      </w:r>
    </w:p>
    <w:p w14:paraId="207F0531">
      <w:pPr>
        <w:pStyle w:val="24"/>
        <w:widowControl/>
        <w:numPr>
          <w:ilvl w:val="0"/>
          <w:numId w:val="2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lang w:val="en-US" w:eastAsia="zh-CN"/>
        </w:rPr>
        <w:t>中标人须安排专职人员进行项目日常管理与服务，专职人员负责日常与采购人、镇街工作人员、转</w:t>
      </w:r>
      <w:r>
        <w:rPr>
          <w:rFonts w:hint="eastAsia" w:ascii="宋体" w:hAnsi="宋体" w:eastAsia="宋体" w:cs="宋体"/>
          <w:sz w:val="21"/>
          <w:szCs w:val="21"/>
          <w:highlight w:val="none"/>
          <w:lang w:val="en-US" w:eastAsia="zh-CN"/>
        </w:rPr>
        <w:t>运点负责人的沟通联系。</w:t>
      </w:r>
    </w:p>
    <w:p w14:paraId="50919C55">
      <w:pPr>
        <w:pStyle w:val="24"/>
        <w:widowControl/>
        <w:numPr>
          <w:ilvl w:val="0"/>
          <w:numId w:val="2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参与危险废物回收、运输、管理等环节的工作人员须有此类工作经验并持相关证书上岗，中标人在合同签订时须把相关人员证书复印件交至采购人进行备案。</w:t>
      </w:r>
    </w:p>
    <w:p w14:paraId="51CC3BE4">
      <w:pPr>
        <w:pStyle w:val="24"/>
        <w:widowControl/>
        <w:numPr>
          <w:ilvl w:val="0"/>
          <w:numId w:val="2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olor w:val="auto"/>
          <w:szCs w:val="21"/>
          <w:highlight w:val="none"/>
        </w:rPr>
        <w:t>投标人</w:t>
      </w:r>
      <w:r>
        <w:rPr>
          <w:rFonts w:hint="eastAsia" w:ascii="宋体" w:hAnsi="宋体" w:eastAsia="宋体"/>
          <w:color w:val="auto"/>
          <w:szCs w:val="21"/>
          <w:highlight w:val="none"/>
          <w:lang w:val="en-US" w:eastAsia="zh-CN"/>
        </w:rPr>
        <w:t>根据项目需要制定完善的</w:t>
      </w:r>
      <w:r>
        <w:rPr>
          <w:rFonts w:hint="default" w:ascii="宋体" w:hAnsi="宋体" w:eastAsia="宋体"/>
          <w:color w:val="000000" w:themeColor="text1"/>
          <w:szCs w:val="21"/>
          <w:highlight w:val="none"/>
          <w:lang w:val="en-US" w:eastAsia="zh-CN"/>
          <w14:textFill>
            <w14:solidFill>
              <w14:schemeClr w14:val="tx1"/>
            </w14:solidFill>
          </w14:textFill>
        </w:rPr>
        <w:t>应急预案</w:t>
      </w:r>
      <w:r>
        <w:rPr>
          <w:rFonts w:hint="eastAsia" w:ascii="宋体" w:hAnsi="宋体" w:eastAsia="宋体"/>
          <w:color w:val="auto"/>
          <w:szCs w:val="21"/>
          <w:highlight w:val="none"/>
          <w:lang w:val="en-US" w:eastAsia="zh-CN"/>
        </w:rPr>
        <w:t>，</w:t>
      </w:r>
      <w:r>
        <w:rPr>
          <w:rFonts w:hint="default" w:ascii="宋体" w:hAnsi="宋体" w:eastAsia="宋体"/>
          <w:color w:val="auto"/>
          <w:szCs w:val="21"/>
          <w:highlight w:val="none"/>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0CB0AE7F">
      <w:pPr>
        <w:pStyle w:val="24"/>
        <w:widowControl/>
        <w:numPr>
          <w:ilvl w:val="0"/>
          <w:numId w:val="2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rPr>
        <w:t>投标人</w:t>
      </w:r>
      <w:r>
        <w:rPr>
          <w:rFonts w:hint="eastAsia" w:ascii="宋体" w:hAnsi="宋体" w:eastAsia="宋体" w:cs="宋体"/>
          <w:sz w:val="21"/>
          <w:szCs w:val="21"/>
          <w:highlight w:val="none"/>
          <w:lang w:val="en-US" w:eastAsia="zh-CN"/>
        </w:rPr>
        <w:t>需要了解</w:t>
      </w:r>
      <w:r>
        <w:rPr>
          <w:rFonts w:hint="eastAsia" w:ascii="宋体" w:hAnsi="宋体" w:eastAsia="宋体" w:cs="宋体"/>
          <w:sz w:val="21"/>
          <w:szCs w:val="21"/>
          <w:highlight w:val="none"/>
        </w:rPr>
        <w:t>项目</w:t>
      </w:r>
      <w:r>
        <w:rPr>
          <w:rFonts w:hint="eastAsia" w:ascii="宋体" w:hAnsi="宋体" w:eastAsia="宋体" w:cs="宋体"/>
          <w:sz w:val="21"/>
          <w:szCs w:val="21"/>
          <w:highlight w:val="none"/>
          <w:lang w:val="en-US" w:eastAsia="zh-CN"/>
        </w:rPr>
        <w:t>中</w:t>
      </w:r>
      <w:r>
        <w:rPr>
          <w:rFonts w:hint="eastAsia" w:ascii="宋体" w:hAnsi="宋体" w:eastAsia="宋体"/>
          <w:color w:val="auto"/>
          <w:szCs w:val="21"/>
          <w:highlight w:val="none"/>
          <w:lang w:val="en-US" w:eastAsia="zh-CN"/>
        </w:rPr>
        <w:t>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w:t>
      </w:r>
      <w:r>
        <w:rPr>
          <w:rFonts w:hint="eastAsia" w:ascii="宋体" w:hAnsi="宋体" w:eastAsia="宋体" w:cs="宋体"/>
          <w:sz w:val="21"/>
          <w:szCs w:val="21"/>
          <w:highlight w:val="none"/>
          <w:lang w:val="en-US" w:eastAsia="zh-CN"/>
        </w:rPr>
        <w:t>，并</w:t>
      </w:r>
      <w:r>
        <w:rPr>
          <w:rFonts w:hint="eastAsia" w:ascii="宋体" w:hAnsi="宋体" w:eastAsia="宋体" w:cs="宋体"/>
          <w:sz w:val="21"/>
          <w:szCs w:val="21"/>
          <w:highlight w:val="none"/>
        </w:rPr>
        <w:t>针对采购需求提供合理建议</w:t>
      </w:r>
      <w:r>
        <w:rPr>
          <w:rFonts w:hint="eastAsia" w:ascii="宋体" w:hAnsi="宋体" w:eastAsia="宋体" w:cs="宋体"/>
          <w:sz w:val="21"/>
          <w:szCs w:val="21"/>
          <w:highlight w:val="none"/>
          <w:lang w:val="en-US" w:eastAsia="zh-CN"/>
        </w:rPr>
        <w:t>至采购人处。</w:t>
      </w:r>
    </w:p>
    <w:p w14:paraId="670F1718">
      <w:pPr>
        <w:pStyle w:val="24"/>
        <w:widowControl/>
        <w:numPr>
          <w:ilvl w:val="0"/>
          <w:numId w:val="24"/>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s="宋体"/>
          <w:iCs/>
          <w:color w:val="auto"/>
          <w:sz w:val="21"/>
          <w:szCs w:val="21"/>
          <w:highlight w:val="none"/>
          <w:lang w:val="en-US" w:eastAsia="zh-CN"/>
        </w:rPr>
        <w:t>投标人针对本项目制定</w:t>
      </w:r>
      <w:r>
        <w:rPr>
          <w:rFonts w:hint="eastAsia" w:ascii="宋体" w:hAnsi="宋体" w:eastAsia="宋体" w:cs="宋体"/>
          <w:iCs/>
          <w:color w:val="auto"/>
          <w:sz w:val="21"/>
          <w:szCs w:val="21"/>
          <w:highlight w:val="none"/>
          <w:lang w:val="en-US" w:eastAsia="zh-CN"/>
        </w:rPr>
        <w:t>完善且详细的</w:t>
      </w:r>
      <w:r>
        <w:rPr>
          <w:rFonts w:hint="default" w:ascii="宋体" w:hAnsi="宋体" w:eastAsia="宋体" w:cs="宋体"/>
          <w:iCs/>
          <w:color w:val="auto"/>
          <w:sz w:val="21"/>
          <w:szCs w:val="21"/>
          <w:highlight w:val="none"/>
          <w:lang w:val="en-US" w:eastAsia="zh-CN"/>
        </w:rPr>
        <w:t>服务质量保障方案</w:t>
      </w:r>
      <w:r>
        <w:rPr>
          <w:rFonts w:hint="eastAsia" w:ascii="宋体" w:hAnsi="宋体" w:eastAsia="宋体" w:cs="宋体"/>
          <w:iCs/>
          <w:color w:val="auto"/>
          <w:sz w:val="21"/>
          <w:szCs w:val="21"/>
          <w:highlight w:val="none"/>
          <w:lang w:val="en-US" w:eastAsia="zh-CN"/>
        </w:rPr>
        <w:t>，</w:t>
      </w:r>
      <w:r>
        <w:rPr>
          <w:rFonts w:hint="default" w:ascii="宋体" w:hAnsi="宋体" w:eastAsia="宋体" w:cs="宋体"/>
          <w:iCs/>
          <w:color w:val="auto"/>
          <w:sz w:val="21"/>
          <w:szCs w:val="21"/>
          <w:highlight w:val="none"/>
          <w:lang w:val="en-US" w:eastAsia="zh-CN"/>
        </w:rPr>
        <w:t>包括但不限于服务质量目标、质量保证体系及措施、流程规范程度、服务质量保障措施</w:t>
      </w:r>
      <w:r>
        <w:rPr>
          <w:rFonts w:hint="eastAsia" w:ascii="宋体" w:hAnsi="宋体" w:eastAsia="宋体" w:cs="宋体"/>
          <w:iCs/>
          <w:color w:val="auto"/>
          <w:sz w:val="21"/>
          <w:szCs w:val="21"/>
          <w:highlight w:val="none"/>
          <w:lang w:val="en-US" w:eastAsia="zh-CN"/>
        </w:rPr>
        <w:t>等内容。</w:t>
      </w:r>
    </w:p>
    <w:p w14:paraId="1A9B08C4">
      <w:pPr>
        <w:pStyle w:val="24"/>
        <w:widowControl/>
        <w:numPr>
          <w:ilvl w:val="0"/>
          <w:numId w:val="24"/>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olor w:val="000000" w:themeColor="text1"/>
          <w:szCs w:val="21"/>
          <w:highlight w:val="none"/>
          <w:lang w:val="en-US" w:eastAsia="zh-CN"/>
          <w14:textFill>
            <w14:solidFill>
              <w14:schemeClr w14:val="tx1"/>
            </w14:solidFill>
          </w14:textFill>
        </w:rPr>
        <w:t>根据投标人对本项目制定的应急预案</w:t>
      </w:r>
      <w:r>
        <w:rPr>
          <w:rFonts w:hint="eastAsia" w:ascii="宋体" w:hAnsi="宋体" w:eastAsia="宋体"/>
          <w:color w:val="000000" w:themeColor="text1"/>
          <w:szCs w:val="21"/>
          <w:highlight w:val="none"/>
          <w:lang w:val="en-US" w:eastAsia="zh-CN"/>
          <w14:textFill>
            <w14:solidFill>
              <w14:schemeClr w14:val="tx1"/>
            </w14:solidFill>
          </w14:textFill>
        </w:rPr>
        <w:t>，如</w:t>
      </w:r>
      <w:r>
        <w:rPr>
          <w:rFonts w:hint="default" w:ascii="宋体" w:hAnsi="宋体" w:eastAsia="宋体"/>
          <w:color w:val="000000" w:themeColor="text1"/>
          <w:szCs w:val="21"/>
          <w:highlight w:val="none"/>
          <w:lang w:val="en-US" w:eastAsia="zh-CN"/>
          <w14:textFill>
            <w14:solidFill>
              <w14:schemeClr w14:val="tx1"/>
            </w14:solidFill>
          </w14:textFill>
        </w:rPr>
        <w:t>环境污染、人员伤害、天气恶劣、运输车辆故障等，服务中可能发生的各类紧急情况的预判及预防措施</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1191C5B7">
      <w:pPr>
        <w:pStyle w:val="24"/>
        <w:numPr>
          <w:ilvl w:val="0"/>
          <w:numId w:val="14"/>
        </w:numPr>
        <w:snapToGrid w:val="0"/>
        <w:spacing w:line="360" w:lineRule="auto"/>
        <w:ind w:firstLineChars="0"/>
        <w:contextualSpacing/>
        <w:rPr>
          <w:rFonts w:hint="default" w:ascii="宋体" w:hAnsi="宋体" w:eastAsia="宋体" w:cs="宋体"/>
          <w:iCs/>
          <w:color w:val="auto"/>
          <w:sz w:val="21"/>
          <w:szCs w:val="21"/>
          <w:lang w:val="en-US" w:eastAsia="zh-CN"/>
        </w:rPr>
      </w:pPr>
      <w:r>
        <w:rPr>
          <w:rFonts w:hint="default" w:ascii="宋体" w:hAnsi="宋体" w:eastAsia="宋体" w:cs="宋体"/>
          <w:iCs/>
          <w:color w:val="auto"/>
          <w:sz w:val="21"/>
          <w:szCs w:val="21"/>
          <w:lang w:val="en-US" w:eastAsia="zh-CN"/>
        </w:rPr>
        <w:t>考核要求</w:t>
      </w:r>
    </w:p>
    <w:p w14:paraId="7218C35F">
      <w:pPr>
        <w:pStyle w:val="34"/>
        <w:keepNext w:val="0"/>
        <w:keepLines w:val="0"/>
        <w:pageBreakBefore w:val="0"/>
        <w:numPr>
          <w:ilvl w:val="0"/>
          <w:numId w:val="25"/>
        </w:numPr>
        <w:kinsoku/>
        <w:wordWrap/>
        <w:overflowPunct/>
        <w:topLinePunct w:val="0"/>
        <w:autoSpaceDE/>
        <w:autoSpaceDN/>
        <w:bidi w:val="0"/>
        <w:adjustRightInd/>
        <w:snapToGrid/>
        <w:spacing w:before="0" w:line="400" w:lineRule="exact"/>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中标人在每轮回收处理结束后，需对各转运点的收集、转运、处理等情况及存在问题向采购人进行</w:t>
      </w:r>
      <w:r>
        <w:rPr>
          <w:rFonts w:hint="eastAsia" w:ascii="宋体" w:hAnsi="宋体" w:eastAsia="宋体" w:cs="宋体"/>
          <w:color w:val="auto"/>
          <w:sz w:val="21"/>
          <w:szCs w:val="21"/>
          <w:highlight w:val="none"/>
          <w:lang w:val="en-US" w:eastAsia="zh-CN"/>
        </w:rPr>
        <w:t>汇报，采购人不定时对收运数量进行核实抽查，一经发现造假，采购人有权无偿终止合同。如项目进度明显滞后或回收处理工作推动不力，中标人应按要求及时整改到位，相同问题再次发生的，采购人有权无偿终止合同。</w:t>
      </w:r>
    </w:p>
    <w:p w14:paraId="083CFDFF">
      <w:pPr>
        <w:pStyle w:val="24"/>
        <w:widowControl/>
        <w:numPr>
          <w:ilvl w:val="0"/>
          <w:numId w:val="0"/>
        </w:numPr>
        <w:snapToGrid w:val="0"/>
        <w:spacing w:line="360" w:lineRule="auto"/>
        <w:ind w:leftChars="0"/>
        <w:contextualSpacing/>
        <w:rPr>
          <w:rFonts w:hint="eastAsia" w:ascii="宋体" w:hAnsi="宋体" w:eastAsia="宋体" w:cs="宋体"/>
          <w:sz w:val="21"/>
          <w:szCs w:val="21"/>
          <w:highlight w:val="none"/>
          <w:lang w:val="en-US" w:eastAsia="zh-CN"/>
        </w:rPr>
      </w:pPr>
    </w:p>
    <w:bookmarkEnd w:id="8"/>
    <w:p w14:paraId="5DA89554">
      <w:pPr>
        <w:pageBreakBefore/>
        <w:spacing w:after="217" w:afterLines="50"/>
        <w:jc w:val="center"/>
        <w:outlineLvl w:val="1"/>
        <w:rPr>
          <w:rFonts w:ascii="Calibri" w:hAnsi="Calibri" w:eastAsia="宋体" w:cs="Times New Roman"/>
          <w:kern w:val="0"/>
          <w:sz w:val="20"/>
          <w:szCs w:val="20"/>
          <w:lang w:eastAsia="zh-Hans"/>
        </w:rPr>
      </w:pPr>
      <w:bookmarkStart w:id="9" w:name="_Toc169807542"/>
      <w:bookmarkStart w:id="10" w:name="_Toc169799780"/>
      <w:r>
        <w:rPr>
          <w:rFonts w:ascii="Calibri" w:hAnsi="Calibri" w:eastAsia="宋体" w:cs="Times New Roman"/>
          <w:b/>
          <w:kern w:val="0"/>
          <w:sz w:val="36"/>
          <w:szCs w:val="20"/>
          <w:lang w:eastAsia="zh-Hans"/>
        </w:rPr>
        <w:t>第三章 投标人须知</w:t>
      </w:r>
      <w:bookmarkEnd w:id="9"/>
      <w:bookmarkEnd w:id="10"/>
    </w:p>
    <w:p w14:paraId="5D825FB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E0490A3">
      <w:pPr>
        <w:pStyle w:val="24"/>
        <w:widowControl/>
        <w:numPr>
          <w:ilvl w:val="0"/>
          <w:numId w:val="26"/>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02616A0B">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1D7CA2E0">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08D0ACA">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561BD5E8">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1ABEC1A">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3502EE98">
      <w:pPr>
        <w:pStyle w:val="24"/>
        <w:widowControl/>
        <w:numPr>
          <w:ilvl w:val="0"/>
          <w:numId w:val="27"/>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0FE4CB1C">
      <w:pPr>
        <w:pStyle w:val="24"/>
        <w:widowControl/>
        <w:numPr>
          <w:ilvl w:val="0"/>
          <w:numId w:val="26"/>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6AC4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48E7EEAB">
            <w:pPr>
              <w:widowControl/>
              <w:jc w:val="left"/>
              <w:rPr>
                <w:rFonts w:hint="eastAsia"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22F9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F51F4F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5E8342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39B7A8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1EA36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3BE76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407BEE9A">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23AB7AD7">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r>
              <w:rPr>
                <w:rFonts w:hint="eastAsia" w:ascii="宋体" w:hAnsi="宋体" w:eastAsia="宋体" w:cs="Times New Roman"/>
                <w:kern w:val="0"/>
                <w:szCs w:val="21"/>
              </w:rPr>
              <w:t>：服务</w:t>
            </w:r>
          </w:p>
        </w:tc>
      </w:tr>
      <w:tr w14:paraId="6233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CDC62E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210FA8EB">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3C15C8FC">
            <w:pPr>
              <w:widowControl/>
              <w:rPr>
                <w:rFonts w:hint="eastAsia"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18837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EAD6C6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756B6A3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74ECF36">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2FF9C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840BDA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66E0AD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4210CF2B">
            <w:pPr>
              <w:widowControl/>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24CB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885C52A">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E6A79C8">
            <w:pPr>
              <w:widowControl/>
              <w:jc w:val="left"/>
              <w:rPr>
                <w:rFonts w:hint="eastAsia" w:ascii="宋体" w:hAnsi="宋体" w:eastAsia="宋体" w:cs="Times New Roman"/>
                <w:kern w:val="0"/>
                <w:szCs w:val="21"/>
                <w:highlight w:val="none"/>
                <w:lang w:eastAsia="zh-Hans"/>
              </w:rPr>
            </w:pPr>
            <w:r>
              <w:rPr>
                <w:rFonts w:ascii="宋体" w:hAnsi="宋体" w:eastAsia="宋体" w:cs="Times New Roman"/>
                <w:kern w:val="0"/>
                <w:szCs w:val="21"/>
                <w:highlight w:val="none"/>
                <w:lang w:eastAsia="zh-Hans"/>
              </w:rPr>
              <w:t>投标有效期</w:t>
            </w:r>
          </w:p>
        </w:tc>
        <w:tc>
          <w:tcPr>
            <w:tcW w:w="3619" w:type="pct"/>
          </w:tcPr>
          <w:p w14:paraId="2C88DA30">
            <w:pPr>
              <w:widowControl/>
              <w:jc w:val="left"/>
              <w:rPr>
                <w:rFonts w:hint="eastAsia" w:ascii="宋体" w:hAnsi="宋体" w:eastAsia="宋体" w:cs="Times New Roman"/>
                <w:kern w:val="0"/>
                <w:szCs w:val="21"/>
                <w:highlight w:val="none"/>
                <w:lang w:eastAsia="zh-Hans"/>
              </w:rPr>
            </w:pPr>
            <w:r>
              <w:rPr>
                <w:rFonts w:ascii="宋体" w:hAnsi="宋体" w:eastAsia="宋体" w:cs="Times New Roman"/>
                <w:kern w:val="0"/>
                <w:szCs w:val="21"/>
                <w:highlight w:val="none"/>
                <w:lang w:eastAsia="zh-Hans"/>
              </w:rPr>
              <w:t>从提交投标文件的截止之日起90日历天</w:t>
            </w:r>
            <w:r>
              <w:rPr>
                <w:rFonts w:hint="eastAsia" w:ascii="宋体" w:hAnsi="宋体" w:eastAsia="宋体" w:cs="Times New Roman"/>
                <w:kern w:val="0"/>
                <w:szCs w:val="21"/>
                <w:highlight w:val="none"/>
                <w:lang w:eastAsia="zh-Hans"/>
              </w:rPr>
              <w:t>。</w:t>
            </w:r>
          </w:p>
        </w:tc>
      </w:tr>
      <w:tr w14:paraId="1A96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7840D3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3214FB1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34B35CF5">
            <w:pPr>
              <w:widowControl/>
              <w:jc w:val="left"/>
              <w:rPr>
                <w:rFonts w:hint="eastAsia" w:ascii="宋体" w:hAnsi="宋体" w:eastAsia="宋体" w:cs="Times New Roman"/>
                <w:kern w:val="0"/>
                <w:szCs w:val="21"/>
              </w:rPr>
            </w:pPr>
            <w:r>
              <w:rPr>
                <w:rFonts w:hint="eastAsia" w:ascii="宋体" w:hAnsi="宋体" w:eastAsia="宋体" w:cs="Times New Roman"/>
                <w:kern w:val="0"/>
                <w:szCs w:val="21"/>
                <w:lang w:val="en-US" w:eastAsia="zh-CN"/>
              </w:rPr>
              <w:t>本项目不收取</w:t>
            </w:r>
            <w:r>
              <w:rPr>
                <w:rFonts w:ascii="宋体" w:hAnsi="宋体" w:eastAsia="宋体" w:cs="Times New Roman"/>
                <w:kern w:val="0"/>
                <w:szCs w:val="21"/>
                <w:lang w:eastAsia="zh-Hans"/>
              </w:rPr>
              <w:t>投标保证金。</w:t>
            </w:r>
          </w:p>
        </w:tc>
      </w:tr>
      <w:tr w14:paraId="4324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D1F7E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367CBD3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4AC632CC">
            <w:pPr>
              <w:widowControl/>
              <w:jc w:val="left"/>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28CF4976">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16515549">
            <w:pPr>
              <w:widowControl/>
              <w:jc w:val="left"/>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74344198">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17D0D7F1">
            <w:pPr>
              <w:widowControl/>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688863E2">
            <w:pPr>
              <w:widowControl/>
              <w:jc w:val="left"/>
              <w:rPr>
                <w:rFonts w:hint="eastAsia"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E6AA890">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5C8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77A0BE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052B7C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13CACE56">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706C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4AE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4A2176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BFF7E05">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5525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C3A5317">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55F5F4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6A1BF8B7">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3家</w:t>
            </w:r>
          </w:p>
          <w:p w14:paraId="33C9819A">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2B39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392B89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340F9C7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00512BAC">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采购人按照评审报告中推荐的成交候选人确定中标人。</w:t>
            </w:r>
          </w:p>
        </w:tc>
      </w:tr>
      <w:tr w14:paraId="0564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7899AE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177208E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590FD2C6">
            <w:pPr>
              <w:widowControl/>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收取。采购机构代理服务收费标准：以中标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3364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763F8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2E79234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7E391200">
            <w:pPr>
              <w:widowControl/>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向中标供应商收取</w:t>
            </w:r>
            <w:r>
              <w:rPr>
                <w:rFonts w:hint="eastAsia" w:ascii="宋体" w:hAnsi="宋体" w:eastAsia="宋体" w:cs="Times New Roman"/>
                <w:color w:val="auto"/>
                <w:kern w:val="0"/>
                <w:szCs w:val="21"/>
                <w:lang w:eastAsia="zh-CN"/>
              </w:rPr>
              <w:t>。</w:t>
            </w:r>
          </w:p>
        </w:tc>
      </w:tr>
      <w:tr w14:paraId="2CE7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7407644D">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2B63D88B">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74D886DB">
            <w:pPr>
              <w:rPr>
                <w:rFonts w:hint="eastAsia"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w:t>
            </w:r>
            <w:r>
              <w:rPr>
                <w:rFonts w:hint="eastAsia" w:ascii="宋体" w:hAnsi="宋体" w:eastAsia="宋体" w:cs="Times New Roman"/>
                <w:kern w:val="0"/>
                <w:szCs w:val="21"/>
                <w:lang w:eastAsia="zh-Hans"/>
              </w:rPr>
              <w:t>履约担保</w:t>
            </w:r>
            <w:r>
              <w:rPr>
                <w:rFonts w:hint="eastAsia" w:ascii="宋体" w:hAnsi="宋体" w:eastAsia="宋体" w:cs="Times New Roman"/>
                <w:kern w:val="0"/>
                <w:szCs w:val="21"/>
                <w:lang w:eastAsia="zh-CN"/>
              </w:rPr>
              <w:t>。</w:t>
            </w:r>
          </w:p>
        </w:tc>
      </w:tr>
      <w:bookmarkEnd w:id="11"/>
    </w:tbl>
    <w:p w14:paraId="39D71A99">
      <w:pPr>
        <w:pStyle w:val="24"/>
        <w:keepLines/>
        <w:numPr>
          <w:ilvl w:val="0"/>
          <w:numId w:val="26"/>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1B1B2708">
      <w:pPr>
        <w:pStyle w:val="24"/>
        <w:widowControl/>
        <w:numPr>
          <w:ilvl w:val="3"/>
          <w:numId w:val="28"/>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总则</w:t>
      </w:r>
    </w:p>
    <w:p w14:paraId="4767F8B4">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采购人、采购代理机构及投标人进行的本次采购活动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2D061FC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430A7259">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3491F290">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07C1F0CF">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423A2363">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6339DEA4">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2E41571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5DA28CF1">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1373C26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3DD3FDEA">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7184A182">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761158C4">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00164710">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A4FEF83">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6B04C0A0">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498232A">
      <w:pPr>
        <w:pStyle w:val="24"/>
        <w:widowControl/>
        <w:numPr>
          <w:ilvl w:val="0"/>
          <w:numId w:val="2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31DD4546">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7E1E1276">
      <w:pPr>
        <w:pStyle w:val="24"/>
        <w:widowControl/>
        <w:numPr>
          <w:ilvl w:val="0"/>
          <w:numId w:val="3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262D370B">
      <w:pPr>
        <w:pStyle w:val="24"/>
        <w:widowControl/>
        <w:numPr>
          <w:ilvl w:val="0"/>
          <w:numId w:val="3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5D0360A9">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2D3A00ED">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54F08178">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5B4B0970">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233C2E27">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5E1D16">
      <w:pPr>
        <w:pStyle w:val="24"/>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22156093">
      <w:pPr>
        <w:pStyle w:val="24"/>
        <w:widowControl/>
        <w:numPr>
          <w:ilvl w:val="0"/>
          <w:numId w:val="3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1F505358">
      <w:pPr>
        <w:pStyle w:val="24"/>
        <w:widowControl/>
        <w:numPr>
          <w:ilvl w:val="3"/>
          <w:numId w:val="28"/>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5102C6A2">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549589A">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5E7B72E1">
      <w:pPr>
        <w:pStyle w:val="24"/>
        <w:widowControl/>
        <w:numPr>
          <w:ilvl w:val="0"/>
          <w:numId w:val="3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28CD9BF4">
      <w:pPr>
        <w:pStyle w:val="24"/>
        <w:widowControl/>
        <w:numPr>
          <w:ilvl w:val="3"/>
          <w:numId w:val="28"/>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7CE5D6D0">
      <w:pPr>
        <w:pStyle w:val="24"/>
        <w:widowControl/>
        <w:numPr>
          <w:ilvl w:val="0"/>
          <w:numId w:val="3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0C487BB8">
      <w:pPr>
        <w:pStyle w:val="24"/>
        <w:widowControl/>
        <w:numPr>
          <w:ilvl w:val="0"/>
          <w:numId w:val="3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136F2FE">
      <w:pPr>
        <w:pStyle w:val="24"/>
        <w:widowControl/>
        <w:numPr>
          <w:ilvl w:val="0"/>
          <w:numId w:val="3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3220C246">
      <w:pPr>
        <w:pStyle w:val="24"/>
        <w:widowControl/>
        <w:numPr>
          <w:ilvl w:val="0"/>
          <w:numId w:val="26"/>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46C885D2">
      <w:pPr>
        <w:pStyle w:val="24"/>
        <w:widowControl/>
        <w:numPr>
          <w:ilvl w:val="0"/>
          <w:numId w:val="34"/>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279E9C37">
      <w:pPr>
        <w:pStyle w:val="24"/>
        <w:widowControl/>
        <w:numPr>
          <w:ilvl w:val="0"/>
          <w:numId w:val="34"/>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5C5C965C">
      <w:pPr>
        <w:pStyle w:val="24"/>
        <w:widowControl/>
        <w:numPr>
          <w:ilvl w:val="0"/>
          <w:numId w:val="34"/>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46E92CEC">
      <w:pPr>
        <w:pStyle w:val="24"/>
        <w:widowControl/>
        <w:numPr>
          <w:ilvl w:val="0"/>
          <w:numId w:val="26"/>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232C3850">
      <w:pPr>
        <w:pStyle w:val="24"/>
        <w:widowControl/>
        <w:numPr>
          <w:ilvl w:val="0"/>
          <w:numId w:val="35"/>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7AD6A8C3">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1D25128">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74D954B">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9A821FA">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56C70B5B">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229D14A4">
      <w:pPr>
        <w:pStyle w:val="24"/>
        <w:widowControl/>
        <w:numPr>
          <w:ilvl w:val="0"/>
          <w:numId w:val="36"/>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A2E77A0">
      <w:pPr>
        <w:pStyle w:val="24"/>
        <w:widowControl/>
        <w:numPr>
          <w:ilvl w:val="0"/>
          <w:numId w:val="36"/>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w:t>
      </w:r>
    </w:p>
    <w:p w14:paraId="01EA56BB">
      <w:pPr>
        <w:pStyle w:val="24"/>
        <w:widowControl/>
        <w:numPr>
          <w:ilvl w:val="0"/>
          <w:numId w:val="35"/>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53D49CF5">
      <w:pPr>
        <w:pStyle w:val="24"/>
        <w:widowControl/>
        <w:numPr>
          <w:ilvl w:val="0"/>
          <w:numId w:val="37"/>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441C25C8">
      <w:pPr>
        <w:pStyle w:val="24"/>
        <w:widowControl/>
        <w:numPr>
          <w:ilvl w:val="0"/>
          <w:numId w:val="37"/>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4394873F">
      <w:pPr>
        <w:pStyle w:val="24"/>
        <w:widowControl/>
        <w:numPr>
          <w:ilvl w:val="0"/>
          <w:numId w:val="38"/>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42C23702">
      <w:pPr>
        <w:pStyle w:val="24"/>
        <w:widowControl/>
        <w:numPr>
          <w:ilvl w:val="0"/>
          <w:numId w:val="38"/>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3E19FD7B">
      <w:pPr>
        <w:pStyle w:val="24"/>
        <w:widowControl/>
        <w:numPr>
          <w:ilvl w:val="0"/>
          <w:numId w:val="37"/>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413D07FA">
      <w:pPr>
        <w:pStyle w:val="24"/>
        <w:widowControl/>
        <w:numPr>
          <w:ilvl w:val="0"/>
          <w:numId w:val="35"/>
        </w:numPr>
        <w:ind w:left="284" w:hanging="284" w:firstLineChars="0"/>
        <w:jc w:val="left"/>
        <w:outlineLvl w:val="3"/>
        <w:rPr>
          <w:rFonts w:hint="eastAsia"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3CA5F343">
      <w:pPr>
        <w:pStyle w:val="24"/>
        <w:numPr>
          <w:ilvl w:val="0"/>
          <w:numId w:val="39"/>
        </w:numPr>
        <w:ind w:firstLineChars="0"/>
        <w:rPr>
          <w:rFonts w:hint="eastAsia" w:ascii="宋体" w:hAnsi="宋体" w:eastAsia="宋体"/>
          <w:b/>
          <w:color w:val="000000" w:themeColor="text1"/>
          <w:szCs w:val="21"/>
          <w14:textFill>
            <w14:solidFill>
              <w14:schemeClr w14:val="tx1"/>
            </w14:solidFill>
          </w14:textFill>
        </w:rPr>
      </w:pPr>
      <w:bookmarkStart w:id="12"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2"/>
    </w:p>
    <w:p w14:paraId="59E42132">
      <w:pPr>
        <w:pStyle w:val="24"/>
        <w:numPr>
          <w:ilvl w:val="0"/>
          <w:numId w:val="40"/>
        </w:numPr>
        <w:tabs>
          <w:tab w:val="left" w:pos="851"/>
        </w:tabs>
        <w:ind w:left="567" w:hanging="567" w:firstLineChars="0"/>
        <w:rPr>
          <w:rFonts w:hint="eastAsia"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66D27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4291449F">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7D8A846B">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0CD67D03">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3022C4A7">
            <w:pPr>
              <w:jc w:val="center"/>
              <w:rPr>
                <w:rFonts w:hint="eastAsia" w:ascii="宋体" w:hAnsi="宋体" w:eastAsia="宋体"/>
                <w:b/>
                <w:szCs w:val="21"/>
              </w:rPr>
            </w:pPr>
            <w:r>
              <w:rPr>
                <w:rFonts w:hint="eastAsia" w:ascii="宋体" w:hAnsi="宋体" w:eastAsia="宋体"/>
                <w:b/>
                <w:szCs w:val="21"/>
              </w:rPr>
              <w:t>包装</w:t>
            </w:r>
          </w:p>
        </w:tc>
      </w:tr>
      <w:tr w14:paraId="0BC27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1C178F3F">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0DF929F7">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4E4BE44E">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2E8CAA2A">
            <w:pPr>
              <w:jc w:val="center"/>
              <w:rPr>
                <w:rFonts w:hint="eastAsia" w:ascii="宋体" w:hAnsi="宋体" w:eastAsia="宋体"/>
                <w:szCs w:val="21"/>
              </w:rPr>
            </w:pPr>
            <w:r>
              <w:rPr>
                <w:rFonts w:hint="eastAsia" w:ascii="宋体" w:hAnsi="宋体" w:eastAsia="宋体"/>
                <w:szCs w:val="21"/>
              </w:rPr>
              <w:t>正本、副本一起密封包装</w:t>
            </w:r>
          </w:p>
          <w:p w14:paraId="467F7754">
            <w:pPr>
              <w:jc w:val="center"/>
              <w:rPr>
                <w:rFonts w:hint="eastAsia" w:ascii="宋体" w:hAnsi="宋体" w:eastAsia="宋体"/>
                <w:szCs w:val="21"/>
              </w:rPr>
            </w:pPr>
            <w:r>
              <w:rPr>
                <w:rFonts w:hint="eastAsia" w:ascii="宋体" w:hAnsi="宋体" w:eastAsia="宋体"/>
                <w:szCs w:val="21"/>
              </w:rPr>
              <w:t>(内附电子投标文件)</w:t>
            </w:r>
          </w:p>
        </w:tc>
      </w:tr>
      <w:tr w14:paraId="11FB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3DC7426">
            <w:pPr>
              <w:jc w:val="center"/>
              <w:rPr>
                <w:rFonts w:hint="eastAsia" w:ascii="宋体" w:hAnsi="宋体" w:eastAsia="宋体"/>
                <w:szCs w:val="21"/>
              </w:rPr>
            </w:pPr>
            <w:r>
              <w:rPr>
                <w:rFonts w:ascii="宋体" w:hAnsi="宋体" w:eastAsia="宋体"/>
                <w:szCs w:val="21"/>
              </w:rPr>
              <w:t>2</w:t>
            </w:r>
          </w:p>
        </w:tc>
        <w:tc>
          <w:tcPr>
            <w:tcW w:w="1413" w:type="pct"/>
            <w:vAlign w:val="center"/>
          </w:tcPr>
          <w:p w14:paraId="4B19B75E">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14EEFB40">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151561C3">
            <w:pPr>
              <w:jc w:val="center"/>
              <w:rPr>
                <w:rFonts w:hint="eastAsia" w:ascii="宋体" w:hAnsi="宋体" w:eastAsia="宋体"/>
                <w:szCs w:val="21"/>
              </w:rPr>
            </w:pPr>
            <w:r>
              <w:rPr>
                <w:rFonts w:hint="eastAsia" w:ascii="宋体" w:hAnsi="宋体" w:eastAsia="宋体"/>
                <w:szCs w:val="21"/>
              </w:rPr>
              <w:t>单独密封包装</w:t>
            </w:r>
          </w:p>
        </w:tc>
      </w:tr>
    </w:tbl>
    <w:p w14:paraId="416C01BB">
      <w:pPr>
        <w:pStyle w:val="24"/>
        <w:numPr>
          <w:ilvl w:val="0"/>
          <w:numId w:val="40"/>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3" w:name="_Hlk86740118"/>
      <w:r>
        <w:rPr>
          <w:rFonts w:hint="eastAsia" w:ascii="宋体" w:hAnsi="宋体" w:eastAsia="宋体"/>
          <w:bCs/>
          <w:szCs w:val="21"/>
        </w:rPr>
        <w:t>须同时提交以下文件</w:t>
      </w:r>
      <w:bookmarkEnd w:id="13"/>
      <w:r>
        <w:rPr>
          <w:rFonts w:hint="eastAsia" w:ascii="宋体" w:hAnsi="宋体" w:eastAsia="宋体"/>
          <w:bCs/>
          <w:szCs w:val="21"/>
        </w:rPr>
        <w:t>：</w:t>
      </w:r>
      <w:bookmarkStart w:id="14"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4"/>
      <w:r>
        <w:rPr>
          <w:rFonts w:hint="eastAsia" w:ascii="宋体" w:hAnsi="宋体" w:eastAsia="宋体"/>
          <w:bCs/>
          <w:szCs w:val="21"/>
        </w:rPr>
        <w:t>。</w:t>
      </w:r>
    </w:p>
    <w:p w14:paraId="71787C8B">
      <w:pPr>
        <w:pStyle w:val="24"/>
        <w:numPr>
          <w:ilvl w:val="0"/>
          <w:numId w:val="40"/>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分项报价表、法定代表人身份证明书或法定代表人授权委托书一起密封提交，若联合体投标，应将各方共同签署的《联合体投标协议》一并提交；并在信封上标明“唱标信封”的字样。</w:t>
      </w:r>
    </w:p>
    <w:p w14:paraId="2C4D904E">
      <w:pPr>
        <w:pStyle w:val="24"/>
        <w:widowControl/>
        <w:numPr>
          <w:ilvl w:val="0"/>
          <w:numId w:val="35"/>
        </w:numPr>
        <w:ind w:left="284" w:hanging="284" w:firstLineChars="0"/>
        <w:jc w:val="left"/>
        <w:outlineLvl w:val="3"/>
        <w:rPr>
          <w:rFonts w:hint="eastAsia"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53788B08">
      <w:pPr>
        <w:pStyle w:val="24"/>
        <w:numPr>
          <w:ilvl w:val="0"/>
          <w:numId w:val="41"/>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4E95C943">
      <w:pPr>
        <w:pStyle w:val="24"/>
        <w:numPr>
          <w:ilvl w:val="0"/>
          <w:numId w:val="41"/>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5E0883D1">
      <w:pPr>
        <w:pStyle w:val="24"/>
        <w:numPr>
          <w:ilvl w:val="0"/>
          <w:numId w:val="41"/>
        </w:numPr>
        <w:tabs>
          <w:tab w:val="left" w:pos="426"/>
        </w:tabs>
        <w:ind w:left="567" w:hanging="567"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33340555">
      <w:pPr>
        <w:pStyle w:val="24"/>
        <w:ind w:left="567" w:firstLine="0" w:firstLineChars="0"/>
        <w:rPr>
          <w:rFonts w:hint="eastAsia"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1289B460">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60BA89EA">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B69E23C">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742721B0">
      <w:pPr>
        <w:pStyle w:val="24"/>
        <w:ind w:left="567" w:firstLine="0"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3CF26CC2">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36703C83">
      <w:pPr>
        <w:pStyle w:val="24"/>
        <w:widowControl/>
        <w:numPr>
          <w:ilvl w:val="0"/>
          <w:numId w:val="35"/>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1157D784">
      <w:pPr>
        <w:pStyle w:val="24"/>
        <w:widowControl/>
        <w:numPr>
          <w:ilvl w:val="-1"/>
          <w:numId w:val="0"/>
        </w:numPr>
        <w:ind w:left="0" w:firstLine="0" w:firstLineChars="0"/>
        <w:jc w:val="left"/>
        <w:rPr>
          <w:rFonts w:ascii="Calibri" w:hAnsi="Calibri" w:eastAsia="宋体" w:cs="Times New Roman"/>
          <w:kern w:val="0"/>
          <w:szCs w:val="21"/>
        </w:rPr>
      </w:pPr>
      <w:r>
        <w:rPr>
          <w:rFonts w:hint="default" w:ascii="Times New Roman" w:hAnsi="Times New Roman" w:eastAsia="宋体" w:cs="Times New Roman"/>
          <w:kern w:val="0"/>
          <w:sz w:val="20"/>
          <w:szCs w:val="20"/>
          <w:lang w:val="en-US" w:eastAsia="zh-CN"/>
        </w:rPr>
        <w:t xml:space="preserve">5.1 </w:t>
      </w: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B0B9C67">
      <w:pPr>
        <w:pStyle w:val="24"/>
        <w:widowControl/>
        <w:numPr>
          <w:ilvl w:val="-1"/>
          <w:numId w:val="0"/>
        </w:numPr>
        <w:ind w:left="0" w:firstLine="0" w:firstLineChars="0"/>
        <w:jc w:val="left"/>
        <w:rPr>
          <w:rFonts w:ascii="Calibri" w:hAnsi="Calibri" w:eastAsia="宋体" w:cs="Times New Roman"/>
          <w:kern w:val="0"/>
          <w:szCs w:val="21"/>
        </w:rPr>
      </w:pPr>
      <w:r>
        <w:rPr>
          <w:rFonts w:hint="default" w:ascii="Times New Roman" w:hAnsi="Times New Roman" w:eastAsia="宋体" w:cs="Times New Roman"/>
          <w:kern w:val="0"/>
          <w:sz w:val="20"/>
          <w:szCs w:val="20"/>
          <w:lang w:val="en-US" w:eastAsia="zh-CN"/>
        </w:rPr>
        <w:t xml:space="preserve">5.2 </w:t>
      </w:r>
      <w:r>
        <w:rPr>
          <w:rFonts w:ascii="Calibri" w:hAnsi="Calibri" w:eastAsia="宋体" w:cs="Times New Roman"/>
          <w:kern w:val="0"/>
          <w:szCs w:val="21"/>
        </w:rPr>
        <w:t>在投标截止时间之后，投标人不得对其投标文件做任何修改和补充。</w:t>
      </w:r>
    </w:p>
    <w:p w14:paraId="35E1A660">
      <w:pPr>
        <w:pStyle w:val="24"/>
        <w:widowControl/>
        <w:numPr>
          <w:ilvl w:val="0"/>
          <w:numId w:val="0"/>
        </w:numPr>
        <w:ind w:leftChars="0"/>
        <w:jc w:val="left"/>
        <w:rPr>
          <w:rFonts w:ascii="Calibri" w:hAnsi="Calibri" w:eastAsia="宋体" w:cs="Times New Roman"/>
          <w:kern w:val="0"/>
          <w:sz w:val="20"/>
          <w:szCs w:val="20"/>
        </w:rPr>
      </w:pPr>
      <w:r>
        <w:rPr>
          <w:rFonts w:hint="default" w:ascii="Times New Roman" w:hAnsi="Times New Roman" w:eastAsia="宋体" w:cs="Times New Roman"/>
          <w:kern w:val="0"/>
          <w:sz w:val="20"/>
          <w:szCs w:val="20"/>
          <w:lang w:val="en-US" w:eastAsia="zh-CN"/>
        </w:rPr>
        <w:t xml:space="preserve">5.3 </w:t>
      </w:r>
      <w:r>
        <w:rPr>
          <w:rFonts w:ascii="Calibri" w:hAnsi="Calibri" w:eastAsia="宋体" w:cs="Times New Roman"/>
          <w:kern w:val="0"/>
          <w:szCs w:val="21"/>
        </w:rPr>
        <w:t>在提交投标文件截止时间至投标有效期满之前，投标人不得撤回其投标文件。</w:t>
      </w:r>
    </w:p>
    <w:p w14:paraId="3D3ED466">
      <w:pPr>
        <w:pStyle w:val="24"/>
        <w:widowControl/>
        <w:numPr>
          <w:ilvl w:val="0"/>
          <w:numId w:val="35"/>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3B9D97CE">
      <w:pPr>
        <w:pStyle w:val="24"/>
        <w:widowControl/>
        <w:numPr>
          <w:ilvl w:val="0"/>
          <w:numId w:val="42"/>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39467DBB">
      <w:pPr>
        <w:pStyle w:val="24"/>
        <w:widowControl/>
        <w:numPr>
          <w:ilvl w:val="0"/>
          <w:numId w:val="43"/>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投标人在提交投标文件时，应按投标人须知前附表</w:t>
      </w:r>
      <w:r>
        <w:rPr>
          <w:rFonts w:ascii="宋体" w:hAnsi="宋体" w:eastAsia="宋体" w:cs="Times New Roman"/>
          <w:color w:val="auto"/>
          <w:kern w:val="0"/>
          <w:szCs w:val="21"/>
          <w:lang w:eastAsia="zh-Hans"/>
        </w:rPr>
        <w:t>规定的金额和缴纳要求缴纳投标保证金，并作为其投标文件的组成部分。</w:t>
      </w:r>
    </w:p>
    <w:p w14:paraId="725B5802">
      <w:pPr>
        <w:pStyle w:val="24"/>
        <w:widowControl/>
        <w:numPr>
          <w:ilvl w:val="0"/>
          <w:numId w:val="43"/>
        </w:numPr>
        <w:ind w:left="567" w:hanging="567"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5"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5"/>
    <w:p w14:paraId="03DF103F">
      <w:pPr>
        <w:pStyle w:val="24"/>
        <w:widowControl/>
        <w:numPr>
          <w:ilvl w:val="0"/>
          <w:numId w:val="43"/>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4DD5A186">
      <w:pPr>
        <w:pStyle w:val="24"/>
        <w:widowControl/>
        <w:numPr>
          <w:ilvl w:val="0"/>
          <w:numId w:val="4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2AA296EC">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26DC5911">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2A1456BF">
      <w:pPr>
        <w:pStyle w:val="24"/>
        <w:widowControl/>
        <w:numPr>
          <w:ilvl w:val="0"/>
          <w:numId w:val="44"/>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1522422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56E41FA0">
      <w:pPr>
        <w:pStyle w:val="24"/>
        <w:widowControl/>
        <w:numPr>
          <w:ilvl w:val="0"/>
          <w:numId w:val="4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31FD9907">
      <w:pPr>
        <w:pStyle w:val="24"/>
        <w:widowControl/>
        <w:numPr>
          <w:ilvl w:val="0"/>
          <w:numId w:val="4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2CA25992">
      <w:pPr>
        <w:pStyle w:val="24"/>
        <w:widowControl/>
        <w:numPr>
          <w:ilvl w:val="0"/>
          <w:numId w:val="4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06116FD">
      <w:pPr>
        <w:pStyle w:val="24"/>
        <w:widowControl/>
        <w:numPr>
          <w:ilvl w:val="0"/>
          <w:numId w:val="4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2F6C5E30">
      <w:pPr>
        <w:pStyle w:val="24"/>
        <w:widowControl/>
        <w:numPr>
          <w:ilvl w:val="0"/>
          <w:numId w:val="4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5F1A81CE">
      <w:pPr>
        <w:pStyle w:val="24"/>
        <w:widowControl/>
        <w:numPr>
          <w:ilvl w:val="0"/>
          <w:numId w:val="45"/>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2B151D95">
      <w:pPr>
        <w:pStyle w:val="24"/>
        <w:widowControl/>
        <w:numPr>
          <w:ilvl w:val="0"/>
          <w:numId w:val="35"/>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7E9FEA51">
      <w:pPr>
        <w:pStyle w:val="24"/>
        <w:widowControl/>
        <w:numPr>
          <w:ilvl w:val="0"/>
          <w:numId w:val="4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7FDC3135">
      <w:pPr>
        <w:pStyle w:val="24"/>
        <w:widowControl/>
        <w:numPr>
          <w:ilvl w:val="0"/>
          <w:numId w:val="4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50C92CB">
      <w:pPr>
        <w:pStyle w:val="24"/>
        <w:widowControl/>
        <w:numPr>
          <w:ilvl w:val="0"/>
          <w:numId w:val="35"/>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4C84DE3A">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38779743">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5EFCE83B">
      <w:pPr>
        <w:pStyle w:val="24"/>
        <w:widowControl/>
        <w:numPr>
          <w:ilvl w:val="0"/>
          <w:numId w:val="4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5DB8DFBB">
      <w:pPr>
        <w:pStyle w:val="24"/>
        <w:widowControl/>
        <w:numPr>
          <w:ilvl w:val="0"/>
          <w:numId w:val="35"/>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0613EAC8">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6FBD559">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D33D050">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75A74F05">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6198E270">
      <w:pPr>
        <w:pStyle w:val="24"/>
        <w:widowControl/>
        <w:numPr>
          <w:ilvl w:val="0"/>
          <w:numId w:val="48"/>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6E0CE545">
      <w:pPr>
        <w:pStyle w:val="24"/>
        <w:widowControl/>
        <w:numPr>
          <w:ilvl w:val="0"/>
          <w:numId w:val="26"/>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333D7ED">
      <w:pPr>
        <w:pStyle w:val="24"/>
        <w:widowControl/>
        <w:numPr>
          <w:ilvl w:val="3"/>
          <w:numId w:val="4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15E59F05">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2C1EFAAA">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215E0431">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401BB568">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AA69864">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42DA67FB">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4877075F">
      <w:pPr>
        <w:pStyle w:val="24"/>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7895FD">
      <w:pPr>
        <w:pStyle w:val="24"/>
        <w:widowControl/>
        <w:numPr>
          <w:ilvl w:val="3"/>
          <w:numId w:val="4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55832FF5">
      <w:pPr>
        <w:pStyle w:val="24"/>
        <w:widowControl/>
        <w:numPr>
          <w:ilvl w:val="3"/>
          <w:numId w:val="49"/>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11EEBB7">
      <w:pPr>
        <w:pStyle w:val="24"/>
        <w:widowControl/>
        <w:numPr>
          <w:ilvl w:val="0"/>
          <w:numId w:val="5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3331311B">
      <w:pPr>
        <w:pStyle w:val="24"/>
        <w:widowControl/>
        <w:numPr>
          <w:ilvl w:val="0"/>
          <w:numId w:val="52"/>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4EA46831">
      <w:pPr>
        <w:pStyle w:val="24"/>
        <w:widowControl/>
        <w:numPr>
          <w:ilvl w:val="0"/>
          <w:numId w:val="51"/>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09222DF8">
      <w:pPr>
        <w:pStyle w:val="24"/>
        <w:widowControl/>
        <w:numPr>
          <w:ilvl w:val="0"/>
          <w:numId w:val="5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97ECE9D">
      <w:pPr>
        <w:pStyle w:val="24"/>
        <w:widowControl/>
        <w:numPr>
          <w:ilvl w:val="0"/>
          <w:numId w:val="5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1EB885EC">
      <w:pPr>
        <w:pStyle w:val="24"/>
        <w:widowControl/>
        <w:numPr>
          <w:ilvl w:val="0"/>
          <w:numId w:val="53"/>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7028041E">
      <w:pPr>
        <w:pStyle w:val="24"/>
        <w:widowControl/>
        <w:numPr>
          <w:ilvl w:val="0"/>
          <w:numId w:val="26"/>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112E35CF">
      <w:pPr>
        <w:pStyle w:val="24"/>
        <w:widowControl/>
        <w:numPr>
          <w:ilvl w:val="3"/>
          <w:numId w:val="54"/>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47DBAAFE">
      <w:pPr>
        <w:pStyle w:val="24"/>
        <w:widowControl/>
        <w:numPr>
          <w:ilvl w:val="0"/>
          <w:numId w:val="5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30AE1E7">
      <w:pPr>
        <w:pStyle w:val="24"/>
        <w:widowControl/>
        <w:numPr>
          <w:ilvl w:val="3"/>
          <w:numId w:val="54"/>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C3AF7B7">
      <w:pPr>
        <w:pStyle w:val="24"/>
        <w:widowControl/>
        <w:numPr>
          <w:ilvl w:val="0"/>
          <w:numId w:val="5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80301D9">
      <w:pPr>
        <w:pStyle w:val="24"/>
        <w:widowControl/>
        <w:numPr>
          <w:ilvl w:val="0"/>
          <w:numId w:val="57"/>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5F93D80E">
      <w:pPr>
        <w:pStyle w:val="24"/>
        <w:widowControl/>
        <w:numPr>
          <w:ilvl w:val="0"/>
          <w:numId w:val="57"/>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48F88414">
      <w:pPr>
        <w:pStyle w:val="24"/>
        <w:widowControl/>
        <w:numPr>
          <w:ilvl w:val="0"/>
          <w:numId w:val="57"/>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77B9B897">
      <w:pPr>
        <w:pStyle w:val="24"/>
        <w:widowControl/>
        <w:numPr>
          <w:ilvl w:val="0"/>
          <w:numId w:val="5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4701235B">
      <w:pPr>
        <w:pStyle w:val="24"/>
        <w:widowControl/>
        <w:numPr>
          <w:ilvl w:val="0"/>
          <w:numId w:val="5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8609445">
      <w:pPr>
        <w:pStyle w:val="24"/>
        <w:widowControl/>
        <w:numPr>
          <w:ilvl w:val="0"/>
          <w:numId w:val="5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25CC6C1">
      <w:pPr>
        <w:pStyle w:val="24"/>
        <w:widowControl/>
        <w:numPr>
          <w:ilvl w:val="0"/>
          <w:numId w:val="5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5479D4BA">
      <w:pPr>
        <w:pStyle w:val="24"/>
        <w:widowControl/>
        <w:numPr>
          <w:ilvl w:val="0"/>
          <w:numId w:val="58"/>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4D13565D">
      <w:pPr>
        <w:pStyle w:val="24"/>
        <w:widowControl/>
        <w:numPr>
          <w:ilvl w:val="0"/>
          <w:numId w:val="5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2D86B91C">
      <w:pPr>
        <w:pStyle w:val="24"/>
        <w:widowControl/>
        <w:numPr>
          <w:ilvl w:val="0"/>
          <w:numId w:val="5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1544A4D0">
      <w:pPr>
        <w:pStyle w:val="24"/>
        <w:widowControl/>
        <w:numPr>
          <w:ilvl w:val="0"/>
          <w:numId w:val="56"/>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w:t>
      </w:r>
      <w:r>
        <w:rPr>
          <w:rFonts w:ascii="宋体" w:hAnsi="宋体" w:eastAsia="宋体" w:cs="Times New Roman"/>
          <w:color w:val="auto"/>
          <w:kern w:val="0"/>
          <w:szCs w:val="21"/>
          <w:lang w:eastAsia="zh-Hans"/>
        </w:rPr>
        <w:t>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部门依法处理。</w:t>
      </w:r>
    </w:p>
    <w:p w14:paraId="2DFD9ECA">
      <w:pPr>
        <w:pStyle w:val="24"/>
        <w:widowControl/>
        <w:numPr>
          <w:ilvl w:val="0"/>
          <w:numId w:val="56"/>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24510479">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何舜禹</w:t>
      </w:r>
    </w:p>
    <w:p w14:paraId="297D8C7F">
      <w:pPr>
        <w:widowControl/>
        <w:ind w:firstLine="480"/>
        <w:jc w:val="left"/>
        <w:rPr>
          <w:rFonts w:hint="eastAsia"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电话：（0769）22367009</w:t>
      </w:r>
    </w:p>
    <w:p w14:paraId="7A2DC0F4">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5D822C0C">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5A2E5EEE">
      <w:pPr>
        <w:widowControl/>
        <w:ind w:firstLine="48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18E92EBF">
      <w:pPr>
        <w:widowControl/>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1428A8B9">
      <w:pPr>
        <w:pStyle w:val="24"/>
        <w:widowControl/>
        <w:numPr>
          <w:ilvl w:val="0"/>
          <w:numId w:val="59"/>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质疑人对采购人或采购</w:t>
      </w:r>
      <w:r>
        <w:rPr>
          <w:rFonts w:ascii="宋体" w:hAnsi="宋体" w:eastAsia="宋体" w:cs="Times New Roman"/>
          <w:color w:val="auto"/>
          <w:kern w:val="0"/>
          <w:szCs w:val="21"/>
          <w:lang w:eastAsia="zh-Hans"/>
        </w:rPr>
        <w:t>代理机构的质疑答复不满意或在规定时间内未得到答复的，可以在答复期满后15个工作日内，向本项目</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部门提起投诉。</w:t>
      </w:r>
    </w:p>
    <w:p w14:paraId="2AEC894A">
      <w:pPr>
        <w:pStyle w:val="24"/>
        <w:widowControl/>
        <w:numPr>
          <w:ilvl w:val="0"/>
          <w:numId w:val="26"/>
        </w:numPr>
        <w:spacing w:before="217" w:beforeLines="50"/>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hint="eastAsia" w:ascii="宋体" w:hAnsi="宋体" w:eastAsia="宋体" w:cs="Times New Roman"/>
          <w:b/>
          <w:color w:val="auto"/>
          <w:kern w:val="0"/>
          <w:szCs w:val="21"/>
          <w:lang w:eastAsia="zh-CN"/>
        </w:rPr>
        <w:t>）</w:t>
      </w:r>
    </w:p>
    <w:p w14:paraId="5885604F">
      <w:pPr>
        <w:pStyle w:val="24"/>
        <w:widowControl/>
        <w:numPr>
          <w:ilvl w:val="0"/>
          <w:numId w:val="60"/>
        </w:numPr>
        <w:ind w:left="442" w:hanging="442"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0835AED0">
      <w:pPr>
        <w:pStyle w:val="24"/>
        <w:widowControl/>
        <w:numPr>
          <w:ilvl w:val="0"/>
          <w:numId w:val="60"/>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55606161">
      <w:pPr>
        <w:pStyle w:val="24"/>
        <w:widowControl/>
        <w:numPr>
          <w:ilvl w:val="0"/>
          <w:numId w:val="26"/>
        </w:numPr>
        <w:spacing w:before="217" w:beforeLines="50"/>
        <w:ind w:left="442" w:hanging="442"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4749BA7B">
      <w:pPr>
        <w:pStyle w:val="24"/>
        <w:widowControl/>
        <w:numPr>
          <w:ilvl w:val="3"/>
          <w:numId w:val="61"/>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3D3EAE1F">
      <w:pPr>
        <w:pStyle w:val="24"/>
        <w:widowControl/>
        <w:numPr>
          <w:ilvl w:val="0"/>
          <w:numId w:val="6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5237C1F8">
      <w:pPr>
        <w:pStyle w:val="24"/>
        <w:widowControl/>
        <w:numPr>
          <w:ilvl w:val="0"/>
          <w:numId w:val="6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041F70CF">
      <w:pPr>
        <w:pStyle w:val="24"/>
        <w:widowControl/>
        <w:numPr>
          <w:ilvl w:val="3"/>
          <w:numId w:val="61"/>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kern w:val="0"/>
          <w:szCs w:val="21"/>
          <w:lang w:eastAsia="zh-Hans"/>
        </w:rPr>
        <w:t>合同的履行</w:t>
      </w:r>
    </w:p>
    <w:p w14:paraId="4B335AF8">
      <w:pPr>
        <w:pStyle w:val="24"/>
        <w:widowControl/>
        <w:numPr>
          <w:ilvl w:val="0"/>
          <w:numId w:val="63"/>
        </w:numPr>
        <w:ind w:firstLineChars="0"/>
        <w:jc w:val="left"/>
        <w:rPr>
          <w:rFonts w:hint="eastAsia" w:ascii="宋体" w:hAnsi="宋体" w:eastAsia="宋体" w:cs="Times New Roman"/>
          <w:color w:val="auto"/>
          <w:kern w:val="0"/>
          <w:szCs w:val="21"/>
          <w:lang w:eastAsia="zh-Hans"/>
        </w:rPr>
      </w:pPr>
      <w:bookmarkStart w:id="18"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4A50E354">
      <w:pPr>
        <w:pStyle w:val="24"/>
        <w:widowControl/>
        <w:numPr>
          <w:ilvl w:val="0"/>
          <w:numId w:val="63"/>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w:t>
      </w:r>
      <w:r>
        <w:rPr>
          <w:rFonts w:ascii="宋体" w:hAnsi="宋体" w:eastAsia="宋体" w:cs="Times New Roman"/>
          <w:kern w:val="0"/>
          <w:szCs w:val="21"/>
          <w:lang w:eastAsia="zh-Hans"/>
        </w:rPr>
        <w:t>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2CDAF3E8">
      <w:pPr>
        <w:pageBreakBefore/>
        <w:widowControl/>
        <w:jc w:val="center"/>
        <w:outlineLvl w:val="1"/>
        <w:rPr>
          <w:rFonts w:ascii="Calibri" w:hAnsi="Calibri" w:eastAsia="宋体" w:cs="Times New Roman"/>
          <w:kern w:val="0"/>
          <w:sz w:val="20"/>
          <w:szCs w:val="20"/>
          <w:lang w:eastAsia="zh-Hans"/>
        </w:rPr>
      </w:pPr>
      <w:bookmarkStart w:id="20" w:name="_Toc169807543"/>
      <w:bookmarkStart w:id="21" w:name="_Toc169799781"/>
      <w:r>
        <w:rPr>
          <w:rFonts w:ascii="Calibri" w:hAnsi="Calibri" w:eastAsia="宋体" w:cs="Times New Roman"/>
          <w:b/>
          <w:kern w:val="0"/>
          <w:sz w:val="36"/>
          <w:szCs w:val="20"/>
          <w:lang w:eastAsia="zh-Hans"/>
        </w:rPr>
        <w:t>第四章 评标</w:t>
      </w:r>
      <w:bookmarkEnd w:id="20"/>
      <w:bookmarkEnd w:id="21"/>
    </w:p>
    <w:p w14:paraId="37A72DD4">
      <w:pPr>
        <w:pStyle w:val="24"/>
        <w:numPr>
          <w:ilvl w:val="0"/>
          <w:numId w:val="64"/>
        </w:numPr>
        <w:ind w:firstLineChars="0"/>
        <w:rPr>
          <w:rFonts w:hint="eastAsia" w:ascii="宋体" w:hAnsi="宋体" w:eastAsia="宋体"/>
          <w:b/>
          <w:bCs/>
        </w:rPr>
      </w:pPr>
      <w:r>
        <w:rPr>
          <w:rFonts w:ascii="宋体" w:hAnsi="宋体" w:eastAsia="宋体"/>
          <w:b/>
          <w:bCs/>
        </w:rPr>
        <w:t>评标要求</w:t>
      </w:r>
    </w:p>
    <w:p w14:paraId="2557D595">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027B3137">
      <w:pPr>
        <w:pStyle w:val="24"/>
        <w:widowControl/>
        <w:numPr>
          <w:ilvl w:val="0"/>
          <w:numId w:val="66"/>
        </w:numPr>
        <w:ind w:firstLineChars="0"/>
        <w:jc w:val="left"/>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3F49A438">
      <w:pPr>
        <w:pStyle w:val="24"/>
        <w:widowControl/>
        <w:numPr>
          <w:ilvl w:val="0"/>
          <w:numId w:val="66"/>
        </w:numPr>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50D25C8F">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30E708A2">
      <w:pPr>
        <w:pStyle w:val="24"/>
        <w:widowControl/>
        <w:numPr>
          <w:ilvl w:val="0"/>
          <w:numId w:val="6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32B7B4DD">
      <w:pPr>
        <w:pStyle w:val="24"/>
        <w:widowControl/>
        <w:numPr>
          <w:ilvl w:val="0"/>
          <w:numId w:val="6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0EA9176F">
      <w:pPr>
        <w:pStyle w:val="24"/>
        <w:widowControl/>
        <w:numPr>
          <w:ilvl w:val="0"/>
          <w:numId w:val="67"/>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69B49004">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5FE6A532">
      <w:pPr>
        <w:pStyle w:val="24"/>
        <w:widowControl/>
        <w:numPr>
          <w:ilvl w:val="0"/>
          <w:numId w:val="68"/>
        </w:numPr>
        <w:tabs>
          <w:tab w:val="left" w:pos="284"/>
          <w:tab w:val="left" w:pos="426"/>
          <w:tab w:val="left" w:pos="851"/>
          <w:tab w:val="left" w:pos="1134"/>
          <w:tab w:val="left" w:pos="1560"/>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26D2B314">
      <w:pPr>
        <w:pStyle w:val="24"/>
        <w:widowControl/>
        <w:numPr>
          <w:ilvl w:val="0"/>
          <w:numId w:val="68"/>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068356E">
      <w:pPr>
        <w:pStyle w:val="24"/>
        <w:widowControl/>
        <w:numPr>
          <w:ilvl w:val="0"/>
          <w:numId w:val="6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4DE72F9F">
      <w:pPr>
        <w:pStyle w:val="24"/>
        <w:widowControl/>
        <w:numPr>
          <w:ilvl w:val="0"/>
          <w:numId w:val="6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5875FF17">
      <w:pPr>
        <w:pStyle w:val="24"/>
        <w:widowControl/>
        <w:numPr>
          <w:ilvl w:val="0"/>
          <w:numId w:val="6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50A4CFF4">
      <w:pPr>
        <w:pStyle w:val="24"/>
        <w:widowControl/>
        <w:numPr>
          <w:ilvl w:val="0"/>
          <w:numId w:val="69"/>
        </w:numPr>
        <w:tabs>
          <w:tab w:val="left" w:pos="709"/>
          <w:tab w:val="left" w:pos="851"/>
          <w:tab w:val="left" w:pos="1418"/>
        </w:tabs>
        <w:ind w:left="709" w:hanging="709" w:firstLineChars="0"/>
        <w:jc w:val="left"/>
        <w:rPr>
          <w:rFonts w:hint="eastAsia"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7F94E2A0">
      <w:pPr>
        <w:pStyle w:val="24"/>
        <w:widowControl/>
        <w:numPr>
          <w:ilvl w:val="0"/>
          <w:numId w:val="69"/>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7E5D69C1">
      <w:pPr>
        <w:pStyle w:val="24"/>
        <w:widowControl/>
        <w:numPr>
          <w:ilvl w:val="0"/>
          <w:numId w:val="68"/>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23A9E009">
      <w:pPr>
        <w:pStyle w:val="24"/>
        <w:widowControl/>
        <w:numPr>
          <w:ilvl w:val="0"/>
          <w:numId w:val="7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5B110B7B">
      <w:pPr>
        <w:pStyle w:val="24"/>
        <w:widowControl/>
        <w:numPr>
          <w:ilvl w:val="0"/>
          <w:numId w:val="7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7A1A4A4F">
      <w:pPr>
        <w:pStyle w:val="24"/>
        <w:widowControl/>
        <w:numPr>
          <w:ilvl w:val="0"/>
          <w:numId w:val="7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475EE2FD">
      <w:pPr>
        <w:pStyle w:val="24"/>
        <w:widowControl/>
        <w:numPr>
          <w:ilvl w:val="0"/>
          <w:numId w:val="7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01FF5784">
      <w:pPr>
        <w:pStyle w:val="24"/>
        <w:widowControl/>
        <w:numPr>
          <w:ilvl w:val="0"/>
          <w:numId w:val="70"/>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0F46D020">
      <w:pPr>
        <w:pStyle w:val="24"/>
        <w:widowControl/>
        <w:numPr>
          <w:ilvl w:val="0"/>
          <w:numId w:val="70"/>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F0CAC6B">
      <w:pPr>
        <w:pStyle w:val="24"/>
        <w:widowControl/>
        <w:numPr>
          <w:ilvl w:val="0"/>
          <w:numId w:val="70"/>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336648BF">
      <w:pPr>
        <w:pStyle w:val="24"/>
        <w:widowControl/>
        <w:numPr>
          <w:ilvl w:val="0"/>
          <w:numId w:val="70"/>
        </w:numPr>
        <w:tabs>
          <w:tab w:val="left" w:pos="567"/>
          <w:tab w:val="left" w:pos="709"/>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610675EA">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7A28B4EA">
      <w:pPr>
        <w:pStyle w:val="24"/>
        <w:numPr>
          <w:ilvl w:val="0"/>
          <w:numId w:val="7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19A6946D">
      <w:pPr>
        <w:pStyle w:val="24"/>
        <w:numPr>
          <w:ilvl w:val="0"/>
          <w:numId w:val="7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312B5335">
      <w:pPr>
        <w:pStyle w:val="24"/>
        <w:numPr>
          <w:ilvl w:val="0"/>
          <w:numId w:val="7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5E680E84">
      <w:pPr>
        <w:pStyle w:val="24"/>
        <w:numPr>
          <w:ilvl w:val="0"/>
          <w:numId w:val="7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D2C6AFD">
      <w:pPr>
        <w:pStyle w:val="24"/>
        <w:numPr>
          <w:ilvl w:val="0"/>
          <w:numId w:val="71"/>
        </w:numPr>
        <w:tabs>
          <w:tab w:val="left" w:pos="426"/>
          <w:tab w:val="left" w:pos="1276"/>
        </w:tabs>
        <w:ind w:hanging="2240"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3E85D869">
      <w:pPr>
        <w:pStyle w:val="24"/>
        <w:numPr>
          <w:ilvl w:val="0"/>
          <w:numId w:val="71"/>
        </w:numPr>
        <w:tabs>
          <w:tab w:val="left" w:pos="426"/>
          <w:tab w:val="left" w:pos="1276"/>
        </w:tabs>
        <w:ind w:hanging="2240" w:firstLineChars="0"/>
        <w:jc w:val="left"/>
        <w:rPr>
          <w:rFonts w:hint="eastAsia"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4D262273">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5EA4871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36CDD662">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54EBDFFB">
      <w:pPr>
        <w:pStyle w:val="24"/>
        <w:widowControl/>
        <w:numPr>
          <w:ilvl w:val="0"/>
          <w:numId w:val="7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3EA7A781">
      <w:pPr>
        <w:pStyle w:val="24"/>
        <w:widowControl/>
        <w:numPr>
          <w:ilvl w:val="3"/>
          <w:numId w:val="65"/>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DC1263E">
      <w:pPr>
        <w:pStyle w:val="24"/>
        <w:widowControl/>
        <w:numPr>
          <w:ilvl w:val="0"/>
          <w:numId w:val="73"/>
        </w:numPr>
        <w:tabs>
          <w:tab w:val="left" w:pos="426"/>
          <w:tab w:val="left" w:pos="993"/>
          <w:tab w:val="left" w:pos="1276"/>
        </w:tabs>
        <w:ind w:hanging="2240"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4C777FCA">
      <w:pPr>
        <w:pStyle w:val="24"/>
        <w:widowControl/>
        <w:numPr>
          <w:ilvl w:val="0"/>
          <w:numId w:val="7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63790B8D">
      <w:pPr>
        <w:pStyle w:val="24"/>
        <w:widowControl/>
        <w:numPr>
          <w:ilvl w:val="0"/>
          <w:numId w:val="7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47E2B27D">
      <w:pPr>
        <w:pStyle w:val="24"/>
        <w:widowControl/>
        <w:numPr>
          <w:ilvl w:val="0"/>
          <w:numId w:val="7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39F5B2D0">
      <w:pPr>
        <w:pStyle w:val="24"/>
        <w:widowControl/>
        <w:numPr>
          <w:ilvl w:val="0"/>
          <w:numId w:val="74"/>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3AA1C227">
      <w:pPr>
        <w:widowControl/>
        <w:jc w:val="left"/>
        <w:rPr>
          <w:rFonts w:hint="eastAsia" w:ascii="宋体" w:hAnsi="宋体" w:eastAsia="宋体"/>
          <w:color w:val="auto"/>
          <w:szCs w:val="21"/>
          <w:shd w:val="clear" w:color="auto" w:fill="FFFFFF"/>
        </w:rPr>
      </w:pPr>
      <w:bookmarkStart w:id="22" w:name="_Hlk169887785"/>
      <w:r>
        <w:rPr>
          <w:rFonts w:ascii="宋体" w:hAnsi="宋体" w:eastAsia="宋体" w:cs="Times New Roman"/>
          <w:color w:val="auto"/>
          <w:kern w:val="0"/>
          <w:szCs w:val="21"/>
          <w:lang w:eastAsia="zh-Hans"/>
        </w:rPr>
        <w:t>注：</w:t>
      </w:r>
      <w:r>
        <w:rPr>
          <w:rFonts w:hint="eastAsia" w:ascii="宋体" w:hAnsi="宋体" w:eastAsia="宋体"/>
          <w:color w:val="auto"/>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4D1B5DC5">
      <w:pPr>
        <w:pStyle w:val="24"/>
        <w:widowControl/>
        <w:numPr>
          <w:ilvl w:val="0"/>
          <w:numId w:val="73"/>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kern w:val="0"/>
          <w:szCs w:val="21"/>
        </w:rPr>
        <w:t>投标文件中开标一览表、分项报价表内容与唱标信封中开标一览表</w:t>
      </w:r>
      <w:r>
        <w:rPr>
          <w:rFonts w:hint="eastAsia" w:ascii="宋体" w:hAnsi="宋体" w:eastAsia="宋体" w:cs="Times New Roman"/>
          <w:kern w:val="0"/>
          <w:szCs w:val="21"/>
        </w:rPr>
        <w:t>、</w:t>
      </w:r>
      <w:r>
        <w:rPr>
          <w:rFonts w:ascii="宋体" w:hAnsi="宋体" w:eastAsia="宋体" w:cs="Times New Roman"/>
          <w:kern w:val="0"/>
          <w:szCs w:val="21"/>
        </w:rPr>
        <w:t>分项报价报内容不一致的，以唱标信封中开标一览表、分项报价表内容</w:t>
      </w:r>
      <w:r>
        <w:rPr>
          <w:rFonts w:ascii="宋体" w:hAnsi="宋体" w:eastAsia="宋体" w:cs="Times New Roman"/>
          <w:color w:val="auto"/>
          <w:kern w:val="0"/>
          <w:szCs w:val="21"/>
          <w:highlight w:val="none"/>
        </w:rPr>
        <w:t>为准。</w:t>
      </w:r>
    </w:p>
    <w:p w14:paraId="1BD4A43C">
      <w:pPr>
        <w:pStyle w:val="24"/>
        <w:numPr>
          <w:ilvl w:val="0"/>
          <w:numId w:val="64"/>
        </w:numPr>
        <w:ind w:firstLineChars="0"/>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政府采购政策落实</w:t>
      </w:r>
      <w:bookmarkEnd w:id="23"/>
    </w:p>
    <w:p w14:paraId="0EFF19EA">
      <w:pPr>
        <w:pStyle w:val="24"/>
        <w:numPr>
          <w:ilvl w:val="1"/>
          <w:numId w:val="7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022831FB">
      <w:pPr>
        <w:pStyle w:val="24"/>
        <w:numPr>
          <w:ilvl w:val="2"/>
          <w:numId w:val="76"/>
        </w:numPr>
        <w:tabs>
          <w:tab w:val="left" w:pos="1418"/>
        </w:tabs>
        <w:ind w:left="426" w:hanging="426" w:firstLineChars="0"/>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756AC6F8">
      <w:pPr>
        <w:pStyle w:val="24"/>
        <w:numPr>
          <w:ilvl w:val="1"/>
          <w:numId w:val="7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2BA09826">
      <w:pPr>
        <w:pStyle w:val="24"/>
        <w:numPr>
          <w:ilvl w:val="2"/>
          <w:numId w:val="77"/>
        </w:numPr>
        <w:ind w:firstLineChars="0"/>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为发挥政府采购支持监狱企业发展的作用，根据《关于政府采购支持监狱企业发展有关问题的通知》（财库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3FA9C696">
      <w:pPr>
        <w:pStyle w:val="24"/>
        <w:numPr>
          <w:ilvl w:val="1"/>
          <w:numId w:val="75"/>
        </w:numPr>
        <w:tabs>
          <w:tab w:val="left" w:pos="426"/>
          <w:tab w:val="left" w:pos="1418"/>
        </w:tabs>
        <w:ind w:left="851" w:hanging="851" w:firstLineChars="0"/>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331E6397">
      <w:pPr>
        <w:pStyle w:val="24"/>
        <w:numPr>
          <w:ilvl w:val="2"/>
          <w:numId w:val="78"/>
        </w:numPr>
        <w:ind w:left="424" w:hanging="424" w:hangingChars="202"/>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为了发挥政府采购促进残疾人就业的作用，根据财政部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2C13210">
      <w:pPr>
        <w:pStyle w:val="24"/>
        <w:numPr>
          <w:ilvl w:val="1"/>
          <w:numId w:val="75"/>
        </w:numPr>
        <w:ind w:left="426" w:hanging="426" w:firstLineChars="0"/>
        <w:jc w:val="left"/>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1D26A50A">
      <w:pPr>
        <w:pStyle w:val="24"/>
        <w:numPr>
          <w:ilvl w:val="1"/>
          <w:numId w:val="75"/>
        </w:numPr>
        <w:tabs>
          <w:tab w:val="left" w:pos="426"/>
          <w:tab w:val="left" w:pos="1418"/>
        </w:tabs>
        <w:ind w:left="851" w:hanging="851" w:firstLineChars="0"/>
        <w:rPr>
          <w:rFonts w:hint="eastAsia" w:ascii="宋体" w:hAnsi="宋体" w:eastAsia="宋体"/>
          <w:b/>
          <w:color w:val="385724" w:themeColor="accent6" w:themeShade="80"/>
          <w:szCs w:val="21"/>
        </w:rPr>
      </w:pPr>
      <w:bookmarkStart w:id="25" w:name="_Hlk86745708"/>
      <w:bookmarkStart w:id="26"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BB12B31">
      <w:pPr>
        <w:pStyle w:val="24"/>
        <w:ind w:left="-141" w:leftChars="-67" w:firstLine="567" w:firstLineChars="270"/>
        <w:rPr>
          <w:rFonts w:hint="eastAsia"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5"/>
    <w:p w14:paraId="34924A51">
      <w:pP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6"/>
    <w:p w14:paraId="16C358FF">
      <w:pPr>
        <w:pStyle w:val="24"/>
        <w:numPr>
          <w:ilvl w:val="1"/>
          <w:numId w:val="75"/>
        </w:numPr>
        <w:ind w:left="426" w:hanging="426" w:firstLineChars="0"/>
        <w:rPr>
          <w:rFonts w:hint="eastAsia" w:ascii="宋体" w:hAnsi="宋体" w:eastAsia="宋体"/>
          <w:b/>
          <w:szCs w:val="21"/>
        </w:rPr>
      </w:pPr>
      <w:r>
        <w:rPr>
          <w:rFonts w:hint="eastAsia" w:ascii="宋体" w:hAnsi="宋体" w:eastAsia="宋体"/>
          <w:b/>
          <w:szCs w:val="21"/>
        </w:rPr>
        <w:t>节能产品、环境标志产品价格扣除：</w:t>
      </w:r>
    </w:p>
    <w:p w14:paraId="63227663">
      <w:pPr>
        <w:pStyle w:val="24"/>
        <w:numPr>
          <w:ilvl w:val="0"/>
          <w:numId w:val="79"/>
        </w:numPr>
        <w:ind w:left="426" w:hanging="426" w:firstLineChars="0"/>
        <w:rPr>
          <w:rFonts w:hint="eastAsia" w:ascii="宋体" w:hAnsi="宋体" w:eastAsia="宋体"/>
          <w:color w:val="auto"/>
          <w:szCs w:val="21"/>
          <w:highlight w:val="none"/>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w:t>
      </w:r>
      <w:r>
        <w:rPr>
          <w:rFonts w:hint="eastAsia" w:ascii="宋体" w:hAnsi="宋体" w:eastAsia="宋体"/>
          <w:color w:val="auto"/>
          <w:szCs w:val="21"/>
          <w:highlight w:val="none"/>
        </w:rPr>
        <w:t>内的节能产品认证证书复印件加盖投标人公章）。</w:t>
      </w:r>
    </w:p>
    <w:p w14:paraId="13CCA001">
      <w:pPr>
        <w:pStyle w:val="24"/>
        <w:numPr>
          <w:ilvl w:val="0"/>
          <w:numId w:val="79"/>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4E560F76">
      <w:pPr>
        <w:pStyle w:val="24"/>
        <w:numPr>
          <w:ilvl w:val="1"/>
          <w:numId w:val="75"/>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5B967E43">
      <w:pPr>
        <w:ind w:firstLine="404" w:firstLineChars="200"/>
        <w:jc w:val="left"/>
        <w:rPr>
          <w:rFonts w:hint="eastAsia" w:ascii="宋体" w:hAnsi="宋体" w:eastAsia="宋体"/>
          <w:bCs/>
          <w:spacing w:val="-4"/>
          <w:szCs w:val="21"/>
        </w:rPr>
      </w:pPr>
      <w:r>
        <w:rPr>
          <w:rFonts w:hint="eastAsia" w:ascii="宋体" w:hAnsi="宋体" w:eastAsia="宋体"/>
          <w:bCs/>
          <w:color w:val="auto"/>
          <w:spacing w:val="-4"/>
          <w:szCs w:val="21"/>
          <w:highlight w:val="none"/>
        </w:rPr>
        <w:t>注：因落实政府采购政策进行价格调整的，以调整后的价</w:t>
      </w:r>
      <w:r>
        <w:rPr>
          <w:rFonts w:hint="eastAsia" w:ascii="宋体" w:hAnsi="宋体" w:eastAsia="宋体"/>
          <w:bCs/>
          <w:color w:val="000000" w:themeColor="text1"/>
          <w:spacing w:val="-4"/>
          <w:szCs w:val="21"/>
          <w14:textFill>
            <w14:solidFill>
              <w14:schemeClr w14:val="tx1"/>
            </w14:solidFill>
          </w14:textFill>
        </w:rPr>
        <w:t>格计算评标基准价和投标报价。</w:t>
      </w:r>
    </w:p>
    <w:p w14:paraId="0C9474F0">
      <w:pPr>
        <w:pStyle w:val="24"/>
        <w:numPr>
          <w:ilvl w:val="1"/>
          <w:numId w:val="75"/>
        </w:numPr>
        <w:ind w:left="426" w:hanging="426" w:firstLineChars="0"/>
        <w:rPr>
          <w:rFonts w:hint="eastAsia"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05BC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1FE7D85F">
            <w:pPr>
              <w:jc w:val="center"/>
              <w:rPr>
                <w:rFonts w:hint="eastAsia" w:ascii="宋体" w:hAnsi="宋体" w:eastAsia="宋体"/>
                <w:szCs w:val="21"/>
              </w:rPr>
            </w:pPr>
            <w:r>
              <w:rPr>
                <w:rFonts w:hint="eastAsia" w:ascii="宋体" w:hAnsi="宋体" w:eastAsia="宋体"/>
                <w:szCs w:val="21"/>
              </w:rPr>
              <w:t>评分项目</w:t>
            </w:r>
          </w:p>
        </w:tc>
        <w:tc>
          <w:tcPr>
            <w:tcW w:w="1082" w:type="pct"/>
            <w:vAlign w:val="center"/>
          </w:tcPr>
          <w:p w14:paraId="17388F4D">
            <w:pPr>
              <w:jc w:val="center"/>
              <w:rPr>
                <w:rFonts w:hint="eastAsia" w:ascii="宋体" w:hAnsi="宋体" w:eastAsia="宋体"/>
                <w:szCs w:val="21"/>
              </w:rPr>
            </w:pPr>
            <w:r>
              <w:rPr>
                <w:rFonts w:hint="eastAsia" w:ascii="宋体" w:hAnsi="宋体" w:eastAsia="宋体"/>
                <w:szCs w:val="21"/>
              </w:rPr>
              <w:t>价格部分</w:t>
            </w:r>
          </w:p>
        </w:tc>
        <w:tc>
          <w:tcPr>
            <w:tcW w:w="1081" w:type="pct"/>
            <w:vAlign w:val="center"/>
          </w:tcPr>
          <w:p w14:paraId="465A9755">
            <w:pPr>
              <w:jc w:val="center"/>
              <w:rPr>
                <w:rFonts w:hint="eastAsia" w:ascii="宋体" w:hAnsi="宋体" w:eastAsia="宋体"/>
                <w:szCs w:val="21"/>
              </w:rPr>
            </w:pPr>
            <w:r>
              <w:rPr>
                <w:rFonts w:hint="eastAsia" w:ascii="宋体" w:hAnsi="宋体" w:eastAsia="宋体"/>
                <w:szCs w:val="21"/>
              </w:rPr>
              <w:t>商务部分</w:t>
            </w:r>
          </w:p>
        </w:tc>
        <w:tc>
          <w:tcPr>
            <w:tcW w:w="1081" w:type="pct"/>
            <w:vAlign w:val="center"/>
          </w:tcPr>
          <w:p w14:paraId="5C4151D5">
            <w:pPr>
              <w:jc w:val="center"/>
              <w:rPr>
                <w:rFonts w:hint="eastAsia" w:ascii="宋体" w:hAnsi="宋体" w:eastAsia="宋体"/>
                <w:szCs w:val="21"/>
              </w:rPr>
            </w:pPr>
            <w:r>
              <w:rPr>
                <w:rFonts w:hint="eastAsia" w:ascii="宋体" w:hAnsi="宋体" w:eastAsia="宋体"/>
                <w:szCs w:val="21"/>
              </w:rPr>
              <w:t>技术部分</w:t>
            </w:r>
          </w:p>
        </w:tc>
        <w:tc>
          <w:tcPr>
            <w:tcW w:w="780" w:type="pct"/>
            <w:vAlign w:val="center"/>
          </w:tcPr>
          <w:p w14:paraId="46A6E9F9">
            <w:pPr>
              <w:jc w:val="center"/>
              <w:rPr>
                <w:rFonts w:hint="eastAsia" w:ascii="宋体" w:hAnsi="宋体" w:eastAsia="宋体"/>
                <w:szCs w:val="21"/>
              </w:rPr>
            </w:pPr>
            <w:r>
              <w:rPr>
                <w:rFonts w:hint="eastAsia" w:ascii="宋体" w:hAnsi="宋体" w:eastAsia="宋体"/>
                <w:szCs w:val="21"/>
              </w:rPr>
              <w:t>合计</w:t>
            </w:r>
          </w:p>
        </w:tc>
      </w:tr>
      <w:tr w14:paraId="532D7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107FDBC">
            <w:pPr>
              <w:jc w:val="center"/>
              <w:rPr>
                <w:rFonts w:hint="eastAsia" w:ascii="宋体" w:hAnsi="宋体" w:eastAsia="宋体"/>
                <w:szCs w:val="21"/>
              </w:rPr>
            </w:pPr>
            <w:r>
              <w:rPr>
                <w:rFonts w:hint="eastAsia" w:ascii="宋体" w:hAnsi="宋体" w:eastAsia="宋体"/>
                <w:szCs w:val="21"/>
              </w:rPr>
              <w:t>权值</w:t>
            </w:r>
          </w:p>
        </w:tc>
        <w:tc>
          <w:tcPr>
            <w:tcW w:w="1082" w:type="pct"/>
            <w:vAlign w:val="center"/>
          </w:tcPr>
          <w:p w14:paraId="5428E080">
            <w:pPr>
              <w:jc w:val="center"/>
              <w:rPr>
                <w:rFonts w:hint="eastAsia"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1081" w:type="pct"/>
            <w:vAlign w:val="center"/>
          </w:tcPr>
          <w:p w14:paraId="5658168D">
            <w:pPr>
              <w:jc w:val="center"/>
              <w:rPr>
                <w:rFonts w:hint="eastAsia" w:ascii="宋体" w:hAnsi="宋体" w:eastAsia="宋体"/>
                <w:szCs w:val="21"/>
                <w:highlight w:val="red"/>
              </w:rPr>
            </w:pPr>
            <w:r>
              <w:rPr>
                <w:rFonts w:hint="eastAsia" w:ascii="宋体" w:hAnsi="宋体" w:eastAsia="宋体"/>
                <w:szCs w:val="21"/>
                <w:lang w:val="en-US" w:eastAsia="zh-CN"/>
              </w:rPr>
              <w:t>25</w:t>
            </w:r>
            <w:r>
              <w:rPr>
                <w:rFonts w:hint="eastAsia" w:ascii="宋体" w:hAnsi="宋体" w:eastAsia="宋体"/>
                <w:szCs w:val="21"/>
              </w:rPr>
              <w:t>%</w:t>
            </w:r>
          </w:p>
        </w:tc>
        <w:tc>
          <w:tcPr>
            <w:tcW w:w="1081" w:type="pct"/>
            <w:vAlign w:val="center"/>
          </w:tcPr>
          <w:p w14:paraId="07A549A1">
            <w:pPr>
              <w:jc w:val="center"/>
              <w:rPr>
                <w:rFonts w:hint="eastAsia" w:ascii="宋体" w:hAnsi="宋体" w:eastAsia="宋体"/>
                <w:i/>
                <w:szCs w:val="21"/>
                <w:highlight w:val="red"/>
              </w:rPr>
            </w:pPr>
            <w:r>
              <w:rPr>
                <w:rFonts w:hint="eastAsia" w:ascii="宋体" w:hAnsi="宋体" w:eastAsia="宋体"/>
                <w:szCs w:val="21"/>
                <w:lang w:val="en-US" w:eastAsia="zh-CN"/>
              </w:rPr>
              <w:t>45</w:t>
            </w:r>
            <w:r>
              <w:rPr>
                <w:rFonts w:hint="eastAsia" w:ascii="宋体" w:hAnsi="宋体" w:eastAsia="宋体"/>
                <w:szCs w:val="21"/>
              </w:rPr>
              <w:t>%</w:t>
            </w:r>
          </w:p>
        </w:tc>
        <w:tc>
          <w:tcPr>
            <w:tcW w:w="780" w:type="pct"/>
          </w:tcPr>
          <w:p w14:paraId="42D1B6E3">
            <w:pPr>
              <w:jc w:val="center"/>
              <w:rPr>
                <w:rFonts w:hint="eastAsia"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0490E8C8">
      <w:pPr>
        <w:pStyle w:val="24"/>
        <w:numPr>
          <w:ilvl w:val="0"/>
          <w:numId w:val="80"/>
        </w:numPr>
        <w:ind w:firstLineChars="0"/>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6FA45642">
      <w:pPr>
        <w:pStyle w:val="24"/>
        <w:numPr>
          <w:ilvl w:val="0"/>
          <w:numId w:val="64"/>
        </w:numPr>
        <w:spacing w:before="217" w:beforeLines="50"/>
        <w:ind w:left="442" w:hanging="442" w:firstLineChars="0"/>
        <w:rPr>
          <w:rFonts w:hint="eastAsia" w:ascii="宋体" w:hAnsi="宋体" w:eastAsia="宋体" w:cs="Times New Roman"/>
          <w:kern w:val="0"/>
          <w:szCs w:val="21"/>
          <w:lang w:eastAsia="zh-Hans"/>
        </w:rPr>
      </w:pPr>
      <w:r>
        <w:rPr>
          <w:rFonts w:ascii="宋体" w:hAnsi="宋体" w:eastAsia="宋体"/>
          <w:b/>
          <w:bCs/>
        </w:rPr>
        <w:t>评审程序</w:t>
      </w:r>
    </w:p>
    <w:p w14:paraId="1A6CA7B1">
      <w:pPr>
        <w:pStyle w:val="24"/>
        <w:widowControl/>
        <w:numPr>
          <w:ilvl w:val="3"/>
          <w:numId w:val="81"/>
        </w:numPr>
        <w:ind w:left="426" w:hanging="426"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0E19CCA5">
      <w:pPr>
        <w:pStyle w:val="24"/>
        <w:widowControl/>
        <w:numPr>
          <w:ilvl w:val="0"/>
          <w:numId w:val="8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5D3F1D85">
      <w:pPr>
        <w:pStyle w:val="24"/>
        <w:widowControl/>
        <w:numPr>
          <w:ilvl w:val="0"/>
          <w:numId w:val="82"/>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2A09C7B8">
      <w:pPr>
        <w:pStyle w:val="24"/>
        <w:widowControl/>
        <w:numPr>
          <w:ilvl w:val="0"/>
          <w:numId w:val="8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26CF37C6">
      <w:pPr>
        <w:pStyle w:val="24"/>
        <w:widowControl/>
        <w:numPr>
          <w:ilvl w:val="0"/>
          <w:numId w:val="8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4FAF383">
      <w:pPr>
        <w:pStyle w:val="24"/>
        <w:widowControl/>
        <w:numPr>
          <w:ilvl w:val="0"/>
          <w:numId w:val="82"/>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79BE0526">
      <w:pPr>
        <w:widowControl/>
        <w:jc w:val="left"/>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6CC5E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45C1FFFC">
            <w:pPr>
              <w:widowControl/>
              <w:jc w:val="center"/>
              <w:rPr>
                <w:rFonts w:hint="eastAsia"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4C06FA41">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73FE8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57C384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3103D83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5091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827AB0E">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707D54BD">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5E3D41D5">
            <w:pPr>
              <w:widowControl/>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288F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E0F125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11AE422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2D0B8B31">
            <w:pPr>
              <w:widowControl/>
              <w:rPr>
                <w:rFonts w:hint="eastAsia"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rPr>
              <w:t>2024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30694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7999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3179D457">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724132F0">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w:t>
            </w:r>
            <w:r>
              <w:rPr>
                <w:rFonts w:ascii="宋体" w:hAnsi="宋体" w:eastAsia="宋体" w:cs="Times New Roman"/>
                <w:kern w:val="0"/>
                <w:szCs w:val="21"/>
                <w:lang w:eastAsia="zh-Hans"/>
              </w:rPr>
              <w:t>投标文件中提供《资格条件承诺函》，格式详见招标文件《资格条件承诺函》。</w:t>
            </w:r>
          </w:p>
        </w:tc>
      </w:tr>
      <w:tr w14:paraId="2BF3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823E79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68A79AEE">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68552CB0">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0412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A31003">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6451A33A">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7576A8D4">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72075F1F">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16B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ED9E6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42DC73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0517DAE3">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28A28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E344E4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1B2EFA3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78D9903C">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6942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C52480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45ECA6F4">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7257089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2A2D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D8AE7BF">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FB8C178">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0DCF0DDC">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tr w14:paraId="0DA2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C3C0A34">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3.3</w:t>
            </w:r>
          </w:p>
        </w:tc>
        <w:tc>
          <w:tcPr>
            <w:tcW w:w="1381" w:type="pct"/>
            <w:vAlign w:val="center"/>
          </w:tcPr>
          <w:p w14:paraId="7953EC61">
            <w:pPr>
              <w:widowControl/>
              <w:rPr>
                <w:rFonts w:hint="eastAsia" w:ascii="宋体" w:hAnsi="宋体" w:eastAsia="宋体" w:cs="Times New Roman"/>
                <w:kern w:val="0"/>
                <w:szCs w:val="21"/>
                <w:highlight w:val="none"/>
              </w:rPr>
            </w:pPr>
            <w:r>
              <w:rPr>
                <w:rFonts w:hint="eastAsia" w:ascii="宋体" w:hAnsi="宋体" w:eastAsia="宋体" w:cs="Times New Roman"/>
                <w:kern w:val="0"/>
                <w:szCs w:val="21"/>
                <w:highlight w:val="none"/>
                <w:lang w:eastAsia="zh-Hans"/>
              </w:rPr>
              <w:t>其他特定资格要求：</w:t>
            </w:r>
          </w:p>
        </w:tc>
        <w:tc>
          <w:tcPr>
            <w:tcW w:w="3159" w:type="pct"/>
            <w:vAlign w:val="center"/>
          </w:tcPr>
          <w:p w14:paraId="4E5C2B29">
            <w:pPr>
              <w:widowControl/>
              <w:rPr>
                <w:rFonts w:hint="eastAsia" w:ascii="宋体" w:hAnsi="宋体" w:eastAsia="宋体" w:cs="Times New Roman"/>
                <w:b/>
                <w:bCs/>
                <w:kern w:val="0"/>
                <w:szCs w:val="21"/>
                <w:highlight w:val="none"/>
                <w:lang w:eastAsia="zh-Hans"/>
              </w:rPr>
            </w:pPr>
            <w:r>
              <w:rPr>
                <w:rFonts w:hint="eastAsia" w:ascii="宋体" w:hAnsi="宋体" w:eastAsia="宋体" w:cs="Times New Roman"/>
                <w:b/>
                <w:bCs/>
                <w:kern w:val="0"/>
                <w:szCs w:val="21"/>
                <w:highlight w:val="none"/>
                <w:lang w:eastAsia="zh-CN"/>
              </w:rPr>
              <w:t>（1）投标人须</w:t>
            </w:r>
            <w:r>
              <w:rPr>
                <w:rFonts w:hint="eastAsia" w:ascii="宋体" w:hAnsi="宋体" w:eastAsia="宋体" w:cs="Times New Roman"/>
                <w:b/>
                <w:bCs/>
                <w:kern w:val="0"/>
                <w:szCs w:val="21"/>
                <w:highlight w:val="none"/>
                <w:lang w:val="en-US" w:eastAsia="zh-CN"/>
              </w:rPr>
              <w:t>提供</w:t>
            </w:r>
            <w:r>
              <w:rPr>
                <w:rFonts w:hint="eastAsia" w:ascii="宋体" w:hAnsi="宋体" w:eastAsia="宋体" w:cs="Times New Roman"/>
                <w:b/>
                <w:bCs/>
                <w:kern w:val="0"/>
                <w:szCs w:val="21"/>
                <w:highlight w:val="none"/>
                <w:lang w:eastAsia="zh-Hans"/>
              </w:rPr>
              <w:t>有效期内</w:t>
            </w:r>
            <w:r>
              <w:rPr>
                <w:rFonts w:hint="eastAsia" w:ascii="宋体" w:hAnsi="宋体" w:eastAsia="宋体" w:cs="Times New Roman"/>
                <w:b/>
                <w:bCs/>
                <w:kern w:val="0"/>
                <w:szCs w:val="21"/>
                <w:highlight w:val="none"/>
                <w:lang w:val="en-US" w:eastAsia="zh-CN"/>
              </w:rPr>
              <w:t>的</w:t>
            </w:r>
            <w:r>
              <w:rPr>
                <w:rFonts w:hint="eastAsia" w:ascii="宋体" w:hAnsi="宋体" w:eastAsia="宋体" w:cs="Times New Roman"/>
                <w:b/>
                <w:bCs/>
                <w:kern w:val="0"/>
                <w:szCs w:val="21"/>
                <w:highlight w:val="none"/>
                <w:lang w:eastAsia="zh-CN"/>
              </w:rPr>
              <w:t>《危险废物经营许可证》（</w:t>
            </w:r>
            <w:r>
              <w:rPr>
                <w:rFonts w:hint="eastAsia" w:ascii="宋体" w:hAnsi="宋体" w:eastAsia="宋体" w:cs="Times New Roman"/>
                <w:b/>
                <w:bCs/>
                <w:kern w:val="0"/>
                <w:szCs w:val="21"/>
                <w:highlight w:val="none"/>
                <w:lang w:val="en-US" w:eastAsia="zh-CN"/>
              </w:rPr>
              <w:t>核准经营危险</w:t>
            </w:r>
            <w:r>
              <w:rPr>
                <w:rFonts w:hint="eastAsia" w:ascii="宋体" w:hAnsi="宋体" w:eastAsia="宋体" w:cs="Times New Roman"/>
                <w:b/>
                <w:bCs/>
                <w:kern w:val="0"/>
                <w:szCs w:val="21"/>
                <w:highlight w:val="none"/>
                <w:lang w:eastAsia="zh-CN"/>
              </w:rPr>
              <w:t>废物类别：HW</w:t>
            </w:r>
            <w:r>
              <w:rPr>
                <w:rFonts w:hint="eastAsia" w:ascii="宋体" w:hAnsi="宋体" w:eastAsia="宋体" w:cs="Times New Roman"/>
                <w:b/>
                <w:bCs/>
                <w:kern w:val="0"/>
                <w:szCs w:val="21"/>
                <w:highlight w:val="none"/>
                <w:lang w:val="en-US" w:eastAsia="zh-CN"/>
              </w:rPr>
              <w:t>04</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证件复印件</w:t>
            </w:r>
            <w:r>
              <w:rPr>
                <w:rFonts w:hint="eastAsia" w:ascii="宋体" w:hAnsi="宋体" w:eastAsia="宋体" w:cs="Times New Roman"/>
                <w:b/>
                <w:bCs/>
                <w:kern w:val="0"/>
                <w:szCs w:val="21"/>
                <w:highlight w:val="none"/>
                <w:lang w:val="en-US" w:eastAsia="zh-CN"/>
              </w:rPr>
              <w:t>并加盖投标人公章</w:t>
            </w:r>
            <w:r>
              <w:rPr>
                <w:rFonts w:hint="eastAsia" w:ascii="宋体" w:hAnsi="宋体" w:eastAsia="宋体" w:cs="Times New Roman"/>
                <w:b/>
                <w:bCs/>
                <w:kern w:val="0"/>
                <w:szCs w:val="21"/>
                <w:highlight w:val="none"/>
                <w:lang w:eastAsia="zh-CN"/>
              </w:rPr>
              <w:t>；</w:t>
            </w:r>
          </w:p>
          <w:p w14:paraId="2DF4635B">
            <w:pPr>
              <w:widowControl/>
              <w:rPr>
                <w:rFonts w:hint="eastAsia" w:ascii="宋体" w:hAnsi="宋体" w:eastAsia="宋体" w:cs="Times New Roman"/>
                <w:kern w:val="0"/>
                <w:szCs w:val="21"/>
                <w:highlight w:val="none"/>
                <w:lang w:eastAsia="zh-Hans"/>
              </w:rPr>
            </w:pPr>
            <w:r>
              <w:rPr>
                <w:rFonts w:hint="eastAsia" w:ascii="宋体" w:hAnsi="宋体" w:eastAsia="宋体" w:cs="Times New Roman"/>
                <w:b/>
                <w:bCs/>
                <w:kern w:val="0"/>
                <w:szCs w:val="21"/>
                <w:highlight w:val="none"/>
                <w:lang w:eastAsia="zh-Hans"/>
              </w:rPr>
              <w:t>（2）投标人</w:t>
            </w:r>
            <w:r>
              <w:rPr>
                <w:rFonts w:hint="eastAsia" w:ascii="宋体" w:hAnsi="宋体" w:eastAsia="宋体" w:cs="Times New Roman"/>
                <w:b/>
                <w:bCs/>
                <w:kern w:val="0"/>
                <w:szCs w:val="21"/>
                <w:highlight w:val="none"/>
                <w:lang w:val="en-US" w:eastAsia="zh-CN"/>
              </w:rPr>
              <w:t>须提供</w:t>
            </w:r>
            <w:r>
              <w:rPr>
                <w:rFonts w:hint="eastAsia" w:ascii="宋体" w:hAnsi="宋体" w:eastAsia="宋体" w:cs="Times New Roman"/>
                <w:b/>
                <w:bCs/>
                <w:kern w:val="0"/>
                <w:szCs w:val="21"/>
                <w:highlight w:val="none"/>
                <w:lang w:eastAsia="zh-Hans"/>
              </w:rPr>
              <w:t>有效期内</w:t>
            </w:r>
            <w:r>
              <w:rPr>
                <w:rFonts w:hint="eastAsia" w:ascii="宋体" w:hAnsi="宋体" w:eastAsia="宋体" w:cs="Times New Roman"/>
                <w:b/>
                <w:bCs/>
                <w:kern w:val="0"/>
                <w:szCs w:val="21"/>
                <w:highlight w:val="none"/>
                <w:lang w:val="en-US" w:eastAsia="zh-CN"/>
              </w:rPr>
              <w:t>的</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道路运输</w:t>
            </w:r>
            <w:r>
              <w:rPr>
                <w:rFonts w:hint="eastAsia" w:ascii="宋体" w:hAnsi="宋体" w:eastAsia="宋体" w:cs="Times New Roman"/>
                <w:b/>
                <w:bCs/>
                <w:kern w:val="0"/>
                <w:szCs w:val="21"/>
                <w:highlight w:val="none"/>
                <w:lang w:val="en-US" w:eastAsia="zh-CN"/>
              </w:rPr>
              <w:t>经营</w:t>
            </w:r>
            <w:r>
              <w:rPr>
                <w:rFonts w:hint="eastAsia" w:ascii="宋体" w:hAnsi="宋体" w:eastAsia="宋体" w:cs="Times New Roman"/>
                <w:b/>
                <w:bCs/>
                <w:kern w:val="0"/>
                <w:szCs w:val="21"/>
                <w:highlight w:val="none"/>
                <w:lang w:eastAsia="zh-Hans"/>
              </w:rPr>
              <w:t>许可证</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经营范围包含危险货物运输</w:t>
            </w:r>
            <w:r>
              <w:rPr>
                <w:rFonts w:hint="eastAsia" w:ascii="宋体" w:hAnsi="宋体" w:eastAsia="宋体" w:cs="Times New Roman"/>
                <w:b/>
                <w:bCs/>
                <w:kern w:val="0"/>
                <w:szCs w:val="21"/>
                <w:highlight w:val="none"/>
                <w:lang w:eastAsia="zh-CN"/>
              </w:rPr>
              <w:t>）</w:t>
            </w:r>
            <w:r>
              <w:rPr>
                <w:rFonts w:hint="eastAsia" w:ascii="宋体" w:hAnsi="宋体" w:eastAsia="宋体" w:cs="Times New Roman"/>
                <w:b/>
                <w:bCs/>
                <w:kern w:val="0"/>
                <w:szCs w:val="21"/>
                <w:highlight w:val="none"/>
                <w:lang w:eastAsia="zh-Hans"/>
              </w:rPr>
              <w:t>证件复印件</w:t>
            </w:r>
            <w:r>
              <w:rPr>
                <w:rFonts w:hint="eastAsia" w:ascii="宋体" w:hAnsi="宋体" w:eastAsia="宋体" w:cs="Times New Roman"/>
                <w:b/>
                <w:bCs/>
                <w:kern w:val="0"/>
                <w:szCs w:val="21"/>
                <w:highlight w:val="none"/>
                <w:lang w:val="en-US" w:eastAsia="zh-CN"/>
              </w:rPr>
              <w:t>并加盖投标人公章。</w:t>
            </w:r>
          </w:p>
        </w:tc>
      </w:tr>
      <w:bookmarkEnd w:id="27"/>
    </w:tbl>
    <w:p w14:paraId="6DEE0A7C">
      <w:pPr>
        <w:pageBreakBefore/>
        <w:jc w:val="left"/>
        <w:rPr>
          <w:rFonts w:hint="eastAsia"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693E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7A7C14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7FA9E027">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4362E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44B109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5D5A16E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7B056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DB8EE7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30EE2120">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5E3F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9BE402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477ACC5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650B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821F6A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0DB5F1C2">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51AE2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20D11E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62DC37D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08DD7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5D2BFE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28F0EC6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20B5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3B225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4F037DF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1730AD49">
      <w:pPr>
        <w:pStyle w:val="24"/>
        <w:numPr>
          <w:ilvl w:val="3"/>
          <w:numId w:val="81"/>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p>
    <w:tbl>
      <w:tblPr>
        <w:tblStyle w:val="12"/>
        <w:tblW w:w="49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719"/>
      </w:tblGrid>
      <w:tr w14:paraId="6013A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7" w:type="pct"/>
            <w:vAlign w:val="center"/>
          </w:tcPr>
          <w:p w14:paraId="2DF91CD6">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844" w:type="pct"/>
            <w:gridSpan w:val="2"/>
            <w:vAlign w:val="center"/>
          </w:tcPr>
          <w:p w14:paraId="4A65DB05">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38" w:type="pct"/>
            <w:vAlign w:val="center"/>
          </w:tcPr>
          <w:p w14:paraId="3B09CFAC">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30" w:type="pct"/>
            <w:vAlign w:val="center"/>
          </w:tcPr>
          <w:p w14:paraId="3B86A7E9">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0C22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11A4A04B">
            <w:pPr>
              <w:pStyle w:val="27"/>
              <w:spacing w:line="400" w:lineRule="exact"/>
              <w:ind w:firstLine="0" w:firstLineChars="0"/>
              <w:jc w:val="center"/>
              <w:rPr>
                <w:rFonts w:hint="eastAsia"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25</w:t>
            </w:r>
            <w:r>
              <w:rPr>
                <w:rFonts w:hint="eastAsia" w:ascii="宋体" w:eastAsia="宋体"/>
                <w:b/>
                <w:color w:val="000000" w:themeColor="text1"/>
                <w:sz w:val="21"/>
                <w:szCs w:val="21"/>
                <w14:textFill>
                  <w14:solidFill>
                    <w14:schemeClr w14:val="tx1"/>
                  </w14:solidFill>
                </w14:textFill>
              </w:rPr>
              <w:t>分）</w:t>
            </w:r>
          </w:p>
        </w:tc>
      </w:tr>
      <w:tr w14:paraId="31B6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7" w:type="pct"/>
            <w:vAlign w:val="center"/>
          </w:tcPr>
          <w:p w14:paraId="594AB556">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35" w:type="pct"/>
            <w:vAlign w:val="center"/>
          </w:tcPr>
          <w:p w14:paraId="4F4B0F3A">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项目业绩</w:t>
            </w:r>
          </w:p>
        </w:tc>
        <w:tc>
          <w:tcPr>
            <w:tcW w:w="546" w:type="pct"/>
            <w:gridSpan w:val="2"/>
            <w:vAlign w:val="center"/>
          </w:tcPr>
          <w:p w14:paraId="4E3A2DE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9</w:t>
            </w:r>
            <w:r>
              <w:rPr>
                <w:rFonts w:hint="eastAsia" w:ascii="宋体" w:hAnsi="宋体" w:eastAsia="宋体"/>
                <w:bCs/>
                <w:color w:val="000000" w:themeColor="text1"/>
                <w:szCs w:val="21"/>
                <w14:textFill>
                  <w14:solidFill>
                    <w14:schemeClr w14:val="tx1"/>
                  </w14:solidFill>
                </w14:textFill>
              </w:rPr>
              <w:t>分</w:t>
            </w:r>
          </w:p>
        </w:tc>
        <w:tc>
          <w:tcPr>
            <w:tcW w:w="3130" w:type="pct"/>
            <w:vAlign w:val="center"/>
          </w:tcPr>
          <w:p w14:paraId="3E8D5273">
            <w:pPr>
              <w:spacing w:line="400" w:lineRule="exact"/>
              <w:rPr>
                <w:rFonts w:hint="eastAsia" w:ascii="宋体" w:hAnsi="宋体" w:eastAsia="宋体"/>
                <w:b w:val="0"/>
                <w:bCs/>
                <w:color w:val="000000" w:themeColor="text1"/>
                <w:szCs w:val="21"/>
                <w:u w:val="none"/>
                <w:lang w:val="en-US" w:eastAsia="zh-CN"/>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根据投标人提供的</w:t>
            </w:r>
            <w:r>
              <w:rPr>
                <w:rFonts w:hint="eastAsia" w:ascii="宋体" w:hAnsi="宋体" w:eastAsia="宋体" w:cstheme="minorBidi"/>
                <w:bCs/>
                <w:color w:val="000000" w:themeColor="text1"/>
                <w:sz w:val="21"/>
                <w:szCs w:val="21"/>
                <w:highlight w:val="none"/>
                <w:u w:val="none"/>
                <w:lang w:val="en-US" w:eastAsia="zh-CN"/>
                <w14:textFill>
                  <w14:solidFill>
                    <w14:schemeClr w14:val="tx1"/>
                  </w14:solidFill>
                </w14:textFill>
              </w:rPr>
              <w:t>农药包装废弃物</w:t>
            </w:r>
            <w:r>
              <w:rPr>
                <w:rFonts w:hint="eastAsia" w:ascii="宋体" w:hAnsi="宋体" w:eastAsia="宋体"/>
                <w:b w:val="0"/>
                <w:bCs/>
                <w:color w:val="000000" w:themeColor="text1"/>
                <w:szCs w:val="21"/>
                <w:u w:val="none"/>
                <w:lang w:val="en-US" w:eastAsia="zh-CN"/>
                <w14:textFill>
                  <w14:solidFill>
                    <w14:schemeClr w14:val="tx1"/>
                  </w14:solidFill>
                </w14:textFill>
              </w:rPr>
              <w:t>或废旧农膜或</w:t>
            </w:r>
            <w:r>
              <w:rPr>
                <w:rFonts w:hint="eastAsia" w:ascii="宋体" w:hAnsi="宋体" w:eastAsia="宋体" w:cstheme="minorBidi"/>
                <w:bCs/>
                <w:color w:val="000000" w:themeColor="text1"/>
                <w:sz w:val="21"/>
                <w:szCs w:val="21"/>
                <w:highlight w:val="none"/>
                <w:u w:val="none"/>
                <w:lang w:val="en-US" w:eastAsia="zh-CN"/>
                <w14:textFill>
                  <w14:solidFill>
                    <w14:schemeClr w14:val="tx1"/>
                  </w14:solidFill>
                </w14:textFill>
              </w:rPr>
              <w:t>假农药（劣质农药、过期农药或罚没农药）</w:t>
            </w:r>
            <w:r>
              <w:rPr>
                <w:rFonts w:hint="eastAsia" w:ascii="宋体" w:hAnsi="宋体" w:eastAsia="宋体" w:cstheme="minorBidi"/>
                <w:bCs/>
                <w:color w:val="000000" w:themeColor="text1"/>
                <w:sz w:val="21"/>
                <w:szCs w:val="21"/>
                <w:u w:val="none"/>
                <w:lang w:val="en-US" w:eastAsia="zh-CN"/>
                <w14:textFill>
                  <w14:solidFill>
                    <w14:schemeClr w14:val="tx1"/>
                  </w14:solidFill>
                </w14:textFill>
              </w:rPr>
              <w:t>的</w:t>
            </w:r>
            <w:r>
              <w:rPr>
                <w:rFonts w:hint="eastAsia" w:ascii="宋体" w:hAnsi="宋体" w:eastAsia="宋体"/>
                <w:b w:val="0"/>
                <w:bCs/>
                <w:color w:val="000000" w:themeColor="text1"/>
                <w:szCs w:val="21"/>
                <w:u w:val="none"/>
                <w:lang w:val="en-US" w:eastAsia="zh-CN"/>
                <w14:textFill>
                  <w14:solidFill>
                    <w14:schemeClr w14:val="tx1"/>
                  </w14:solidFill>
                </w14:textFill>
              </w:rPr>
              <w:t>回收处理类项目业绩进行评审，每提供一个得3分，最高得9分。</w:t>
            </w:r>
          </w:p>
          <w:p w14:paraId="0D6F3D0A">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bCs w:val="0"/>
                <w:color w:val="000000" w:themeColor="text1"/>
                <w:szCs w:val="21"/>
                <w:u w:val="single"/>
                <w:lang w:val="en-US" w:eastAsia="zh-CN"/>
                <w14:textFill>
                  <w14:solidFill>
                    <w14:schemeClr w14:val="tx1"/>
                  </w14:solidFill>
                </w14:textFill>
              </w:rPr>
              <w:t>注：须提供合同复印件加盖投标人公章作证明材料，项目业绩认定时间为2021年1月1日起至投标截止之日。</w:t>
            </w:r>
          </w:p>
        </w:tc>
      </w:tr>
      <w:tr w14:paraId="1C49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7" w:type="pct"/>
            <w:vMerge w:val="restart"/>
            <w:vAlign w:val="center"/>
          </w:tcPr>
          <w:p w14:paraId="057D2C48">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835" w:type="pct"/>
            <w:vMerge w:val="restart"/>
            <w:vAlign w:val="center"/>
          </w:tcPr>
          <w:p w14:paraId="318039C5">
            <w:pPr>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仓储情况</w:t>
            </w:r>
          </w:p>
        </w:tc>
        <w:tc>
          <w:tcPr>
            <w:tcW w:w="546" w:type="pct"/>
            <w:gridSpan w:val="2"/>
            <w:vAlign w:val="center"/>
          </w:tcPr>
          <w:p w14:paraId="43585E1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4</w:t>
            </w:r>
            <w:r>
              <w:rPr>
                <w:rFonts w:hint="eastAsia" w:ascii="宋体" w:hAnsi="宋体" w:eastAsia="宋体"/>
                <w:bCs/>
                <w:color w:val="000000" w:themeColor="text1"/>
                <w:szCs w:val="21"/>
                <w14:textFill>
                  <w14:solidFill>
                    <w14:schemeClr w14:val="tx1"/>
                  </w14:solidFill>
                </w14:textFill>
              </w:rPr>
              <w:t>分</w:t>
            </w:r>
          </w:p>
        </w:tc>
        <w:tc>
          <w:tcPr>
            <w:tcW w:w="3130" w:type="pct"/>
            <w:vAlign w:val="top"/>
          </w:tcPr>
          <w:p w14:paraId="776AEE2D">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w:t>
            </w:r>
            <w:r>
              <w:rPr>
                <w:rFonts w:hint="default" w:ascii="宋体" w:hAnsi="宋体" w:eastAsia="宋体"/>
                <w:b w:val="0"/>
                <w:bCs/>
                <w:color w:val="000000" w:themeColor="text1"/>
                <w:szCs w:val="21"/>
                <w:u w:val="none"/>
                <w:lang w:val="en-US" w:eastAsia="zh-CN"/>
                <w14:textFill>
                  <w14:solidFill>
                    <w14:schemeClr w14:val="tx1"/>
                  </w14:solidFill>
                </w14:textFill>
              </w:rPr>
              <w:t>面积1</w:t>
            </w:r>
            <w:r>
              <w:rPr>
                <w:rFonts w:hint="eastAsia" w:ascii="宋体" w:hAnsi="宋体" w:eastAsia="宋体"/>
                <w:b w:val="0"/>
                <w:bCs/>
                <w:color w:val="000000" w:themeColor="text1"/>
                <w:szCs w:val="21"/>
                <w:u w:val="none"/>
                <w:lang w:val="en-US" w:eastAsia="zh-CN"/>
                <w14:textFill>
                  <w14:solidFill>
                    <w14:schemeClr w14:val="tx1"/>
                  </w14:solidFill>
                </w14:textFill>
              </w:rPr>
              <w:t>00</w:t>
            </w:r>
            <w:r>
              <w:rPr>
                <w:rFonts w:hint="default" w:ascii="宋体" w:hAnsi="宋体" w:eastAsia="宋体"/>
                <w:b w:val="0"/>
                <w:bCs/>
                <w:color w:val="000000" w:themeColor="text1"/>
                <w:szCs w:val="21"/>
                <w:u w:val="none"/>
                <w:lang w:val="en-US" w:eastAsia="zh-CN"/>
                <w14:textFill>
                  <w14:solidFill>
                    <w14:schemeClr w14:val="tx1"/>
                  </w14:solidFill>
                </w14:textFill>
              </w:rPr>
              <w:t>平方米</w:t>
            </w:r>
            <w:r>
              <w:rPr>
                <w:rFonts w:hint="eastAsia" w:ascii="宋体" w:hAnsi="宋体" w:eastAsia="宋体"/>
                <w:b w:val="0"/>
                <w:bCs/>
                <w:color w:val="000000" w:themeColor="text1"/>
                <w:szCs w:val="21"/>
                <w:u w:val="none"/>
                <w:lang w:val="en-US" w:eastAsia="zh-CN"/>
                <w14:textFill>
                  <w14:solidFill>
                    <w14:schemeClr w14:val="tx1"/>
                  </w14:solidFill>
                </w14:textFill>
              </w:rPr>
              <w:t>（含）</w:t>
            </w:r>
            <w:r>
              <w:rPr>
                <w:rFonts w:hint="default" w:ascii="宋体" w:hAnsi="宋体" w:eastAsia="宋体"/>
                <w:b w:val="0"/>
                <w:bCs/>
                <w:color w:val="000000" w:themeColor="text1"/>
                <w:szCs w:val="21"/>
                <w:u w:val="none"/>
                <w:lang w:val="en-US" w:eastAsia="zh-CN"/>
                <w14:textFill>
                  <w14:solidFill>
                    <w14:schemeClr w14:val="tx1"/>
                  </w14:solidFill>
                </w14:textFill>
              </w:rPr>
              <w:t>以上的</w:t>
            </w:r>
            <w:r>
              <w:rPr>
                <w:rFonts w:hint="eastAsia" w:ascii="宋体" w:hAnsi="宋体" w:eastAsia="宋体"/>
                <w:b w:val="0"/>
                <w:bCs/>
                <w:color w:val="000000" w:themeColor="text1"/>
                <w:szCs w:val="21"/>
                <w:u w:val="none"/>
                <w:lang w:val="en-US" w:eastAsia="zh-CN"/>
                <w14:textFill>
                  <w14:solidFill>
                    <w14:schemeClr w14:val="tx1"/>
                  </w14:solidFill>
                </w14:textFill>
              </w:rPr>
              <w:t>农药包装废弃物及废旧农膜</w:t>
            </w:r>
            <w:r>
              <w:rPr>
                <w:rFonts w:hint="default" w:ascii="宋体" w:hAnsi="宋体" w:eastAsia="宋体"/>
                <w:b w:val="0"/>
                <w:bCs/>
                <w:color w:val="000000" w:themeColor="text1"/>
                <w:szCs w:val="21"/>
                <w:u w:val="none"/>
                <w:lang w:val="en-US" w:eastAsia="zh-CN"/>
                <w14:textFill>
                  <w14:solidFill>
                    <w14:schemeClr w14:val="tx1"/>
                  </w14:solidFill>
                </w14:textFill>
              </w:rPr>
              <w:t>中转</w:t>
            </w:r>
            <w:r>
              <w:rPr>
                <w:rFonts w:hint="eastAsia" w:ascii="宋体" w:hAnsi="宋体" w:eastAsia="宋体"/>
                <w:b w:val="0"/>
                <w:bCs/>
                <w:color w:val="000000" w:themeColor="text1"/>
                <w:szCs w:val="21"/>
                <w:u w:val="none"/>
                <w:lang w:val="en-US" w:eastAsia="zh-CN"/>
                <w14:textFill>
                  <w14:solidFill>
                    <w14:schemeClr w14:val="tx1"/>
                  </w14:solidFill>
                </w14:textFill>
              </w:rPr>
              <w:t>（暂存）</w:t>
            </w:r>
            <w:r>
              <w:rPr>
                <w:rFonts w:hint="default" w:ascii="宋体" w:hAnsi="宋体" w:eastAsia="宋体"/>
                <w:b w:val="0"/>
                <w:bCs/>
                <w:color w:val="000000" w:themeColor="text1"/>
                <w:szCs w:val="21"/>
                <w:u w:val="none"/>
                <w:lang w:val="en-US" w:eastAsia="zh-CN"/>
                <w14:textFill>
                  <w14:solidFill>
                    <w14:schemeClr w14:val="tx1"/>
                  </w14:solidFill>
                </w14:textFill>
              </w:rPr>
              <w:t>仓储</w:t>
            </w:r>
            <w:r>
              <w:rPr>
                <w:rFonts w:hint="eastAsia" w:ascii="宋体" w:hAnsi="宋体" w:eastAsia="宋体"/>
                <w:b w:val="0"/>
                <w:bCs/>
                <w:color w:val="000000" w:themeColor="text1"/>
                <w:szCs w:val="21"/>
                <w:u w:val="none"/>
                <w:lang w:val="en-US" w:eastAsia="zh-CN"/>
                <w14:textFill>
                  <w14:solidFill>
                    <w14:schemeClr w14:val="tx1"/>
                  </w14:solidFill>
                </w14:textFill>
              </w:rPr>
              <w:t>场地的，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4</w:t>
            </w:r>
            <w:r>
              <w:rPr>
                <w:rFonts w:hint="default" w:ascii="宋体" w:hAnsi="宋体" w:eastAsia="宋体"/>
                <w:b w:val="0"/>
                <w:bCs/>
                <w:color w:val="000000" w:themeColor="text1"/>
                <w:szCs w:val="21"/>
                <w:u w:val="none"/>
                <w:lang w:val="en-US" w:eastAsia="zh-CN"/>
                <w14:textFill>
                  <w14:solidFill>
                    <w14:schemeClr w14:val="tx1"/>
                  </w14:solidFill>
                </w14:textFill>
              </w:rPr>
              <w:t>分</w:t>
            </w:r>
            <w:r>
              <w:rPr>
                <w:rFonts w:hint="eastAsia" w:ascii="宋体" w:hAnsi="宋体" w:eastAsia="宋体"/>
                <w:b w:val="0"/>
                <w:bCs/>
                <w:color w:val="000000" w:themeColor="text1"/>
                <w:szCs w:val="21"/>
                <w:u w:val="none"/>
                <w:lang w:val="en-US" w:eastAsia="zh-CN"/>
                <w14:textFill>
                  <w14:solidFill>
                    <w14:schemeClr w14:val="tx1"/>
                  </w14:solidFill>
                </w14:textFill>
              </w:rPr>
              <w:t>。</w:t>
            </w:r>
          </w:p>
          <w:p w14:paraId="7B9C9E8F">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default"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①仓库场所为投标人自有的，须提供产权证明复印件、面积证明材料及场地现场照片并加盖投标人公章；</w:t>
            </w:r>
          </w:p>
          <w:p w14:paraId="442AEADB">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②若仓库场所为投标人租赁的，须提供在有效期内的租赁合同复印件、面积证明材料及场地现场照片并加盖投标人公章（如租赁期未涵盖本项目服务期的，还需提供承诺函续租至本项目服务期结束）；</w:t>
            </w:r>
          </w:p>
          <w:p w14:paraId="4EEC9A82">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③不提供资料或资料不齐全或资料不能完全体现评审要求的不得分。</w:t>
            </w:r>
          </w:p>
        </w:tc>
      </w:tr>
      <w:tr w14:paraId="4196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87" w:type="pct"/>
            <w:vMerge w:val="continue"/>
            <w:vAlign w:val="center"/>
          </w:tcPr>
          <w:p w14:paraId="56C461CE">
            <w:pPr>
              <w:spacing w:line="400" w:lineRule="exact"/>
              <w:jc w:val="center"/>
              <w:rPr>
                <w:rFonts w:hint="eastAsia" w:ascii="宋体" w:hAnsi="宋体" w:eastAsia="宋体"/>
                <w:color w:val="000000" w:themeColor="text1"/>
                <w:szCs w:val="21"/>
                <w14:textFill>
                  <w14:solidFill>
                    <w14:schemeClr w14:val="tx1"/>
                  </w14:solidFill>
                </w14:textFill>
              </w:rPr>
            </w:pPr>
          </w:p>
        </w:tc>
        <w:tc>
          <w:tcPr>
            <w:tcW w:w="835" w:type="pct"/>
            <w:vMerge w:val="continue"/>
            <w:vAlign w:val="center"/>
          </w:tcPr>
          <w:p w14:paraId="46C181A6">
            <w:pPr>
              <w:spacing w:line="400" w:lineRule="exact"/>
              <w:jc w:val="center"/>
              <w:rPr>
                <w:rFonts w:hint="eastAsia" w:ascii="宋体" w:hAnsi="宋体" w:eastAsia="宋体"/>
                <w:color w:val="000000" w:themeColor="text1"/>
                <w:szCs w:val="21"/>
                <w14:textFill>
                  <w14:solidFill>
                    <w14:schemeClr w14:val="tx1"/>
                  </w14:solidFill>
                </w14:textFill>
              </w:rPr>
            </w:pPr>
          </w:p>
        </w:tc>
        <w:tc>
          <w:tcPr>
            <w:tcW w:w="546" w:type="pct"/>
            <w:gridSpan w:val="2"/>
            <w:vAlign w:val="center"/>
          </w:tcPr>
          <w:p w14:paraId="13CBF332">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tc>
        <w:tc>
          <w:tcPr>
            <w:tcW w:w="3130" w:type="pct"/>
            <w:vAlign w:val="top"/>
          </w:tcPr>
          <w:p w14:paraId="20E79234">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投标</w:t>
            </w:r>
            <w:r>
              <w:rPr>
                <w:rFonts w:hint="eastAsia" w:ascii="宋体" w:hAnsi="宋体" w:eastAsia="宋体"/>
                <w:b w:val="0"/>
                <w:bCs/>
                <w:color w:val="000000" w:themeColor="text1"/>
                <w:szCs w:val="21"/>
                <w:u w:val="none"/>
                <w:lang w:val="en-US" w:eastAsia="zh-CN"/>
                <w14:textFill>
                  <w14:solidFill>
                    <w14:schemeClr w14:val="tx1"/>
                  </w14:solidFill>
                </w14:textFill>
              </w:rPr>
              <w:t>人</w:t>
            </w:r>
            <w:r>
              <w:rPr>
                <w:rFonts w:hint="default" w:ascii="宋体" w:hAnsi="宋体" w:eastAsia="宋体"/>
                <w:b w:val="0"/>
                <w:bCs/>
                <w:color w:val="000000" w:themeColor="text1"/>
                <w:szCs w:val="21"/>
                <w:u w:val="none"/>
                <w:lang w:val="en-US" w:eastAsia="zh-CN"/>
                <w14:textFill>
                  <w14:solidFill>
                    <w14:schemeClr w14:val="tx1"/>
                  </w14:solidFill>
                </w14:textFill>
              </w:rPr>
              <w:t>具有</w:t>
            </w:r>
            <w:r>
              <w:rPr>
                <w:rFonts w:hint="eastAsia" w:ascii="宋体" w:hAnsi="宋体" w:eastAsia="宋体"/>
                <w:b w:val="0"/>
                <w:bCs/>
                <w:color w:val="000000" w:themeColor="text1"/>
                <w:szCs w:val="21"/>
                <w:u w:val="none"/>
                <w:lang w:val="en-US" w:eastAsia="zh-CN"/>
                <w14:textFill>
                  <w14:solidFill>
                    <w14:schemeClr w14:val="tx1"/>
                  </w14:solidFill>
                </w14:textFill>
              </w:rPr>
              <w:t>（自有或租赁）</w:t>
            </w:r>
            <w:r>
              <w:rPr>
                <w:rFonts w:hint="default" w:ascii="宋体" w:hAnsi="宋体" w:eastAsia="宋体"/>
                <w:b w:val="0"/>
                <w:bCs/>
                <w:color w:val="000000" w:themeColor="text1"/>
                <w:szCs w:val="21"/>
                <w:u w:val="none"/>
                <w:lang w:val="en-US" w:eastAsia="zh-CN"/>
                <w14:textFill>
                  <w14:solidFill>
                    <w14:schemeClr w14:val="tx1"/>
                  </w14:solidFill>
                </w14:textFill>
              </w:rPr>
              <w:t>符合危险</w:t>
            </w:r>
            <w:r>
              <w:rPr>
                <w:rFonts w:hint="eastAsia" w:ascii="宋体" w:hAnsi="宋体" w:eastAsia="宋体"/>
                <w:b w:val="0"/>
                <w:bCs/>
                <w:color w:val="000000" w:themeColor="text1"/>
                <w:szCs w:val="21"/>
                <w:u w:val="none"/>
                <w:lang w:val="en-US" w:eastAsia="zh-CN"/>
                <w14:textFill>
                  <w14:solidFill>
                    <w14:schemeClr w14:val="tx1"/>
                  </w14:solidFill>
                </w14:textFill>
              </w:rPr>
              <w:t>废物储存</w:t>
            </w:r>
            <w:r>
              <w:rPr>
                <w:rFonts w:hint="default" w:ascii="宋体" w:hAnsi="宋体" w:eastAsia="宋体"/>
                <w:b w:val="0"/>
                <w:bCs/>
                <w:color w:val="000000" w:themeColor="text1"/>
                <w:szCs w:val="21"/>
                <w:u w:val="none"/>
                <w:lang w:val="en-US" w:eastAsia="zh-CN"/>
                <w14:textFill>
                  <w14:solidFill>
                    <w14:schemeClr w14:val="tx1"/>
                  </w14:solidFill>
                </w14:textFill>
              </w:rPr>
              <w:t>要求</w:t>
            </w:r>
            <w:r>
              <w:rPr>
                <w:rFonts w:hint="eastAsia" w:ascii="宋体" w:hAnsi="宋体" w:eastAsia="宋体"/>
                <w:b w:val="0"/>
                <w:bCs/>
                <w:color w:val="000000" w:themeColor="text1"/>
                <w:szCs w:val="21"/>
                <w:u w:val="none"/>
                <w:lang w:val="en-US" w:eastAsia="zh-CN"/>
                <w14:textFill>
                  <w14:solidFill>
                    <w14:schemeClr w14:val="tx1"/>
                  </w14:solidFill>
                </w14:textFill>
              </w:rPr>
              <w:t>的暂存</w:t>
            </w:r>
            <w:r>
              <w:rPr>
                <w:rFonts w:hint="default" w:ascii="宋体" w:hAnsi="宋体" w:eastAsia="宋体"/>
                <w:b w:val="0"/>
                <w:bCs/>
                <w:color w:val="000000" w:themeColor="text1"/>
                <w:szCs w:val="21"/>
                <w:u w:val="none"/>
                <w:lang w:val="en-US" w:eastAsia="zh-CN"/>
                <w14:textFill>
                  <w14:solidFill>
                    <w14:schemeClr w14:val="tx1"/>
                  </w14:solidFill>
                </w14:textFill>
              </w:rPr>
              <w:t>仓库</w:t>
            </w:r>
            <w:r>
              <w:rPr>
                <w:rFonts w:hint="eastAsia" w:ascii="宋体" w:hAnsi="宋体" w:eastAsia="宋体"/>
                <w:b w:val="0"/>
                <w:bCs/>
                <w:color w:val="000000" w:themeColor="text1"/>
                <w:szCs w:val="21"/>
                <w:u w:val="none"/>
                <w:lang w:val="en-US" w:eastAsia="zh-CN"/>
                <w14:textFill>
                  <w14:solidFill>
                    <w14:schemeClr w14:val="tx1"/>
                  </w14:solidFill>
                </w14:textFill>
              </w:rPr>
              <w:t>（场地）的，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4</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289E177B">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default"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①暂存仓库场所为投标人自有的，须提供产权证明复印件及场地现场照片并加盖投标人公章；</w:t>
            </w:r>
          </w:p>
          <w:p w14:paraId="3B82D5A9">
            <w:pPr>
              <w:spacing w:line="400" w:lineRule="exact"/>
              <w:rPr>
                <w:rFonts w:hint="eastAsia"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②若仓库场所为投标人租赁的，须提供在有效期内的租赁合同复印件及场地现场照片并加盖投标人公章（如租赁期未涵盖本项目服务期的，还需提供承诺函续租至本项目服务期结束）；</w:t>
            </w:r>
          </w:p>
          <w:p w14:paraId="59D6D862">
            <w:pPr>
              <w:spacing w:line="400" w:lineRule="exact"/>
              <w:rPr>
                <w:rFonts w:hint="default" w:ascii="宋体" w:hAnsi="宋体" w:eastAsia="宋体" w:cs="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③须提供仓库具备</w:t>
            </w:r>
            <w:r>
              <w:rPr>
                <w:rFonts w:hint="default" w:ascii="宋体" w:hAnsi="宋体" w:eastAsia="宋体"/>
                <w:b/>
                <w:bCs w:val="0"/>
                <w:color w:val="000000" w:themeColor="text1"/>
                <w:szCs w:val="21"/>
                <w:u w:val="single"/>
                <w:lang w:val="en-US" w:eastAsia="zh-CN"/>
                <w14:textFill>
                  <w14:solidFill>
                    <w14:schemeClr w14:val="tx1"/>
                  </w14:solidFill>
                </w14:textFill>
              </w:rPr>
              <w:t>危险</w:t>
            </w:r>
            <w:r>
              <w:rPr>
                <w:rFonts w:hint="eastAsia" w:ascii="宋体" w:hAnsi="宋体" w:eastAsia="宋体"/>
                <w:b/>
                <w:bCs w:val="0"/>
                <w:color w:val="000000" w:themeColor="text1"/>
                <w:szCs w:val="21"/>
                <w:u w:val="single"/>
                <w:lang w:val="en-US" w:eastAsia="zh-CN"/>
                <w14:textFill>
                  <w14:solidFill>
                    <w14:schemeClr w14:val="tx1"/>
                  </w14:solidFill>
                </w14:textFill>
              </w:rPr>
              <w:t>废物储存资质证明材料；</w:t>
            </w:r>
          </w:p>
          <w:p w14:paraId="338D84D1">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④不提供资料或资料不齐全或资料不能完全体现评审要求的不得分。</w:t>
            </w:r>
          </w:p>
        </w:tc>
      </w:tr>
      <w:tr w14:paraId="0C1A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5" w:hRule="atLeast"/>
          <w:jc w:val="center"/>
        </w:trPr>
        <w:tc>
          <w:tcPr>
            <w:tcW w:w="487" w:type="pct"/>
            <w:vAlign w:val="center"/>
          </w:tcPr>
          <w:p w14:paraId="2E0FA477">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35" w:type="pct"/>
            <w:vAlign w:val="center"/>
          </w:tcPr>
          <w:p w14:paraId="002FECB2">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运输车辆</w:t>
            </w:r>
          </w:p>
          <w:p w14:paraId="2558E3D5">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情况</w:t>
            </w:r>
          </w:p>
        </w:tc>
        <w:tc>
          <w:tcPr>
            <w:tcW w:w="546" w:type="pct"/>
            <w:gridSpan w:val="2"/>
            <w:vAlign w:val="center"/>
          </w:tcPr>
          <w:p w14:paraId="7C1E312D">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8分</w:t>
            </w:r>
          </w:p>
        </w:tc>
        <w:tc>
          <w:tcPr>
            <w:tcW w:w="3130" w:type="pct"/>
            <w:vAlign w:val="center"/>
          </w:tcPr>
          <w:p w14:paraId="234FF987">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1.投标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人具有（自有或租赁）农药包装废弃物及废旧农膜</w:t>
            </w:r>
            <w:r>
              <w:rPr>
                <w:rFonts w:hint="default" w:ascii="宋体" w:hAnsi="宋体" w:eastAsia="宋体"/>
                <w:b w:val="0"/>
                <w:bCs/>
                <w:color w:val="000000" w:themeColor="text1"/>
                <w:szCs w:val="21"/>
                <w:u w:val="none"/>
                <w:lang w:val="en-US" w:eastAsia="zh-CN"/>
                <w14:textFill>
                  <w14:solidFill>
                    <w14:schemeClr w14:val="tx1"/>
                  </w14:solidFill>
                </w14:textFill>
              </w:rPr>
              <w:t>运输</w:t>
            </w:r>
            <w:r>
              <w:rPr>
                <w:rFonts w:hint="eastAsia" w:ascii="宋体" w:hAnsi="宋体" w:eastAsia="宋体"/>
                <w:b w:val="0"/>
                <w:bCs/>
                <w:color w:val="000000" w:themeColor="text1"/>
                <w:szCs w:val="21"/>
                <w:u w:val="none"/>
                <w:lang w:val="en-US" w:eastAsia="zh-CN"/>
                <w14:textFill>
                  <w14:solidFill>
                    <w14:schemeClr w14:val="tx1"/>
                  </w14:solidFill>
                </w14:textFill>
              </w:rPr>
              <w:t>厢式</w:t>
            </w:r>
            <w:r>
              <w:rPr>
                <w:rFonts w:hint="default" w:ascii="宋体" w:hAnsi="宋体" w:eastAsia="宋体"/>
                <w:b w:val="0"/>
                <w:bCs/>
                <w:color w:val="000000" w:themeColor="text1"/>
                <w:szCs w:val="21"/>
                <w:u w:val="none"/>
                <w:lang w:val="en-US" w:eastAsia="zh-CN"/>
                <w14:textFill>
                  <w14:solidFill>
                    <w14:schemeClr w14:val="tx1"/>
                  </w14:solidFill>
                </w14:textFill>
              </w:rPr>
              <w:t>车辆</w:t>
            </w:r>
            <w:r>
              <w:rPr>
                <w:rFonts w:hint="eastAsia" w:ascii="宋体" w:hAnsi="宋体" w:eastAsia="宋体"/>
                <w:b w:val="0"/>
                <w:bCs/>
                <w:color w:val="000000" w:themeColor="text1"/>
                <w:szCs w:val="21"/>
                <w:u w:val="none"/>
                <w:lang w:val="en-US" w:eastAsia="zh-CN"/>
                <w14:textFill>
                  <w14:solidFill>
                    <w14:schemeClr w14:val="tx1"/>
                  </w14:solidFill>
                </w14:textFill>
              </w:rPr>
              <w:t>的</w:t>
            </w:r>
            <w:r>
              <w:rPr>
                <w:rFonts w:hint="default" w:ascii="宋体" w:hAnsi="宋体" w:eastAsia="宋体"/>
                <w:b w:val="0"/>
                <w:bCs/>
                <w:color w:val="000000" w:themeColor="text1"/>
                <w:szCs w:val="21"/>
                <w:u w:val="none"/>
                <w:lang w:val="en-US" w:eastAsia="zh-CN"/>
                <w14:textFill>
                  <w14:solidFill>
                    <w14:schemeClr w14:val="tx1"/>
                  </w14:solidFill>
                </w14:textFill>
              </w:rPr>
              <w:t>，</w:t>
            </w:r>
            <w:r>
              <w:rPr>
                <w:rFonts w:hint="eastAsia" w:ascii="宋体" w:hAnsi="宋体" w:eastAsia="宋体"/>
                <w:b w:val="0"/>
                <w:bCs/>
                <w:color w:val="000000" w:themeColor="text1"/>
                <w:szCs w:val="21"/>
                <w:u w:val="none"/>
                <w:lang w:val="en-US" w:eastAsia="zh-CN"/>
                <w14:textFill>
                  <w14:solidFill>
                    <w14:schemeClr w14:val="tx1"/>
                  </w14:solidFill>
                </w14:textFill>
              </w:rPr>
              <w:t>每提供1台得2</w:t>
            </w:r>
            <w:r>
              <w:rPr>
                <w:rFonts w:hint="default" w:ascii="宋体" w:hAnsi="宋体" w:eastAsia="宋体"/>
                <w:b w:val="0"/>
                <w:bCs/>
                <w:color w:val="000000" w:themeColor="text1"/>
                <w:szCs w:val="21"/>
                <w:u w:val="none"/>
                <w:lang w:val="en-US" w:eastAsia="zh-CN"/>
                <w14:textFill>
                  <w14:solidFill>
                    <w14:schemeClr w14:val="tx1"/>
                  </w14:solidFill>
                </w14:textFill>
              </w:rPr>
              <w:t>分，本项最多得</w:t>
            </w:r>
            <w:r>
              <w:rPr>
                <w:rFonts w:hint="eastAsia" w:ascii="宋体" w:hAnsi="宋体" w:eastAsia="宋体"/>
                <w:b w:val="0"/>
                <w:bCs/>
                <w:color w:val="000000" w:themeColor="text1"/>
                <w:szCs w:val="21"/>
                <w:u w:val="none"/>
                <w:lang w:val="en-US" w:eastAsia="zh-CN"/>
                <w14:textFill>
                  <w14:solidFill>
                    <w14:schemeClr w14:val="tx1"/>
                  </w14:solidFill>
                </w14:textFill>
              </w:rPr>
              <w:t>6</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54E14C4B">
            <w:pPr>
              <w:spacing w:line="400" w:lineRule="exact"/>
              <w:rPr>
                <w:rFonts w:hint="default" w:ascii="宋体" w:hAnsi="宋体" w:eastAsia="宋体"/>
                <w:b w:val="0"/>
                <w:bCs/>
                <w:color w:val="000000" w:themeColor="text1"/>
                <w:szCs w:val="21"/>
                <w:u w:val="none"/>
                <w:lang w:val="en-US" w:eastAsia="zh-CN"/>
                <w14:textFill>
                  <w14:solidFill>
                    <w14:schemeClr w14:val="tx1"/>
                  </w14:solidFill>
                </w14:textFill>
              </w:rPr>
            </w:pPr>
            <w:r>
              <w:rPr>
                <w:rFonts w:hint="default" w:ascii="宋体" w:hAnsi="宋体" w:eastAsia="宋体"/>
                <w:b w:val="0"/>
                <w:bCs/>
                <w:color w:val="000000" w:themeColor="text1"/>
                <w:szCs w:val="21"/>
                <w:u w:val="none"/>
                <w:lang w:val="en-US" w:eastAsia="zh-CN"/>
                <w14:textFill>
                  <w14:solidFill>
                    <w14:schemeClr w14:val="tx1"/>
                  </w14:solidFill>
                </w14:textFill>
              </w:rPr>
              <w:t>2.投标</w:t>
            </w:r>
            <w:r>
              <w:rPr>
                <w:rFonts w:hint="eastAsia" w:ascii="宋体" w:hAnsi="宋体" w:eastAsia="宋体"/>
                <w:b w:val="0"/>
                <w:bCs/>
                <w:color w:val="000000" w:themeColor="text1"/>
                <w:szCs w:val="21"/>
                <w:u w:val="none"/>
                <w:lang w:val="en-US" w:eastAsia="zh-CN"/>
                <w14:textFill>
                  <w14:solidFill>
                    <w14:schemeClr w14:val="tx1"/>
                  </w14:solidFill>
                </w14:textFill>
              </w:rPr>
              <w:t>人具有（自有或租赁）</w:t>
            </w:r>
            <w:r>
              <w:rPr>
                <w:rFonts w:hint="default" w:ascii="宋体" w:hAnsi="宋体" w:eastAsia="宋体"/>
                <w:b w:val="0"/>
                <w:bCs/>
                <w:color w:val="000000" w:themeColor="text1"/>
                <w:szCs w:val="21"/>
                <w:u w:val="none"/>
                <w:lang w:val="en-US" w:eastAsia="zh-CN"/>
                <w14:textFill>
                  <w14:solidFill>
                    <w14:schemeClr w14:val="tx1"/>
                  </w14:solidFill>
                </w14:textFill>
              </w:rPr>
              <w:t>危险货物运输车辆</w:t>
            </w:r>
            <w:r>
              <w:rPr>
                <w:rFonts w:hint="eastAsia" w:ascii="宋体" w:hAnsi="宋体" w:eastAsia="宋体"/>
                <w:b w:val="0"/>
                <w:bCs/>
                <w:color w:val="000000" w:themeColor="text1"/>
                <w:szCs w:val="21"/>
                <w:u w:val="none"/>
                <w:lang w:val="en-US" w:eastAsia="zh-CN"/>
                <w14:textFill>
                  <w14:solidFill>
                    <w14:schemeClr w14:val="tx1"/>
                  </w14:solidFill>
                </w14:textFill>
              </w:rPr>
              <w:t>的，</w:t>
            </w:r>
            <w:r>
              <w:rPr>
                <w:rFonts w:hint="default" w:ascii="宋体" w:hAnsi="宋体" w:eastAsia="宋体"/>
                <w:b w:val="0"/>
                <w:bCs/>
                <w:color w:val="000000" w:themeColor="text1"/>
                <w:szCs w:val="21"/>
                <w:u w:val="none"/>
                <w:lang w:val="en-US" w:eastAsia="zh-CN"/>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default" w:ascii="宋体" w:hAnsi="宋体" w:eastAsia="宋体"/>
                <w:b w:val="0"/>
                <w:bCs/>
                <w:color w:val="000000" w:themeColor="text1"/>
                <w:szCs w:val="21"/>
                <w:u w:val="none"/>
                <w:lang w:val="en-US" w:eastAsia="zh-CN"/>
                <w14:textFill>
                  <w14:solidFill>
                    <w14:schemeClr w14:val="tx1"/>
                  </w14:solidFill>
                </w14:textFill>
              </w:rPr>
              <w:t>分，本项最多得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default" w:ascii="宋体" w:hAnsi="宋体" w:eastAsia="宋体"/>
                <w:b w:val="0"/>
                <w:bCs/>
                <w:color w:val="000000" w:themeColor="text1"/>
                <w:szCs w:val="21"/>
                <w:u w:val="none"/>
                <w:lang w:val="en-US" w:eastAsia="zh-CN"/>
                <w14:textFill>
                  <w14:solidFill>
                    <w14:schemeClr w14:val="tx1"/>
                  </w14:solidFill>
                </w14:textFill>
              </w:rPr>
              <w:t>分。</w:t>
            </w:r>
          </w:p>
          <w:p w14:paraId="4B0397B3">
            <w:pPr>
              <w:spacing w:line="400" w:lineRule="exact"/>
              <w:rPr>
                <w:rFonts w:hint="eastAsia" w:ascii="宋体" w:hAnsi="宋体" w:eastAsia="宋体"/>
                <w:b/>
                <w:bCs w:val="0"/>
                <w:color w:val="000000" w:themeColor="text1"/>
                <w:szCs w:val="21"/>
                <w:u w:val="single"/>
                <w:lang w:val="en-US" w:eastAsia="zh-CN"/>
                <w14:textFill>
                  <w14:solidFill>
                    <w14:schemeClr w14:val="tx1"/>
                  </w14:solidFill>
                </w14:textFill>
              </w:rPr>
            </w:pPr>
            <w:r>
              <w:rPr>
                <w:rFonts w:hint="eastAsia" w:ascii="宋体" w:hAnsi="宋体" w:eastAsia="宋体"/>
                <w:b/>
                <w:bCs w:val="0"/>
                <w:color w:val="000000" w:themeColor="text1"/>
                <w:szCs w:val="21"/>
                <w:u w:val="single"/>
                <w:lang w:val="en-US" w:eastAsia="zh-CN"/>
                <w14:textFill>
                  <w14:solidFill>
                    <w14:schemeClr w14:val="tx1"/>
                  </w14:solidFill>
                </w14:textFill>
              </w:rPr>
              <w:t>注：</w:t>
            </w:r>
            <w:r>
              <w:rPr>
                <w:rFonts w:hint="eastAsia" w:ascii="宋体" w:hAnsi="宋体" w:eastAsia="宋体" w:cs="宋体"/>
                <w:b/>
                <w:bCs w:val="0"/>
                <w:color w:val="000000" w:themeColor="text1"/>
                <w:szCs w:val="21"/>
                <w:u w:val="single"/>
                <w:lang w:val="en-US" w:eastAsia="zh-CN"/>
                <w14:textFill>
                  <w14:solidFill>
                    <w14:schemeClr w14:val="tx1"/>
                  </w14:solidFill>
                </w14:textFill>
              </w:rPr>
              <w:t>（1）</w:t>
            </w:r>
            <w:r>
              <w:rPr>
                <w:rFonts w:hint="eastAsia" w:ascii="宋体" w:hAnsi="宋体" w:eastAsia="宋体"/>
                <w:b/>
                <w:bCs w:val="0"/>
                <w:color w:val="000000" w:themeColor="text1"/>
                <w:szCs w:val="21"/>
                <w:u w:val="single"/>
                <w:lang w:val="en-US" w:eastAsia="zh-CN"/>
                <w14:textFill>
                  <w14:solidFill>
                    <w14:schemeClr w14:val="tx1"/>
                  </w14:solidFill>
                </w14:textFill>
              </w:rPr>
              <w:t>自有车辆须提供车辆行驶证复印件（①车辆所有人须为投标人；②行驶证对应车辆须在年检有效期内）和车辆原貌照片（须体现相关功能）并加盖投标人公章。</w:t>
            </w:r>
          </w:p>
          <w:p w14:paraId="48D4FA6E">
            <w:pPr>
              <w:spacing w:line="400" w:lineRule="exact"/>
              <w:rPr>
                <w:rFonts w:hint="eastAsia" w:ascii="宋体" w:hAnsi="宋体" w:eastAsia="宋体"/>
                <w:b/>
                <w:bCs w:val="0"/>
                <w:color w:val="000000" w:themeColor="text1"/>
                <w:szCs w:val="21"/>
                <w:u w:val="single"/>
                <w:lang w:val="en-US" w:eastAsia="zh-CN"/>
                <w14:textFill>
                  <w14:solidFill>
                    <w14:schemeClr w14:val="tx1"/>
                  </w14:solidFill>
                </w14:textFill>
              </w:rPr>
            </w:pPr>
            <w:r>
              <w:rPr>
                <w:rFonts w:hint="eastAsia" w:ascii="宋体" w:hAnsi="宋体" w:eastAsia="宋体" w:cs="宋体"/>
                <w:b/>
                <w:bCs w:val="0"/>
                <w:color w:val="000000" w:themeColor="text1"/>
                <w:szCs w:val="21"/>
                <w:u w:val="single"/>
                <w:lang w:val="en-US" w:eastAsia="zh-CN"/>
                <w14:textFill>
                  <w14:solidFill>
                    <w14:schemeClr w14:val="tx1"/>
                  </w14:solidFill>
                </w14:textFill>
              </w:rPr>
              <w:t>（2）</w:t>
            </w:r>
            <w:r>
              <w:rPr>
                <w:rFonts w:hint="eastAsia" w:ascii="宋体" w:hAnsi="宋体" w:eastAsia="宋体"/>
                <w:b/>
                <w:bCs w:val="0"/>
                <w:color w:val="000000" w:themeColor="text1"/>
                <w:szCs w:val="21"/>
                <w:u w:val="single"/>
                <w:lang w:val="en-US" w:eastAsia="zh-CN"/>
                <w14:textFill>
                  <w14:solidFill>
                    <w14:schemeClr w14:val="tx1"/>
                  </w14:solidFill>
                </w14:textFill>
              </w:rPr>
              <w:t>租赁车辆须提供车辆租赁合同、任意一张租金发票、车辆行驶证复印件（能体现年检在有效期内的页面复印件）和车辆原貌照片（须体现相关功能）并加盖投标人公章</w:t>
            </w:r>
            <w:r>
              <w:rPr>
                <w:rFonts w:hint="eastAsia" w:ascii="宋体" w:hAnsi="宋体" w:eastAsia="宋体" w:cs="宋体"/>
                <w:b/>
                <w:bCs w:val="0"/>
                <w:color w:val="000000" w:themeColor="text1"/>
                <w:szCs w:val="21"/>
                <w:u w:val="single"/>
                <w:lang w:val="en-US" w:eastAsia="zh-CN"/>
                <w14:textFill>
                  <w14:solidFill>
                    <w14:schemeClr w14:val="tx1"/>
                  </w14:solidFill>
                </w14:textFill>
              </w:rPr>
              <w:t>（如租赁期未涵盖本项目服务期的，还需提供承诺函续租至本项目服务期结束）</w:t>
            </w:r>
            <w:r>
              <w:rPr>
                <w:rFonts w:hint="eastAsia" w:ascii="宋体" w:hAnsi="宋体" w:eastAsia="宋体"/>
                <w:b/>
                <w:bCs w:val="0"/>
                <w:color w:val="000000" w:themeColor="text1"/>
                <w:szCs w:val="21"/>
                <w:u w:val="single"/>
                <w:lang w:val="en-US" w:eastAsia="zh-CN"/>
                <w14:textFill>
                  <w14:solidFill>
                    <w14:schemeClr w14:val="tx1"/>
                  </w14:solidFill>
                </w14:textFill>
              </w:rPr>
              <w:t>。</w:t>
            </w:r>
          </w:p>
          <w:p w14:paraId="494F9E09">
            <w:pPr>
              <w:spacing w:line="400" w:lineRule="exact"/>
              <w:rPr>
                <w:rFonts w:hint="default"/>
                <w:lang w:val="en-US" w:eastAsia="zh-CN"/>
              </w:rPr>
            </w:pPr>
            <w:r>
              <w:rPr>
                <w:rFonts w:hint="eastAsia" w:ascii="宋体" w:hAnsi="宋体" w:eastAsia="宋体" w:cstheme="minorBidi"/>
                <w:b/>
                <w:bCs w:val="0"/>
                <w:color w:val="000000" w:themeColor="text1"/>
                <w:szCs w:val="21"/>
                <w:u w:val="single"/>
                <w:lang w:val="en-US" w:eastAsia="zh-CN"/>
                <w14:textFill>
                  <w14:solidFill>
                    <w14:schemeClr w14:val="tx1"/>
                  </w14:solidFill>
                </w14:textFill>
              </w:rPr>
              <w:t>③</w:t>
            </w:r>
            <w:r>
              <w:rPr>
                <w:rFonts w:hint="eastAsia" w:ascii="宋体" w:hAnsi="宋体" w:eastAsia="宋体"/>
                <w:b/>
                <w:color w:val="000000" w:themeColor="text1"/>
                <w:szCs w:val="21"/>
                <w:u w:val="single"/>
                <w:lang w:val="en-US" w:eastAsia="zh-CN"/>
                <w14:textFill>
                  <w14:solidFill>
                    <w14:schemeClr w14:val="tx1"/>
                  </w14:solidFill>
                </w14:textFill>
              </w:rPr>
              <w:t>不提供资料或资料不齐全或资料不能完全体现评审要求的不得分。</w:t>
            </w:r>
          </w:p>
        </w:tc>
      </w:tr>
      <w:tr w14:paraId="1D9A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41258FDA">
            <w:pPr>
              <w:pStyle w:val="27"/>
              <w:spacing w:line="400" w:lineRule="exact"/>
              <w:ind w:firstLine="0" w:firstLineChars="0"/>
              <w:jc w:val="center"/>
              <w:rPr>
                <w:rFonts w:hint="eastAsia"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45</w:t>
            </w:r>
            <w:r>
              <w:rPr>
                <w:rFonts w:hint="eastAsia" w:ascii="宋体" w:eastAsia="宋体"/>
                <w:b/>
                <w:color w:val="000000" w:themeColor="text1"/>
                <w:sz w:val="21"/>
                <w:szCs w:val="21"/>
                <w14:textFill>
                  <w14:solidFill>
                    <w14:schemeClr w14:val="tx1"/>
                  </w14:solidFill>
                </w14:textFill>
              </w:rPr>
              <w:t>分）</w:t>
            </w:r>
          </w:p>
        </w:tc>
      </w:tr>
      <w:tr w14:paraId="76D1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87" w:type="pct"/>
            <w:vAlign w:val="center"/>
          </w:tcPr>
          <w:p w14:paraId="29CE9FB3">
            <w:pPr>
              <w:spacing w:line="400" w:lineRule="exact"/>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835" w:type="pct"/>
            <w:vAlign w:val="center"/>
          </w:tcPr>
          <w:p w14:paraId="5C1231E8">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总体</w:t>
            </w:r>
            <w:r>
              <w:rPr>
                <w:rFonts w:hint="default" w:ascii="宋体" w:hAnsi="宋体" w:eastAsia="宋体"/>
                <w:color w:val="000000" w:themeColor="text1"/>
                <w:szCs w:val="21"/>
                <w:lang w:val="en-US" w:eastAsia="zh-CN"/>
                <w14:textFill>
                  <w14:solidFill>
                    <w14:schemeClr w14:val="tx1"/>
                  </w14:solidFill>
                </w14:textFill>
              </w:rPr>
              <w:t>实施方案</w:t>
            </w:r>
          </w:p>
        </w:tc>
        <w:tc>
          <w:tcPr>
            <w:tcW w:w="546" w:type="pct"/>
            <w:gridSpan w:val="2"/>
            <w:vAlign w:val="center"/>
          </w:tcPr>
          <w:p w14:paraId="6AC7E08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4487D89A">
            <w:pPr>
              <w:spacing w:line="400" w:lineRule="exact"/>
              <w:rPr>
                <w:rFonts w:hint="eastAsia" w:ascii="宋体" w:hAnsi="宋体" w:eastAsia="宋体"/>
                <w:color w:val="auto"/>
                <w:szCs w:val="21"/>
              </w:rPr>
            </w:pPr>
            <w:r>
              <w:rPr>
                <w:rFonts w:hint="eastAsia" w:ascii="宋体" w:hAnsi="宋体" w:eastAsia="宋体"/>
                <w:color w:val="auto"/>
                <w:szCs w:val="21"/>
              </w:rPr>
              <w:t>根据投标人对本项目的</w:t>
            </w:r>
            <w:r>
              <w:rPr>
                <w:rFonts w:hint="eastAsia" w:ascii="宋体" w:hAnsi="宋体" w:eastAsia="宋体"/>
                <w:color w:val="auto"/>
                <w:szCs w:val="21"/>
                <w:lang w:val="en-US" w:eastAsia="zh-CN"/>
              </w:rPr>
              <w:t>总体</w:t>
            </w:r>
            <w:r>
              <w:rPr>
                <w:rFonts w:hint="eastAsia" w:ascii="宋体" w:hAnsi="宋体" w:eastAsia="宋体"/>
                <w:color w:val="auto"/>
                <w:szCs w:val="21"/>
              </w:rPr>
              <w:t>实施方案</w:t>
            </w:r>
            <w:r>
              <w:rPr>
                <w:rFonts w:hint="eastAsia" w:ascii="宋体" w:hAnsi="宋体" w:eastAsia="宋体" w:cs="宋体"/>
                <w:color w:val="auto"/>
                <w:kern w:val="0"/>
                <w:szCs w:val="21"/>
              </w:rPr>
              <w:t>(包括不限于</w:t>
            </w:r>
            <w:r>
              <w:rPr>
                <w:rFonts w:hint="eastAsia" w:ascii="宋体" w:hAnsi="宋体" w:eastAsia="宋体" w:cs="宋体"/>
                <w:color w:val="auto"/>
                <w:kern w:val="0"/>
                <w:szCs w:val="21"/>
                <w:lang w:val="en-US" w:eastAsia="zh-CN"/>
              </w:rPr>
              <w:t>收集、运输、暂存、处置等环节、档案管理</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进出台账</w:t>
            </w: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转运流程、工作进度、各类制度</w:t>
            </w:r>
            <w:r>
              <w:rPr>
                <w:rFonts w:hint="eastAsia" w:ascii="宋体" w:hAnsi="宋体" w:eastAsia="宋体" w:cs="宋体"/>
                <w:color w:val="auto"/>
                <w:kern w:val="0"/>
                <w:szCs w:val="21"/>
              </w:rPr>
              <w:t>等)</w:t>
            </w:r>
            <w:r>
              <w:rPr>
                <w:rFonts w:hint="eastAsia" w:ascii="宋体" w:hAnsi="宋体" w:eastAsia="宋体"/>
                <w:color w:val="auto"/>
                <w:szCs w:val="21"/>
              </w:rPr>
              <w:t>进行评审</w:t>
            </w:r>
            <w:r>
              <w:rPr>
                <w:rFonts w:hint="default" w:ascii="宋体" w:hAnsi="宋体" w:eastAsia="宋体"/>
                <w:color w:val="auto"/>
                <w:szCs w:val="21"/>
                <w:lang w:val="en-US" w:eastAsia="zh-CN"/>
              </w:rPr>
              <w:t>：</w:t>
            </w:r>
          </w:p>
          <w:p w14:paraId="3B74B7A9">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①提供的总体实施方案内容详尽完善，</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管理方案具有保障性，台账制度科学细致，转运流程详细周密，</w:t>
            </w:r>
            <w:r>
              <w:rPr>
                <w:rFonts w:hint="eastAsia" w:ascii="宋体" w:hAnsi="宋体" w:eastAsia="宋体" w:cs="宋体"/>
                <w:color w:val="auto"/>
                <w:kern w:val="0"/>
                <w:szCs w:val="21"/>
                <w:lang w:val="en-US" w:eastAsia="zh-CN"/>
              </w:rPr>
              <w:t>工作进度计划</w:t>
            </w:r>
            <w:r>
              <w:rPr>
                <w:rFonts w:hint="eastAsia" w:ascii="宋体" w:hAnsi="宋体" w:eastAsia="宋体"/>
                <w:color w:val="auto"/>
                <w:szCs w:val="21"/>
                <w:lang w:val="en-US" w:eastAsia="zh-CN"/>
              </w:rPr>
              <w:t>拟定清晰明确，整体方案逻辑缜密，贴合本项目实际实施情况进行表述的，得10分；</w:t>
            </w:r>
          </w:p>
          <w:p w14:paraId="577CA8CD">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②提供的实施方案内容全面具体，</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管理实施方式符合行业规程，台账制度流程具体，转运流程具体明确，工作进度计划拟定明确的关键表述，整体方案逻辑清晰，结合本项目实际实施情况进行表述的，得7分；</w:t>
            </w:r>
          </w:p>
          <w:p w14:paraId="3E9D2B43">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③提供的总体实施方案内容全面，</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管理方式符合行业规程，台账制度流程覆盖相应环节，转运流程步骤表述笼统，工作进度计划拟定仅有要点，整体方案逻辑顺畅，结合本项目实际实施情况表述内容的，得4分；</w:t>
            </w:r>
          </w:p>
          <w:p w14:paraId="2CFD7181">
            <w:pPr>
              <w:spacing w:line="400" w:lineRule="exact"/>
              <w:rPr>
                <w:rFonts w:hint="eastAsia" w:ascii="宋体" w:hAnsi="宋体" w:eastAsia="宋体"/>
                <w:color w:val="auto"/>
                <w:szCs w:val="21"/>
                <w:lang w:val="en-US" w:eastAsia="zh-CN"/>
              </w:rPr>
            </w:pPr>
            <w:r>
              <w:rPr>
                <w:rFonts w:hint="eastAsia" w:ascii="宋体" w:hAnsi="宋体" w:eastAsia="宋体"/>
                <w:color w:val="auto"/>
                <w:szCs w:val="21"/>
                <w:lang w:val="en-US" w:eastAsia="zh-CN"/>
              </w:rPr>
              <w:t>④提供的总体实施方案内容片面，</w:t>
            </w:r>
            <w:r>
              <w:rPr>
                <w:rFonts w:hint="eastAsia" w:ascii="宋体" w:hAnsi="宋体" w:eastAsia="宋体" w:cs="宋体"/>
                <w:color w:val="auto"/>
                <w:kern w:val="0"/>
                <w:szCs w:val="21"/>
                <w:lang w:val="en-US" w:eastAsia="zh-CN"/>
              </w:rPr>
              <w:t>档案</w:t>
            </w:r>
            <w:r>
              <w:rPr>
                <w:rFonts w:hint="eastAsia" w:ascii="宋体" w:hAnsi="宋体" w:eastAsia="宋体"/>
                <w:color w:val="auto"/>
                <w:szCs w:val="21"/>
                <w:lang w:val="en-US" w:eastAsia="zh-CN"/>
              </w:rPr>
              <w:t>管理方式表述笼统，台账制度流程粗略，转运流程步骤表述含糊，工作进度计划拟定空洞，整体方案逻辑混乱，结合本项目实际实施情况表述内容少的，得1分；</w:t>
            </w:r>
          </w:p>
          <w:p w14:paraId="7C40C23F">
            <w:pPr>
              <w:spacing w:line="400" w:lineRule="exact"/>
              <w:rPr>
                <w:rFonts w:hint="eastAsia"/>
              </w:rPr>
            </w:pPr>
            <w:r>
              <w:rPr>
                <w:rFonts w:hint="eastAsia" w:ascii="宋体" w:hAnsi="宋体" w:eastAsia="宋体"/>
                <w:color w:val="auto"/>
                <w:szCs w:val="21"/>
                <w:lang w:val="en-US" w:eastAsia="zh-CN"/>
              </w:rPr>
              <w:t>⑤没有提供相关方案的，不得分。</w:t>
            </w:r>
          </w:p>
        </w:tc>
      </w:tr>
      <w:tr w14:paraId="6A20F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7" w:type="pct"/>
            <w:vAlign w:val="center"/>
          </w:tcPr>
          <w:p w14:paraId="1621F1F0">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35" w:type="pct"/>
            <w:vAlign w:val="center"/>
          </w:tcPr>
          <w:p w14:paraId="3BCCC967">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人员</w:t>
            </w:r>
            <w:r>
              <w:rPr>
                <w:rFonts w:hint="eastAsia" w:ascii="宋体" w:hAnsi="宋体" w:eastAsia="宋体"/>
                <w:color w:val="000000" w:themeColor="text1"/>
                <w:szCs w:val="21"/>
                <w:lang w:val="en-US" w:eastAsia="zh-CN"/>
                <w14:textFill>
                  <w14:solidFill>
                    <w14:schemeClr w14:val="tx1"/>
                  </w14:solidFill>
                </w14:textFill>
              </w:rPr>
              <w:t>架构</w:t>
            </w:r>
            <w:r>
              <w:rPr>
                <w:rFonts w:hint="eastAsia" w:ascii="宋体" w:hAnsi="宋体" w:eastAsia="宋体"/>
                <w:color w:val="000000" w:themeColor="text1"/>
                <w:szCs w:val="21"/>
                <w14:textFill>
                  <w14:solidFill>
                    <w14:schemeClr w14:val="tx1"/>
                  </w14:solidFill>
                </w14:textFill>
              </w:rPr>
              <w:t>方案</w:t>
            </w:r>
          </w:p>
        </w:tc>
        <w:tc>
          <w:tcPr>
            <w:tcW w:w="546" w:type="pct"/>
            <w:gridSpan w:val="2"/>
            <w:vAlign w:val="center"/>
          </w:tcPr>
          <w:p w14:paraId="41F21515">
            <w:pPr>
              <w:widowControl/>
              <w:spacing w:line="400" w:lineRule="exact"/>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67D47FE3">
            <w:pPr>
              <w:spacing w:line="400" w:lineRule="exact"/>
              <w:rPr>
                <w:rFonts w:hint="eastAsia" w:ascii="宋体" w:hAnsi="宋体" w:eastAsia="宋体"/>
                <w:color w:val="auto"/>
                <w:szCs w:val="21"/>
              </w:rPr>
            </w:pPr>
            <w:r>
              <w:rPr>
                <w:rFonts w:hint="eastAsia" w:ascii="宋体" w:hAnsi="宋体" w:eastAsia="宋体"/>
                <w:color w:val="auto"/>
                <w:szCs w:val="21"/>
              </w:rPr>
              <w:t>根据投标人对本项目</w:t>
            </w:r>
            <w:r>
              <w:rPr>
                <w:rFonts w:hint="eastAsia" w:ascii="宋体" w:hAnsi="宋体" w:eastAsia="宋体"/>
                <w:color w:val="auto"/>
                <w:szCs w:val="21"/>
                <w:lang w:val="en-US" w:eastAsia="zh-CN"/>
              </w:rPr>
              <w:t>制定的</w:t>
            </w:r>
            <w:r>
              <w:rPr>
                <w:rFonts w:hint="eastAsia" w:ascii="宋体" w:hAnsi="宋体" w:eastAsia="宋体"/>
                <w:color w:val="auto"/>
                <w:szCs w:val="21"/>
              </w:rPr>
              <w:t>人员</w:t>
            </w:r>
            <w:r>
              <w:rPr>
                <w:rFonts w:hint="eastAsia" w:ascii="宋体" w:hAnsi="宋体" w:eastAsia="宋体"/>
                <w:color w:val="auto"/>
                <w:szCs w:val="21"/>
                <w:lang w:val="en-US" w:eastAsia="zh-CN"/>
              </w:rPr>
              <w:t>架构</w:t>
            </w:r>
            <w:r>
              <w:rPr>
                <w:rFonts w:hint="eastAsia" w:ascii="宋体" w:hAnsi="宋体" w:eastAsia="宋体"/>
                <w:color w:val="auto"/>
                <w:szCs w:val="21"/>
              </w:rPr>
              <w:t>方案(包括不限于</w:t>
            </w:r>
            <w:r>
              <w:rPr>
                <w:rFonts w:hint="eastAsia" w:ascii="宋体" w:hAnsi="宋体" w:eastAsia="宋体"/>
                <w:color w:val="auto"/>
                <w:szCs w:val="21"/>
                <w:lang w:val="en-US" w:eastAsia="zh-CN"/>
              </w:rPr>
              <w:t>服务人员的配置、人员岗位职责、人员培训、人员内部管理制度</w:t>
            </w:r>
            <w:r>
              <w:rPr>
                <w:rFonts w:hint="eastAsia" w:ascii="宋体" w:hAnsi="宋体" w:eastAsia="宋体"/>
                <w:color w:val="auto"/>
                <w:szCs w:val="21"/>
              </w:rPr>
              <w:t>等)进行评审</w:t>
            </w:r>
            <w:r>
              <w:rPr>
                <w:rFonts w:hint="eastAsia" w:ascii="宋体" w:hAnsi="宋体" w:eastAsia="宋体"/>
                <w:color w:val="auto"/>
                <w:szCs w:val="21"/>
                <w:lang w:val="en-US" w:eastAsia="zh-CN"/>
              </w:rPr>
              <w:t>：</w:t>
            </w:r>
          </w:p>
          <w:p w14:paraId="151DA90E">
            <w:pPr>
              <w:spacing w:line="400" w:lineRule="exact"/>
              <w:rPr>
                <w:rFonts w:hint="eastAsia" w:ascii="宋体" w:hAnsi="宋体" w:eastAsia="宋体"/>
                <w:color w:val="auto"/>
                <w:szCs w:val="21"/>
                <w:lang w:eastAsia="zh-CN"/>
              </w:rPr>
            </w:pPr>
            <w:r>
              <w:rPr>
                <w:rFonts w:hint="eastAsia" w:ascii="宋体" w:hAnsi="宋体" w:eastAsia="宋体"/>
                <w:color w:val="auto"/>
                <w:szCs w:val="21"/>
              </w:rPr>
              <w:t>①人员安排合理且高效，充分考虑了团队成员的技能、经验和特长，职责明确，分工精细，团队协作流畅</w:t>
            </w:r>
            <w:r>
              <w:rPr>
                <w:rFonts w:hint="eastAsia" w:ascii="宋体" w:hAnsi="宋体" w:eastAsia="宋体"/>
                <w:color w:val="auto"/>
                <w:szCs w:val="21"/>
                <w:lang w:val="en-US" w:eastAsia="zh-CN"/>
              </w:rPr>
              <w:t>且具相关行业的人员证书的</w:t>
            </w:r>
            <w:r>
              <w:rPr>
                <w:rFonts w:hint="eastAsia" w:ascii="宋体" w:hAnsi="宋体" w:eastAsia="宋体"/>
                <w:color w:val="auto"/>
                <w:szCs w:val="21"/>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全面，能有效保障项目的顺利进行的，得</w:t>
            </w:r>
            <w:r>
              <w:rPr>
                <w:rFonts w:hint="eastAsia" w:ascii="宋体" w:hAnsi="宋体" w:eastAsia="宋体"/>
                <w:color w:val="auto"/>
                <w:szCs w:val="21"/>
                <w:lang w:val="en-US" w:eastAsia="zh-CN"/>
              </w:rPr>
              <w:t>10</w:t>
            </w:r>
            <w:r>
              <w:rPr>
                <w:rFonts w:hint="eastAsia" w:ascii="宋体" w:hAnsi="宋体" w:eastAsia="宋体"/>
                <w:color w:val="auto"/>
                <w:szCs w:val="21"/>
              </w:rPr>
              <w:t>分</w:t>
            </w:r>
            <w:r>
              <w:rPr>
                <w:rFonts w:hint="eastAsia" w:ascii="宋体" w:hAnsi="宋体" w:eastAsia="宋体"/>
                <w:color w:val="auto"/>
                <w:szCs w:val="21"/>
                <w:lang w:eastAsia="zh-CN"/>
              </w:rPr>
              <w:t>；</w:t>
            </w:r>
          </w:p>
          <w:p w14:paraId="628CB943">
            <w:pPr>
              <w:spacing w:line="400" w:lineRule="exact"/>
              <w:rPr>
                <w:rFonts w:hint="eastAsia" w:ascii="宋体" w:hAnsi="宋体" w:eastAsia="宋体"/>
                <w:color w:val="auto"/>
                <w:szCs w:val="21"/>
                <w:lang w:eastAsia="zh-CN"/>
              </w:rPr>
            </w:pPr>
            <w:r>
              <w:rPr>
                <w:rFonts w:hint="eastAsia" w:ascii="宋体" w:hAnsi="宋体" w:eastAsia="宋体"/>
                <w:color w:val="auto"/>
                <w:szCs w:val="21"/>
              </w:rPr>
              <w:t>②人员安排较为合理，团队成员的分工能够满足项目需求，协作基本顺畅</w:t>
            </w:r>
            <w:r>
              <w:rPr>
                <w:rFonts w:hint="eastAsia" w:ascii="宋体" w:hAnsi="宋体" w:eastAsia="宋体"/>
                <w:color w:val="auto"/>
                <w:szCs w:val="21"/>
                <w:lang w:val="en-US" w:eastAsia="zh-CN"/>
              </w:rPr>
              <w:t>且具相关行业的人员证书的</w:t>
            </w:r>
            <w:r>
              <w:rPr>
                <w:rFonts w:hint="eastAsia" w:ascii="宋体" w:hAnsi="宋体" w:eastAsia="宋体"/>
                <w:color w:val="auto"/>
                <w:szCs w:val="21"/>
                <w:lang w:eastAsia="zh-CN"/>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较为全面，能保证项目的正常推进的，得</w:t>
            </w:r>
            <w:r>
              <w:rPr>
                <w:rFonts w:hint="eastAsia" w:ascii="宋体" w:hAnsi="宋体" w:eastAsia="宋体"/>
                <w:color w:val="auto"/>
                <w:szCs w:val="21"/>
                <w:lang w:val="en-US" w:eastAsia="zh-CN"/>
              </w:rPr>
              <w:t>7</w:t>
            </w:r>
            <w:r>
              <w:rPr>
                <w:rFonts w:hint="eastAsia" w:ascii="宋体" w:hAnsi="宋体" w:eastAsia="宋体"/>
                <w:color w:val="auto"/>
                <w:szCs w:val="21"/>
              </w:rPr>
              <w:t>分</w:t>
            </w:r>
            <w:r>
              <w:rPr>
                <w:rFonts w:hint="eastAsia" w:ascii="宋体" w:hAnsi="宋体" w:eastAsia="宋体"/>
                <w:color w:val="auto"/>
                <w:szCs w:val="21"/>
                <w:lang w:eastAsia="zh-CN"/>
              </w:rPr>
              <w:t>；</w:t>
            </w:r>
          </w:p>
          <w:p w14:paraId="1E4B6542">
            <w:pPr>
              <w:spacing w:line="400" w:lineRule="exact"/>
              <w:rPr>
                <w:rFonts w:hint="eastAsia" w:ascii="宋体" w:hAnsi="宋体" w:eastAsia="宋体"/>
                <w:color w:val="auto"/>
                <w:szCs w:val="21"/>
                <w:lang w:eastAsia="zh-CN"/>
              </w:rPr>
            </w:pPr>
            <w:r>
              <w:rPr>
                <w:rFonts w:hint="eastAsia" w:ascii="宋体" w:hAnsi="宋体" w:eastAsia="宋体"/>
                <w:color w:val="auto"/>
                <w:szCs w:val="21"/>
              </w:rPr>
              <w:t>③人员安排基本满足项目要求，但个别成员的职责可能不够清晰</w:t>
            </w:r>
            <w:r>
              <w:rPr>
                <w:rFonts w:hint="eastAsia" w:ascii="宋体" w:hAnsi="宋体" w:eastAsia="宋体"/>
                <w:color w:val="auto"/>
                <w:szCs w:val="21"/>
                <w:lang w:eastAsia="zh-CN"/>
              </w:rPr>
              <w:t>，</w:t>
            </w:r>
            <w:r>
              <w:rPr>
                <w:rFonts w:hint="eastAsia" w:ascii="宋体" w:hAnsi="宋体" w:eastAsia="宋体"/>
                <w:color w:val="auto"/>
                <w:szCs w:val="21"/>
                <w:lang w:val="en-US" w:eastAsia="zh-CN"/>
              </w:rPr>
              <w:t>人员证书有提供但是不够齐全的</w:t>
            </w:r>
            <w:r>
              <w:rPr>
                <w:rFonts w:hint="eastAsia" w:ascii="宋体" w:hAnsi="宋体" w:eastAsia="宋体"/>
                <w:color w:val="auto"/>
                <w:szCs w:val="21"/>
              </w:rPr>
              <w:t>。</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有待加强。方案上对项目进度可能会产生一定的影响，但总体可控的，得</w:t>
            </w:r>
            <w:r>
              <w:rPr>
                <w:rFonts w:hint="eastAsia" w:ascii="宋体" w:hAnsi="宋体" w:eastAsia="宋体"/>
                <w:color w:val="auto"/>
                <w:szCs w:val="21"/>
                <w:lang w:val="en-US" w:eastAsia="zh-CN"/>
              </w:rPr>
              <w:t>4</w:t>
            </w:r>
            <w:r>
              <w:rPr>
                <w:rFonts w:hint="eastAsia" w:ascii="宋体" w:hAnsi="宋体" w:eastAsia="宋体"/>
                <w:color w:val="auto"/>
                <w:szCs w:val="21"/>
              </w:rPr>
              <w:t>分</w:t>
            </w:r>
            <w:r>
              <w:rPr>
                <w:rFonts w:hint="eastAsia" w:ascii="宋体" w:hAnsi="宋体" w:eastAsia="宋体"/>
                <w:color w:val="auto"/>
                <w:szCs w:val="21"/>
                <w:lang w:eastAsia="zh-CN"/>
              </w:rPr>
              <w:t>；</w:t>
            </w:r>
          </w:p>
          <w:p w14:paraId="133E6948">
            <w:pPr>
              <w:spacing w:line="400" w:lineRule="exact"/>
              <w:rPr>
                <w:rFonts w:hint="eastAsia" w:ascii="宋体" w:hAnsi="宋体" w:eastAsia="宋体"/>
                <w:color w:val="auto"/>
                <w:szCs w:val="21"/>
                <w:lang w:eastAsia="zh-CN"/>
              </w:rPr>
            </w:pPr>
            <w:r>
              <w:rPr>
                <w:rFonts w:hint="eastAsia" w:ascii="宋体" w:hAnsi="宋体" w:eastAsia="宋体"/>
                <w:color w:val="auto"/>
                <w:szCs w:val="21"/>
              </w:rPr>
              <w:t>④人员安排存在问题，部分关键岗位人员配置不合理，团队协作存在缺陷。</w:t>
            </w:r>
            <w:r>
              <w:rPr>
                <w:rFonts w:hint="eastAsia" w:ascii="宋体" w:hAnsi="宋体" w:eastAsia="宋体"/>
                <w:color w:val="auto"/>
                <w:szCs w:val="21"/>
                <w:lang w:val="en-US" w:eastAsia="zh-CN"/>
              </w:rPr>
              <w:t>人员内部管理制度</w:t>
            </w:r>
            <w:r>
              <w:rPr>
                <w:rFonts w:hint="eastAsia" w:ascii="宋体" w:hAnsi="宋体" w:eastAsia="宋体"/>
                <w:color w:val="auto"/>
                <w:szCs w:val="21"/>
              </w:rPr>
              <w:t>不全面，可能会导致项目进度延迟或质量下降的，得</w:t>
            </w:r>
            <w:r>
              <w:rPr>
                <w:rFonts w:hint="eastAsia" w:ascii="宋体" w:hAnsi="宋体" w:eastAsia="宋体"/>
                <w:color w:val="auto"/>
                <w:szCs w:val="21"/>
                <w:lang w:val="en-US" w:eastAsia="zh-CN"/>
              </w:rPr>
              <w:t>1</w:t>
            </w:r>
            <w:r>
              <w:rPr>
                <w:rFonts w:hint="eastAsia" w:ascii="宋体" w:hAnsi="宋体" w:eastAsia="宋体"/>
                <w:color w:val="auto"/>
                <w:szCs w:val="21"/>
              </w:rPr>
              <w:t>分</w:t>
            </w:r>
            <w:r>
              <w:rPr>
                <w:rFonts w:hint="eastAsia" w:ascii="宋体" w:hAnsi="宋体" w:eastAsia="宋体"/>
                <w:color w:val="auto"/>
                <w:szCs w:val="21"/>
                <w:lang w:eastAsia="zh-CN"/>
              </w:rPr>
              <w:t>；</w:t>
            </w:r>
          </w:p>
          <w:p w14:paraId="74E4EA74">
            <w:pPr>
              <w:spacing w:line="400" w:lineRule="exact"/>
              <w:rPr>
                <w:rFonts w:hint="eastAsia"/>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tr w14:paraId="377D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487" w:type="pct"/>
            <w:vAlign w:val="center"/>
          </w:tcPr>
          <w:p w14:paraId="1E043A3C">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35" w:type="pct"/>
            <w:vAlign w:val="center"/>
          </w:tcPr>
          <w:p w14:paraId="3E6543B0">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服务质量保障方案</w:t>
            </w:r>
          </w:p>
        </w:tc>
        <w:tc>
          <w:tcPr>
            <w:tcW w:w="546" w:type="pct"/>
            <w:gridSpan w:val="2"/>
            <w:vAlign w:val="center"/>
          </w:tcPr>
          <w:p w14:paraId="0F7EAE43">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10分</w:t>
            </w:r>
          </w:p>
        </w:tc>
        <w:tc>
          <w:tcPr>
            <w:tcW w:w="3130" w:type="pct"/>
            <w:vAlign w:val="center"/>
          </w:tcPr>
          <w:p w14:paraId="7F37C67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根据</w:t>
            </w:r>
            <w:r>
              <w:rPr>
                <w:rFonts w:hint="eastAsia" w:ascii="宋体" w:hAnsi="宋体" w:eastAsia="宋体"/>
                <w:color w:val="auto"/>
                <w:szCs w:val="21"/>
              </w:rPr>
              <w:t>投标人</w:t>
            </w:r>
            <w:r>
              <w:rPr>
                <w:rFonts w:hint="default" w:ascii="宋体" w:hAnsi="宋体" w:eastAsia="宋体"/>
                <w:color w:val="auto"/>
                <w:szCs w:val="21"/>
                <w:lang w:val="en-US" w:eastAsia="zh-CN"/>
              </w:rPr>
              <w:t>针对本项目制定的</w:t>
            </w:r>
            <w:r>
              <w:rPr>
                <w:rFonts w:hint="eastAsia" w:ascii="宋体" w:hAnsi="宋体" w:eastAsia="宋体"/>
                <w:color w:val="auto"/>
                <w:szCs w:val="21"/>
                <w:lang w:val="en-US" w:eastAsia="zh-CN"/>
              </w:rPr>
              <w:t>服务</w:t>
            </w:r>
            <w:r>
              <w:rPr>
                <w:rFonts w:hint="default" w:ascii="宋体" w:hAnsi="宋体" w:eastAsia="宋体"/>
                <w:color w:val="auto"/>
                <w:szCs w:val="21"/>
                <w:lang w:val="en-US" w:eastAsia="zh-CN"/>
              </w:rPr>
              <w:t>质量</w:t>
            </w:r>
            <w:r>
              <w:rPr>
                <w:rFonts w:hint="eastAsia" w:ascii="宋体" w:hAnsi="宋体" w:eastAsia="宋体"/>
                <w:color w:val="000000" w:themeColor="text1"/>
                <w:szCs w:val="21"/>
                <w:lang w:val="en-US" w:eastAsia="zh-CN"/>
                <w14:textFill>
                  <w14:solidFill>
                    <w14:schemeClr w14:val="tx1"/>
                  </w14:solidFill>
                </w14:textFill>
              </w:rPr>
              <w:t>保障</w:t>
            </w:r>
            <w:r>
              <w:rPr>
                <w:rFonts w:hint="default" w:ascii="宋体" w:hAnsi="宋体" w:eastAsia="宋体"/>
                <w:color w:val="auto"/>
                <w:szCs w:val="21"/>
                <w:lang w:val="en-US" w:eastAsia="zh-CN"/>
              </w:rPr>
              <w:t>方案(包括但不仅限于</w:t>
            </w:r>
            <w:r>
              <w:rPr>
                <w:rFonts w:hint="eastAsia" w:ascii="宋体" w:hAnsi="宋体" w:eastAsia="宋体"/>
                <w:color w:val="auto"/>
                <w:szCs w:val="21"/>
                <w:lang w:val="en-US" w:eastAsia="zh-CN"/>
              </w:rPr>
              <w:t>服务</w:t>
            </w:r>
            <w:r>
              <w:rPr>
                <w:rFonts w:hint="default" w:ascii="宋体" w:hAnsi="宋体" w:eastAsia="宋体"/>
                <w:color w:val="auto"/>
                <w:szCs w:val="21"/>
                <w:lang w:val="en-US" w:eastAsia="zh-CN"/>
              </w:rPr>
              <w:t>质量目标、质量保证体系及措施、流程规范程度、服务</w:t>
            </w:r>
            <w:r>
              <w:rPr>
                <w:rFonts w:hint="eastAsia" w:ascii="宋体" w:hAnsi="宋体" w:eastAsia="宋体"/>
                <w:color w:val="auto"/>
                <w:szCs w:val="21"/>
                <w:lang w:val="en-US" w:eastAsia="zh-CN"/>
              </w:rPr>
              <w:t>质量</w:t>
            </w:r>
            <w:r>
              <w:rPr>
                <w:rFonts w:hint="default" w:ascii="宋体" w:hAnsi="宋体" w:eastAsia="宋体"/>
                <w:color w:val="auto"/>
                <w:szCs w:val="21"/>
                <w:lang w:val="en-US" w:eastAsia="zh-CN"/>
              </w:rPr>
              <w:t>保障措施)进行综合评审：</w:t>
            </w:r>
          </w:p>
          <w:p w14:paraId="15C581D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①服务方案详细完善，服务流程清晰合理贴近项目，服务保障措施完善、科学，可操作性强的，符合本项目采购需求的，得10分；</w:t>
            </w:r>
          </w:p>
          <w:p w14:paraId="1C7E6B2A">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②服务方案完整详尽，服务流程合理，服务保障措施全面、合理，可操作性较强的，符合本项目需求的，得7分；</w:t>
            </w:r>
          </w:p>
          <w:p w14:paraId="15F72E88">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③服务方案较简略，具有一定的方案及服务流程，服务保障措施不够详尽，可实施性较一般的，基本符合本项目的，得4分；</w:t>
            </w:r>
          </w:p>
          <w:p w14:paraId="1AFB8290">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④方案及服务流程较简略，服务保障措施不太完善，部分符合采购需求的，得1分；</w:t>
            </w:r>
          </w:p>
          <w:p w14:paraId="48DFB26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tr w14:paraId="2BB2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7" w:type="pct"/>
            <w:vAlign w:val="center"/>
          </w:tcPr>
          <w:p w14:paraId="543AEE95">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35" w:type="pct"/>
            <w:vAlign w:val="center"/>
          </w:tcPr>
          <w:p w14:paraId="2B9AC57C">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对项目的了解及合理化建议</w:t>
            </w:r>
          </w:p>
        </w:tc>
        <w:tc>
          <w:tcPr>
            <w:tcW w:w="546" w:type="pct"/>
            <w:gridSpan w:val="2"/>
            <w:vAlign w:val="center"/>
          </w:tcPr>
          <w:p w14:paraId="48E4B531">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5分</w:t>
            </w:r>
          </w:p>
        </w:tc>
        <w:tc>
          <w:tcPr>
            <w:tcW w:w="3130" w:type="pct"/>
            <w:vAlign w:val="center"/>
          </w:tcPr>
          <w:p w14:paraId="16B0155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根据投标人对</w:t>
            </w:r>
            <w:r>
              <w:rPr>
                <w:rFonts w:hint="eastAsia" w:ascii="宋体" w:hAnsi="宋体" w:eastAsia="宋体"/>
                <w:color w:val="auto"/>
                <w:szCs w:val="21"/>
                <w:lang w:val="en-US" w:eastAsia="zh-CN"/>
              </w:rPr>
              <w:t>本</w:t>
            </w:r>
            <w:r>
              <w:rPr>
                <w:rFonts w:hint="eastAsia" w:ascii="宋体" w:hAnsi="宋体" w:eastAsia="宋体"/>
                <w:color w:val="auto"/>
                <w:szCs w:val="21"/>
                <w:highlight w:val="none"/>
                <w:lang w:val="en-US" w:eastAsia="zh-CN"/>
              </w:rPr>
              <w:t>项目中涉及的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分布情况的</w:t>
            </w:r>
            <w:r>
              <w:rPr>
                <w:rFonts w:hint="eastAsia" w:ascii="宋体" w:hAnsi="宋体" w:eastAsia="宋体"/>
                <w:color w:val="auto"/>
                <w:szCs w:val="21"/>
                <w:highlight w:val="none"/>
                <w:lang w:val="en-US" w:eastAsia="zh-CN"/>
              </w:rPr>
              <w:t>了解程度和针对采购需求提供的合理</w:t>
            </w:r>
            <w:r>
              <w:rPr>
                <w:rFonts w:hint="default" w:ascii="宋体" w:hAnsi="宋体" w:eastAsia="宋体"/>
                <w:color w:val="auto"/>
                <w:szCs w:val="21"/>
                <w:highlight w:val="none"/>
                <w:lang w:val="en-US" w:eastAsia="zh-CN"/>
              </w:rPr>
              <w:t>建议等进行评审：</w:t>
            </w:r>
          </w:p>
          <w:p w14:paraId="2F43C50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①对本项目现状的情况非常熟悉、所掌握的资料非常充分，对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w:t>
            </w:r>
            <w:r>
              <w:rPr>
                <w:rFonts w:hint="default" w:ascii="宋体" w:hAnsi="宋体" w:eastAsia="宋体"/>
                <w:color w:val="auto"/>
                <w:szCs w:val="21"/>
                <w:lang w:val="en-US" w:eastAsia="zh-CN"/>
              </w:rPr>
              <w:t>能提供非常完善的意见及建议的，得</w:t>
            </w:r>
            <w:r>
              <w:rPr>
                <w:rFonts w:hint="eastAsia" w:ascii="宋体" w:hAnsi="宋体" w:eastAsia="宋体"/>
                <w:color w:val="auto"/>
                <w:szCs w:val="21"/>
                <w:lang w:val="en-US" w:eastAsia="zh-CN"/>
              </w:rPr>
              <w:t>5</w:t>
            </w:r>
            <w:r>
              <w:rPr>
                <w:rFonts w:hint="default" w:ascii="宋体" w:hAnsi="宋体" w:eastAsia="宋体"/>
                <w:color w:val="auto"/>
                <w:szCs w:val="21"/>
                <w:lang w:val="en-US" w:eastAsia="zh-CN"/>
              </w:rPr>
              <w:t>分；</w:t>
            </w:r>
          </w:p>
          <w:p w14:paraId="5ADF2766">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②对本项目现状的情况熟悉、所掌握的资料比较充分，对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w:t>
            </w:r>
            <w:r>
              <w:rPr>
                <w:rFonts w:hint="default" w:ascii="宋体" w:hAnsi="宋体" w:eastAsia="宋体"/>
                <w:color w:val="auto"/>
                <w:szCs w:val="21"/>
                <w:lang w:val="en-US" w:eastAsia="zh-CN"/>
              </w:rPr>
              <w:t>能提供完善的意见及建议的，得</w:t>
            </w:r>
            <w:r>
              <w:rPr>
                <w:rFonts w:hint="eastAsia" w:ascii="宋体" w:hAnsi="宋体" w:eastAsia="宋体"/>
                <w:color w:val="auto"/>
                <w:szCs w:val="21"/>
                <w:lang w:val="en-US" w:eastAsia="zh-CN"/>
              </w:rPr>
              <w:t>3</w:t>
            </w:r>
            <w:r>
              <w:rPr>
                <w:rFonts w:hint="default" w:ascii="宋体" w:hAnsi="宋体" w:eastAsia="宋体"/>
                <w:color w:val="auto"/>
                <w:szCs w:val="21"/>
                <w:lang w:val="en-US" w:eastAsia="zh-CN"/>
              </w:rPr>
              <w:t>分；</w:t>
            </w:r>
          </w:p>
          <w:p w14:paraId="0871410E">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③对本项目现状基本情况了解不熟悉、掌握部分资料、对</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sz w:val="21"/>
                <w:szCs w:val="21"/>
                <w:highlight w:val="none"/>
                <w:lang w:eastAsia="zh-CN"/>
              </w:rPr>
              <w:t>，</w:t>
            </w:r>
            <w:r>
              <w:rPr>
                <w:rFonts w:hint="eastAsia" w:ascii="宋体" w:hAnsi="宋体" w:eastAsia="宋体" w:cs="宋体"/>
                <w:iCs/>
                <w:color w:val="auto"/>
                <w:sz w:val="21"/>
                <w:szCs w:val="21"/>
                <w:lang w:val="en-US" w:eastAsia="zh-CN"/>
              </w:rPr>
              <w:t>假农药、劣质农药、过期农药及罚没农药的</w:t>
            </w:r>
            <w:r>
              <w:rPr>
                <w:rFonts w:hint="eastAsia" w:ascii="宋体" w:hAnsi="宋体" w:eastAsia="宋体" w:cs="宋体"/>
                <w:color w:val="auto"/>
                <w:sz w:val="21"/>
                <w:szCs w:val="21"/>
                <w:highlight w:val="none"/>
                <w:lang w:val="en-US" w:eastAsia="zh-CN"/>
              </w:rPr>
              <w:t>回收处理方式、流程、标准能</w:t>
            </w:r>
            <w:r>
              <w:rPr>
                <w:rFonts w:hint="default" w:ascii="宋体" w:hAnsi="宋体" w:eastAsia="宋体"/>
                <w:color w:val="auto"/>
                <w:szCs w:val="21"/>
                <w:lang w:val="en-US" w:eastAsia="zh-CN"/>
              </w:rPr>
              <w:t>提供意见及建议</w:t>
            </w:r>
            <w:r>
              <w:rPr>
                <w:rFonts w:hint="eastAsia" w:ascii="宋体" w:hAnsi="宋体" w:eastAsia="宋体"/>
                <w:color w:val="auto"/>
                <w:szCs w:val="21"/>
                <w:lang w:val="en-US" w:eastAsia="zh-CN"/>
              </w:rPr>
              <w:t>但</w:t>
            </w:r>
            <w:r>
              <w:rPr>
                <w:rFonts w:hint="default" w:ascii="宋体" w:hAnsi="宋体" w:eastAsia="宋体"/>
                <w:color w:val="auto"/>
                <w:szCs w:val="21"/>
                <w:lang w:val="en-US" w:eastAsia="zh-CN"/>
              </w:rPr>
              <w:t>不够详细的，得1分；</w:t>
            </w:r>
          </w:p>
          <w:p w14:paraId="57E54C57">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w:t>
            </w:r>
            <w:r>
              <w:rPr>
                <w:rFonts w:hint="eastAsia" w:ascii="宋体" w:hAnsi="宋体" w:eastAsia="宋体"/>
                <w:color w:val="auto"/>
                <w:szCs w:val="21"/>
                <w:lang w:val="en-US" w:eastAsia="zh-CN"/>
              </w:rPr>
              <w:t>没有提供相关方案的，不得分。</w:t>
            </w:r>
          </w:p>
        </w:tc>
      </w:tr>
      <w:tr w14:paraId="2823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7" w:type="pct"/>
            <w:vAlign w:val="center"/>
          </w:tcPr>
          <w:p w14:paraId="3671C97E">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35" w:type="pct"/>
            <w:vAlign w:val="center"/>
          </w:tcPr>
          <w:p w14:paraId="6108E4A6">
            <w:pPr>
              <w:spacing w:line="400" w:lineRule="exact"/>
              <w:jc w:val="center"/>
              <w:rPr>
                <w:rFonts w:hint="eastAsia" w:ascii="宋体" w:hAnsi="宋体" w:eastAsia="宋体"/>
                <w:color w:val="000000" w:themeColor="text1"/>
                <w:szCs w:val="21"/>
                <w14:textFill>
                  <w14:solidFill>
                    <w14:schemeClr w14:val="tx1"/>
                  </w14:solidFill>
                </w14:textFill>
              </w:rPr>
            </w:pPr>
            <w:r>
              <w:rPr>
                <w:rFonts w:hint="default" w:ascii="宋体" w:hAnsi="宋体" w:eastAsia="宋体"/>
                <w:color w:val="000000" w:themeColor="text1"/>
                <w:szCs w:val="21"/>
                <w:lang w:val="en-US" w:eastAsia="zh-CN"/>
                <w14:textFill>
                  <w14:solidFill>
                    <w14:schemeClr w14:val="tx1"/>
                  </w14:solidFill>
                </w14:textFill>
              </w:rPr>
              <w:t>应急预案</w:t>
            </w:r>
          </w:p>
        </w:tc>
        <w:tc>
          <w:tcPr>
            <w:tcW w:w="546" w:type="pct"/>
            <w:gridSpan w:val="2"/>
            <w:vAlign w:val="center"/>
          </w:tcPr>
          <w:p w14:paraId="609ED736">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30" w:type="pct"/>
            <w:vAlign w:val="center"/>
          </w:tcPr>
          <w:p w14:paraId="68C36118">
            <w:pPr>
              <w:spacing w:line="400" w:lineRule="exact"/>
              <w:rPr>
                <w:rFonts w:hint="default" w:ascii="宋体" w:hAnsi="宋体" w:eastAsia="宋体"/>
                <w:color w:val="auto"/>
                <w:szCs w:val="21"/>
                <w:lang w:val="en-US" w:eastAsia="zh-CN"/>
              </w:rPr>
            </w:pPr>
            <w:r>
              <w:rPr>
                <w:rFonts w:hint="eastAsia" w:ascii="宋体" w:hAnsi="宋体" w:eastAsia="宋体"/>
                <w:color w:val="auto"/>
                <w:szCs w:val="21"/>
              </w:rPr>
              <w:t>根据投标人对本项目</w:t>
            </w:r>
            <w:r>
              <w:rPr>
                <w:rFonts w:hint="eastAsia" w:ascii="宋体" w:hAnsi="宋体" w:eastAsia="宋体"/>
                <w:color w:val="auto"/>
                <w:szCs w:val="21"/>
                <w:lang w:val="en-US" w:eastAsia="zh-CN"/>
              </w:rPr>
              <w:t>制定的</w:t>
            </w:r>
            <w:r>
              <w:rPr>
                <w:rFonts w:hint="default" w:ascii="宋体" w:hAnsi="宋体" w:eastAsia="宋体"/>
                <w:color w:val="000000" w:themeColor="text1"/>
                <w:szCs w:val="21"/>
                <w:lang w:val="en-US" w:eastAsia="zh-CN"/>
                <w14:textFill>
                  <w14:solidFill>
                    <w14:schemeClr w14:val="tx1"/>
                  </w14:solidFill>
                </w14:textFill>
              </w:rPr>
              <w:t>应急预案</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进行评审：</w:t>
            </w:r>
          </w:p>
          <w:p w14:paraId="3404AAC7">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①应急预案全面囊括了可能出现的紧急情形，应对流程详尽、高效，步骤清晰明确，方案科学严密，与本项目实际实施情况完美融合的，得10分；</w:t>
            </w:r>
          </w:p>
          <w:p w14:paraId="182AA82B">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②应急预案深入且广泛地覆盖了各种潜在的紧急状况，应对流程具体</w:t>
            </w:r>
            <w:r>
              <w:rPr>
                <w:rFonts w:hint="eastAsia" w:ascii="宋体" w:hAnsi="宋体" w:eastAsia="宋体"/>
                <w:color w:val="auto"/>
                <w:szCs w:val="21"/>
                <w:lang w:val="en-US" w:eastAsia="zh-CN"/>
              </w:rPr>
              <w:t>、</w:t>
            </w:r>
            <w:r>
              <w:rPr>
                <w:rFonts w:hint="default" w:ascii="宋体" w:hAnsi="宋体" w:eastAsia="宋体"/>
                <w:color w:val="auto"/>
                <w:szCs w:val="21"/>
                <w:lang w:val="en-US" w:eastAsia="zh-CN"/>
              </w:rPr>
              <w:t>可操作性强，预防措施全面细致，紧密贴合项目的实际实施情况的，得7分；</w:t>
            </w:r>
          </w:p>
          <w:p w14:paraId="24961E55">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③应急预案较为全面地涵盖了可能的紧急情况，应对流程较为详细。预防措施相对周全，能够较好地结合项目一般实际情况的，得4分；</w:t>
            </w:r>
          </w:p>
          <w:p w14:paraId="15E7E2C9">
            <w:pPr>
              <w:spacing w:line="400" w:lineRule="exact"/>
              <w:rPr>
                <w:rFonts w:hint="default" w:ascii="宋体" w:hAnsi="宋体" w:eastAsia="宋体"/>
                <w:color w:val="auto"/>
                <w:szCs w:val="21"/>
                <w:lang w:val="en-US" w:eastAsia="zh-CN"/>
              </w:rPr>
            </w:pPr>
            <w:r>
              <w:rPr>
                <w:rFonts w:hint="default" w:ascii="宋体" w:hAnsi="宋体" w:eastAsia="宋体"/>
                <w:color w:val="auto"/>
                <w:szCs w:val="21"/>
                <w:lang w:val="en-US" w:eastAsia="zh-CN"/>
              </w:rPr>
              <w:t>④应急预案包含了常见的紧急情况，并有一定的应对流程描述，预防措施有一定的涵盖，但仍存在一些漏洞，完善度低，逻辑基本清晰，能够在一定程度上指导应急处理的，得1分；</w:t>
            </w:r>
          </w:p>
          <w:p w14:paraId="4D83118E">
            <w:pPr>
              <w:spacing w:line="400" w:lineRule="exact"/>
              <w:rPr>
                <w:rFonts w:hint="eastAsia" w:ascii="宋体" w:hAnsi="宋体" w:eastAsia="宋体"/>
                <w:color w:val="auto"/>
                <w:szCs w:val="21"/>
              </w:rPr>
            </w:pPr>
            <w:r>
              <w:rPr>
                <w:rFonts w:hint="default" w:ascii="宋体" w:hAnsi="宋体" w:eastAsia="宋体"/>
                <w:color w:val="auto"/>
                <w:szCs w:val="21"/>
                <w:lang w:val="en-US" w:eastAsia="zh-CN"/>
              </w:rPr>
              <w:t>⑤</w:t>
            </w:r>
            <w:r>
              <w:rPr>
                <w:rFonts w:hint="eastAsia" w:ascii="宋体" w:hAnsi="宋体" w:eastAsia="宋体"/>
                <w:color w:val="auto"/>
                <w:szCs w:val="21"/>
                <w:lang w:val="en-US" w:eastAsia="zh-CN"/>
              </w:rPr>
              <w:t>没有提供相关方案的，不得分。</w:t>
            </w:r>
          </w:p>
        </w:tc>
      </w:tr>
      <w:bookmarkEnd w:id="30"/>
    </w:tbl>
    <w:p w14:paraId="63629D26">
      <w:pPr>
        <w:pStyle w:val="24"/>
        <w:numPr>
          <w:ilvl w:val="3"/>
          <w:numId w:val="81"/>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46D2CBF0">
      <w:pPr>
        <w:pStyle w:val="24"/>
        <w:widowControl/>
        <w:numPr>
          <w:ilvl w:val="0"/>
          <w:numId w:val="83"/>
        </w:numPr>
        <w:ind w:left="426" w:hanging="426" w:firstLineChars="0"/>
        <w:jc w:val="left"/>
        <w:rPr>
          <w:rFonts w:hint="eastAsia"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评审后得分最高的同品牌投标人获得中标人推荐资格；评审得分相同的，由采购人或者采购人委托评标委员会采取随机抽取方式确</w:t>
      </w:r>
      <w:r>
        <w:rPr>
          <w:rFonts w:ascii="宋体" w:hAnsi="宋体" w:eastAsia="宋体" w:cs="Times New Roman"/>
          <w:color w:val="auto"/>
          <w:kern w:val="0"/>
          <w:szCs w:val="21"/>
          <w:lang w:eastAsia="zh-Hans"/>
        </w:rPr>
        <w:t>定，其他同品牌投标人不作为中标候选人）。</w:t>
      </w:r>
    </w:p>
    <w:p w14:paraId="2B2F3375">
      <w:pPr>
        <w:pStyle w:val="24"/>
        <w:numPr>
          <w:ilvl w:val="3"/>
          <w:numId w:val="8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796B8FB">
      <w:pPr>
        <w:widowControl/>
        <w:ind w:firstLine="420" w:firstLineChars="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E21D78E">
      <w:pPr>
        <w:pStyle w:val="24"/>
        <w:numPr>
          <w:ilvl w:val="3"/>
          <w:numId w:val="81"/>
        </w:numPr>
        <w:ind w:left="284" w:hanging="284" w:firstLineChars="0"/>
        <w:jc w:val="left"/>
        <w:outlineLvl w:val="3"/>
        <w:rPr>
          <w:rFonts w:hint="eastAsia"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35934C84">
      <w:pPr>
        <w:pStyle w:val="24"/>
        <w:widowControl/>
        <w:numPr>
          <w:ilvl w:val="0"/>
          <w:numId w:val="84"/>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评标期间，投标人没有按评标委员会的要求提交法定代表人或其委托代理人签字的澄清、说明、补正或改变了投标文件的实质性内容的。</w:t>
      </w:r>
    </w:p>
    <w:p w14:paraId="73BAB585">
      <w:pPr>
        <w:pStyle w:val="24"/>
        <w:widowControl/>
        <w:numPr>
          <w:ilvl w:val="0"/>
          <w:numId w:val="84"/>
        </w:numPr>
        <w:ind w:firstLineChars="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投标文件提供虚假材料的。</w:t>
      </w:r>
    </w:p>
    <w:p w14:paraId="0FC31C56">
      <w:pPr>
        <w:pStyle w:val="24"/>
        <w:widowControl/>
        <w:numPr>
          <w:ilvl w:val="0"/>
          <w:numId w:val="8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16995FF2">
      <w:pPr>
        <w:pStyle w:val="24"/>
        <w:widowControl/>
        <w:numPr>
          <w:ilvl w:val="0"/>
          <w:numId w:val="84"/>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4529C943">
      <w:pPr>
        <w:pStyle w:val="24"/>
        <w:widowControl/>
        <w:numPr>
          <w:ilvl w:val="0"/>
          <w:numId w:val="8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77BA00BB">
      <w:pPr>
        <w:pStyle w:val="24"/>
        <w:widowControl/>
        <w:numPr>
          <w:ilvl w:val="0"/>
          <w:numId w:val="8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0499BC6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128C51EC">
      <w:pPr>
        <w:pStyle w:val="18"/>
        <w:rPr>
          <w:lang w:eastAsia="zh-CN"/>
        </w:rPr>
      </w:pPr>
    </w:p>
    <w:p w14:paraId="56A31350">
      <w:pPr>
        <w:pStyle w:val="18"/>
        <w:rPr>
          <w:lang w:eastAsia="zh-CN"/>
        </w:rPr>
      </w:pPr>
    </w:p>
    <w:p w14:paraId="671D7669">
      <w:pPr>
        <w:pStyle w:val="18"/>
        <w:rPr>
          <w:lang w:eastAsia="zh-CN"/>
        </w:rPr>
      </w:pPr>
    </w:p>
    <w:p w14:paraId="4FB91B55">
      <w:pPr>
        <w:pageBreakBefore/>
        <w:widowControl/>
        <w:jc w:val="center"/>
        <w:outlineLvl w:val="1"/>
        <w:rPr>
          <w:rFonts w:hint="eastAsia" w:ascii="宋体" w:hAnsi="宋体" w:eastAsia="宋体"/>
          <w:sz w:val="36"/>
          <w:szCs w:val="36"/>
        </w:rPr>
      </w:pPr>
      <w:bookmarkStart w:id="31" w:name="_Toc169807544"/>
      <w:bookmarkStart w:id="32" w:name="_Toc169799783"/>
      <w:r>
        <w:rPr>
          <w:rFonts w:ascii="宋体" w:hAnsi="宋体" w:eastAsia="宋体" w:cs="Times New Roman"/>
          <w:b/>
          <w:kern w:val="0"/>
          <w:sz w:val="36"/>
          <w:szCs w:val="36"/>
          <w:lang w:eastAsia="zh-Hans"/>
        </w:rPr>
        <w:t>第五章 合同文本</w:t>
      </w:r>
      <w:bookmarkEnd w:id="31"/>
      <w:bookmarkEnd w:id="32"/>
    </w:p>
    <w:p w14:paraId="6B309603">
      <w:pPr>
        <w:keepLines/>
        <w:spacing w:line="360" w:lineRule="auto"/>
        <w:rPr>
          <w:rFonts w:hint="eastAsia" w:ascii="宋体" w:hAnsi="宋体" w:eastAsia="宋体"/>
          <w:color w:val="auto"/>
          <w:szCs w:val="21"/>
        </w:rPr>
      </w:pPr>
      <w:r>
        <w:rPr>
          <w:rFonts w:hint="eastAsia" w:ascii="宋体" w:hAnsi="宋体" w:eastAsia="宋体"/>
          <w:color w:val="000000" w:themeColor="text1"/>
          <w:szCs w:val="21"/>
          <w14:textFill>
            <w14:solidFill>
              <w14:schemeClr w14:val="tx1"/>
            </w14:solidFill>
          </w14:textFill>
        </w:rPr>
        <w:t>甲方（采购</w:t>
      </w:r>
      <w:r>
        <w:rPr>
          <w:rFonts w:hint="eastAsia" w:ascii="宋体" w:hAnsi="宋体" w:eastAsia="宋体"/>
          <w:color w:val="auto"/>
          <w:szCs w:val="21"/>
        </w:rPr>
        <w:t>人）：</w:t>
      </w:r>
      <w:r>
        <w:rPr>
          <w:rFonts w:hint="eastAsia" w:ascii="宋体" w:hAnsi="宋体" w:eastAsia="宋体"/>
          <w:color w:val="auto"/>
          <w:szCs w:val="21"/>
          <w:u w:val="single"/>
        </w:rPr>
        <w:t xml:space="preserve"> 东莞市农业技术推广管理办公室 </w:t>
      </w:r>
    </w:p>
    <w:p w14:paraId="3D98A3DF">
      <w:pPr>
        <w:spacing w:line="360" w:lineRule="auto"/>
        <w:rPr>
          <w:rFonts w:hint="eastAsia" w:ascii="宋体" w:hAnsi="宋体" w:eastAsia="宋体"/>
          <w:color w:val="auto"/>
          <w:szCs w:val="21"/>
        </w:rPr>
      </w:pPr>
      <w:r>
        <w:rPr>
          <w:rFonts w:hint="eastAsia" w:ascii="宋体" w:hAnsi="宋体" w:eastAsia="宋体"/>
          <w:color w:val="auto"/>
          <w:szCs w:val="21"/>
        </w:rPr>
        <w:t>乙方（中标人）：</w:t>
      </w:r>
      <w:r>
        <w:rPr>
          <w:rFonts w:hint="eastAsia" w:ascii="宋体" w:hAnsi="宋体" w:eastAsia="宋体"/>
          <w:color w:val="auto"/>
          <w:szCs w:val="21"/>
          <w:u w:val="single"/>
        </w:rPr>
        <w:t xml:space="preserve">                          </w:t>
      </w:r>
    </w:p>
    <w:p w14:paraId="3C33253E">
      <w:pPr>
        <w:ind w:firstLine="420" w:firstLineChars="200"/>
        <w:rPr>
          <w:rFonts w:hint="eastAsia" w:ascii="宋体" w:hAnsi="宋体" w:eastAsia="宋体"/>
          <w:color w:val="auto"/>
          <w:szCs w:val="21"/>
        </w:rPr>
      </w:pPr>
      <w:r>
        <w:rPr>
          <w:rFonts w:hint="eastAsia" w:ascii="宋体" w:hAnsi="宋体" w:eastAsia="宋体" w:cs="Times New Roman"/>
          <w:color w:val="auto"/>
          <w:szCs w:val="21"/>
        </w:rPr>
        <w:t>根据</w:t>
      </w:r>
      <w:bookmarkStart w:id="33" w:name="_Hlk90988984"/>
      <w:r>
        <w:rPr>
          <w:rFonts w:hint="eastAsia" w:ascii="宋体" w:hAnsi="宋体" w:eastAsia="宋体" w:cs="Times New Roman"/>
          <w:color w:val="auto"/>
          <w:szCs w:val="21"/>
        </w:rPr>
        <w:t>《中华人民共和国民法典</w:t>
      </w:r>
      <w:bookmarkEnd w:id="33"/>
      <w:r>
        <w:rPr>
          <w:rFonts w:hint="eastAsia" w:ascii="宋体" w:hAnsi="宋体" w:eastAsia="宋体" w:cs="Times New Roman"/>
          <w:color w:val="auto"/>
          <w:szCs w:val="21"/>
        </w:rPr>
        <w:t>》及招标文件、中标通知书等相关资料的要求，经双方协商一致，签订本合同，共同遵守如下条款</w:t>
      </w:r>
      <w:r>
        <w:rPr>
          <w:rFonts w:hint="eastAsia" w:ascii="宋体" w:hAnsi="宋体" w:eastAsia="宋体"/>
          <w:color w:val="auto"/>
          <w:szCs w:val="21"/>
        </w:rPr>
        <w:t>。</w:t>
      </w:r>
    </w:p>
    <w:p w14:paraId="1CEA32A8">
      <w:pPr>
        <w:pStyle w:val="24"/>
        <w:numPr>
          <w:ilvl w:val="0"/>
          <w:numId w:val="85"/>
        </w:numPr>
        <w:ind w:firstLineChars="0"/>
        <w:rPr>
          <w:rFonts w:hint="eastAsia" w:ascii="宋体" w:hAnsi="宋体" w:eastAsia="宋体"/>
          <w:b/>
          <w:bCs/>
          <w:color w:val="auto"/>
          <w:spacing w:val="20"/>
          <w:szCs w:val="21"/>
        </w:rPr>
      </w:pPr>
      <w:r>
        <w:rPr>
          <w:rFonts w:hint="eastAsia" w:ascii="宋体" w:hAnsi="宋体" w:eastAsia="宋体"/>
          <w:b/>
          <w:color w:val="auto"/>
          <w:spacing w:val="20"/>
          <w:szCs w:val="21"/>
        </w:rPr>
        <w:t>合同项目</w:t>
      </w:r>
    </w:p>
    <w:p w14:paraId="4E899DC0">
      <w:pPr>
        <w:pStyle w:val="24"/>
        <w:numPr>
          <w:ilvl w:val="0"/>
          <w:numId w:val="86"/>
        </w:numPr>
        <w:ind w:firstLineChars="0"/>
        <w:rPr>
          <w:rFonts w:hint="eastAsia" w:ascii="宋体" w:hAnsi="宋体" w:eastAsia="宋体"/>
          <w:color w:val="auto"/>
          <w:szCs w:val="21"/>
        </w:rPr>
      </w:pPr>
      <w:r>
        <w:rPr>
          <w:rFonts w:hint="eastAsia" w:ascii="宋体" w:hAnsi="宋体" w:eastAsia="宋体"/>
          <w:color w:val="auto"/>
          <w:szCs w:val="21"/>
        </w:rPr>
        <w:t>项目名称：</w:t>
      </w:r>
      <w:r>
        <w:rPr>
          <w:rFonts w:hint="eastAsia" w:ascii="宋体" w:hAnsi="宋体" w:eastAsia="宋体"/>
          <w:color w:val="auto"/>
          <w:szCs w:val="21"/>
          <w:u w:val="single"/>
        </w:rPr>
        <w:t xml:space="preserve"> 2025年东莞市农药包装废弃物与废旧农膜回收处理项目 </w:t>
      </w:r>
    </w:p>
    <w:p w14:paraId="65895937">
      <w:pPr>
        <w:pStyle w:val="24"/>
        <w:numPr>
          <w:ilvl w:val="0"/>
          <w:numId w:val="86"/>
        </w:numPr>
        <w:ind w:firstLineChars="0"/>
        <w:rPr>
          <w:rFonts w:hint="eastAsia" w:ascii="宋体" w:hAnsi="宋体" w:eastAsia="宋体"/>
          <w:color w:val="auto"/>
          <w:szCs w:val="21"/>
        </w:rPr>
      </w:pPr>
      <w:r>
        <w:rPr>
          <w:rFonts w:hint="eastAsia" w:ascii="宋体" w:hAnsi="宋体" w:eastAsia="宋体"/>
          <w:color w:val="auto"/>
          <w:szCs w:val="21"/>
        </w:rPr>
        <w:t>项目编号：</w:t>
      </w:r>
      <w:r>
        <w:rPr>
          <w:rFonts w:hint="eastAsia" w:ascii="宋体" w:hAnsi="宋体" w:eastAsia="宋体"/>
          <w:color w:val="auto"/>
          <w:szCs w:val="21"/>
          <w:u w:val="single"/>
        </w:rPr>
        <w:t xml:space="preserve"> ZHDGZC2025070 </w:t>
      </w:r>
    </w:p>
    <w:p w14:paraId="200E4960">
      <w:pPr>
        <w:pStyle w:val="24"/>
        <w:numPr>
          <w:ilvl w:val="0"/>
          <w:numId w:val="85"/>
        </w:numPr>
        <w:spacing w:before="217" w:beforeLines="50"/>
        <w:ind w:firstLineChars="0"/>
        <w:rPr>
          <w:rFonts w:hint="eastAsia" w:ascii="宋体" w:hAnsi="宋体" w:eastAsia="宋体"/>
          <w:b/>
          <w:color w:val="auto"/>
          <w:spacing w:val="20"/>
          <w:szCs w:val="21"/>
        </w:rPr>
      </w:pPr>
      <w:r>
        <w:rPr>
          <w:rFonts w:hint="eastAsia" w:ascii="宋体" w:hAnsi="宋体" w:eastAsia="宋体"/>
          <w:b/>
          <w:color w:val="auto"/>
          <w:spacing w:val="20"/>
          <w:szCs w:val="21"/>
        </w:rPr>
        <w:t>项目概况</w:t>
      </w:r>
    </w:p>
    <w:p w14:paraId="3867771A">
      <w:pPr>
        <w:pStyle w:val="24"/>
        <w:numPr>
          <w:ilvl w:val="0"/>
          <w:numId w:val="87"/>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项目概况：</w:t>
      </w:r>
      <w:r>
        <w:rPr>
          <w:rFonts w:hint="eastAsia" w:ascii="宋体" w:hAnsi="宋体" w:eastAsia="宋体"/>
          <w:color w:val="000000" w:themeColor="text1"/>
          <w:szCs w:val="21"/>
          <w:u w:val="single"/>
          <w14:textFill>
            <w14:solidFill>
              <w14:schemeClr w14:val="tx1"/>
            </w14:solidFill>
          </w14:textFill>
        </w:rPr>
        <w:t xml:space="preserve"> 为进一步加强我市</w:t>
      </w:r>
      <w:r>
        <w:rPr>
          <w:rFonts w:hint="eastAsia" w:ascii="宋体" w:hAnsi="宋体" w:eastAsia="宋体"/>
          <w:color w:val="000000" w:themeColor="text1"/>
          <w:szCs w:val="21"/>
          <w:u w:val="single"/>
          <w:lang w:eastAsia="zh-CN"/>
          <w14:textFill>
            <w14:solidFill>
              <w14:schemeClr w14:val="tx1"/>
            </w14:solidFill>
          </w14:textFill>
        </w:rPr>
        <w:t>农药包装废弃物与废旧农膜</w:t>
      </w:r>
      <w:r>
        <w:rPr>
          <w:rFonts w:hint="eastAsia" w:ascii="宋体" w:hAnsi="宋体" w:eastAsia="宋体"/>
          <w:color w:val="000000" w:themeColor="text1"/>
          <w:szCs w:val="21"/>
          <w:u w:val="single"/>
          <w14:textFill>
            <w14:solidFill>
              <w14:schemeClr w14:val="tx1"/>
            </w14:solidFill>
          </w14:textFill>
        </w:rPr>
        <w:t>回收</w:t>
      </w:r>
      <w:r>
        <w:rPr>
          <w:rFonts w:hint="eastAsia" w:ascii="宋体" w:hAnsi="宋体" w:eastAsia="宋体"/>
          <w:color w:val="000000" w:themeColor="text1"/>
          <w:szCs w:val="21"/>
          <w:u w:val="single"/>
          <w:lang w:val="en-US" w:eastAsia="zh-CN"/>
          <w14:textFill>
            <w14:solidFill>
              <w14:schemeClr w14:val="tx1"/>
            </w14:solidFill>
          </w14:textFill>
        </w:rPr>
        <w:t>处理</w:t>
      </w:r>
      <w:r>
        <w:rPr>
          <w:rFonts w:hint="eastAsia" w:ascii="宋体" w:hAnsi="宋体" w:eastAsia="宋体"/>
          <w:color w:val="000000" w:themeColor="text1"/>
          <w:szCs w:val="21"/>
          <w:u w:val="single"/>
          <w14:textFill>
            <w14:solidFill>
              <w14:schemeClr w14:val="tx1"/>
            </w14:solidFill>
          </w14:textFill>
        </w:rPr>
        <w:t>工作，推动“无废城市”建设，东莞市农业技术推广管理办公室计划采取</w:t>
      </w:r>
      <w:r>
        <w:rPr>
          <w:rFonts w:hint="eastAsia" w:ascii="宋体" w:hAnsi="宋体" w:eastAsia="宋体"/>
          <w:color w:val="000000" w:themeColor="text1"/>
          <w:szCs w:val="21"/>
          <w:u w:val="single"/>
          <w:lang w:val="en-US" w:eastAsia="zh-CN"/>
          <w14:textFill>
            <w14:solidFill>
              <w14:schemeClr w14:val="tx1"/>
            </w14:solidFill>
          </w14:textFill>
        </w:rPr>
        <w:t>公开招标</w:t>
      </w:r>
      <w:r>
        <w:rPr>
          <w:rFonts w:hint="eastAsia" w:ascii="宋体" w:hAnsi="宋体" w:eastAsia="宋体"/>
          <w:color w:val="000000" w:themeColor="text1"/>
          <w:szCs w:val="21"/>
          <w:u w:val="single"/>
          <w14:textFill>
            <w14:solidFill>
              <w14:schemeClr w14:val="tx1"/>
            </w14:solidFill>
          </w14:textFill>
        </w:rPr>
        <w:t>的方式</w:t>
      </w:r>
      <w:r>
        <w:rPr>
          <w:rFonts w:hint="eastAsia" w:ascii="宋体" w:hAnsi="宋体" w:eastAsia="宋体"/>
          <w:color w:val="000000" w:themeColor="text1"/>
          <w:szCs w:val="21"/>
          <w:u w:val="single"/>
          <w:lang w:val="en-US" w:eastAsia="zh-CN"/>
          <w14:textFill>
            <w14:solidFill>
              <w14:schemeClr w14:val="tx1"/>
            </w14:solidFill>
          </w14:textFill>
        </w:rPr>
        <w:t>选择1家单位（或联合体）</w:t>
      </w:r>
      <w:r>
        <w:rPr>
          <w:rFonts w:hint="eastAsia" w:ascii="宋体" w:hAnsi="宋体" w:eastAsia="宋体"/>
          <w:color w:val="000000" w:themeColor="text1"/>
          <w:szCs w:val="21"/>
          <w:u w:val="single"/>
          <w14:textFill>
            <w14:solidFill>
              <w14:schemeClr w14:val="tx1"/>
            </w14:solidFill>
          </w14:textFill>
        </w:rPr>
        <w:t>实施202</w:t>
      </w:r>
      <w:r>
        <w:rPr>
          <w:rFonts w:hint="eastAsia" w:ascii="宋体" w:hAnsi="宋体" w:eastAsia="宋体"/>
          <w:color w:val="000000" w:themeColor="text1"/>
          <w:szCs w:val="21"/>
          <w:u w:val="single"/>
          <w:lang w:val="en-US" w:eastAsia="zh-CN"/>
          <w14:textFill>
            <w14:solidFill>
              <w14:schemeClr w14:val="tx1"/>
            </w14:solidFill>
          </w14:textFill>
        </w:rPr>
        <w:t>5</w:t>
      </w:r>
      <w:r>
        <w:rPr>
          <w:rFonts w:hint="eastAsia" w:ascii="宋体" w:hAnsi="宋体" w:eastAsia="宋体"/>
          <w:color w:val="000000" w:themeColor="text1"/>
          <w:szCs w:val="21"/>
          <w:u w:val="single"/>
          <w14:textFill>
            <w14:solidFill>
              <w14:schemeClr w14:val="tx1"/>
            </w14:solidFill>
          </w14:textFill>
        </w:rPr>
        <w:t>年全市</w:t>
      </w:r>
      <w:r>
        <w:rPr>
          <w:rFonts w:hint="eastAsia" w:ascii="宋体" w:hAnsi="宋体" w:eastAsia="宋体"/>
          <w:color w:val="000000" w:themeColor="text1"/>
          <w:szCs w:val="21"/>
          <w:u w:val="single"/>
          <w:lang w:eastAsia="zh-CN"/>
          <w14:textFill>
            <w14:solidFill>
              <w14:schemeClr w14:val="tx1"/>
            </w14:solidFill>
          </w14:textFill>
        </w:rPr>
        <w:t>农药包装废弃物与废旧农膜</w:t>
      </w:r>
      <w:r>
        <w:rPr>
          <w:rFonts w:hint="eastAsia" w:ascii="宋体" w:hAnsi="宋体" w:eastAsia="宋体"/>
          <w:color w:val="000000" w:themeColor="text1"/>
          <w:szCs w:val="21"/>
          <w:u w:val="single"/>
          <w14:textFill>
            <w14:solidFill>
              <w14:schemeClr w14:val="tx1"/>
            </w14:solidFill>
          </w14:textFill>
        </w:rPr>
        <w:t>回收</w:t>
      </w:r>
      <w:r>
        <w:rPr>
          <w:rFonts w:hint="eastAsia" w:ascii="宋体" w:hAnsi="宋体" w:eastAsia="宋体"/>
          <w:color w:val="000000" w:themeColor="text1"/>
          <w:szCs w:val="21"/>
          <w:u w:val="single"/>
          <w:lang w:eastAsia="zh-CN"/>
          <w14:textFill>
            <w14:solidFill>
              <w14:schemeClr w14:val="tx1"/>
            </w14:solidFill>
          </w14:textFill>
        </w:rPr>
        <w:t>处理</w:t>
      </w:r>
      <w:r>
        <w:rPr>
          <w:rFonts w:hint="eastAsia" w:ascii="宋体" w:hAnsi="宋体" w:eastAsia="宋体"/>
          <w:color w:val="000000" w:themeColor="text1"/>
          <w:szCs w:val="21"/>
          <w:u w:val="single"/>
          <w:lang w:val="en-US" w:eastAsia="zh-CN"/>
          <w14:textFill>
            <w14:solidFill>
              <w14:schemeClr w14:val="tx1"/>
            </w14:solidFill>
          </w14:textFill>
        </w:rPr>
        <w:t>工作。</w:t>
      </w:r>
      <w:r>
        <w:rPr>
          <w:rFonts w:hint="eastAsia" w:ascii="宋体" w:hAnsi="宋体" w:eastAsia="宋体"/>
          <w:color w:val="000000" w:themeColor="text1"/>
          <w:szCs w:val="21"/>
          <w:u w:val="single"/>
          <w14:textFill>
            <w14:solidFill>
              <w14:schemeClr w14:val="tx1"/>
            </w14:solidFill>
          </w14:textFill>
        </w:rPr>
        <w:t xml:space="preserve"> </w:t>
      </w:r>
    </w:p>
    <w:p w14:paraId="329BDEEF">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总体要求</w:t>
      </w:r>
    </w:p>
    <w:p w14:paraId="1BFC8129">
      <w:pPr>
        <w:pStyle w:val="24"/>
        <w:numPr>
          <w:ilvl w:val="0"/>
          <w:numId w:val="88"/>
        </w:numPr>
        <w:autoSpaceDE w:val="0"/>
        <w:autoSpaceDN w:val="0"/>
        <w:adjustRightInd w:val="0"/>
        <w:ind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甲方权利和义务</w:t>
      </w:r>
    </w:p>
    <w:p w14:paraId="4F3CFE00">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甲方有权随时检查乙方的服务履行情况，并向乙方提出修改。</w:t>
      </w:r>
    </w:p>
    <w:p w14:paraId="2697072F">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当发生服务违约时，则甲方有权按约定在支付乙方合同款项中进行扣款 。</w:t>
      </w:r>
    </w:p>
    <w:p w14:paraId="44D6E1CA">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在乙方提供服务时，如对甲方的设备造成了损坏，甲方有权要求乙方赔偿。</w:t>
      </w:r>
    </w:p>
    <w:p w14:paraId="398B2973">
      <w:pPr>
        <w:pStyle w:val="24"/>
        <w:numPr>
          <w:ilvl w:val="0"/>
          <w:numId w:val="89"/>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甲方应按合同规定向乙方支付服务费用。</w:t>
      </w:r>
    </w:p>
    <w:p w14:paraId="539CCBA4">
      <w:pPr>
        <w:pStyle w:val="24"/>
        <w:numPr>
          <w:ilvl w:val="0"/>
          <w:numId w:val="88"/>
        </w:numPr>
        <w:autoSpaceDE w:val="0"/>
        <w:autoSpaceDN w:val="0"/>
        <w:adjustRightInd w:val="0"/>
        <w:ind w:firstLineChars="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乙方权利和义务</w:t>
      </w:r>
    </w:p>
    <w:p w14:paraId="70A8732D">
      <w:pPr>
        <w:pStyle w:val="24"/>
        <w:numPr>
          <w:ilvl w:val="0"/>
          <w:numId w:val="90"/>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乙方应按招标文件的要求和投标文件的承诺进行服务，发生任何服务的变更均须</w:t>
      </w:r>
      <w:r>
        <w:rPr>
          <w:rFonts w:hint="eastAsia" w:ascii="宋体" w:hAnsi="宋体" w:eastAsia="宋体" w:cstheme="minorBidi"/>
          <w:color w:val="000000" w:themeColor="text1"/>
          <w:sz w:val="21"/>
          <w:szCs w:val="21"/>
          <w:highlight w:val="none"/>
          <w14:textFill>
            <w14:solidFill>
              <w14:schemeClr w14:val="tx1"/>
            </w14:solidFill>
          </w14:textFill>
        </w:rPr>
        <w:t>在所需更改的内容生效十日以前以书面方式</w:t>
      </w:r>
      <w:r>
        <w:rPr>
          <w:rFonts w:hint="eastAsia" w:ascii="宋体" w:hAnsi="宋体" w:eastAsia="宋体"/>
          <w:color w:val="000000" w:themeColor="text1"/>
          <w:szCs w:val="21"/>
          <w14:textFill>
            <w14:solidFill>
              <w14:schemeClr w14:val="tx1"/>
            </w14:solidFill>
          </w14:textFill>
        </w:rPr>
        <w:t>向甲方提出</w:t>
      </w:r>
      <w:r>
        <w:rPr>
          <w:rFonts w:hint="eastAsia" w:ascii="宋体" w:hAnsi="宋体" w:eastAsia="宋体" w:cstheme="minorBidi"/>
          <w:color w:val="000000" w:themeColor="text1"/>
          <w:sz w:val="21"/>
          <w:szCs w:val="21"/>
          <w:highlight w:val="none"/>
          <w14:textFill>
            <w14:solidFill>
              <w14:schemeClr w14:val="tx1"/>
            </w14:solidFill>
          </w14:textFill>
        </w:rPr>
        <w:t>，经</w:t>
      </w:r>
      <w:r>
        <w:rPr>
          <w:rFonts w:hint="eastAsia" w:ascii="宋体" w:hAnsi="宋体" w:eastAsia="宋体"/>
          <w:color w:val="000000" w:themeColor="text1"/>
          <w:szCs w:val="21"/>
          <w14:textFill>
            <w14:solidFill>
              <w14:schemeClr w14:val="tx1"/>
            </w14:solidFill>
          </w14:textFill>
        </w:rPr>
        <w:t>甲方</w:t>
      </w:r>
      <w:r>
        <w:rPr>
          <w:rFonts w:hint="eastAsia" w:ascii="宋体" w:hAnsi="宋体" w:eastAsia="宋体" w:cstheme="minorBidi"/>
          <w:color w:val="000000" w:themeColor="text1"/>
          <w:sz w:val="21"/>
          <w:szCs w:val="21"/>
          <w:highlight w:val="none"/>
          <w14:textFill>
            <w14:solidFill>
              <w14:schemeClr w14:val="tx1"/>
            </w14:solidFill>
          </w14:textFill>
        </w:rPr>
        <w:t>同意后进行。</w:t>
      </w:r>
    </w:p>
    <w:p w14:paraId="73D2E161">
      <w:pPr>
        <w:pStyle w:val="24"/>
        <w:numPr>
          <w:ilvl w:val="0"/>
          <w:numId w:val="90"/>
        </w:numPr>
        <w:tabs>
          <w:tab w:val="left" w:pos="1080"/>
        </w:tabs>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乙方有权要求甲方按时支付服务费用。如甲方不按时支付乙方有权要求甲方支付滞纳金。但服务费支付应以符合东莞市财政局的相关规定为前提。</w:t>
      </w:r>
    </w:p>
    <w:p w14:paraId="47C3105C">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价格</w:t>
      </w:r>
    </w:p>
    <w:p w14:paraId="1AB777B6">
      <w:pPr>
        <w:pStyle w:val="24"/>
        <w:numPr>
          <w:ilvl w:val="0"/>
          <w:numId w:val="91"/>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合同总价：大写：人民币</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元整（小写：￥</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w:t>
      </w:r>
    </w:p>
    <w:p w14:paraId="28993346">
      <w:pPr>
        <w:pStyle w:val="24"/>
        <w:numPr>
          <w:ilvl w:val="0"/>
          <w:numId w:val="91"/>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w:t>
      </w:r>
      <w:r>
        <w:rPr>
          <w:rFonts w:hint="eastAsia" w:ascii="宋体" w:hAnsi="宋体" w:eastAsia="宋体"/>
          <w:color w:val="000000" w:themeColor="text1"/>
          <w:szCs w:val="21"/>
          <w:highlight w:val="none"/>
          <w14:textFill>
            <w14:solidFill>
              <w14:schemeClr w14:val="tx1"/>
            </w14:solidFill>
          </w14:textFill>
        </w:rPr>
        <w:t>同价为固定不变价</w:t>
      </w:r>
      <w:r>
        <w:rPr>
          <w:rFonts w:hint="eastAsia" w:ascii="宋体" w:hAnsi="宋体" w:eastAsia="宋体"/>
          <w:color w:val="000000" w:themeColor="text1"/>
          <w:szCs w:val="21"/>
          <w:highlight w:val="none"/>
          <w:lang w:eastAsia="zh-CN"/>
          <w14:textFill>
            <w14:solidFill>
              <w14:schemeClr w14:val="tx1"/>
            </w14:solidFill>
          </w14:textFill>
        </w:rPr>
        <w:t>，包括但不限于：</w:t>
      </w:r>
      <w:r>
        <w:rPr>
          <w:rFonts w:hint="eastAsia" w:ascii="宋体" w:hAnsi="宋体" w:eastAsia="宋体"/>
          <w:color w:val="000000" w:themeColor="text1"/>
          <w:szCs w:val="21"/>
          <w:highlight w:val="none"/>
          <w:lang w:val="en-US" w:eastAsia="zh-CN"/>
          <w14:textFill>
            <w14:solidFill>
              <w14:schemeClr w14:val="tx1"/>
            </w14:solidFill>
          </w14:textFill>
        </w:rPr>
        <w:t>仓库租赁及管理设施设备费用、处理服务费、验收费用、管理费、宣传费、物资费（回收桶、配套PE内衬袋等）、人员成本、</w:t>
      </w:r>
      <w:r>
        <w:rPr>
          <w:rFonts w:hint="eastAsia" w:ascii="宋体" w:hAnsi="宋体" w:eastAsia="宋体"/>
          <w:color w:val="000000" w:themeColor="text1"/>
          <w:szCs w:val="21"/>
          <w:highlight w:val="none"/>
          <w:lang w:eastAsia="zh-CN"/>
          <w14:textFill>
            <w14:solidFill>
              <w14:schemeClr w14:val="tx1"/>
            </w14:solidFill>
          </w14:textFill>
        </w:rPr>
        <w:t>搬运费、保险费、工具费、技术服务费、利润、各项税费等合同实施过程中应预见及不可预见的一切费用。采购人不再另行支付与本项目有关的任何费用。</w:t>
      </w:r>
    </w:p>
    <w:p w14:paraId="5EB39A09">
      <w:pPr>
        <w:pStyle w:val="24"/>
        <w:numPr>
          <w:ilvl w:val="0"/>
          <w:numId w:val="91"/>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服务价格表（</w:t>
      </w:r>
      <w:r>
        <w:rPr>
          <w:rFonts w:ascii="Calibri" w:hAnsi="Calibri" w:eastAsia="宋体" w:cs="Times New Roman"/>
          <w:kern w:val="0"/>
          <w:szCs w:val="21"/>
          <w:highlight w:val="none"/>
          <w:lang w:eastAsia="zh-Hans"/>
        </w:rPr>
        <w:t>分项</w:t>
      </w:r>
      <w:r>
        <w:rPr>
          <w:rFonts w:hint="eastAsia" w:ascii="Calibri" w:hAnsi="Calibri" w:eastAsia="宋体" w:cs="Times New Roman"/>
          <w:kern w:val="0"/>
          <w:szCs w:val="21"/>
          <w:highlight w:val="none"/>
          <w:lang w:val="en-US" w:eastAsia="zh-CN"/>
        </w:rPr>
        <w:t>单</w:t>
      </w:r>
      <w:r>
        <w:rPr>
          <w:rFonts w:hint="eastAsia" w:ascii="宋体" w:hAnsi="宋体" w:eastAsia="宋体"/>
          <w:color w:val="000000" w:themeColor="text1"/>
          <w:szCs w:val="21"/>
          <w:highlight w:val="none"/>
          <w:lang w:val="en-US" w:eastAsia="zh-CN"/>
          <w14:textFill>
            <w14:solidFill>
              <w14:schemeClr w14:val="tx1"/>
            </w14:solidFill>
          </w14:textFill>
        </w:rPr>
        <w:t>价）</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914"/>
        <w:gridCol w:w="1934"/>
        <w:gridCol w:w="4572"/>
      </w:tblGrid>
      <w:tr w14:paraId="5692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98" w:type="dxa"/>
            <w:vAlign w:val="center"/>
          </w:tcPr>
          <w:p w14:paraId="17B8F9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序号</w:t>
            </w:r>
          </w:p>
        </w:tc>
        <w:tc>
          <w:tcPr>
            <w:tcW w:w="1914" w:type="dxa"/>
            <w:vAlign w:val="center"/>
          </w:tcPr>
          <w:p w14:paraId="470C70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名称</w:t>
            </w:r>
          </w:p>
        </w:tc>
        <w:tc>
          <w:tcPr>
            <w:tcW w:w="1934" w:type="dxa"/>
            <w:vAlign w:val="center"/>
          </w:tcPr>
          <w:p w14:paraId="75A8DE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单价（元）</w:t>
            </w:r>
          </w:p>
        </w:tc>
        <w:tc>
          <w:tcPr>
            <w:tcW w:w="4572" w:type="dxa"/>
            <w:vAlign w:val="center"/>
          </w:tcPr>
          <w:p w14:paraId="160105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w:t>
            </w:r>
          </w:p>
        </w:tc>
      </w:tr>
      <w:tr w14:paraId="5C7AE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98" w:type="dxa"/>
            <w:vAlign w:val="center"/>
          </w:tcPr>
          <w:p w14:paraId="7CE3010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w:t>
            </w:r>
          </w:p>
        </w:tc>
        <w:tc>
          <w:tcPr>
            <w:tcW w:w="1914" w:type="dxa"/>
            <w:vAlign w:val="center"/>
          </w:tcPr>
          <w:p w14:paraId="3DE5471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假农药、劣质农药、过期农药及罚没农药收运及处理费</w:t>
            </w:r>
          </w:p>
        </w:tc>
        <w:tc>
          <w:tcPr>
            <w:tcW w:w="1934" w:type="dxa"/>
            <w:vAlign w:val="center"/>
          </w:tcPr>
          <w:p w14:paraId="041BA7E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元/200千克</w:t>
            </w:r>
          </w:p>
        </w:tc>
        <w:tc>
          <w:tcPr>
            <w:tcW w:w="4572" w:type="dxa"/>
            <w:vAlign w:val="center"/>
          </w:tcPr>
          <w:p w14:paraId="118711C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收运我市假农药、劣质农药、过期农药以及罚没农药并进行无害化处理。转运处理量上限为1吨。</w:t>
            </w:r>
          </w:p>
        </w:tc>
      </w:tr>
      <w:tr w14:paraId="19C7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698" w:type="dxa"/>
            <w:vAlign w:val="center"/>
          </w:tcPr>
          <w:p w14:paraId="52F7316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w:t>
            </w:r>
          </w:p>
        </w:tc>
        <w:tc>
          <w:tcPr>
            <w:tcW w:w="1914" w:type="dxa"/>
            <w:vAlign w:val="center"/>
          </w:tcPr>
          <w:p w14:paraId="4F2440C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转运运输费</w:t>
            </w:r>
          </w:p>
        </w:tc>
        <w:tc>
          <w:tcPr>
            <w:tcW w:w="1934" w:type="dxa"/>
            <w:vAlign w:val="center"/>
          </w:tcPr>
          <w:p w14:paraId="796AAD9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元/个次</w:t>
            </w:r>
          </w:p>
        </w:tc>
        <w:tc>
          <w:tcPr>
            <w:tcW w:w="4572" w:type="dxa"/>
            <w:vAlign w:val="center"/>
          </w:tcPr>
          <w:p w14:paraId="7C47A001">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采用“定期回收+应急处理”的模式，对转运点开展收运工作，合同期内全市转运约800个次。</w:t>
            </w:r>
          </w:p>
        </w:tc>
      </w:tr>
      <w:tr w14:paraId="2B46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08AF3A6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3</w:t>
            </w:r>
          </w:p>
        </w:tc>
        <w:tc>
          <w:tcPr>
            <w:tcW w:w="1914" w:type="dxa"/>
            <w:vAlign w:val="center"/>
          </w:tcPr>
          <w:p w14:paraId="5B09AB3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回收处理服务费</w:t>
            </w:r>
          </w:p>
        </w:tc>
        <w:tc>
          <w:tcPr>
            <w:tcW w:w="1934" w:type="dxa"/>
            <w:vAlign w:val="center"/>
          </w:tcPr>
          <w:p w14:paraId="22A23695">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Theme="minorHAnsi" w:hAnsiTheme="minorHAnsi" w:eastAsiaTheme="minorEastAsia" w:cstheme="minorBidi"/>
                <w:b w:val="0"/>
                <w:bCs w:val="0"/>
                <w:color w:val="auto"/>
                <w:kern w:val="2"/>
                <w:sz w:val="21"/>
                <w:szCs w:val="22"/>
                <w:highlight w:val="none"/>
                <w:lang w:val="en-US" w:eastAsia="zh-CN" w:bidi="ar-SA"/>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元/吨</w:t>
            </w:r>
          </w:p>
        </w:tc>
        <w:tc>
          <w:tcPr>
            <w:tcW w:w="4572" w:type="dxa"/>
            <w:vAlign w:val="center"/>
          </w:tcPr>
          <w:p w14:paraId="50F0DEB4">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lang w:val="en-US" w:eastAsia="zh-CN"/>
              </w:rPr>
              <w:t>回收处理总量约47吨，其中农药包装废弃物约27吨、废旧农膜约20吨。</w:t>
            </w:r>
          </w:p>
        </w:tc>
      </w:tr>
      <w:tr w14:paraId="6E6D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57B22C5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w:t>
            </w:r>
          </w:p>
        </w:tc>
        <w:tc>
          <w:tcPr>
            <w:tcW w:w="1914" w:type="dxa"/>
            <w:vAlign w:val="center"/>
          </w:tcPr>
          <w:p w14:paraId="4FC2B9F6">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0"/>
                <w:sz w:val="21"/>
                <w:szCs w:val="21"/>
                <w:highlight w:val="none"/>
                <w:lang w:val="en-US" w:eastAsia="zh-CN" w:bidi="ar"/>
              </w:rPr>
            </w:pPr>
            <w:r>
              <w:rPr>
                <w:rFonts w:hint="eastAsia" w:ascii="宋体" w:hAnsi="宋体" w:eastAsia="宋体" w:cs="宋体"/>
                <w:b w:val="0"/>
                <w:bCs w:val="0"/>
                <w:color w:val="000000"/>
                <w:kern w:val="0"/>
                <w:sz w:val="21"/>
                <w:szCs w:val="21"/>
                <w:highlight w:val="none"/>
                <w:lang w:val="en-US" w:eastAsia="zh-CN" w:bidi="ar"/>
              </w:rPr>
              <w:t>农药包装废弃物</w:t>
            </w:r>
          </w:p>
          <w:p w14:paraId="2BE52165">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回收奖励金</w:t>
            </w:r>
          </w:p>
        </w:tc>
        <w:tc>
          <w:tcPr>
            <w:tcW w:w="1934" w:type="dxa"/>
            <w:vAlign w:val="center"/>
          </w:tcPr>
          <w:p w14:paraId="6C2D5EC2">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4572" w:type="dxa"/>
            <w:vAlign w:val="center"/>
          </w:tcPr>
          <w:p w14:paraId="268BBAF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575B7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98" w:type="dxa"/>
            <w:vAlign w:val="center"/>
          </w:tcPr>
          <w:p w14:paraId="3DD78D1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w:t>
            </w:r>
          </w:p>
        </w:tc>
        <w:tc>
          <w:tcPr>
            <w:tcW w:w="1914" w:type="dxa"/>
            <w:vAlign w:val="center"/>
          </w:tcPr>
          <w:p w14:paraId="5BBC6190">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color w:val="000000"/>
                <w:kern w:val="0"/>
                <w:szCs w:val="21"/>
                <w:highlight w:val="none"/>
                <w:lang w:val="en-US" w:eastAsia="zh-CN" w:bidi="ar"/>
              </w:rPr>
            </w:pPr>
            <w:r>
              <w:rPr>
                <w:rFonts w:hint="eastAsia" w:ascii="宋体" w:hAnsi="宋体" w:eastAsia="宋体" w:cs="宋体"/>
                <w:color w:val="000000"/>
                <w:kern w:val="0"/>
                <w:szCs w:val="21"/>
                <w:highlight w:val="none"/>
                <w:lang w:val="en-US" w:eastAsia="zh-CN" w:bidi="ar"/>
              </w:rPr>
              <w:t>废旧农膜</w:t>
            </w:r>
          </w:p>
          <w:p w14:paraId="73938C96">
            <w:pPr>
              <w:widowControl/>
              <w:spacing w:line="400" w:lineRule="exact"/>
              <w:jc w:val="center"/>
              <w:rPr>
                <w:rFonts w:hint="eastAsia"/>
                <w:lang w:val="en-US" w:eastAsia="zh-CN"/>
              </w:rPr>
            </w:pPr>
            <w:r>
              <w:rPr>
                <w:rFonts w:hint="eastAsia" w:ascii="宋体" w:hAnsi="宋体" w:eastAsia="宋体" w:cs="宋体"/>
                <w:b w:val="0"/>
                <w:bCs w:val="0"/>
                <w:color w:val="000000"/>
                <w:kern w:val="0"/>
                <w:sz w:val="21"/>
                <w:szCs w:val="21"/>
                <w:highlight w:val="none"/>
                <w:lang w:val="en-US" w:eastAsia="zh-CN" w:bidi="ar"/>
              </w:rPr>
              <w:t>回收奖励金</w:t>
            </w:r>
          </w:p>
        </w:tc>
        <w:tc>
          <w:tcPr>
            <w:tcW w:w="1934" w:type="dxa"/>
            <w:vAlign w:val="center"/>
          </w:tcPr>
          <w:p w14:paraId="484D23A6">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4572" w:type="dxa"/>
            <w:vAlign w:val="center"/>
          </w:tcPr>
          <w:p w14:paraId="1F3C6502">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6419E1A8">
      <w:pPr>
        <w:pStyle w:val="24"/>
        <w:numPr>
          <w:ilvl w:val="0"/>
          <w:numId w:val="85"/>
        </w:numPr>
        <w:spacing w:before="217" w:beforeLines="50"/>
        <w:ind w:firstLineChars="0"/>
        <w:rPr>
          <w:rFonts w:hint="eastAsia" w:ascii="宋体" w:hAnsi="宋体" w:eastAsia="宋体"/>
          <w:b/>
          <w:color w:val="000000" w:themeColor="text1"/>
          <w:spacing w:val="20"/>
          <w:szCs w:val="21"/>
          <w:highlight w:val="none"/>
          <w14:textFill>
            <w14:solidFill>
              <w14:schemeClr w14:val="tx1"/>
            </w14:solidFill>
          </w14:textFill>
        </w:rPr>
      </w:pPr>
      <w:r>
        <w:rPr>
          <w:rFonts w:hint="eastAsia" w:ascii="宋体" w:hAnsi="宋体" w:eastAsia="宋体"/>
          <w:b/>
          <w:color w:val="000000" w:themeColor="text1"/>
          <w:spacing w:val="20"/>
          <w:szCs w:val="21"/>
          <w:highlight w:val="none"/>
          <w:lang w:eastAsia="zh-CN"/>
          <w14:textFill>
            <w14:solidFill>
              <w14:schemeClr w14:val="tx1"/>
            </w14:solidFill>
          </w14:textFill>
        </w:rPr>
        <w:t>服务期限</w:t>
      </w:r>
      <w:r>
        <w:rPr>
          <w:rFonts w:hint="eastAsia" w:ascii="宋体" w:hAnsi="宋体" w:eastAsia="宋体"/>
          <w:b/>
          <w:color w:val="000000" w:themeColor="text1"/>
          <w:spacing w:val="20"/>
          <w:szCs w:val="21"/>
          <w:highlight w:val="none"/>
          <w:lang w:val="en-US" w:eastAsia="zh-CN"/>
          <w14:textFill>
            <w14:solidFill>
              <w14:schemeClr w14:val="tx1"/>
            </w14:solidFill>
          </w14:textFill>
        </w:rPr>
        <w:t>与</w:t>
      </w:r>
      <w:r>
        <w:rPr>
          <w:rFonts w:hint="eastAsia" w:ascii="宋体" w:hAnsi="宋体" w:eastAsia="宋体"/>
          <w:b/>
          <w:color w:val="000000" w:themeColor="text1"/>
          <w:spacing w:val="20"/>
          <w:szCs w:val="21"/>
          <w:highlight w:val="none"/>
          <w14:textFill>
            <w14:solidFill>
              <w14:schemeClr w14:val="tx1"/>
            </w14:solidFill>
          </w14:textFill>
        </w:rPr>
        <w:t>付款</w:t>
      </w:r>
      <w:r>
        <w:rPr>
          <w:rFonts w:hint="eastAsia" w:ascii="宋体" w:hAnsi="宋体" w:eastAsia="宋体"/>
          <w:b/>
          <w:color w:val="000000" w:themeColor="text1"/>
          <w:spacing w:val="20"/>
          <w:szCs w:val="21"/>
          <w:highlight w:val="none"/>
          <w:lang w:val="en-US" w:eastAsia="zh-CN"/>
          <w14:textFill>
            <w14:solidFill>
              <w14:schemeClr w14:val="tx1"/>
            </w14:solidFill>
          </w14:textFill>
        </w:rPr>
        <w:t>方式</w:t>
      </w:r>
    </w:p>
    <w:p w14:paraId="73511961">
      <w:pPr>
        <w:pStyle w:val="24"/>
        <w:numPr>
          <w:ilvl w:val="0"/>
          <w:numId w:val="92"/>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服务期：</w:t>
      </w:r>
      <w:r>
        <w:rPr>
          <w:rFonts w:hint="eastAsia" w:ascii="宋体" w:hAnsi="宋体" w:eastAsia="宋体"/>
          <w:color w:val="000000" w:themeColor="text1"/>
          <w:szCs w:val="21"/>
          <w:highlight w:val="none"/>
          <w:u w:val="single"/>
          <w14:textFill>
            <w14:solidFill>
              <w14:schemeClr w14:val="tx1"/>
            </w14:solidFill>
          </w14:textFill>
        </w:rPr>
        <w:t xml:space="preserve">     年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月 </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日至    年</w:t>
      </w:r>
      <w:r>
        <w:rPr>
          <w:rFonts w:hint="eastAsia" w:ascii="宋体" w:hAnsi="宋体" w:eastAsia="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olor w:val="000000" w:themeColor="text1"/>
          <w:szCs w:val="21"/>
          <w:highlight w:val="none"/>
          <w:u w:val="single"/>
          <w14:textFill>
            <w14:solidFill>
              <w14:schemeClr w14:val="tx1"/>
            </w14:solidFill>
          </w14:textFill>
        </w:rPr>
        <w:t xml:space="preserve">   月    日</w:t>
      </w:r>
      <w:r>
        <w:rPr>
          <w:rFonts w:hint="eastAsia" w:ascii="宋体" w:hAnsi="宋体" w:eastAsia="宋体"/>
          <w:color w:val="000000" w:themeColor="text1"/>
          <w:szCs w:val="21"/>
          <w:highlight w:val="none"/>
          <w14:textFill>
            <w14:solidFill>
              <w14:schemeClr w14:val="tx1"/>
            </w14:solidFill>
          </w14:textFill>
        </w:rPr>
        <w:t>(共</w:t>
      </w:r>
      <w:r>
        <w:rPr>
          <w:rFonts w:hint="eastAsia" w:ascii="宋体" w:hAnsi="宋体" w:eastAsia="宋体"/>
          <w:color w:val="000000" w:themeColor="text1"/>
          <w:szCs w:val="21"/>
          <w:highlight w:val="none"/>
          <w:u w:val="single"/>
          <w:lang w:val="en-US" w:eastAsia="zh-CN"/>
          <w14:textFill>
            <w14:solidFill>
              <w14:schemeClr w14:val="tx1"/>
            </w14:solidFill>
          </w14:textFill>
        </w:rPr>
        <w:t>1</w:t>
      </w:r>
      <w:r>
        <w:rPr>
          <w:rFonts w:hint="eastAsia" w:ascii="宋体" w:hAnsi="宋体" w:eastAsia="宋体"/>
          <w:color w:val="000000" w:themeColor="text1"/>
          <w:szCs w:val="21"/>
          <w:highlight w:val="none"/>
          <w14:textFill>
            <w14:solidFill>
              <w14:schemeClr w14:val="tx1"/>
            </w14:solidFill>
          </w14:textFill>
        </w:rPr>
        <w:t>年)</w:t>
      </w:r>
    </w:p>
    <w:p w14:paraId="192A0FEC">
      <w:pPr>
        <w:pStyle w:val="24"/>
        <w:numPr>
          <w:ilvl w:val="0"/>
          <w:numId w:val="92"/>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lang w:val="en-US" w:eastAsia="zh-CN"/>
          <w14:textFill>
            <w14:solidFill>
              <w14:schemeClr w14:val="tx1"/>
            </w14:solidFill>
          </w14:textFill>
        </w:rPr>
        <w:t>本项目甲方分2次把合同总价支付至乙方处；乙方与甲方按季度根据分项报价单价进行据实核算，核算时需提供核算资料至甲方处。（核算资料包括但不限于回收奖励金签收单、回收处理台账等；因本项目属于据实核算，如服务期满后还有未使用完合同价款的，乙方需在合同终止后10个工作日内无条件把余款退回至甲方指定账户。）</w:t>
      </w:r>
    </w:p>
    <w:p w14:paraId="0C8E0348">
      <w:pPr>
        <w:pStyle w:val="24"/>
        <w:numPr>
          <w:ilvl w:val="0"/>
          <w:numId w:val="93"/>
        </w:numPr>
        <w:ind w:left="425" w:leftChars="0" w:hanging="425"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s="宋体"/>
          <w:iCs/>
          <w:color w:val="auto"/>
          <w:sz w:val="21"/>
          <w:szCs w:val="21"/>
          <w:highlight w:val="none"/>
          <w:lang w:val="en-US" w:eastAsia="zh-CN"/>
        </w:rPr>
        <w:t>甲方与乙方签订合同并收到乙方的等额有效发票后，甲方于5个工作日内向乙方支付合同总价的50%。</w:t>
      </w:r>
    </w:p>
    <w:p w14:paraId="2C39D846">
      <w:pPr>
        <w:pStyle w:val="24"/>
        <w:numPr>
          <w:ilvl w:val="0"/>
          <w:numId w:val="93"/>
        </w:numPr>
        <w:ind w:left="425" w:leftChars="0"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Cs/>
          <w:color w:val="auto"/>
          <w:sz w:val="21"/>
          <w:szCs w:val="21"/>
          <w:highlight w:val="none"/>
          <w:lang w:val="en-US" w:eastAsia="zh-CN"/>
        </w:rPr>
        <w:t>项目合同签订2个月内，乙方能依据合同条款响应甲方回收处理需求，甲方收到乙方的等额有效发票后10个工作日内向乙方支付合同总价的50%。</w:t>
      </w:r>
    </w:p>
    <w:p w14:paraId="3F6C106C">
      <w:pPr>
        <w:pStyle w:val="24"/>
        <w:numPr>
          <w:ilvl w:val="0"/>
          <w:numId w:val="92"/>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根据现行税法规定对乙方或其雇员征收的与本合同有关的一切税费均应由乙方负担</w:t>
      </w:r>
      <w:r>
        <w:rPr>
          <w:rFonts w:hint="eastAsia" w:ascii="宋体" w:hAnsi="宋体" w:eastAsia="宋体"/>
          <w:color w:val="000000" w:themeColor="text1"/>
          <w:szCs w:val="21"/>
          <w:lang w:eastAsia="zh-CN"/>
          <w14:textFill>
            <w14:solidFill>
              <w14:schemeClr w14:val="tx1"/>
            </w14:solidFill>
          </w14:textFill>
        </w:rPr>
        <w:t>。</w:t>
      </w:r>
    </w:p>
    <w:p w14:paraId="6480D862">
      <w:pPr>
        <w:pStyle w:val="24"/>
        <w:numPr>
          <w:ilvl w:val="0"/>
          <w:numId w:val="92"/>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乙方为甲方开具等额正式发票后甲方安排付款事宜，否则甲方有权拒绝付款，且不负任何责任。因财政拨款等非甲方原因导致付款延迟或出现其他不符合前述约定的情形，甲方不承担任何责任。</w:t>
      </w:r>
    </w:p>
    <w:p w14:paraId="3523DEC5">
      <w:pPr>
        <w:pStyle w:val="24"/>
        <w:numPr>
          <w:ilvl w:val="0"/>
          <w:numId w:val="92"/>
        </w:numPr>
        <w:ind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在合同履行过程中，因乙方账户的原因（包括但不限于账号被注销、被冻结等）导致乙方无法收取款项的，由乙方承担相应后果。</w:t>
      </w:r>
    </w:p>
    <w:p w14:paraId="19917DC8">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验收要求</w:t>
      </w:r>
    </w:p>
    <w:p w14:paraId="3238E8F3">
      <w:pPr>
        <w:pStyle w:val="24"/>
        <w:numPr>
          <w:ilvl w:val="0"/>
          <w:numId w:val="94"/>
        </w:numPr>
        <w:snapToGrid w:val="0"/>
        <w:spacing w:line="360" w:lineRule="auto"/>
        <w:ind w:left="420" w:leftChars="0" w:hanging="420"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需在每轮回收处理结束后的5个工作日内，向甲方提交当轮次的所有数据的纸质材料及电子台帐（含收运、储存、处理等环节的联单、台账、照片等），并按甲方要求提供对应材料的扫描件。同时，乙方需在完成第一轮全市农药包装废弃物与废旧农膜回运处理和合同期满后的10个工作日内，向甲方提交工作总结。</w:t>
      </w:r>
    </w:p>
    <w:p w14:paraId="26ECF4EF">
      <w:pPr>
        <w:pStyle w:val="24"/>
        <w:numPr>
          <w:ilvl w:val="0"/>
          <w:numId w:val="94"/>
        </w:numPr>
        <w:snapToGrid w:val="0"/>
        <w:spacing w:line="360" w:lineRule="auto"/>
        <w:ind w:left="420" w:leftChars="0" w:hanging="420"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由甲方组织验收小组按国家有关规定、规范进行验收。必要时邀请相关的专业人员或机构参与验收。</w:t>
      </w:r>
    </w:p>
    <w:p w14:paraId="2302101D">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项目目标</w:t>
      </w:r>
    </w:p>
    <w:p w14:paraId="7CE56A17">
      <w:pPr>
        <w:pStyle w:val="24"/>
        <w:numPr>
          <w:ilvl w:val="0"/>
          <w:numId w:val="9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农药包装废弃物是指农药使用后被废弃的与农药直接接触或含有农药残留余物的包装物（瓶、罐、桶、袋等）；农膜是指用于农业生</w:t>
      </w:r>
      <w:r>
        <w:rPr>
          <w:rFonts w:hint="eastAsia" w:ascii="宋体" w:hAnsi="宋体" w:eastAsia="宋体" w:cs="宋体"/>
          <w:color w:val="auto"/>
          <w:sz w:val="21"/>
          <w:szCs w:val="21"/>
          <w:lang w:val="en-US" w:eastAsia="zh-CN"/>
        </w:rPr>
        <w:t>产的地面覆盖薄膜和棚膜等。</w:t>
      </w:r>
    </w:p>
    <w:p w14:paraId="31DE1E50">
      <w:pPr>
        <w:pStyle w:val="24"/>
        <w:numPr>
          <w:ilvl w:val="0"/>
          <w:numId w:val="9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实现农药包装废弃物及废旧农膜高效回收与处理在我市全覆盖。在全市开展农药包装废弃物及废旧农膜收集、运输、处理工作，设立农药包装废弃物及废旧农膜转运点约200个，回收处理农药包装废弃物27吨，废旧农膜20吨，无害化处理率达到100%。</w:t>
      </w:r>
    </w:p>
    <w:p w14:paraId="0DD3625D">
      <w:pPr>
        <w:pStyle w:val="24"/>
        <w:numPr>
          <w:ilvl w:val="0"/>
          <w:numId w:val="95"/>
        </w:numPr>
        <w:snapToGrid w:val="0"/>
        <w:spacing w:line="360" w:lineRule="auto"/>
        <w:ind w:left="420" w:leftChars="0" w:hanging="420"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转运市内假农药、劣质农药、过期农药及罚没农药并进行无害化处理，无害化处理率达到100%。按实际需求开展工作，</w:t>
      </w:r>
      <w:r>
        <w:rPr>
          <w:rFonts w:hint="eastAsia" w:ascii="宋体" w:hAnsi="宋体" w:eastAsia="宋体" w:cs="宋体"/>
          <w:b w:val="0"/>
          <w:bCs w:val="0"/>
          <w:color w:val="auto"/>
          <w:sz w:val="21"/>
          <w:szCs w:val="21"/>
          <w:highlight w:val="none"/>
          <w:lang w:val="en-US" w:eastAsia="zh-CN"/>
        </w:rPr>
        <w:t>转运处理量上限为1吨。</w:t>
      </w:r>
    </w:p>
    <w:p w14:paraId="16537728">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服务要求</w:t>
      </w:r>
    </w:p>
    <w:p w14:paraId="575EA508">
      <w:pPr>
        <w:pStyle w:val="24"/>
        <w:widowControl/>
        <w:numPr>
          <w:ilvl w:val="0"/>
          <w:numId w:val="96"/>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履行项目职责。自觉接受、服从并配合甲方及有关部门的监督指导。服务、指导各转运点正确开展农药包装废弃物及废旧农膜的收集、暂存，及时转运收集的农药包装废弃物及废旧农膜并进行专业化处理，落实安全防范措施。负责转运及处理台账登记、归档及汇总统计，转运时向</w:t>
      </w:r>
      <w:r>
        <w:rPr>
          <w:rFonts w:hint="eastAsia" w:ascii="宋体" w:hAnsi="宋体" w:eastAsia="宋体" w:cs="宋体"/>
          <w:color w:val="auto"/>
          <w:sz w:val="21"/>
          <w:szCs w:val="21"/>
          <w:highlight w:val="none"/>
          <w:lang w:val="en-US" w:eastAsia="zh-CN"/>
        </w:rPr>
        <w:t>转运点负责人支付回收奖励金。杜绝市外农药包装废弃物及废旧农膜流入我市，若发现转运点回收市外农药废弃物等异常情况，应及时制止并向甲方和相关监管单位报告。</w:t>
      </w:r>
    </w:p>
    <w:p w14:paraId="560270CD">
      <w:pPr>
        <w:pStyle w:val="24"/>
        <w:widowControl/>
        <w:numPr>
          <w:ilvl w:val="0"/>
          <w:numId w:val="96"/>
        </w:numPr>
        <w:snapToGrid w:val="0"/>
        <w:spacing w:line="360" w:lineRule="auto"/>
        <w:ind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乙方需根据项目情况提供“</w:t>
      </w:r>
      <w:r>
        <w:rPr>
          <w:rFonts w:hint="eastAsia" w:ascii="宋体" w:hAnsi="宋体" w:eastAsia="宋体"/>
          <w:b w:val="0"/>
          <w:bCs/>
          <w:color w:val="auto"/>
          <w:szCs w:val="21"/>
          <w:highlight w:val="none"/>
          <w:u w:val="none"/>
          <w:lang w:val="en-US" w:eastAsia="zh-CN"/>
        </w:rPr>
        <w:t>农药包装废弃物及废旧农膜</w:t>
      </w:r>
      <w:r>
        <w:rPr>
          <w:rFonts w:hint="eastAsia" w:ascii="宋体" w:hAnsi="宋体" w:eastAsia="宋体" w:cs="宋体"/>
          <w:color w:val="auto"/>
          <w:sz w:val="21"/>
          <w:szCs w:val="21"/>
          <w:highlight w:val="none"/>
          <w:lang w:val="en-US" w:eastAsia="zh-CN"/>
        </w:rPr>
        <w:t>”</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场地及“假农药、劣质农药、过期农药及罚没农药”</w:t>
      </w:r>
      <w:r>
        <w:rPr>
          <w:rFonts w:hint="default" w:ascii="宋体" w:hAnsi="宋体" w:eastAsia="宋体"/>
          <w:b w:val="0"/>
          <w:bCs/>
          <w:color w:val="auto"/>
          <w:szCs w:val="21"/>
          <w:highlight w:val="none"/>
          <w:u w:val="none"/>
          <w:lang w:val="en-US" w:eastAsia="zh-CN"/>
        </w:rPr>
        <w:t>中转仓储</w:t>
      </w:r>
      <w:r>
        <w:rPr>
          <w:rFonts w:hint="eastAsia" w:ascii="宋体" w:hAnsi="宋体" w:eastAsia="宋体"/>
          <w:b w:val="0"/>
          <w:bCs/>
          <w:color w:val="auto"/>
          <w:szCs w:val="21"/>
          <w:highlight w:val="none"/>
          <w:u w:val="none"/>
          <w:lang w:val="en-US" w:eastAsia="zh-CN"/>
        </w:rPr>
        <w:t>场地。</w:t>
      </w:r>
    </w:p>
    <w:p w14:paraId="155BB39C">
      <w:pPr>
        <w:pStyle w:val="24"/>
        <w:widowControl/>
        <w:numPr>
          <w:ilvl w:val="0"/>
          <w:numId w:val="96"/>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highlight w:val="none"/>
          <w:lang w:val="en-US" w:eastAsia="zh-CN"/>
        </w:rPr>
        <w:t>我市已在辖区内30个镇街设有转运点约200个，均具备标识牌及农药包装废弃物回收桶2个，可正常使用。乙方在项目开展过程中需根据实际需要更新补充相应物资。</w:t>
      </w:r>
    </w:p>
    <w:p w14:paraId="02435519">
      <w:pPr>
        <w:pStyle w:val="24"/>
        <w:widowControl/>
        <w:numPr>
          <w:ilvl w:val="0"/>
          <w:numId w:val="96"/>
        </w:numPr>
        <w:snapToGrid w:val="0"/>
        <w:spacing w:line="360" w:lineRule="auto"/>
        <w:ind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乙方收集、运输、储存和无害化处理假农药、劣质农药、过期农药及罚没农药过程中必须符合以下要求（包含但不限于）：</w:t>
      </w:r>
    </w:p>
    <w:p w14:paraId="44B96024">
      <w:pPr>
        <w:pStyle w:val="24"/>
        <w:widowControl/>
        <w:numPr>
          <w:ilvl w:val="0"/>
          <w:numId w:val="9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18597-2023 《危险废物贮存污染控制标准》</w:t>
      </w:r>
    </w:p>
    <w:p w14:paraId="32B258F9">
      <w:pPr>
        <w:pStyle w:val="24"/>
        <w:widowControl/>
        <w:numPr>
          <w:ilvl w:val="0"/>
          <w:numId w:val="9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15603-2022 《危险化学品仓库储存通则》</w:t>
      </w:r>
    </w:p>
    <w:p w14:paraId="33784F6F">
      <w:pPr>
        <w:pStyle w:val="24"/>
        <w:widowControl/>
        <w:numPr>
          <w:ilvl w:val="0"/>
          <w:numId w:val="97"/>
        </w:numPr>
        <w:snapToGrid w:val="0"/>
        <w:spacing w:line="360" w:lineRule="auto"/>
        <w:ind w:left="425" w:leftChars="0" w:hanging="425" w:firstLineChars="0"/>
        <w:contextualSpacing/>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12463-2009 《危险货物运输包装通用技术条件》</w:t>
      </w:r>
    </w:p>
    <w:p w14:paraId="5E9A3354">
      <w:pPr>
        <w:pStyle w:val="24"/>
        <w:widowControl/>
        <w:numPr>
          <w:ilvl w:val="0"/>
          <w:numId w:val="97"/>
        </w:numPr>
        <w:snapToGrid w:val="0"/>
        <w:spacing w:line="360" w:lineRule="auto"/>
        <w:ind w:left="425" w:leftChars="0" w:hanging="425" w:firstLineChars="0"/>
        <w:contextualSpacing/>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JT/T 617 《危险货物道路运输规则》</w:t>
      </w:r>
    </w:p>
    <w:p w14:paraId="11E169D2">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主要工作内容</w:t>
      </w:r>
    </w:p>
    <w:p w14:paraId="170A65D3">
      <w:pPr>
        <w:pStyle w:val="24"/>
        <w:widowControl/>
        <w:numPr>
          <w:ilvl w:val="0"/>
          <w:numId w:val="98"/>
        </w:numPr>
        <w:snapToGrid w:val="0"/>
        <w:spacing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回收转运</w:t>
      </w:r>
    </w:p>
    <w:p w14:paraId="7DE845EF">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甲方统筹协调全市农药包装废弃物和废旧农膜回收工作，统筹布局全市回收点（转运点），监督指导镇街落实回收和转运相关工作，委托乙方开展上门清运、奖励金发放、无害化处置等。</w:t>
      </w:r>
    </w:p>
    <w:p w14:paraId="31012EA1">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镇街农业农村部门具体负责农药包装废弃物和废旧农膜的回收环节（从田间收集到转运上车前的工作），包括建立健全回收体系，统筹协调回收工作，科学设置回收点（转运点），摸排上报转运需求，监督检查回收台账，现场核实转运情况，科普宣传法规政策，清理田间农药包装废弃物和废旧农膜等。</w:t>
      </w:r>
    </w:p>
    <w:p w14:paraId="6743725B">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转运点负有回收义务，负责开展农药包装废弃物、废旧农膜回收工作并做好回收记录。</w:t>
      </w:r>
    </w:p>
    <w:p w14:paraId="601E5ED9">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乙方根据项目需求及合同，按照回收计划对转运点开展农药包装废弃物及废旧农膜归集和转运，包含分类打包、称重等相关工作。合同期内，开展转运800个次（具体转运点名单由甲方提供）。乙方需为转运点设置醒目统一标识牌，配备至少两个带盖、防渗漏的农药包装废弃物回收桶（内部放置专用的PE内衬袋）。</w:t>
      </w:r>
    </w:p>
    <w:p w14:paraId="091E3B09">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乙方按照项目需求及合同，指导转运点做好回收工作，及时掌握各环节信息数据，开展农药包装废弃物与废旧农膜的回收种类、数量等各环节的信息数据汇总统计分析，供随时查询。每轮回收处理结束后，向甲方提供项目开展情况记录。</w:t>
      </w:r>
    </w:p>
    <w:p w14:paraId="3ABAFDF4">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rPr>
        <w:t>因</w:t>
      </w:r>
      <w:r>
        <w:rPr>
          <w:rFonts w:hint="eastAsia" w:ascii="宋体" w:hAnsi="宋体" w:eastAsia="宋体" w:cs="宋体"/>
          <w:iCs/>
          <w:color w:val="auto"/>
          <w:sz w:val="21"/>
          <w:szCs w:val="21"/>
          <w:highlight w:val="none"/>
          <w:lang w:val="en-US" w:eastAsia="zh-CN"/>
        </w:rPr>
        <w:t>本项目</w:t>
      </w:r>
      <w:r>
        <w:rPr>
          <w:rFonts w:hint="eastAsia" w:ascii="宋体" w:hAnsi="宋体" w:eastAsia="宋体" w:cs="宋体"/>
          <w:b w:val="0"/>
          <w:bCs w:val="0"/>
          <w:color w:val="auto"/>
          <w:sz w:val="21"/>
          <w:szCs w:val="21"/>
          <w:highlight w:val="none"/>
          <w:lang w:val="en-US" w:eastAsia="zh-CN"/>
        </w:rPr>
        <w:t>假农药、劣质农药、过期农药及罚没农药收运及处理量、农药包装废弃物及废旧农膜转运个次及回收处理</w:t>
      </w:r>
      <w:r>
        <w:rPr>
          <w:rFonts w:hint="eastAsia" w:ascii="宋体" w:hAnsi="宋体" w:eastAsia="宋体" w:cs="宋体"/>
          <w:iCs/>
          <w:color w:val="auto"/>
          <w:sz w:val="21"/>
          <w:szCs w:val="21"/>
          <w:highlight w:val="none"/>
          <w:lang w:val="en-US" w:eastAsia="zh-CN"/>
        </w:rPr>
        <w:t>量存在不可控因素，如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还有未使用完合同价款的（含对应回收奖励金），中标人需在合同终止后10个工作日内无条件把余款退回至甲方指定账户。</w:t>
      </w:r>
    </w:p>
    <w:p w14:paraId="64F44A80">
      <w:pPr>
        <w:pStyle w:val="24"/>
        <w:widowControl/>
        <w:numPr>
          <w:ilvl w:val="0"/>
          <w:numId w:val="99"/>
        </w:numPr>
        <w:snapToGrid w:val="0"/>
        <w:spacing w:line="360" w:lineRule="auto"/>
        <w:ind w:left="425" w:leftChars="0" w:hanging="425"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实行回收奖励政策。乙方根据转运点接收的农药使用者交回的农药包装废弃物、废旧农膜的重量，核算奖励金额并做好回收奖励记录台账。转运时，乙方根据实际回收情况，将奖励金交付转运点管理人。其后，由镇街工作人员指导并监督转运点采取合适方式返还给交回农药包装的农药使用者及回收废旧农膜的使用者。回收奖励金上限总额为175，000.00元。甲方根据付款方式提前将奖励金支付至乙方处，乙方需按标准据实发放至转运点管理人处；若发放金额达到上限，即停止奖励金发放。</w:t>
      </w:r>
    </w:p>
    <w:p w14:paraId="7BD8631B">
      <w:pPr>
        <w:pStyle w:val="24"/>
        <w:widowControl/>
        <w:numPr>
          <w:ilvl w:val="-1"/>
          <w:numId w:val="0"/>
        </w:numPr>
        <w:snapToGrid w:val="0"/>
        <w:spacing w:line="360" w:lineRule="auto"/>
        <w:ind w:left="0" w:leftChars="0" w:firstLine="0" w:firstLineChars="0"/>
        <w:contextualSpacing/>
        <w:jc w:val="center"/>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回收奖励金明细</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255"/>
        <w:gridCol w:w="1353"/>
        <w:gridCol w:w="6007"/>
      </w:tblGrid>
      <w:tr w14:paraId="619D2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358" w:type="pct"/>
            <w:noWrap w:val="0"/>
            <w:vAlign w:val="center"/>
          </w:tcPr>
          <w:p w14:paraId="213293C2">
            <w:pPr>
              <w:keepNext w:val="0"/>
              <w:keepLines w:val="0"/>
              <w:pageBreakBefore w:val="0"/>
              <w:widowControl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序号</w:t>
            </w:r>
          </w:p>
        </w:tc>
        <w:tc>
          <w:tcPr>
            <w:tcW w:w="676" w:type="pct"/>
            <w:noWrap w:val="0"/>
            <w:vAlign w:val="center"/>
          </w:tcPr>
          <w:p w14:paraId="1D28B00D">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回收产品</w:t>
            </w:r>
          </w:p>
        </w:tc>
        <w:tc>
          <w:tcPr>
            <w:tcW w:w="729" w:type="pct"/>
            <w:noWrap w:val="0"/>
            <w:vAlign w:val="center"/>
          </w:tcPr>
          <w:p w14:paraId="62251738">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奖励金标准</w:t>
            </w:r>
          </w:p>
        </w:tc>
        <w:tc>
          <w:tcPr>
            <w:tcW w:w="3236" w:type="pct"/>
            <w:noWrap w:val="0"/>
            <w:vAlign w:val="center"/>
          </w:tcPr>
          <w:p w14:paraId="465CD167">
            <w:pPr>
              <w:keepNext w:val="0"/>
              <w:keepLines w:val="0"/>
              <w:pageBreakBefore w:val="0"/>
              <w:kinsoku/>
              <w:wordWrap/>
              <w:overflowPunct/>
              <w:topLinePunct w:val="0"/>
              <w:autoSpaceDE/>
              <w:autoSpaceDN/>
              <w:bidi w:val="0"/>
              <w:adjustRightInd/>
              <w:snapToGrid/>
              <w:spacing w:after="0" w:line="40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备注</w:t>
            </w:r>
          </w:p>
        </w:tc>
      </w:tr>
      <w:tr w14:paraId="148E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358" w:type="pct"/>
            <w:noWrap w:val="0"/>
            <w:vAlign w:val="center"/>
          </w:tcPr>
          <w:p w14:paraId="317F9117">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1</w:t>
            </w:r>
          </w:p>
        </w:tc>
        <w:tc>
          <w:tcPr>
            <w:tcW w:w="676" w:type="pct"/>
            <w:noWrap w:val="0"/>
            <w:vAlign w:val="center"/>
          </w:tcPr>
          <w:p w14:paraId="34226292">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农药包装废弃物</w:t>
            </w:r>
          </w:p>
        </w:tc>
        <w:tc>
          <w:tcPr>
            <w:tcW w:w="729" w:type="pct"/>
            <w:noWrap w:val="0"/>
            <w:vAlign w:val="center"/>
          </w:tcPr>
          <w:p w14:paraId="5DFD2404">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5元/公斤</w:t>
            </w:r>
          </w:p>
        </w:tc>
        <w:tc>
          <w:tcPr>
            <w:tcW w:w="3236" w:type="pct"/>
            <w:noWrap w:val="0"/>
            <w:vAlign w:val="center"/>
          </w:tcPr>
          <w:p w14:paraId="76CDE996">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rPr>
            </w:pPr>
            <w:r>
              <w:rPr>
                <w:rFonts w:hint="eastAsia" w:ascii="宋体" w:hAnsi="宋体" w:eastAsia="宋体" w:cs="宋体"/>
                <w:b w:val="0"/>
                <w:bCs w:val="0"/>
                <w:color w:val="000000"/>
                <w:kern w:val="0"/>
                <w:sz w:val="21"/>
                <w:szCs w:val="21"/>
                <w:highlight w:val="none"/>
                <w:lang w:val="en-US" w:eastAsia="zh-CN" w:bidi="ar"/>
              </w:rPr>
              <w:t>废弃农药包装瓶，瓶内无异物，不得掺杂其他包装瓶；废弃农药包装袋，农药包装袋外形须基本完整，袋内无异物，不得掺杂其他包装袋。</w:t>
            </w:r>
          </w:p>
        </w:tc>
      </w:tr>
      <w:tr w14:paraId="58E48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8" w:type="pct"/>
            <w:noWrap w:val="0"/>
            <w:vAlign w:val="center"/>
          </w:tcPr>
          <w:p w14:paraId="063C283A">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rPr>
            </w:pPr>
            <w:r>
              <w:rPr>
                <w:rFonts w:hint="eastAsia" w:ascii="宋体" w:hAnsi="宋体" w:eastAsia="宋体" w:cs="宋体"/>
                <w:b w:val="0"/>
                <w:bCs w:val="0"/>
                <w:color w:val="000000"/>
                <w:kern w:val="0"/>
                <w:sz w:val="21"/>
                <w:szCs w:val="21"/>
                <w:highlight w:val="none"/>
                <w:vertAlign w:val="baseline"/>
                <w:lang w:val="en-US" w:eastAsia="zh-CN"/>
              </w:rPr>
              <w:t>2</w:t>
            </w:r>
          </w:p>
        </w:tc>
        <w:tc>
          <w:tcPr>
            <w:tcW w:w="676" w:type="pct"/>
            <w:noWrap w:val="0"/>
            <w:vAlign w:val="center"/>
          </w:tcPr>
          <w:p w14:paraId="42C8D3AB">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w:t>
            </w:r>
          </w:p>
        </w:tc>
        <w:tc>
          <w:tcPr>
            <w:tcW w:w="729" w:type="pct"/>
            <w:noWrap w:val="0"/>
            <w:vAlign w:val="center"/>
          </w:tcPr>
          <w:p w14:paraId="73DFEF25">
            <w:pPr>
              <w:keepNext w:val="0"/>
              <w:keepLines w:val="0"/>
              <w:pageBreakBefore w:val="0"/>
              <w:kinsoku/>
              <w:wordWrap/>
              <w:overflowPunct/>
              <w:topLinePunct w:val="0"/>
              <w:autoSpaceDE/>
              <w:autoSpaceDN/>
              <w:bidi w:val="0"/>
              <w:adjustRightInd/>
              <w:snapToGrid/>
              <w:spacing w:after="0" w:line="320" w:lineRule="exact"/>
              <w:ind w:firstLine="0" w:firstLineChars="0"/>
              <w:jc w:val="center"/>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vertAlign w:val="baseline"/>
                <w:lang w:val="en-US" w:eastAsia="zh-CN"/>
              </w:rPr>
              <w:t>2元/公斤</w:t>
            </w:r>
          </w:p>
        </w:tc>
        <w:tc>
          <w:tcPr>
            <w:tcW w:w="3236" w:type="pct"/>
            <w:noWrap w:val="0"/>
            <w:vAlign w:val="center"/>
          </w:tcPr>
          <w:p w14:paraId="369569F7">
            <w:pPr>
              <w:keepNext w:val="0"/>
              <w:keepLines w:val="0"/>
              <w:pageBreakBefore w:val="0"/>
              <w:widowControl/>
              <w:suppressLineNumbers w:val="0"/>
              <w:kinsoku/>
              <w:wordWrap/>
              <w:overflowPunct/>
              <w:topLinePunct w:val="0"/>
              <w:autoSpaceDE/>
              <w:autoSpaceDN/>
              <w:bidi w:val="0"/>
              <w:adjustRightInd/>
              <w:snapToGrid/>
              <w:spacing w:line="320" w:lineRule="exact"/>
              <w:ind w:firstLine="420" w:firstLineChars="200"/>
              <w:jc w:val="both"/>
              <w:textAlignment w:val="auto"/>
              <w:rPr>
                <w:rFonts w:hint="eastAsia" w:ascii="宋体" w:hAnsi="宋体" w:eastAsia="宋体" w:cs="宋体"/>
                <w:b w:val="0"/>
                <w:bCs w:val="0"/>
                <w:color w:val="000000"/>
                <w:kern w:val="0"/>
                <w:sz w:val="21"/>
                <w:szCs w:val="21"/>
                <w:highlight w:val="none"/>
                <w:vertAlign w:val="baseline"/>
                <w:lang w:val="en-US" w:eastAsia="zh-CN" w:bidi="ar-SA"/>
              </w:rPr>
            </w:pPr>
            <w:r>
              <w:rPr>
                <w:rFonts w:hint="eastAsia" w:ascii="宋体" w:hAnsi="宋体" w:eastAsia="宋体" w:cs="宋体"/>
                <w:b w:val="0"/>
                <w:bCs w:val="0"/>
                <w:color w:val="000000"/>
                <w:kern w:val="0"/>
                <w:sz w:val="21"/>
                <w:szCs w:val="21"/>
                <w:highlight w:val="none"/>
                <w:lang w:val="en-US" w:eastAsia="zh-CN" w:bidi="ar"/>
              </w:rPr>
              <w:t>废旧农膜需避免沾水，沾土，混入杂草、杂物。</w:t>
            </w:r>
          </w:p>
        </w:tc>
      </w:tr>
    </w:tbl>
    <w:p w14:paraId="48D425E7">
      <w:pPr>
        <w:pStyle w:val="24"/>
        <w:widowControl/>
        <w:numPr>
          <w:ilvl w:val="0"/>
          <w:numId w:val="98"/>
        </w:numPr>
        <w:snapToGrid w:val="0"/>
        <w:spacing w:before="219" w:beforeLines="50"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运输储存</w:t>
      </w:r>
    </w:p>
    <w:p w14:paraId="52525BC8">
      <w:pPr>
        <w:pStyle w:val="24"/>
        <w:widowControl/>
        <w:numPr>
          <w:ilvl w:val="0"/>
          <w:numId w:val="100"/>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农药包装废弃物及废旧农膜</w:t>
      </w:r>
    </w:p>
    <w:p w14:paraId="57130BCD">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由乙方进行转运，要使用封闭的厢式车辆，从转运点转运回收的农药包装废弃物及废旧农膜，并指定专人负责收集。对回收收集的农药包装废弃物及废旧农膜进行妥善储存，不得擅自倾倒、堆放、遗撒；运输时应当采取防止污染环境的措施，不得丢弃、遗撒，运输工具应当满足防雨、防渗漏、防遗撒要求。乙方承担项目实施中车辆的维修、保养及燃油、车辆保险等一切车辆和工作人员涉及的费用及安全管理责任。</w:t>
      </w:r>
    </w:p>
    <w:p w14:paraId="05DDAA44">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乙方需与镇街农业农村部门沟通后形成收运计划，并可按照收运计划合理制定多点拼车路线，建立转运台账。每一轮收运需提前两周制定计划并发给甲方，经甲方同意后开展工作。</w:t>
      </w:r>
    </w:p>
    <w:p w14:paraId="7B17AE2B">
      <w:pPr>
        <w:pStyle w:val="24"/>
        <w:widowControl/>
        <w:numPr>
          <w:ilvl w:val="0"/>
          <w:numId w:val="100"/>
        </w:numPr>
        <w:snapToGrid w:val="0"/>
        <w:spacing w:line="360" w:lineRule="auto"/>
        <w:ind w:left="425" w:leftChars="0"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假农药、劣质农药、过期农药及罚没农药</w:t>
      </w:r>
    </w:p>
    <w:p w14:paraId="034BCBD4">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rPr>
      </w:pPr>
      <w:r>
        <w:rPr>
          <w:rFonts w:hint="eastAsia" w:ascii="宋体" w:hAnsi="宋体" w:eastAsia="宋体" w:cs="宋体"/>
          <w:iCs/>
          <w:color w:val="auto"/>
          <w:sz w:val="21"/>
          <w:szCs w:val="21"/>
        </w:rPr>
        <w:t>①</w:t>
      </w:r>
      <w:r>
        <w:rPr>
          <w:rFonts w:hint="eastAsia" w:ascii="宋体" w:hAnsi="宋体" w:eastAsia="宋体" w:cs="宋体"/>
          <w:iCs/>
          <w:color w:val="auto"/>
          <w:sz w:val="21"/>
          <w:szCs w:val="21"/>
          <w:lang w:val="en-US" w:eastAsia="zh-CN"/>
        </w:rPr>
        <w:t>乙方根据《国家危险废物名录（2025年版）》规定以及东莞市道路状况，响应甲方要求合理安排危险货物运输车辆，开展假农药、劣质农药、过期农药及罚没农药运输储存工作。乙方须保证转运车辆在运输过程中不会发生渗漏、遗撒等现象，以杜绝对沿途环境造成污染。如发生渗漏、遗撒等情形，应及时向甲方和相关管理部门报告并采取相应措施防止危害及影响扩大。收运车辆须具备相应资质、车况良好，配置灭火器具、配套GPS监控装置，转运前应检查车辆状况，发现异常情况及时报告、尽快处理。因运输过程发生的事故及应承担的法律责任全部由乙方承担。</w:t>
      </w:r>
    </w:p>
    <w:p w14:paraId="00A354A2">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rPr>
        <w:t>②</w:t>
      </w:r>
      <w:r>
        <w:rPr>
          <w:rFonts w:hint="eastAsia" w:ascii="宋体" w:hAnsi="宋体" w:eastAsia="宋体" w:cs="宋体"/>
          <w:iCs/>
          <w:color w:val="auto"/>
          <w:sz w:val="21"/>
          <w:szCs w:val="21"/>
          <w:lang w:val="en-US" w:eastAsia="zh-CN"/>
        </w:rPr>
        <w:t>乙方应按相关法律法规要求，对经回收的假农药、劣质农药、过期农药及罚没农药进行集中保管、统一处理，不得擅自倾倒、堆放、遗撒，严防二次污染。</w:t>
      </w:r>
    </w:p>
    <w:p w14:paraId="22AC4F70">
      <w:pPr>
        <w:pStyle w:val="24"/>
        <w:widowControl/>
        <w:numPr>
          <w:ilvl w:val="0"/>
          <w:numId w:val="98"/>
        </w:numPr>
        <w:snapToGrid w:val="0"/>
        <w:spacing w:line="360" w:lineRule="auto"/>
        <w:ind w:left="425"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处理</w:t>
      </w:r>
    </w:p>
    <w:p w14:paraId="1BCE49F7">
      <w:pPr>
        <w:pStyle w:val="24"/>
        <w:widowControl/>
        <w:numPr>
          <w:ilvl w:val="0"/>
          <w:numId w:val="101"/>
        </w:numPr>
        <w:snapToGrid w:val="0"/>
        <w:spacing w:line="360" w:lineRule="auto"/>
        <w:ind w:left="425" w:leftChars="0" w:hanging="425" w:firstLineChars="0"/>
        <w:contextualSpacing/>
        <w:rPr>
          <w:rFonts w:hint="eastAsia" w:ascii="宋体" w:hAnsi="宋体" w:eastAsia="宋体" w:cs="宋体"/>
          <w:b/>
          <w:bCs/>
          <w:iCs/>
          <w:color w:val="C00000"/>
          <w:sz w:val="21"/>
          <w:szCs w:val="21"/>
          <w:highlight w:val="none"/>
          <w:u w:val="single"/>
        </w:rPr>
      </w:pPr>
      <w:r>
        <w:rPr>
          <w:rFonts w:hint="eastAsia" w:ascii="宋体" w:hAnsi="宋体" w:eastAsia="宋体" w:cs="宋体"/>
          <w:b w:val="0"/>
          <w:bCs w:val="0"/>
          <w:iCs/>
          <w:color w:val="auto"/>
          <w:sz w:val="21"/>
          <w:szCs w:val="21"/>
          <w:lang w:val="en-US" w:eastAsia="zh-CN"/>
        </w:rPr>
        <w:t>实施无害化处理模式。根据《国家危险废物名录（2025年版）》规定，农药包装废弃物收集、运输、利用、处置等环节实行危险废物豁免管理，乙方确保合同期内回收的</w:t>
      </w:r>
      <w:r>
        <w:rPr>
          <w:rFonts w:hint="eastAsia" w:ascii="宋体" w:hAnsi="宋体" w:eastAsia="宋体" w:cs="宋体"/>
          <w:iCs/>
          <w:color w:val="auto"/>
          <w:sz w:val="21"/>
          <w:szCs w:val="21"/>
          <w:lang w:val="en-US" w:eastAsia="zh-CN"/>
        </w:rPr>
        <w:t>农药包装废弃物及废旧农膜100％无害化处理或资源化利用，并提供相应的接收及处理证明。</w:t>
      </w:r>
    </w:p>
    <w:p w14:paraId="03BE9805">
      <w:pPr>
        <w:pStyle w:val="24"/>
        <w:widowControl/>
        <w:numPr>
          <w:ilvl w:val="0"/>
          <w:numId w:val="98"/>
        </w:numPr>
        <w:snapToGrid w:val="0"/>
        <w:spacing w:line="360" w:lineRule="auto"/>
        <w:ind w:left="425" w:hanging="425" w:firstLineChars="0"/>
        <w:contextualSpacing/>
        <w:rPr>
          <w:rFonts w:hint="eastAsia" w:ascii="宋体" w:hAnsi="宋体" w:eastAsia="宋体" w:cs="宋体"/>
          <w:iCs/>
          <w:color w:val="auto"/>
          <w:sz w:val="21"/>
          <w:szCs w:val="21"/>
        </w:rPr>
      </w:pPr>
      <w:r>
        <w:rPr>
          <w:rFonts w:hint="eastAsia" w:ascii="宋体" w:hAnsi="宋体" w:eastAsia="宋体" w:cs="宋体"/>
          <w:iCs/>
          <w:color w:val="auto"/>
          <w:sz w:val="21"/>
          <w:szCs w:val="21"/>
          <w:lang w:val="en-US" w:eastAsia="zh-CN"/>
        </w:rPr>
        <w:t>宣传</w:t>
      </w:r>
    </w:p>
    <w:p w14:paraId="2D1F3673">
      <w:pPr>
        <w:pStyle w:val="24"/>
        <w:widowControl/>
        <w:numPr>
          <w:ilvl w:val="0"/>
          <w:numId w:val="102"/>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乙方需协助甲方和转运点所在镇街，做好东莞市农药包装废弃物及废旧农膜回收处理的宣传和教育工作。</w:t>
      </w:r>
    </w:p>
    <w:p w14:paraId="1DC54A54">
      <w:pPr>
        <w:pStyle w:val="24"/>
        <w:widowControl/>
        <w:numPr>
          <w:ilvl w:val="0"/>
          <w:numId w:val="98"/>
        </w:numPr>
        <w:snapToGrid w:val="0"/>
        <w:spacing w:line="360" w:lineRule="auto"/>
        <w:ind w:left="425"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档案及文书管理</w:t>
      </w:r>
    </w:p>
    <w:p w14:paraId="578A5454">
      <w:pPr>
        <w:pStyle w:val="24"/>
        <w:widowControl/>
        <w:numPr>
          <w:ilvl w:val="0"/>
          <w:numId w:val="103"/>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在完成第一轮全市农药包装废弃物与废旧农膜收运处理及服务期满时，对工作情况进行总结。服务期内配合甲方做好农药包装废弃物及废旧农膜回收处理相关数据测算、统计和分析工作，建立收运、储存、处理等环节的纸质及电子台帐，做好日常工作图文资料收集和档案管理。</w:t>
      </w:r>
    </w:p>
    <w:p w14:paraId="4CD7FB60">
      <w:pPr>
        <w:pStyle w:val="24"/>
        <w:widowControl/>
        <w:numPr>
          <w:ilvl w:val="0"/>
          <w:numId w:val="103"/>
        </w:numPr>
        <w:snapToGrid w:val="0"/>
        <w:spacing w:line="360" w:lineRule="auto"/>
        <w:ind w:left="425" w:leftChars="0" w:hanging="425" w:firstLineChars="0"/>
        <w:contextualSpacing/>
        <w:rPr>
          <w:rFonts w:hint="eastAsia" w:ascii="宋体" w:hAnsi="宋体" w:eastAsia="宋体" w:cs="宋体"/>
          <w:iCs/>
          <w:color w:val="auto"/>
          <w:sz w:val="21"/>
          <w:szCs w:val="21"/>
          <w:lang w:val="en-US" w:eastAsia="zh-CN"/>
        </w:rPr>
      </w:pPr>
      <w:r>
        <w:rPr>
          <w:rFonts w:hint="eastAsia" w:ascii="宋体" w:hAnsi="宋体" w:eastAsia="宋体" w:cs="宋体"/>
          <w:iCs/>
          <w:color w:val="auto"/>
          <w:sz w:val="21"/>
          <w:szCs w:val="21"/>
          <w:lang w:val="en-US" w:eastAsia="zh-CN"/>
        </w:rPr>
        <w:t>乙方需在服务期满时对假农药、劣质农药、过期农药及罚没农药的回收处理工作情况进行总结。服务期内配合甲方做好相关数据统计工作，建立收运、储存、处理等环节的纸质及电子台帐，做好日常工作图文资料收集和档案管理。</w:t>
      </w:r>
    </w:p>
    <w:p w14:paraId="3789AC94">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专职人员要求及其他要求</w:t>
      </w:r>
    </w:p>
    <w:p w14:paraId="624105BC">
      <w:pPr>
        <w:pStyle w:val="24"/>
        <w:widowControl/>
        <w:numPr>
          <w:ilvl w:val="0"/>
          <w:numId w:val="10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lang w:val="en-US" w:eastAsia="zh-CN"/>
        </w:rPr>
        <w:t>乙方须安排专职人员进行项目日常管理与服务，专职人员负责日常与甲方、镇街工作人员、转</w:t>
      </w:r>
      <w:r>
        <w:rPr>
          <w:rFonts w:hint="eastAsia" w:ascii="宋体" w:hAnsi="宋体" w:eastAsia="宋体" w:cs="宋体"/>
          <w:sz w:val="21"/>
          <w:szCs w:val="21"/>
          <w:highlight w:val="none"/>
          <w:lang w:val="en-US" w:eastAsia="zh-CN"/>
        </w:rPr>
        <w:t>运点负责人的沟通联系。</w:t>
      </w:r>
    </w:p>
    <w:p w14:paraId="5BA04D36">
      <w:pPr>
        <w:pStyle w:val="24"/>
        <w:widowControl/>
        <w:numPr>
          <w:ilvl w:val="0"/>
          <w:numId w:val="10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参与危险废物回收、运输、管理等环节的工作人员须有此类工作经验并持相关证书上岗，乙方在合同签订时须把相关人员证书复印件交至甲方进行备案。</w:t>
      </w:r>
    </w:p>
    <w:p w14:paraId="411587CC">
      <w:pPr>
        <w:pStyle w:val="24"/>
        <w:widowControl/>
        <w:numPr>
          <w:ilvl w:val="0"/>
          <w:numId w:val="10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lang w:val="en-US" w:eastAsia="zh-CN"/>
        </w:rPr>
        <w:t>根据项目需要制定完善的</w:t>
      </w:r>
      <w:r>
        <w:rPr>
          <w:rFonts w:hint="default" w:ascii="宋体" w:hAnsi="宋体" w:eastAsia="宋体"/>
          <w:color w:val="000000" w:themeColor="text1"/>
          <w:szCs w:val="21"/>
          <w:highlight w:val="none"/>
          <w:lang w:val="en-US" w:eastAsia="zh-CN"/>
          <w14:textFill>
            <w14:solidFill>
              <w14:schemeClr w14:val="tx1"/>
            </w14:solidFill>
          </w14:textFill>
        </w:rPr>
        <w:t>应急预案</w:t>
      </w:r>
      <w:r>
        <w:rPr>
          <w:rFonts w:hint="eastAsia" w:ascii="宋体" w:hAnsi="宋体" w:eastAsia="宋体"/>
          <w:color w:val="auto"/>
          <w:szCs w:val="21"/>
          <w:highlight w:val="none"/>
          <w:lang w:val="en-US" w:eastAsia="zh-CN"/>
        </w:rPr>
        <w:t>，</w:t>
      </w:r>
      <w:r>
        <w:rPr>
          <w:rFonts w:hint="default" w:ascii="宋体" w:hAnsi="宋体" w:eastAsia="宋体"/>
          <w:color w:val="auto"/>
          <w:szCs w:val="21"/>
          <w:highlight w:val="none"/>
          <w:lang w:val="en-US" w:eastAsia="zh-CN"/>
        </w:rPr>
        <w:t>包含但不限于</w:t>
      </w:r>
      <w:r>
        <w:rPr>
          <w:rFonts w:hint="eastAsia" w:ascii="宋体" w:hAnsi="宋体" w:eastAsia="宋体"/>
          <w:color w:val="auto"/>
          <w:szCs w:val="21"/>
          <w:highlight w:val="none"/>
          <w:lang w:val="en-US" w:eastAsia="zh-CN"/>
        </w:rPr>
        <w:t>恶劣天气、环境</w:t>
      </w:r>
      <w:r>
        <w:rPr>
          <w:rFonts w:hint="default" w:ascii="宋体" w:hAnsi="宋体" w:eastAsia="宋体"/>
          <w:color w:val="auto"/>
          <w:szCs w:val="21"/>
          <w:highlight w:val="none"/>
          <w:lang w:val="en-US" w:eastAsia="zh-CN"/>
        </w:rPr>
        <w:t>污染</w:t>
      </w:r>
      <w:r>
        <w:rPr>
          <w:rFonts w:hint="eastAsia" w:ascii="宋体" w:hAnsi="宋体" w:eastAsia="宋体"/>
          <w:color w:val="auto"/>
          <w:szCs w:val="21"/>
          <w:highlight w:val="none"/>
          <w:lang w:val="en-US" w:eastAsia="zh-CN"/>
        </w:rPr>
        <w:t>、人员伤害、运输车辆故障等服务中</w:t>
      </w:r>
      <w:r>
        <w:rPr>
          <w:rFonts w:hint="default" w:ascii="宋体" w:hAnsi="宋体" w:eastAsia="宋体"/>
          <w:color w:val="auto"/>
          <w:szCs w:val="21"/>
          <w:highlight w:val="none"/>
          <w:lang w:val="en-US" w:eastAsia="zh-CN"/>
        </w:rPr>
        <w:t>可能发生</w:t>
      </w:r>
      <w:r>
        <w:rPr>
          <w:rFonts w:hint="eastAsia" w:ascii="宋体" w:hAnsi="宋体" w:eastAsia="宋体"/>
          <w:color w:val="auto"/>
          <w:szCs w:val="21"/>
          <w:highlight w:val="none"/>
          <w:lang w:val="en-US" w:eastAsia="zh-CN"/>
        </w:rPr>
        <w:t>的</w:t>
      </w:r>
      <w:r>
        <w:rPr>
          <w:rFonts w:hint="default" w:ascii="宋体" w:hAnsi="宋体" w:eastAsia="宋体"/>
          <w:color w:val="auto"/>
          <w:szCs w:val="21"/>
          <w:highlight w:val="none"/>
          <w:lang w:val="en-US" w:eastAsia="zh-CN"/>
        </w:rPr>
        <w:t>各类紧急情况的预防措施</w:t>
      </w:r>
      <w:r>
        <w:rPr>
          <w:rFonts w:hint="eastAsia" w:ascii="宋体" w:hAnsi="宋体" w:eastAsia="宋体"/>
          <w:color w:val="auto"/>
          <w:szCs w:val="21"/>
          <w:highlight w:val="none"/>
          <w:lang w:val="en-US" w:eastAsia="zh-CN"/>
        </w:rPr>
        <w:t>及事故处理办法，</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6B1B01EF">
      <w:pPr>
        <w:pStyle w:val="24"/>
        <w:widowControl/>
        <w:numPr>
          <w:ilvl w:val="0"/>
          <w:numId w:val="104"/>
        </w:numPr>
        <w:snapToGrid w:val="0"/>
        <w:spacing w:line="360" w:lineRule="auto"/>
        <w:ind w:firstLineChars="0"/>
        <w:contextualSpacing/>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乙方</w:t>
      </w:r>
      <w:r>
        <w:rPr>
          <w:rFonts w:hint="eastAsia" w:ascii="宋体" w:hAnsi="宋体" w:eastAsia="宋体" w:cs="宋体"/>
          <w:sz w:val="21"/>
          <w:szCs w:val="21"/>
          <w:highlight w:val="none"/>
          <w:lang w:val="en-US" w:eastAsia="zh-CN"/>
        </w:rPr>
        <w:t>需要了解</w:t>
      </w:r>
      <w:r>
        <w:rPr>
          <w:rFonts w:hint="eastAsia" w:ascii="宋体" w:hAnsi="宋体" w:eastAsia="宋体" w:cs="宋体"/>
          <w:sz w:val="21"/>
          <w:szCs w:val="21"/>
          <w:highlight w:val="none"/>
        </w:rPr>
        <w:t>项目</w:t>
      </w:r>
      <w:r>
        <w:rPr>
          <w:rFonts w:hint="eastAsia" w:ascii="宋体" w:hAnsi="宋体" w:eastAsia="宋体" w:cs="宋体"/>
          <w:sz w:val="21"/>
          <w:szCs w:val="21"/>
          <w:highlight w:val="none"/>
          <w:lang w:val="en-US" w:eastAsia="zh-CN"/>
        </w:rPr>
        <w:t>中</w:t>
      </w:r>
      <w:r>
        <w:rPr>
          <w:rFonts w:hint="eastAsia" w:ascii="宋体" w:hAnsi="宋体" w:eastAsia="宋体"/>
          <w:color w:val="auto"/>
          <w:szCs w:val="21"/>
          <w:highlight w:val="none"/>
          <w:lang w:val="en-US" w:eastAsia="zh-CN"/>
        </w:rPr>
        <w:t>涉及的</w:t>
      </w:r>
      <w:r>
        <w:rPr>
          <w:rFonts w:hint="eastAsia" w:ascii="宋体" w:hAnsi="宋体" w:eastAsia="宋体" w:cs="宋体"/>
          <w:color w:val="auto"/>
          <w:sz w:val="21"/>
          <w:szCs w:val="21"/>
          <w:highlight w:val="none"/>
          <w:lang w:val="en-US" w:eastAsia="zh-CN"/>
        </w:rPr>
        <w:t>收集、转运、处理等流程</w:t>
      </w:r>
      <w:r>
        <w:rPr>
          <w:rFonts w:hint="eastAsia" w:ascii="宋体" w:hAnsi="宋体" w:eastAsia="宋体"/>
          <w:color w:val="auto"/>
          <w:szCs w:val="21"/>
          <w:highlight w:val="none"/>
          <w:lang w:val="en-US" w:eastAsia="zh-CN"/>
        </w:rPr>
        <w:t>和我市</w:t>
      </w:r>
      <w:r>
        <w:rPr>
          <w:rFonts w:hint="eastAsia" w:ascii="宋体" w:hAnsi="宋体" w:eastAsia="宋体" w:cs="宋体"/>
          <w:sz w:val="21"/>
          <w:szCs w:val="21"/>
          <w:highlight w:val="none"/>
        </w:rPr>
        <w:t>农药包装废弃物</w:t>
      </w:r>
      <w:r>
        <w:rPr>
          <w:rFonts w:hint="eastAsia" w:ascii="宋体" w:hAnsi="宋体" w:eastAsia="宋体" w:cs="宋体"/>
          <w:sz w:val="21"/>
          <w:szCs w:val="21"/>
          <w:highlight w:val="none"/>
          <w:lang w:val="en-US" w:eastAsia="zh-CN"/>
        </w:rPr>
        <w:t>及</w:t>
      </w:r>
      <w:r>
        <w:rPr>
          <w:rFonts w:hint="eastAsia" w:ascii="宋体" w:hAnsi="宋体" w:eastAsia="宋体" w:cs="宋体"/>
          <w:sz w:val="21"/>
          <w:szCs w:val="21"/>
          <w:highlight w:val="none"/>
        </w:rPr>
        <w:t>废旧农膜</w:t>
      </w:r>
      <w:r>
        <w:rPr>
          <w:rFonts w:hint="eastAsia" w:ascii="宋体" w:hAnsi="宋体" w:eastAsia="宋体" w:cs="宋体"/>
          <w:color w:val="auto"/>
          <w:sz w:val="21"/>
          <w:szCs w:val="21"/>
          <w:highlight w:val="none"/>
          <w:lang w:val="en-US" w:eastAsia="zh-CN"/>
        </w:rPr>
        <w:t>分布情况</w:t>
      </w:r>
      <w:r>
        <w:rPr>
          <w:rFonts w:hint="eastAsia" w:ascii="宋体" w:hAnsi="宋体" w:eastAsia="宋体" w:cs="宋体"/>
          <w:sz w:val="21"/>
          <w:szCs w:val="21"/>
          <w:highlight w:val="none"/>
          <w:lang w:val="en-US" w:eastAsia="zh-CN"/>
        </w:rPr>
        <w:t>，并</w:t>
      </w:r>
      <w:r>
        <w:rPr>
          <w:rFonts w:hint="eastAsia" w:ascii="宋体" w:hAnsi="宋体" w:eastAsia="宋体" w:cs="宋体"/>
          <w:sz w:val="21"/>
          <w:szCs w:val="21"/>
          <w:highlight w:val="none"/>
        </w:rPr>
        <w:t>针对采购需求提供合理建议</w:t>
      </w:r>
      <w:r>
        <w:rPr>
          <w:rFonts w:hint="eastAsia" w:ascii="宋体" w:hAnsi="宋体" w:eastAsia="宋体" w:cs="宋体"/>
          <w:sz w:val="21"/>
          <w:szCs w:val="21"/>
          <w:highlight w:val="none"/>
          <w:lang w:val="en-US" w:eastAsia="zh-CN"/>
        </w:rPr>
        <w:t>至甲方处。</w:t>
      </w:r>
    </w:p>
    <w:p w14:paraId="4AB14B68">
      <w:pPr>
        <w:pStyle w:val="24"/>
        <w:widowControl/>
        <w:numPr>
          <w:ilvl w:val="0"/>
          <w:numId w:val="104"/>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针对本项目制定</w:t>
      </w:r>
      <w:r>
        <w:rPr>
          <w:rFonts w:hint="eastAsia" w:ascii="宋体" w:hAnsi="宋体" w:eastAsia="宋体" w:cs="宋体"/>
          <w:iCs/>
          <w:color w:val="auto"/>
          <w:sz w:val="21"/>
          <w:szCs w:val="21"/>
          <w:highlight w:val="none"/>
          <w:lang w:val="en-US" w:eastAsia="zh-CN"/>
        </w:rPr>
        <w:t>完善且详细的</w:t>
      </w:r>
      <w:r>
        <w:rPr>
          <w:rFonts w:hint="default" w:ascii="宋体" w:hAnsi="宋体" w:eastAsia="宋体" w:cs="宋体"/>
          <w:iCs/>
          <w:color w:val="auto"/>
          <w:sz w:val="21"/>
          <w:szCs w:val="21"/>
          <w:highlight w:val="none"/>
          <w:lang w:val="en-US" w:eastAsia="zh-CN"/>
        </w:rPr>
        <w:t>服务质量保障方案</w:t>
      </w:r>
      <w:r>
        <w:rPr>
          <w:rFonts w:hint="eastAsia" w:ascii="宋体" w:hAnsi="宋体" w:eastAsia="宋体" w:cs="宋体"/>
          <w:iCs/>
          <w:color w:val="auto"/>
          <w:sz w:val="21"/>
          <w:szCs w:val="21"/>
          <w:highlight w:val="none"/>
          <w:lang w:val="en-US" w:eastAsia="zh-CN"/>
        </w:rPr>
        <w:t>，</w:t>
      </w:r>
      <w:r>
        <w:rPr>
          <w:rFonts w:hint="default" w:ascii="宋体" w:hAnsi="宋体" w:eastAsia="宋体" w:cs="宋体"/>
          <w:iCs/>
          <w:color w:val="auto"/>
          <w:sz w:val="21"/>
          <w:szCs w:val="21"/>
          <w:highlight w:val="none"/>
          <w:lang w:val="en-US" w:eastAsia="zh-CN"/>
        </w:rPr>
        <w:t>包括但不限于服务质量目标、质量保证体系及措施、流程规范程度、服务质量保障措施</w:t>
      </w:r>
      <w:r>
        <w:rPr>
          <w:rFonts w:hint="eastAsia" w:ascii="宋体" w:hAnsi="宋体" w:eastAsia="宋体" w:cs="宋体"/>
          <w:iCs/>
          <w:color w:val="auto"/>
          <w:sz w:val="21"/>
          <w:szCs w:val="21"/>
          <w:highlight w:val="none"/>
          <w:lang w:val="en-US" w:eastAsia="zh-CN"/>
        </w:rPr>
        <w:t>等内容。</w:t>
      </w:r>
    </w:p>
    <w:p w14:paraId="4C8C3E27">
      <w:pPr>
        <w:pStyle w:val="24"/>
        <w:widowControl/>
        <w:numPr>
          <w:ilvl w:val="0"/>
          <w:numId w:val="104"/>
        </w:numPr>
        <w:snapToGrid w:val="0"/>
        <w:spacing w:line="360" w:lineRule="auto"/>
        <w:ind w:firstLineChars="0"/>
        <w:contextualSpacing/>
        <w:rPr>
          <w:rFonts w:hint="default" w:ascii="宋体" w:hAnsi="宋体" w:eastAsia="宋体" w:cs="宋体"/>
          <w:iCs/>
          <w:color w:val="auto"/>
          <w:sz w:val="21"/>
          <w:szCs w:val="21"/>
          <w:highlight w:val="none"/>
          <w:lang w:val="en-US" w:eastAsia="zh-CN"/>
        </w:rPr>
      </w:pPr>
      <w:r>
        <w:rPr>
          <w:rFonts w:hint="default" w:ascii="宋体" w:hAnsi="宋体" w:eastAsia="宋体"/>
          <w:color w:val="000000" w:themeColor="text1"/>
          <w:szCs w:val="21"/>
          <w:highlight w:val="none"/>
          <w:lang w:val="en-US" w:eastAsia="zh-CN"/>
          <w14:textFill>
            <w14:solidFill>
              <w14:schemeClr w14:val="tx1"/>
            </w14:solidFill>
          </w14:textFill>
        </w:rPr>
        <w:t>根据</w:t>
      </w:r>
      <w:r>
        <w:rPr>
          <w:rFonts w:hint="eastAsia" w:ascii="宋体" w:hAnsi="宋体" w:eastAsia="宋体"/>
          <w:color w:val="000000" w:themeColor="text1"/>
          <w:szCs w:val="21"/>
          <w:highlight w:val="none"/>
          <w:lang w:val="en-US" w:eastAsia="zh-CN"/>
          <w14:textFill>
            <w14:solidFill>
              <w14:schemeClr w14:val="tx1"/>
            </w14:solidFill>
          </w14:textFill>
        </w:rPr>
        <w:t>乙方</w:t>
      </w:r>
      <w:r>
        <w:rPr>
          <w:rFonts w:hint="default" w:ascii="宋体" w:hAnsi="宋体" w:eastAsia="宋体"/>
          <w:color w:val="000000" w:themeColor="text1"/>
          <w:szCs w:val="21"/>
          <w:highlight w:val="none"/>
          <w:lang w:val="en-US" w:eastAsia="zh-CN"/>
          <w14:textFill>
            <w14:solidFill>
              <w14:schemeClr w14:val="tx1"/>
            </w14:solidFill>
          </w14:textFill>
        </w:rPr>
        <w:t>对本项目制定的应急预案</w:t>
      </w:r>
      <w:r>
        <w:rPr>
          <w:rFonts w:hint="eastAsia" w:ascii="宋体" w:hAnsi="宋体" w:eastAsia="宋体"/>
          <w:color w:val="000000" w:themeColor="text1"/>
          <w:szCs w:val="21"/>
          <w:highlight w:val="none"/>
          <w:lang w:val="en-US" w:eastAsia="zh-CN"/>
          <w14:textFill>
            <w14:solidFill>
              <w14:schemeClr w14:val="tx1"/>
            </w14:solidFill>
          </w14:textFill>
        </w:rPr>
        <w:t>，如</w:t>
      </w:r>
      <w:r>
        <w:rPr>
          <w:rFonts w:hint="default" w:ascii="宋体" w:hAnsi="宋体" w:eastAsia="宋体"/>
          <w:color w:val="000000" w:themeColor="text1"/>
          <w:szCs w:val="21"/>
          <w:highlight w:val="none"/>
          <w:lang w:val="en-US" w:eastAsia="zh-CN"/>
          <w14:textFill>
            <w14:solidFill>
              <w14:schemeClr w14:val="tx1"/>
            </w14:solidFill>
          </w14:textFill>
        </w:rPr>
        <w:t>环境污染、人员伤害、天气恶劣、运输车辆故障等，服务中可能发生的各类紧急情况的预判及预防措施</w:t>
      </w:r>
      <w:r>
        <w:rPr>
          <w:rFonts w:hint="eastAsia" w:ascii="宋体" w:hAnsi="宋体" w:eastAsia="宋体"/>
          <w:color w:val="000000" w:themeColor="text1"/>
          <w:szCs w:val="21"/>
          <w:highlight w:val="none"/>
          <w:lang w:val="en-US" w:eastAsia="zh-CN"/>
          <w14:textFill>
            <w14:solidFill>
              <w14:schemeClr w14:val="tx1"/>
            </w14:solidFill>
          </w14:textFill>
        </w:rPr>
        <w:t>，保障项目按质按量完成履约。</w:t>
      </w:r>
    </w:p>
    <w:p w14:paraId="1AA43A8D">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lang w:val="en-US" w:eastAsia="zh-CN"/>
          <w14:textFill>
            <w14:solidFill>
              <w14:schemeClr w14:val="tx1"/>
            </w14:solidFill>
          </w14:textFill>
        </w:rPr>
        <w:t>考核要求</w:t>
      </w:r>
    </w:p>
    <w:p w14:paraId="29F08D2B">
      <w:pPr>
        <w:pStyle w:val="34"/>
        <w:keepNext w:val="0"/>
        <w:keepLines w:val="0"/>
        <w:pageBreakBefore w:val="0"/>
        <w:numPr>
          <w:ilvl w:val="0"/>
          <w:numId w:val="105"/>
        </w:numPr>
        <w:kinsoku/>
        <w:wordWrap/>
        <w:overflowPunct/>
        <w:topLinePunct w:val="0"/>
        <w:autoSpaceDE/>
        <w:autoSpaceDN/>
        <w:bidi w:val="0"/>
        <w:adjustRightInd/>
        <w:snapToGrid/>
        <w:spacing w:before="0" w:line="400" w:lineRule="exact"/>
        <w:ind w:left="425" w:leftChars="0" w:hanging="425" w:firstLineChars="0"/>
        <w:textAlignment w:val="auto"/>
        <w:rPr>
          <w:rFonts w:hint="eastAsia" w:ascii="宋体" w:hAnsi="宋体" w:eastAsia="宋体"/>
          <w:b/>
          <w:color w:val="000000" w:themeColor="text1"/>
          <w:spacing w:val="20"/>
          <w:szCs w:val="21"/>
          <w14:textFill>
            <w14:solidFill>
              <w14:schemeClr w14:val="tx1"/>
            </w14:solidFill>
          </w14:textFill>
        </w:rPr>
      </w:pPr>
      <w:r>
        <w:rPr>
          <w:rFonts w:hint="eastAsia" w:eastAsia="宋体" w:cs="宋体"/>
          <w:sz w:val="21"/>
          <w:szCs w:val="21"/>
          <w:highlight w:val="none"/>
          <w:lang w:val="en-US" w:eastAsia="zh-CN"/>
        </w:rPr>
        <w:t>乙方</w:t>
      </w:r>
      <w:r>
        <w:rPr>
          <w:rFonts w:hint="eastAsia" w:ascii="宋体" w:hAnsi="宋体" w:eastAsia="宋体" w:cs="宋体"/>
          <w:sz w:val="21"/>
          <w:szCs w:val="21"/>
          <w:highlight w:val="none"/>
          <w:lang w:val="en-US" w:eastAsia="zh-CN"/>
        </w:rPr>
        <w:t>在每轮回收处理结束后，需对各转运点的收集、转运、处理等情况及存在问题向</w:t>
      </w:r>
      <w:r>
        <w:rPr>
          <w:rFonts w:hint="eastAsia" w:eastAsia="宋体" w:cs="宋体"/>
          <w:sz w:val="21"/>
          <w:szCs w:val="21"/>
          <w:highlight w:val="none"/>
          <w:lang w:val="en-US" w:eastAsia="zh-CN"/>
        </w:rPr>
        <w:t>甲方</w:t>
      </w:r>
      <w:r>
        <w:rPr>
          <w:rFonts w:hint="eastAsia" w:ascii="宋体" w:hAnsi="宋体" w:eastAsia="宋体" w:cs="宋体"/>
          <w:sz w:val="21"/>
          <w:szCs w:val="21"/>
          <w:highlight w:val="none"/>
          <w:lang w:val="en-US" w:eastAsia="zh-CN"/>
        </w:rPr>
        <w:t>进行</w:t>
      </w:r>
      <w:r>
        <w:rPr>
          <w:rFonts w:hint="eastAsia" w:ascii="宋体" w:hAnsi="宋体" w:eastAsia="宋体" w:cs="宋体"/>
          <w:color w:val="auto"/>
          <w:sz w:val="21"/>
          <w:szCs w:val="21"/>
          <w:highlight w:val="none"/>
          <w:lang w:val="en-US" w:eastAsia="zh-CN"/>
        </w:rPr>
        <w:t>汇报，</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不定时对收运数量进行核实抽查，一经发现造假，</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有权无偿终止合同。如项目进度明显滞后或回收处理工作推动不力，</w:t>
      </w:r>
      <w:r>
        <w:rPr>
          <w:rFonts w:hint="eastAsia"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应按要求及时整改到位，相同问题再次发生的，</w:t>
      </w:r>
      <w:r>
        <w:rPr>
          <w:rFonts w:hint="eastAsia"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有权无偿终止合同。</w:t>
      </w:r>
    </w:p>
    <w:p w14:paraId="6160161E">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 xml:space="preserve">分包与转包 </w:t>
      </w:r>
    </w:p>
    <w:p w14:paraId="696064F7">
      <w:pPr>
        <w:pStyle w:val="24"/>
        <w:numPr>
          <w:ilvl w:val="0"/>
          <w:numId w:val="106"/>
        </w:numPr>
        <w:ind w:firstLineChars="0"/>
        <w:rPr>
          <w:rFonts w:hint="eastAsia"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严禁转包</w:t>
      </w:r>
      <w:r>
        <w:rPr>
          <w:rFonts w:hint="eastAsia" w:ascii="宋体" w:hAnsi="宋体" w:eastAsia="宋体"/>
          <w:color w:val="000000" w:themeColor="text1"/>
          <w:szCs w:val="21"/>
          <w:highlight w:val="none"/>
          <w:lang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eastAsia="宋体"/>
          <w:color w:val="000000" w:themeColor="text1"/>
          <w:szCs w:val="21"/>
          <w:highlight w:val="none"/>
          <w:lang w:eastAsia="zh-CN"/>
          <w14:textFill>
            <w14:solidFill>
              <w14:schemeClr w14:val="tx1"/>
            </w14:solidFill>
          </w14:textFill>
        </w:rPr>
        <w:t>。</w:t>
      </w:r>
    </w:p>
    <w:p w14:paraId="76F03BDF">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违约责任</w:t>
      </w:r>
    </w:p>
    <w:p w14:paraId="2D4025DE">
      <w:pPr>
        <w:pStyle w:val="29"/>
        <w:numPr>
          <w:ilvl w:val="0"/>
          <w:numId w:val="107"/>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乙方违反合同及招标文件约定的有关义务，对甲方造成经济损失的，应给予甲方经济赔偿；如造成重大损失的，甲方有权终止合同。</w:t>
      </w:r>
    </w:p>
    <w:p w14:paraId="7FDBF05E">
      <w:pPr>
        <w:pStyle w:val="29"/>
        <w:numPr>
          <w:ilvl w:val="0"/>
          <w:numId w:val="107"/>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除合同规定外，如果乙方没有按照合同规定的时间交付或完成，甲方可要求乙方支付违约金。从逾期之日起每日按本合同总价</w:t>
      </w:r>
      <w:r>
        <w:rPr>
          <w:rFonts w:hint="eastAsia" w:ascii="宋体" w:hAnsi="宋体" w:cs="Times New Roman"/>
          <w:color w:val="000000" w:themeColor="text1"/>
          <w:szCs w:val="21"/>
          <w:highlight w:val="none"/>
          <w:u w:val="single"/>
          <w14:textFill>
            <w14:solidFill>
              <w14:schemeClr w14:val="tx1"/>
            </w14:solidFill>
          </w14:textFill>
        </w:rPr>
        <w:t xml:space="preserve"> 3 </w:t>
      </w:r>
      <w:r>
        <w:rPr>
          <w:rFonts w:hint="eastAsia" w:ascii="宋体" w:hAnsi="宋体" w:cs="Times New Roman"/>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的数额向甲方支付违约金；逾期15天或以上的，甲方有权终止合同，要求乙方一次性支付合同总金额</w:t>
      </w:r>
      <w:r>
        <w:rPr>
          <w:rFonts w:hint="eastAsia" w:ascii="宋体" w:hAnsi="宋体"/>
          <w:color w:val="000000" w:themeColor="text1"/>
          <w:szCs w:val="21"/>
          <w:highlight w:val="none"/>
          <w:u w:val="single"/>
          <w14:textFill>
            <w14:solidFill>
              <w14:schemeClr w14:val="tx1"/>
            </w14:solidFill>
          </w14:textFill>
        </w:rPr>
        <w:t xml:space="preserve"> 20 %</w:t>
      </w:r>
      <w:r>
        <w:rPr>
          <w:rFonts w:hint="eastAsia" w:ascii="宋体" w:hAnsi="宋体"/>
          <w:color w:val="000000" w:themeColor="text1"/>
          <w:szCs w:val="21"/>
          <w:highlight w:val="none"/>
          <w14:textFill>
            <w14:solidFill>
              <w14:schemeClr w14:val="tx1"/>
            </w14:solidFill>
          </w14:textFill>
        </w:rPr>
        <w:t>违约金，并且给甲方造成的经济损失由乙方承担赔偿责任。</w:t>
      </w:r>
    </w:p>
    <w:p w14:paraId="1177C447">
      <w:pPr>
        <w:pStyle w:val="29"/>
        <w:numPr>
          <w:ilvl w:val="0"/>
          <w:numId w:val="107"/>
        </w:numPr>
        <w:tabs>
          <w:tab w:val="left" w:pos="840"/>
        </w:tabs>
        <w:ind w:left="425" w:hanging="425"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stheme="minorBidi"/>
          <w:color w:val="000000" w:themeColor="text1"/>
          <w:szCs w:val="21"/>
          <w:highlight w:val="none"/>
          <w14:textFill>
            <w14:solidFill>
              <w14:schemeClr w14:val="tx1"/>
            </w14:solidFill>
          </w14:textFill>
        </w:rPr>
        <w:t>因乙方</w:t>
      </w:r>
      <w:r>
        <w:rPr>
          <w:rFonts w:hint="eastAsia" w:ascii="宋体" w:hAnsi="宋体" w:cstheme="minorBidi"/>
          <w:color w:val="000000" w:themeColor="text1"/>
          <w:szCs w:val="21"/>
          <w:highlight w:val="none"/>
          <w:lang w:eastAsia="zh-CN"/>
          <w14:textFill>
            <w14:solidFill>
              <w14:schemeClr w14:val="tx1"/>
            </w14:solidFill>
          </w14:textFill>
        </w:rPr>
        <w:t>出现转包或未</w:t>
      </w:r>
      <w:r>
        <w:rPr>
          <w:rFonts w:hint="eastAsia" w:ascii="宋体" w:hAnsi="宋体" w:eastAsia="宋体"/>
          <w:color w:val="000000" w:themeColor="text1"/>
          <w:szCs w:val="21"/>
          <w:highlight w:val="none"/>
          <w14:textFill>
            <w14:solidFill>
              <w14:schemeClr w14:val="tx1"/>
            </w14:solidFill>
          </w14:textFill>
        </w:rPr>
        <w:t>经甲方书面同意</w:t>
      </w:r>
      <w:r>
        <w:rPr>
          <w:rFonts w:hint="eastAsia" w:ascii="宋体" w:hAnsi="宋体"/>
          <w:color w:val="000000" w:themeColor="text1"/>
          <w:szCs w:val="21"/>
          <w:highlight w:val="none"/>
          <w:lang w:eastAsia="zh-CN"/>
          <w14:textFill>
            <w14:solidFill>
              <w14:schemeClr w14:val="tx1"/>
            </w14:solidFill>
          </w14:textFill>
        </w:rPr>
        <w:t>进行</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color w:val="000000" w:themeColor="text1"/>
          <w:szCs w:val="21"/>
          <w:highlight w:val="none"/>
          <w:lang w:eastAsia="zh-CN"/>
          <w14:textFill>
            <w14:solidFill>
              <w14:schemeClr w14:val="tx1"/>
            </w14:solidFill>
          </w14:textFill>
        </w:rPr>
        <w:t>等行为，</w:t>
      </w:r>
      <w:r>
        <w:rPr>
          <w:rFonts w:hint="eastAsia" w:ascii="宋体" w:hAnsi="宋体" w:eastAsia="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lang w:eastAsia="zh-CN"/>
          <w14:textFill>
            <w14:solidFill>
              <w14:schemeClr w14:val="tx1"/>
            </w14:solidFill>
          </w14:textFill>
        </w:rPr>
        <w:t>有权要求立即停止相关行为，</w:t>
      </w:r>
      <w:r>
        <w:rPr>
          <w:rFonts w:hint="eastAsia" w:ascii="宋体" w:hAnsi="宋体" w:cstheme="minorBidi"/>
          <w:color w:val="000000" w:themeColor="text1"/>
          <w:szCs w:val="21"/>
          <w:highlight w:val="none"/>
          <w14:textFill>
            <w14:solidFill>
              <w14:schemeClr w14:val="tx1"/>
            </w14:solidFill>
          </w14:textFill>
        </w:rPr>
        <w:t>乙方</w:t>
      </w:r>
      <w:r>
        <w:rPr>
          <w:rFonts w:hint="eastAsia" w:ascii="宋体" w:hAnsi="宋体" w:cstheme="minorBidi"/>
          <w:color w:val="000000" w:themeColor="text1"/>
          <w:szCs w:val="21"/>
          <w:highlight w:val="none"/>
          <w:lang w:eastAsia="zh-CN"/>
          <w14:textFill>
            <w14:solidFill>
              <w14:schemeClr w14:val="tx1"/>
            </w14:solidFill>
          </w14:textFill>
        </w:rPr>
        <w:t>须在</w:t>
      </w:r>
      <w:r>
        <w:rPr>
          <w:rFonts w:hint="eastAsia" w:ascii="宋体" w:hAnsi="宋体" w:cstheme="minorBidi"/>
          <w:color w:val="000000" w:themeColor="text1"/>
          <w:szCs w:val="21"/>
          <w:highlight w:val="none"/>
          <w:lang w:val="en-US" w:eastAsia="zh-CN"/>
          <w14:textFill>
            <w14:solidFill>
              <w14:schemeClr w14:val="tx1"/>
            </w14:solidFill>
          </w14:textFill>
        </w:rPr>
        <w:t>15日内完成整改。若</w:t>
      </w:r>
      <w:r>
        <w:rPr>
          <w:rFonts w:hint="eastAsia" w:ascii="宋体" w:hAnsi="宋体" w:cstheme="minorBidi"/>
          <w:color w:val="000000" w:themeColor="text1"/>
          <w:szCs w:val="21"/>
          <w:highlight w:val="none"/>
          <w14:textFill>
            <w14:solidFill>
              <w14:schemeClr w14:val="tx1"/>
            </w14:solidFill>
          </w14:textFill>
        </w:rPr>
        <w:t>乙方</w:t>
      </w:r>
      <w:r>
        <w:rPr>
          <w:rFonts w:hint="eastAsia" w:ascii="宋体" w:hAnsi="宋体" w:cstheme="minorBidi"/>
          <w:color w:val="000000" w:themeColor="text1"/>
          <w:szCs w:val="21"/>
          <w:highlight w:val="none"/>
          <w:lang w:eastAsia="zh-CN"/>
          <w14:textFill>
            <w14:solidFill>
              <w14:schemeClr w14:val="tx1"/>
            </w14:solidFill>
          </w14:textFill>
        </w:rPr>
        <w:t>再次出现转包、未</w:t>
      </w:r>
      <w:r>
        <w:rPr>
          <w:rFonts w:hint="eastAsia" w:ascii="宋体" w:hAnsi="宋体" w:eastAsia="宋体"/>
          <w:color w:val="000000" w:themeColor="text1"/>
          <w:szCs w:val="21"/>
          <w:highlight w:val="none"/>
          <w14:textFill>
            <w14:solidFill>
              <w14:schemeClr w14:val="tx1"/>
            </w14:solidFill>
          </w14:textFill>
        </w:rPr>
        <w:t>经甲方书面同意</w:t>
      </w:r>
      <w:r>
        <w:rPr>
          <w:rFonts w:hint="eastAsia" w:ascii="宋体" w:hAnsi="宋体"/>
          <w:color w:val="000000" w:themeColor="text1"/>
          <w:szCs w:val="21"/>
          <w:highlight w:val="none"/>
          <w:lang w:eastAsia="zh-CN"/>
          <w14:textFill>
            <w14:solidFill>
              <w14:schemeClr w14:val="tx1"/>
            </w14:solidFill>
          </w14:textFill>
        </w:rPr>
        <w:t>进行</w:t>
      </w:r>
      <w:r>
        <w:rPr>
          <w:rFonts w:hint="eastAsia" w:ascii="宋体" w:hAnsi="宋体" w:eastAsia="宋体"/>
          <w:color w:val="000000" w:themeColor="text1"/>
          <w:szCs w:val="21"/>
          <w:highlight w:val="none"/>
          <w14:textFill>
            <w14:solidFill>
              <w14:schemeClr w14:val="tx1"/>
            </w14:solidFill>
          </w14:textFill>
        </w:rPr>
        <w:t>分包</w:t>
      </w:r>
      <w:r>
        <w:rPr>
          <w:rFonts w:hint="eastAsia" w:ascii="宋体" w:hAnsi="宋体"/>
          <w:color w:val="000000" w:themeColor="text1"/>
          <w:szCs w:val="21"/>
          <w:highlight w:val="none"/>
          <w:lang w:eastAsia="zh-CN"/>
          <w14:textFill>
            <w14:solidFill>
              <w14:schemeClr w14:val="tx1"/>
            </w14:solidFill>
          </w14:textFill>
        </w:rPr>
        <w:t>等行为或整改不到位，</w:t>
      </w:r>
      <w:r>
        <w:rPr>
          <w:rFonts w:hint="eastAsia" w:ascii="宋体" w:hAnsi="宋体" w:eastAsia="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lang w:eastAsia="zh-CN"/>
          <w14:textFill>
            <w14:solidFill>
              <w14:schemeClr w14:val="tx1"/>
            </w14:solidFill>
          </w14:textFill>
        </w:rPr>
        <w:t>有权终止合同，</w:t>
      </w:r>
      <w:r>
        <w:rPr>
          <w:rFonts w:hint="eastAsia" w:ascii="宋体" w:hAnsi="宋体" w:cstheme="minorBidi"/>
          <w:color w:val="000000" w:themeColor="text1"/>
          <w:szCs w:val="21"/>
          <w:highlight w:val="none"/>
          <w14:textFill>
            <w14:solidFill>
              <w14:schemeClr w14:val="tx1"/>
            </w14:solidFill>
          </w14:textFill>
        </w:rPr>
        <w:t>乙方应向甲方</w:t>
      </w:r>
      <w:r>
        <w:rPr>
          <w:rFonts w:hint="eastAsia" w:ascii="宋体" w:hAnsi="宋体" w:cstheme="minorBidi"/>
          <w:color w:val="000000" w:themeColor="text1"/>
          <w:szCs w:val="21"/>
          <w:highlight w:val="none"/>
          <w:lang w:eastAsia="zh-CN"/>
          <w14:textFill>
            <w14:solidFill>
              <w14:schemeClr w14:val="tx1"/>
            </w14:solidFill>
          </w14:textFill>
        </w:rPr>
        <w:t>退还已支付的核减已完成工作量后的</w:t>
      </w:r>
      <w:r>
        <w:rPr>
          <w:rFonts w:hint="eastAsia" w:ascii="宋体" w:hAnsi="宋体" w:cstheme="minorBidi"/>
          <w:color w:val="000000" w:themeColor="text1"/>
          <w:szCs w:val="21"/>
          <w:highlight w:val="none"/>
          <w14:textFill>
            <w14:solidFill>
              <w14:schemeClr w14:val="tx1"/>
            </w14:solidFill>
          </w14:textFill>
        </w:rPr>
        <w:t>合同</w:t>
      </w:r>
      <w:r>
        <w:rPr>
          <w:rFonts w:hint="eastAsia" w:ascii="宋体" w:hAnsi="宋体" w:cstheme="minorBidi"/>
          <w:color w:val="000000" w:themeColor="text1"/>
          <w:szCs w:val="21"/>
          <w:highlight w:val="none"/>
          <w:lang w:eastAsia="zh-CN"/>
          <w14:textFill>
            <w14:solidFill>
              <w14:schemeClr w14:val="tx1"/>
            </w14:solidFill>
          </w14:textFill>
        </w:rPr>
        <w:t>余款，支付合同</w:t>
      </w:r>
      <w:r>
        <w:rPr>
          <w:rFonts w:hint="eastAsia" w:ascii="宋体" w:hAnsi="宋体" w:cstheme="minorBidi"/>
          <w:color w:val="000000" w:themeColor="text1"/>
          <w:szCs w:val="21"/>
          <w:highlight w:val="none"/>
          <w14:textFill>
            <w14:solidFill>
              <w14:schemeClr w14:val="tx1"/>
            </w14:solidFill>
          </w14:textFill>
        </w:rPr>
        <w:t>总价</w:t>
      </w:r>
      <w:r>
        <w:rPr>
          <w:rFonts w:hint="eastAsia" w:ascii="宋体" w:hAnsi="宋体" w:cstheme="minorBidi"/>
          <w:color w:val="000000" w:themeColor="text1"/>
          <w:szCs w:val="21"/>
          <w:highlight w:val="none"/>
          <w:u w:val="single"/>
          <w14:textFill>
            <w14:solidFill>
              <w14:schemeClr w14:val="tx1"/>
            </w14:solidFill>
          </w14:textFill>
        </w:rPr>
        <w:t xml:space="preserve"> 20 %</w:t>
      </w:r>
      <w:r>
        <w:rPr>
          <w:rFonts w:hint="eastAsia" w:ascii="宋体" w:hAnsi="宋体" w:cstheme="minorBidi"/>
          <w:color w:val="000000" w:themeColor="text1"/>
          <w:szCs w:val="21"/>
          <w:highlight w:val="none"/>
          <w14:textFill>
            <w14:solidFill>
              <w14:schemeClr w14:val="tx1"/>
            </w14:solidFill>
          </w14:textFill>
        </w:rPr>
        <w:t>的违约金，并且给甲方造成的经济损失由乙方承担赔偿责任。</w:t>
      </w:r>
    </w:p>
    <w:p w14:paraId="70E8100C">
      <w:pPr>
        <w:pStyle w:val="29"/>
        <w:numPr>
          <w:ilvl w:val="0"/>
          <w:numId w:val="107"/>
        </w:numPr>
        <w:tabs>
          <w:tab w:val="left" w:pos="840"/>
        </w:tabs>
        <w:ind w:left="425" w:hanging="425" w:firstLineChars="0"/>
        <w:rPr>
          <w:rFonts w:hint="eastAsia" w:ascii="宋体" w:hAnsi="宋体" w:cstheme="minorBidi"/>
          <w:color w:val="000000" w:themeColor="text1"/>
          <w:szCs w:val="21"/>
          <w:highlight w:val="none"/>
          <w14:textFill>
            <w14:solidFill>
              <w14:schemeClr w14:val="tx1"/>
            </w14:solidFill>
          </w14:textFill>
        </w:rPr>
      </w:pPr>
      <w:r>
        <w:rPr>
          <w:rFonts w:hint="eastAsia" w:ascii="宋体" w:hAnsi="宋体" w:cstheme="minorBidi"/>
          <w:color w:val="000000" w:themeColor="text1"/>
          <w:szCs w:val="21"/>
          <w:highlight w:val="none"/>
          <w14:textFill>
            <w14:solidFill>
              <w14:schemeClr w14:val="tx1"/>
            </w14:solidFill>
          </w14:textFill>
        </w:rPr>
        <w:t>因乙方原因导致本合同解除或是无法履行的，乙方应向甲方支付合同总价</w:t>
      </w:r>
      <w:r>
        <w:rPr>
          <w:rFonts w:hint="eastAsia" w:ascii="宋体" w:hAnsi="宋体" w:cstheme="minorBidi"/>
          <w:color w:val="000000" w:themeColor="text1"/>
          <w:szCs w:val="21"/>
          <w:highlight w:val="none"/>
          <w:u w:val="single"/>
          <w14:textFill>
            <w14:solidFill>
              <w14:schemeClr w14:val="tx1"/>
            </w14:solidFill>
          </w14:textFill>
        </w:rPr>
        <w:t xml:space="preserve"> 20 %</w:t>
      </w:r>
      <w:r>
        <w:rPr>
          <w:rFonts w:hint="eastAsia" w:ascii="宋体" w:hAnsi="宋体" w:cstheme="minorBidi"/>
          <w:color w:val="000000" w:themeColor="text1"/>
          <w:szCs w:val="21"/>
          <w:highlight w:val="none"/>
          <w14:textFill>
            <w14:solidFill>
              <w14:schemeClr w14:val="tx1"/>
            </w14:solidFill>
          </w14:textFill>
        </w:rPr>
        <w:t>的违约金，并且给甲方造成的经济损失由乙方承担赔偿责任。</w:t>
      </w:r>
    </w:p>
    <w:p w14:paraId="567BEB34">
      <w:pPr>
        <w:pStyle w:val="29"/>
        <w:numPr>
          <w:ilvl w:val="0"/>
          <w:numId w:val="107"/>
        </w:numPr>
        <w:tabs>
          <w:tab w:val="left" w:pos="840"/>
        </w:tabs>
        <w:ind w:left="425" w:hanging="425" w:firstLineChars="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甲方有权从未支付的款项或是履约保证金中直接扣除乙方的违约金，不足的部分由乙方另行补足。</w:t>
      </w:r>
    </w:p>
    <w:p w14:paraId="1EF332DF">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争议的解决办法</w:t>
      </w:r>
    </w:p>
    <w:p w14:paraId="5E5206A1">
      <w:pPr>
        <w:numPr>
          <w:ilvl w:val="0"/>
          <w:numId w:val="108"/>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凡与本合同有关而引起的一切争议，甲乙双方应首先通过友好协商解决，如协商不成，双方同意向东莞市第一人民法院提出诉讼解决。因守约方为实现合同权利而支出的律师费、诉讼费、申请费等一切费用，由违约方承担。</w:t>
      </w:r>
    </w:p>
    <w:p w14:paraId="1279823A">
      <w:pPr>
        <w:numPr>
          <w:ilvl w:val="0"/>
          <w:numId w:val="108"/>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在进行法院审理期间，除提交法院审理的事项外，合同其他部分仍继续履行。</w:t>
      </w:r>
    </w:p>
    <w:p w14:paraId="1B19EA7C">
      <w:pPr>
        <w:numPr>
          <w:ilvl w:val="0"/>
          <w:numId w:val="108"/>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本合同按照中华人民共和国的法律进行解释。</w:t>
      </w:r>
    </w:p>
    <w:p w14:paraId="4DB57722">
      <w:pPr>
        <w:pStyle w:val="24"/>
        <w:numPr>
          <w:ilvl w:val="0"/>
          <w:numId w:val="85"/>
        </w:numPr>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不可抗力</w:t>
      </w:r>
    </w:p>
    <w:p w14:paraId="3D1CAFF3">
      <w:pPr>
        <w:numPr>
          <w:ilvl w:val="0"/>
          <w:numId w:val="109"/>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2FB6905">
      <w:pPr>
        <w:numPr>
          <w:ilvl w:val="0"/>
          <w:numId w:val="109"/>
        </w:numPr>
        <w:ind w:left="425" w:hanging="42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C53179F">
      <w:pPr>
        <w:pStyle w:val="24"/>
        <w:numPr>
          <w:ilvl w:val="0"/>
          <w:numId w:val="85"/>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合同生效</w:t>
      </w:r>
    </w:p>
    <w:p w14:paraId="7352D5B8">
      <w:pPr>
        <w:pStyle w:val="24"/>
        <w:numPr>
          <w:ilvl w:val="0"/>
          <w:numId w:val="110"/>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本合同由双方法定代表人或委托代理人签字盖章后立即生效，具有同等法律效力，服务期为合同签订日至</w:t>
      </w:r>
      <w:r>
        <w:rPr>
          <w:rFonts w:hint="eastAsia" w:ascii="宋体" w:hAnsi="宋体" w:eastAsia="宋体"/>
          <w:color w:val="000000" w:themeColor="text1"/>
          <w:szCs w:val="21"/>
          <w:u w:val="single"/>
          <w14:textFill>
            <w14:solidFill>
              <w14:schemeClr w14:val="tx1"/>
            </w14:solidFill>
          </w14:textFill>
        </w:rPr>
        <w:t xml:space="preserve">      年    月    日</w:t>
      </w:r>
      <w:r>
        <w:rPr>
          <w:rFonts w:hint="eastAsia" w:ascii="宋体" w:hAnsi="宋体" w:eastAsia="宋体"/>
          <w:color w:val="000000" w:themeColor="text1"/>
          <w:szCs w:val="21"/>
          <w14:textFill>
            <w14:solidFill>
              <w14:schemeClr w14:val="tx1"/>
            </w14:solidFill>
          </w14:textFill>
        </w:rPr>
        <w:t>，合同有效期随服务期结束而自然终止；</w:t>
      </w:r>
    </w:p>
    <w:p w14:paraId="777BAEEF">
      <w:pPr>
        <w:pStyle w:val="24"/>
        <w:numPr>
          <w:ilvl w:val="0"/>
          <w:numId w:val="110"/>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本合同一式</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份，其中甲方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份、乙方</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份，采购代理机构</w:t>
      </w:r>
      <w:r>
        <w:rPr>
          <w:rFonts w:hint="eastAsia" w:ascii="宋体" w:hAnsi="宋体" w:eastAsia="宋体"/>
          <w:color w:val="000000" w:themeColor="text1"/>
          <w:szCs w:val="21"/>
          <w:u w:val="single"/>
          <w14:textFill>
            <w14:solidFill>
              <w14:schemeClr w14:val="tx1"/>
            </w14:solidFill>
          </w14:textFill>
        </w:rPr>
        <w:t xml:space="preserve">  壹  </w:t>
      </w:r>
      <w:r>
        <w:rPr>
          <w:rFonts w:hint="eastAsia" w:ascii="宋体" w:hAnsi="宋体" w:eastAsia="宋体"/>
          <w:color w:val="000000" w:themeColor="text1"/>
          <w:szCs w:val="21"/>
          <w14:textFill>
            <w14:solidFill>
              <w14:schemeClr w14:val="tx1"/>
            </w14:solidFill>
          </w14:textFill>
        </w:rPr>
        <w:t>份（须在合同签订之日起5个工作日内递交）</w:t>
      </w:r>
    </w:p>
    <w:p w14:paraId="04A82BAF">
      <w:pPr>
        <w:pStyle w:val="24"/>
        <w:numPr>
          <w:ilvl w:val="0"/>
          <w:numId w:val="85"/>
        </w:numPr>
        <w:tabs>
          <w:tab w:val="left" w:pos="567"/>
        </w:tabs>
        <w:spacing w:before="217" w:beforeLines="50"/>
        <w:ind w:firstLineChars="0"/>
        <w:rPr>
          <w:rFonts w:hint="eastAsia" w:ascii="宋体" w:hAnsi="宋体" w:eastAsia="宋体"/>
          <w:b/>
          <w:color w:val="000000" w:themeColor="text1"/>
          <w:spacing w:val="20"/>
          <w:szCs w:val="21"/>
          <w14:textFill>
            <w14:solidFill>
              <w14:schemeClr w14:val="tx1"/>
            </w14:solidFill>
          </w14:textFill>
        </w:rPr>
      </w:pPr>
      <w:r>
        <w:rPr>
          <w:rFonts w:hint="eastAsia" w:ascii="宋体" w:hAnsi="宋体" w:eastAsia="宋体"/>
          <w:b/>
          <w:color w:val="000000" w:themeColor="text1"/>
          <w:spacing w:val="20"/>
          <w:szCs w:val="21"/>
          <w14:textFill>
            <w14:solidFill>
              <w14:schemeClr w14:val="tx1"/>
            </w14:solidFill>
          </w14:textFill>
        </w:rPr>
        <w:t>其它</w:t>
      </w:r>
    </w:p>
    <w:p w14:paraId="484EE8C5">
      <w:pPr>
        <w:pStyle w:val="24"/>
        <w:numPr>
          <w:ilvl w:val="0"/>
          <w:numId w:val="111"/>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本合同未尽事宜，双方可签订补充合同，补充合同与所有附件均为合同的有效组成部分，与本合同具有同等法律效力；</w:t>
      </w:r>
    </w:p>
    <w:p w14:paraId="287CCBE3">
      <w:pPr>
        <w:pStyle w:val="24"/>
        <w:numPr>
          <w:ilvl w:val="0"/>
          <w:numId w:val="111"/>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在执行本合同的过程中，所有经甲乙双方签署确认的文件（包括会议纪要、补充协议、往来信函、合同附件等）即成为本合同的有效组成部分，其生效日期为双方签字盖章或确认之日期；</w:t>
      </w:r>
    </w:p>
    <w:p w14:paraId="76660835">
      <w:pPr>
        <w:pStyle w:val="24"/>
        <w:numPr>
          <w:ilvl w:val="0"/>
          <w:numId w:val="111"/>
        </w:numPr>
        <w:ind w:left="425" w:hanging="425" w:firstLineChars="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本合同合计</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页A4纸张，缺页之合同为无效合同。</w:t>
      </w:r>
    </w:p>
    <w:p w14:paraId="27C9F255">
      <w:pPr>
        <w:rPr>
          <w:rFonts w:hint="eastAsia" w:ascii="宋体" w:hAnsi="宋体" w:eastAsia="宋体"/>
          <w:color w:val="000000" w:themeColor="text1"/>
          <w:szCs w:val="21"/>
          <w14:textFill>
            <w14:solidFill>
              <w14:schemeClr w14:val="tx1"/>
            </w14:solidFill>
          </w14:textFill>
        </w:rPr>
      </w:pPr>
    </w:p>
    <w:p w14:paraId="7A3C38BD">
      <w:pPr>
        <w:pStyle w:val="2"/>
        <w:rPr>
          <w:rFonts w:hint="eastAsia" w:ascii="宋体" w:hAnsi="宋体" w:eastAsia="宋体"/>
          <w:color w:val="000000" w:themeColor="text1"/>
          <w:szCs w:val="21"/>
          <w14:textFill>
            <w14:solidFill>
              <w14:schemeClr w14:val="tx1"/>
            </w14:solidFill>
          </w14:textFill>
        </w:rPr>
      </w:pPr>
    </w:p>
    <w:p w14:paraId="41E37F83">
      <w:pPr>
        <w:rPr>
          <w:rFonts w:hint="eastAsia"/>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6FF5D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DB4F38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2C10FC9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4027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A72771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40889C5D">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6F72A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0294846">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7B2CE8B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62E3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6431B4D">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122F5B3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78B1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3D519F0">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0447928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58F37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A8727DA">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48040347">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5331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90CBFC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71D956FF">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41B90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76C0A9B">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18E846F8">
            <w:pP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6CCF74C6">
      <w:pPr>
        <w:pageBreakBefore/>
        <w:widowControl/>
        <w:jc w:val="center"/>
        <w:outlineLvl w:val="1"/>
        <w:rPr>
          <w:rFonts w:ascii="Calibri" w:hAnsi="Calibri" w:eastAsia="宋体" w:cs="Times New Roman"/>
          <w:kern w:val="0"/>
          <w:sz w:val="20"/>
          <w:szCs w:val="20"/>
          <w:lang w:eastAsia="zh-Hans"/>
        </w:rPr>
      </w:pPr>
      <w:bookmarkStart w:id="34" w:name="_Toc169799784"/>
      <w:bookmarkStart w:id="35" w:name="_Toc169807545"/>
      <w:r>
        <w:rPr>
          <w:rFonts w:ascii="Calibri" w:hAnsi="Calibri" w:eastAsia="宋体" w:cs="Times New Roman"/>
          <w:b/>
          <w:kern w:val="0"/>
          <w:sz w:val="36"/>
          <w:szCs w:val="20"/>
          <w:lang w:eastAsia="zh-Hans"/>
        </w:rPr>
        <w:t>第六章 投标文件格式</w:t>
      </w:r>
      <w:bookmarkEnd w:id="34"/>
      <w:bookmarkEnd w:id="35"/>
    </w:p>
    <w:p w14:paraId="6E64B7AB">
      <w:pPr>
        <w:widowControl/>
        <w:jc w:val="left"/>
        <w:rPr>
          <w:rFonts w:ascii="Calibri" w:hAnsi="Calibri" w:eastAsia="宋体" w:cs="Times New Roman"/>
          <w:kern w:val="0"/>
          <w:sz w:val="20"/>
          <w:szCs w:val="20"/>
          <w:lang w:eastAsia="zh-Hans"/>
        </w:rPr>
      </w:pPr>
    </w:p>
    <w:p w14:paraId="45A1297C">
      <w:pPr>
        <w:spacing w:before="652" w:beforeLines="150"/>
        <w:jc w:val="center"/>
        <w:rPr>
          <w:rFonts w:hint="eastAsia" w:ascii="宋体" w:hAnsi="宋体" w:eastAsia="宋体"/>
          <w:b/>
          <w:bCs/>
          <w:sz w:val="72"/>
          <w:szCs w:val="72"/>
        </w:rPr>
      </w:pPr>
      <w:bookmarkStart w:id="36" w:name="_Toc169799785"/>
      <w:r>
        <w:rPr>
          <w:rFonts w:hint="eastAsia" w:ascii="宋体" w:hAnsi="宋体" w:eastAsia="宋体"/>
          <w:b/>
          <w:bCs/>
          <w:sz w:val="72"/>
          <w:szCs w:val="72"/>
        </w:rPr>
        <w:t>2025年东莞市农药包装废弃物与废旧农膜回收处理项目</w:t>
      </w:r>
    </w:p>
    <w:p w14:paraId="4875A7CD">
      <w:pPr>
        <w:spacing w:before="652" w:beforeLines="150"/>
        <w:jc w:val="center"/>
        <w:rPr>
          <w:rFonts w:hint="eastAsia" w:ascii="宋体" w:hAnsi="宋体" w:eastAsia="宋体"/>
          <w:b/>
          <w:bCs/>
          <w:spacing w:val="20"/>
          <w:sz w:val="80"/>
          <w:szCs w:val="80"/>
        </w:rPr>
      </w:pPr>
      <w:r>
        <w:rPr>
          <w:rFonts w:ascii="宋体" w:hAnsi="宋体" w:eastAsia="宋体"/>
          <w:b/>
          <w:bCs/>
          <w:spacing w:val="20"/>
          <w:sz w:val="80"/>
          <w:szCs w:val="80"/>
        </w:rPr>
        <w:t>投标文件</w:t>
      </w:r>
      <w:bookmarkEnd w:id="36"/>
    </w:p>
    <w:p w14:paraId="26B5B858">
      <w:pPr>
        <w:jc w:val="center"/>
        <w:rPr>
          <w:rFonts w:hint="eastAsia" w:ascii="宋体" w:hAnsi="宋体" w:eastAsia="宋体"/>
          <w:b/>
          <w:bCs/>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729251CD">
      <w:pPr>
        <w:keepNext w:val="0"/>
        <w:keepLines w:val="0"/>
        <w:pageBreakBefore w:val="0"/>
        <w:widowControl/>
        <w:kinsoku/>
        <w:wordWrap/>
        <w:overflowPunct/>
        <w:topLinePunct w:val="0"/>
        <w:autoSpaceDE/>
        <w:autoSpaceDN/>
        <w:bidi w:val="0"/>
        <w:adjustRightInd/>
        <w:snapToGrid/>
        <w:spacing w:before="2612" w:beforeLines="600" w:line="360" w:lineRule="auto"/>
        <w:ind w:firstLine="1558" w:firstLineChars="485"/>
        <w:jc w:val="left"/>
        <w:textAlignment w:val="auto"/>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项目编号：ZHDGZC2025070</w:t>
      </w:r>
    </w:p>
    <w:p w14:paraId="6E0AE3BA">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24CFC1F6">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026E6303">
      <w:pPr>
        <w:widowControl/>
        <w:jc w:val="left"/>
        <w:rPr>
          <w:rFonts w:ascii="Calibri" w:hAnsi="Calibri" w:eastAsia="宋体" w:cs="Times New Roman"/>
          <w:kern w:val="0"/>
          <w:sz w:val="20"/>
          <w:szCs w:val="20"/>
        </w:rPr>
      </w:pPr>
    </w:p>
    <w:p w14:paraId="3DDC0592">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76CE1473">
      <w:pPr>
        <w:widowControl/>
        <w:numPr>
          <w:ilvl w:val="0"/>
          <w:numId w:val="112"/>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3F9B463A">
      <w:pPr>
        <w:widowControl/>
        <w:numPr>
          <w:ilvl w:val="0"/>
          <w:numId w:val="112"/>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开标一览表</w:t>
      </w:r>
    </w:p>
    <w:p w14:paraId="11DFACB0">
      <w:pPr>
        <w:widowControl/>
        <w:numPr>
          <w:ilvl w:val="0"/>
          <w:numId w:val="112"/>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45CABB0A">
      <w:pPr>
        <w:widowControl/>
        <w:numPr>
          <w:ilvl w:val="0"/>
          <w:numId w:val="112"/>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55487186">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rPr>
        <w:t>联合体共同投标协议书</w:t>
      </w:r>
    </w:p>
    <w:p w14:paraId="33D91877">
      <w:pPr>
        <w:widowControl/>
        <w:numPr>
          <w:ilvl w:val="0"/>
          <w:numId w:val="112"/>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2932B4C4">
      <w:pPr>
        <w:widowControl/>
        <w:numPr>
          <w:ilvl w:val="0"/>
          <w:numId w:val="112"/>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6E10553C">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rPr>
        <w:t>资格条件承诺函</w:t>
      </w:r>
    </w:p>
    <w:p w14:paraId="6875640E">
      <w:pPr>
        <w:widowControl/>
        <w:numPr>
          <w:ilvl w:val="0"/>
          <w:numId w:val="112"/>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07C211FB">
      <w:pPr>
        <w:widowControl/>
        <w:numPr>
          <w:ilvl w:val="0"/>
          <w:numId w:val="112"/>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拟投入本项目设备情况表</w:t>
      </w:r>
    </w:p>
    <w:p w14:paraId="6DB9FD64">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项目技术服务人员情况表</w:t>
      </w:r>
    </w:p>
    <w:p w14:paraId="2061535F">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F67A23">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6CBFFA6D">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6D4040CF">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148A9326">
      <w:pPr>
        <w:widowControl/>
        <w:numPr>
          <w:ilvl w:val="0"/>
          <w:numId w:val="112"/>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各类证明材料</w:t>
      </w:r>
    </w:p>
    <w:p w14:paraId="0FFB6F1A">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采购代理服务费支付承诺书</w:t>
      </w:r>
    </w:p>
    <w:p w14:paraId="2B5B4E3E">
      <w:pPr>
        <w:widowControl/>
        <w:numPr>
          <w:ilvl w:val="0"/>
          <w:numId w:val="112"/>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41B7F171">
      <w:pPr>
        <w:widowControl/>
        <w:numPr>
          <w:ilvl w:val="0"/>
          <w:numId w:val="112"/>
        </w:numPr>
        <w:ind w:left="0" w:leftChars="0" w:firstLine="420"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项目实施方案、质量保证及售后服务承诺等</w:t>
      </w:r>
    </w:p>
    <w:p w14:paraId="4BDDE74B">
      <w:pPr>
        <w:widowControl/>
        <w:jc w:val="left"/>
        <w:rPr>
          <w:rFonts w:ascii="Calibri" w:hAnsi="Calibri" w:eastAsia="宋体" w:cs="Times New Roman"/>
          <w:kern w:val="0"/>
          <w:sz w:val="20"/>
          <w:szCs w:val="20"/>
        </w:rPr>
      </w:pPr>
    </w:p>
    <w:p w14:paraId="027BAB7B">
      <w:pPr>
        <w:widowControl/>
        <w:jc w:val="left"/>
        <w:rPr>
          <w:rFonts w:ascii="Calibri" w:hAnsi="Calibri" w:eastAsia="宋体" w:cs="Times New Roman"/>
          <w:kern w:val="0"/>
          <w:sz w:val="20"/>
          <w:szCs w:val="20"/>
          <w:lang w:eastAsia="zh-Hans"/>
        </w:rPr>
      </w:pPr>
    </w:p>
    <w:p w14:paraId="6913EAB6">
      <w:pPr>
        <w:pageBreakBefore/>
        <w:rPr>
          <w:rFonts w:hint="eastAsia" w:ascii="宋体" w:hAnsi="宋体" w:eastAsia="宋体"/>
          <w:b/>
          <w:bCs/>
        </w:rPr>
      </w:pPr>
      <w:r>
        <w:rPr>
          <w:rFonts w:hint="eastAsia" w:ascii="宋体" w:hAnsi="宋体" w:eastAsia="宋体"/>
          <w:b/>
          <w:bCs/>
          <w:sz w:val="24"/>
          <w:szCs w:val="28"/>
        </w:rPr>
        <w:t>资格、符合性审查索引表格式</w:t>
      </w:r>
    </w:p>
    <w:p w14:paraId="05A6A598">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76B2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3F917BF">
            <w:pPr>
              <w:spacing w:line="360" w:lineRule="auto"/>
              <w:jc w:val="left"/>
              <w:rPr>
                <w:rFonts w:hint="eastAsia"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5187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30F785D4">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24B43140">
            <w:pPr>
              <w:spacing w:line="360" w:lineRule="auto"/>
              <w:ind w:left="211" w:hanging="211" w:hangingChars="100"/>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5E482AC9">
            <w:pPr>
              <w:spacing w:line="360" w:lineRule="auto"/>
              <w:jc w:val="center"/>
              <w:rPr>
                <w:rFonts w:hint="eastAsia"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59E2D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0A8B87">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4698C592">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4ADAAC61">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0202C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DAFBE52">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455DD26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CD5A8EF">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6EFCD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DDFE7C3">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09D69D53">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75759FFC">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2ECEF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FBCFF18">
            <w:pPr>
              <w:spacing w:line="360" w:lineRule="auto"/>
              <w:jc w:val="center"/>
              <w:rPr>
                <w:rFonts w:hint="eastAsia"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25CC3AB1">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096DF286">
            <w:pPr>
              <w:spacing w:line="360" w:lineRule="auto"/>
              <w:jc w:val="center"/>
              <w:rPr>
                <w:rFonts w:hint="eastAsia" w:ascii="宋体" w:hAnsi="宋体" w:eastAsia="宋体"/>
                <w:b/>
                <w:bCs/>
                <w:color w:val="000000" w:themeColor="text1"/>
                <w:szCs w:val="21"/>
                <w14:textFill>
                  <w14:solidFill>
                    <w14:schemeClr w14:val="tx1"/>
                  </w14:solidFill>
                </w14:textFill>
              </w:rPr>
            </w:pPr>
          </w:p>
        </w:tc>
      </w:tr>
      <w:tr w14:paraId="05E29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202918E4">
            <w:pPr>
              <w:spacing w:line="360" w:lineRule="auto"/>
              <w:jc w:val="left"/>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4B3B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A143C94">
            <w:pPr>
              <w:spacing w:line="360" w:lineRule="auto"/>
              <w:jc w:val="center"/>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05692C24">
            <w:pPr>
              <w:spacing w:line="360" w:lineRule="auto"/>
              <w:jc w:val="center"/>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73E16B0A">
            <w:pPr>
              <w:spacing w:line="360" w:lineRule="auto"/>
              <w:jc w:val="center"/>
              <w:rPr>
                <w:rFonts w:hint="eastAsia"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E2A1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931C4A">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3F2DC783">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3FCDAF1A">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1E883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0702E41">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6BD2E774">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17D0355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54653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32C91AF">
            <w:pPr>
              <w:spacing w:line="360" w:lineRule="auto"/>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4C18F4E6">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699E47EF">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r w14:paraId="550F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20A39B6">
            <w:pPr>
              <w:spacing w:line="360" w:lineRule="auto"/>
              <w:jc w:val="center"/>
              <w:rPr>
                <w:rFonts w:hint="eastAsia"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69866075">
            <w:pPr>
              <w:spacing w:line="360" w:lineRule="auto"/>
              <w:jc w:val="center"/>
              <w:rPr>
                <w:rFonts w:hint="eastAsia" w:ascii="宋体" w:hAnsi="宋体" w:eastAsia="宋体"/>
                <w:b/>
                <w:bCs/>
                <w:color w:val="000000" w:themeColor="text1"/>
                <w:szCs w:val="21"/>
                <w14:textFill>
                  <w14:solidFill>
                    <w14:schemeClr w14:val="tx1"/>
                  </w14:solidFill>
                </w14:textFill>
              </w:rPr>
            </w:pPr>
          </w:p>
        </w:tc>
        <w:tc>
          <w:tcPr>
            <w:tcW w:w="1470" w:type="pct"/>
            <w:vAlign w:val="center"/>
          </w:tcPr>
          <w:p w14:paraId="7AEDEA1A">
            <w:pPr>
              <w:spacing w:line="360" w:lineRule="auto"/>
              <w:jc w:val="center"/>
              <w:rPr>
                <w:rFonts w:hint="eastAsia" w:ascii="宋体" w:hAnsi="宋体" w:eastAsia="宋体"/>
                <w:b/>
                <w:bCs/>
                <w:color w:val="000000" w:themeColor="text1"/>
                <w:spacing w:val="-10"/>
                <w:szCs w:val="21"/>
                <w14:textFill>
                  <w14:solidFill>
                    <w14:schemeClr w14:val="tx1"/>
                  </w14:solidFill>
                </w14:textFill>
              </w:rPr>
            </w:pPr>
          </w:p>
        </w:tc>
      </w:tr>
    </w:tbl>
    <w:p w14:paraId="2933BC83">
      <w:pPr>
        <w:spacing w:before="217" w:beforeLines="50" w:line="360" w:lineRule="auto"/>
        <w:rPr>
          <w:rFonts w:hint="eastAsia"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62641D2A">
      <w:pPr>
        <w:pageBreakBefore/>
        <w:tabs>
          <w:tab w:val="left" w:pos="284"/>
          <w:tab w:val="left" w:pos="426"/>
          <w:tab w:val="left" w:pos="709"/>
        </w:tabs>
        <w:jc w:val="left"/>
        <w:rPr>
          <w:rFonts w:hint="eastAsia"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65FA011">
      <w:pPr>
        <w:spacing w:before="435" w:beforeLines="100" w:after="435" w:afterLines="100"/>
        <w:jc w:val="center"/>
        <w:rPr>
          <w:rFonts w:hint="eastAsia"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D29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2603EC2">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669C1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ACDE39C">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3B69D61A">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7587444A">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36A77EB8">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1803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11AE71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28EB55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3FA4CA3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106EEB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56391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69DF67">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4B8A404B">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82CB66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656D153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1B5B7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1E900B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F633B6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62F2B1D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0B02BB84">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3AEEB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8D341DE">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225BC0C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E1A8B05">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1114DD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6E6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B3F556C">
            <w:pPr>
              <w:spacing w:line="360" w:lineRule="auto"/>
              <w:jc w:val="center"/>
              <w:rPr>
                <w:rFonts w:hint="eastAsia"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40A47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83A2C83">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DB18B64">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C69A8D0">
            <w:pPr>
              <w:spacing w:line="360" w:lineRule="auto"/>
              <w:jc w:val="center"/>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5E12C51D">
            <w:pPr>
              <w:spacing w:line="360" w:lineRule="auto"/>
              <w:jc w:val="center"/>
              <w:rPr>
                <w:rFonts w:hint="eastAsia"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520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DAF211">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634AA81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0148DB77">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9E8B51B">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0A8B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E2A6F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036FB76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54AF220A">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2347B87E">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E0F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0A5B698">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1858989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577DBED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1CD31DB7">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E6F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AFB7E44">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7BFC30D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71D34F39">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739B32D">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2EC0B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783B9CF">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3F9434A3">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43756B9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37947303">
            <w:pPr>
              <w:spacing w:line="360" w:lineRule="auto"/>
              <w:jc w:val="center"/>
              <w:rPr>
                <w:rFonts w:hint="eastAsia" w:ascii="宋体" w:hAnsi="宋体" w:eastAsia="宋体"/>
                <w:b/>
                <w:color w:val="000000" w:themeColor="text1"/>
                <w:szCs w:val="21"/>
                <w14:textFill>
                  <w14:solidFill>
                    <w14:schemeClr w14:val="tx1"/>
                  </w14:solidFill>
                </w14:textFill>
              </w:rPr>
            </w:pPr>
          </w:p>
        </w:tc>
      </w:tr>
      <w:tr w14:paraId="710D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9F83A62">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914" w:type="pct"/>
            <w:vAlign w:val="center"/>
          </w:tcPr>
          <w:p w14:paraId="5FB63C16">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994" w:type="pct"/>
            <w:vAlign w:val="center"/>
          </w:tcPr>
          <w:p w14:paraId="4137217D">
            <w:pPr>
              <w:spacing w:line="360" w:lineRule="auto"/>
              <w:jc w:val="center"/>
              <w:rPr>
                <w:rFonts w:hint="eastAsia" w:ascii="宋体" w:hAnsi="宋体" w:eastAsia="宋体"/>
                <w:b/>
                <w:color w:val="000000" w:themeColor="text1"/>
                <w:szCs w:val="21"/>
                <w14:textFill>
                  <w14:solidFill>
                    <w14:schemeClr w14:val="tx1"/>
                  </w14:solidFill>
                </w14:textFill>
              </w:rPr>
            </w:pPr>
          </w:p>
        </w:tc>
        <w:tc>
          <w:tcPr>
            <w:tcW w:w="1445" w:type="pct"/>
            <w:vAlign w:val="center"/>
          </w:tcPr>
          <w:p w14:paraId="7CAED5C8">
            <w:pPr>
              <w:spacing w:line="360" w:lineRule="auto"/>
              <w:jc w:val="center"/>
              <w:rPr>
                <w:rFonts w:hint="eastAsia" w:ascii="宋体" w:hAnsi="宋体" w:eastAsia="宋体"/>
                <w:b/>
                <w:color w:val="000000" w:themeColor="text1"/>
                <w:szCs w:val="21"/>
                <w14:textFill>
                  <w14:solidFill>
                    <w14:schemeClr w14:val="tx1"/>
                  </w14:solidFill>
                </w14:textFill>
              </w:rPr>
            </w:pPr>
          </w:p>
        </w:tc>
      </w:tr>
    </w:tbl>
    <w:p w14:paraId="5ACAED60">
      <w:pPr>
        <w:spacing w:before="217" w:before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4DFB881F">
      <w:pPr>
        <w:pageBreakBefore/>
        <w:rPr>
          <w:rFonts w:hint="eastAsia" w:ascii="宋体" w:hAnsi="宋体" w:eastAsia="宋体"/>
          <w:b/>
          <w:bCs/>
        </w:rPr>
      </w:pPr>
      <w:bookmarkStart w:id="39" w:name="_Toc169799787"/>
      <w:r>
        <w:rPr>
          <w:rFonts w:ascii="宋体" w:hAnsi="宋体" w:eastAsia="宋体"/>
          <w:b/>
          <w:bCs/>
          <w:sz w:val="24"/>
          <w:szCs w:val="28"/>
        </w:rPr>
        <w:t>格式一：</w:t>
      </w:r>
      <w:bookmarkEnd w:id="39"/>
    </w:p>
    <w:p w14:paraId="7642FB62">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47F3FD58">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2BF21779">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hint="eastAsia" w:ascii="Calibri" w:hAnsi="Calibri" w:eastAsia="宋体" w:cs="Times New Roman"/>
          <w:color w:val="auto"/>
          <w:kern w:val="0"/>
          <w:szCs w:val="21"/>
          <w:u w:val="single"/>
        </w:rPr>
        <w:t xml:space="preserve">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24A5E9D7">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685886D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410105A0">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w:t>
      </w:r>
      <w:r>
        <w:rPr>
          <w:rFonts w:hint="eastAsia" w:ascii="宋体" w:hAnsi="宋体" w:eastAsia="宋体" w:cs="Times New Roman"/>
          <w:color w:val="auto"/>
          <w:kern w:val="0"/>
          <w:szCs w:val="21"/>
          <w:u w:val="single"/>
          <w:lang w:eastAsia="zh-CN"/>
        </w:rPr>
        <w:t>，</w:t>
      </w:r>
      <w:r>
        <w:rPr>
          <w:rFonts w:ascii="宋体" w:hAnsi="宋体" w:eastAsia="宋体" w:cs="Times New Roman"/>
          <w:color w:val="auto"/>
          <w:kern w:val="0"/>
          <w:szCs w:val="21"/>
          <w:u w:val="single"/>
          <w:lang w:eastAsia="zh-Hans"/>
        </w:rPr>
        <w:t>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564DE68A">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我方已完全明白招标文件的所有条款要求，并申明如下：</w:t>
      </w:r>
    </w:p>
    <w:p w14:paraId="53ADE9D3">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（一）按招标文件提供的全部货物与相关服务的投标总价详见《开标一览表》。</w:t>
      </w:r>
    </w:p>
    <w:p w14:paraId="6BFFF6C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D2D6CF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则贵方将不予退还投标保证金。</w:t>
      </w:r>
    </w:p>
    <w:p w14:paraId="036B05CE">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00E431B0">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6FA31C62">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13EA0D1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6B2D5084">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56A784B">
      <w:pPr>
        <w:widowControl/>
        <w:ind w:firstLine="200"/>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69B5BF7B">
      <w:pPr>
        <w:widowControl/>
        <w:ind w:firstLine="200"/>
        <w:jc w:val="left"/>
        <w:rPr>
          <w:rFonts w:hint="eastAsia"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0D94CF9A">
      <w:pPr>
        <w:widowControl/>
        <w:spacing w:after="870" w:afterLines="200"/>
        <w:ind w:firstLine="198"/>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（十一）</w:t>
      </w:r>
      <w:r>
        <w:rPr>
          <w:rFonts w:ascii="宋体" w:hAnsi="宋体" w:eastAsia="宋体" w:cs="Times New Roman"/>
          <w:color w:val="auto"/>
          <w:kern w:val="0"/>
          <w:szCs w:val="21"/>
          <w:lang w:eastAsia="zh-Hans"/>
        </w:rPr>
        <w:t>所有与本招标有关的函件请发往下列地址：</w:t>
      </w:r>
    </w:p>
    <w:p w14:paraId="11CC68F8">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5B067B82">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7788620A">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5D10CFA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36CB964E">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5980F588">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033370E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586248C">
      <w:pPr>
        <w:widowControl/>
        <w:jc w:val="left"/>
        <w:rPr>
          <w:rFonts w:ascii="Calibri" w:hAnsi="Calibri" w:eastAsia="宋体" w:cs="Times New Roman"/>
          <w:kern w:val="0"/>
          <w:sz w:val="20"/>
          <w:szCs w:val="20"/>
          <w:lang w:eastAsia="zh-Hans"/>
        </w:rPr>
      </w:pPr>
    </w:p>
    <w:p w14:paraId="6144DBA6">
      <w:pPr>
        <w:pageBreakBefore/>
        <w:rPr>
          <w:rFonts w:ascii="Calibri" w:hAnsi="Calibri" w:eastAsia="宋体" w:cs="Times New Roman"/>
          <w:kern w:val="0"/>
          <w:sz w:val="20"/>
          <w:szCs w:val="20"/>
          <w:lang w:eastAsia="zh-Hans"/>
        </w:rPr>
      </w:pPr>
      <w:bookmarkStart w:id="40" w:name="_Toc169799788"/>
      <w:r>
        <w:rPr>
          <w:rFonts w:ascii="宋体" w:hAnsi="宋体" w:eastAsia="宋体"/>
          <w:b/>
          <w:bCs/>
          <w:sz w:val="24"/>
          <w:szCs w:val="28"/>
        </w:rPr>
        <w:t>格式二：</w:t>
      </w:r>
      <w:bookmarkEnd w:id="40"/>
    </w:p>
    <w:p w14:paraId="0B3E1560">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080301E8">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396D7B1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2F84FC53">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286"/>
        <w:gridCol w:w="1521"/>
        <w:gridCol w:w="1536"/>
        <w:gridCol w:w="3300"/>
        <w:gridCol w:w="1217"/>
      </w:tblGrid>
      <w:tr w14:paraId="4F581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26" w:type="dxa"/>
            <w:vAlign w:val="center"/>
          </w:tcPr>
          <w:p w14:paraId="35D416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序号</w:t>
            </w:r>
          </w:p>
        </w:tc>
        <w:tc>
          <w:tcPr>
            <w:tcW w:w="1286" w:type="dxa"/>
            <w:vAlign w:val="center"/>
          </w:tcPr>
          <w:p w14:paraId="482A54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名称</w:t>
            </w:r>
          </w:p>
        </w:tc>
        <w:tc>
          <w:tcPr>
            <w:tcW w:w="1521" w:type="dxa"/>
            <w:vAlign w:val="center"/>
          </w:tcPr>
          <w:p w14:paraId="27189E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总价（元）</w:t>
            </w:r>
          </w:p>
        </w:tc>
        <w:tc>
          <w:tcPr>
            <w:tcW w:w="1536" w:type="dxa"/>
            <w:vAlign w:val="center"/>
          </w:tcPr>
          <w:p w14:paraId="434144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单价（元）</w:t>
            </w:r>
          </w:p>
        </w:tc>
        <w:tc>
          <w:tcPr>
            <w:tcW w:w="3300" w:type="dxa"/>
            <w:vAlign w:val="center"/>
          </w:tcPr>
          <w:p w14:paraId="481462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报价说明</w:t>
            </w:r>
          </w:p>
        </w:tc>
        <w:tc>
          <w:tcPr>
            <w:tcW w:w="1217" w:type="dxa"/>
            <w:vAlign w:val="center"/>
          </w:tcPr>
          <w:p w14:paraId="67F88E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备注</w:t>
            </w:r>
          </w:p>
        </w:tc>
      </w:tr>
      <w:tr w14:paraId="220F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426" w:type="dxa"/>
            <w:vAlign w:val="center"/>
          </w:tcPr>
          <w:p w14:paraId="2D6B45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w:t>
            </w:r>
          </w:p>
        </w:tc>
        <w:tc>
          <w:tcPr>
            <w:tcW w:w="1286" w:type="dxa"/>
            <w:vAlign w:val="center"/>
          </w:tcPr>
          <w:p w14:paraId="3A28D6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假农药、劣质农药、过期农药及罚没农药收运及处理费</w:t>
            </w:r>
          </w:p>
        </w:tc>
        <w:tc>
          <w:tcPr>
            <w:tcW w:w="1521" w:type="dxa"/>
            <w:vAlign w:val="center"/>
          </w:tcPr>
          <w:p w14:paraId="49B264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c>
          <w:tcPr>
            <w:tcW w:w="1536" w:type="dxa"/>
            <w:vAlign w:val="center"/>
          </w:tcPr>
          <w:p w14:paraId="30BED0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元/200千克</w:t>
            </w:r>
          </w:p>
        </w:tc>
        <w:tc>
          <w:tcPr>
            <w:tcW w:w="3300" w:type="dxa"/>
            <w:vAlign w:val="center"/>
          </w:tcPr>
          <w:p w14:paraId="27B481D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收运我市假农药、劣质农药、过期农药以及罚没农药并进行无害化处理。转运处理量上限为1吨。</w:t>
            </w:r>
          </w:p>
        </w:tc>
        <w:tc>
          <w:tcPr>
            <w:tcW w:w="1217" w:type="dxa"/>
            <w:vAlign w:val="center"/>
          </w:tcPr>
          <w:p w14:paraId="5D7230A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13F53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ins w:id="0" w:author="DGNJ3" w:date="2025-08-25T14:11:24Z"/>
        </w:trPr>
        <w:tc>
          <w:tcPr>
            <w:tcW w:w="9286" w:type="dxa"/>
            <w:gridSpan w:val="6"/>
            <w:vAlign w:val="center"/>
          </w:tcPr>
          <w:p w14:paraId="7FAC2C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sz w:val="21"/>
                <w:szCs w:val="21"/>
                <w:highlight w:val="none"/>
                <w:lang w:val="en-US" w:eastAsia="zh-CN"/>
              </w:rPr>
              <w:t>农药包装废弃物及废旧农膜</w:t>
            </w:r>
          </w:p>
        </w:tc>
      </w:tr>
      <w:tr w14:paraId="5AB8B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426" w:type="dxa"/>
            <w:vAlign w:val="center"/>
          </w:tcPr>
          <w:p w14:paraId="0E0E69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2</w:t>
            </w:r>
          </w:p>
        </w:tc>
        <w:tc>
          <w:tcPr>
            <w:tcW w:w="1286" w:type="dxa"/>
            <w:vAlign w:val="center"/>
          </w:tcPr>
          <w:p w14:paraId="1254C7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回收奖励金</w:t>
            </w:r>
          </w:p>
        </w:tc>
        <w:tc>
          <w:tcPr>
            <w:tcW w:w="1521" w:type="dxa"/>
            <w:vAlign w:val="center"/>
          </w:tcPr>
          <w:p w14:paraId="49698C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175,000.00</w:t>
            </w:r>
          </w:p>
        </w:tc>
        <w:tc>
          <w:tcPr>
            <w:tcW w:w="1536" w:type="dxa"/>
            <w:vAlign w:val="center"/>
          </w:tcPr>
          <w:p w14:paraId="23403E4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农药包装废弃物回收奖励金5000元/吨；</w:t>
            </w:r>
          </w:p>
          <w:p w14:paraId="1CA3B86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废旧农膜回收奖励金2000元/吨</w:t>
            </w:r>
          </w:p>
        </w:tc>
        <w:tc>
          <w:tcPr>
            <w:tcW w:w="3300" w:type="dxa"/>
            <w:vAlign w:val="center"/>
          </w:tcPr>
          <w:p w14:paraId="1A0CA29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回收农药包装废弃物27吨、奖励金5000元/吨，废旧农膜20吨、奖励金2000元/吨。</w:t>
            </w:r>
          </w:p>
          <w:p w14:paraId="64FBB3C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回收奖励金总额上限175，000.00元，达到上限后，即停止发放。</w:t>
            </w:r>
          </w:p>
        </w:tc>
        <w:tc>
          <w:tcPr>
            <w:tcW w:w="1217" w:type="dxa"/>
            <w:vAlign w:val="center"/>
          </w:tcPr>
          <w:p w14:paraId="14414D4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18A44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426" w:type="dxa"/>
            <w:vAlign w:val="center"/>
          </w:tcPr>
          <w:p w14:paraId="733727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3</w:t>
            </w:r>
          </w:p>
        </w:tc>
        <w:tc>
          <w:tcPr>
            <w:tcW w:w="1286" w:type="dxa"/>
            <w:vAlign w:val="center"/>
          </w:tcPr>
          <w:p w14:paraId="52638E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转运运输费</w:t>
            </w:r>
          </w:p>
        </w:tc>
        <w:tc>
          <w:tcPr>
            <w:tcW w:w="1521" w:type="dxa"/>
            <w:vAlign w:val="center"/>
          </w:tcPr>
          <w:p w14:paraId="6AE1CD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c>
          <w:tcPr>
            <w:tcW w:w="1536" w:type="dxa"/>
            <w:vAlign w:val="center"/>
          </w:tcPr>
          <w:p w14:paraId="67E906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元/个次</w:t>
            </w:r>
          </w:p>
        </w:tc>
        <w:tc>
          <w:tcPr>
            <w:tcW w:w="3300" w:type="dxa"/>
            <w:vAlign w:val="center"/>
          </w:tcPr>
          <w:p w14:paraId="051BBAF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采用“定期回收+应急处理”的模式，对转运点开展收运工作，合同期内全市转运约800个次。</w:t>
            </w:r>
          </w:p>
        </w:tc>
        <w:tc>
          <w:tcPr>
            <w:tcW w:w="1217" w:type="dxa"/>
            <w:vAlign w:val="center"/>
          </w:tcPr>
          <w:p w14:paraId="596F6DA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23D81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426" w:type="dxa"/>
            <w:vAlign w:val="center"/>
          </w:tcPr>
          <w:p w14:paraId="436561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4</w:t>
            </w:r>
          </w:p>
        </w:tc>
        <w:tc>
          <w:tcPr>
            <w:tcW w:w="1286" w:type="dxa"/>
            <w:vAlign w:val="center"/>
          </w:tcPr>
          <w:p w14:paraId="2A2D4D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回收处理</w:t>
            </w:r>
          </w:p>
          <w:p w14:paraId="2E2B3B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服务费</w:t>
            </w:r>
          </w:p>
        </w:tc>
        <w:tc>
          <w:tcPr>
            <w:tcW w:w="1521" w:type="dxa"/>
            <w:vAlign w:val="center"/>
          </w:tcPr>
          <w:p w14:paraId="23B24D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1536" w:type="dxa"/>
            <w:vAlign w:val="center"/>
          </w:tcPr>
          <w:p w14:paraId="5989CA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b w:val="0"/>
                <w:bCs w:val="0"/>
                <w:color w:val="auto"/>
                <w:lang w:val="en-US" w:eastAsia="zh-CN"/>
              </w:rPr>
            </w:pP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元/吨</w:t>
            </w:r>
          </w:p>
        </w:tc>
        <w:tc>
          <w:tcPr>
            <w:tcW w:w="3300" w:type="dxa"/>
            <w:vAlign w:val="center"/>
          </w:tcPr>
          <w:p w14:paraId="2130AF4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lang w:val="en-US" w:eastAsia="zh-CN"/>
              </w:rPr>
              <w:t>回收处理总量约47吨，其中农药包装废弃物约27吨、废旧农膜约20吨。</w:t>
            </w:r>
          </w:p>
        </w:tc>
        <w:tc>
          <w:tcPr>
            <w:tcW w:w="1217" w:type="dxa"/>
            <w:vAlign w:val="center"/>
          </w:tcPr>
          <w:p w14:paraId="15DE499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p>
        </w:tc>
      </w:tr>
      <w:tr w14:paraId="7010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12" w:type="dxa"/>
            <w:gridSpan w:val="2"/>
            <w:vAlign w:val="center"/>
          </w:tcPr>
          <w:p w14:paraId="2EBE1D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highlight w:val="none"/>
                <w:vertAlign w:val="baseline"/>
                <w:lang w:val="en-US" w:eastAsia="zh-CN"/>
              </w:rPr>
            </w:pPr>
            <w:r>
              <w:rPr>
                <w:rFonts w:hint="eastAsia" w:ascii="宋体" w:hAnsi="宋体" w:eastAsia="宋体" w:cs="宋体"/>
                <w:b w:val="0"/>
                <w:bCs w:val="0"/>
                <w:color w:val="auto"/>
                <w:sz w:val="21"/>
                <w:szCs w:val="21"/>
                <w:highlight w:val="none"/>
                <w:lang w:val="en-US" w:eastAsia="zh-CN"/>
              </w:rPr>
              <w:t>合计（元）</w:t>
            </w:r>
          </w:p>
        </w:tc>
        <w:tc>
          <w:tcPr>
            <w:tcW w:w="7574" w:type="dxa"/>
            <w:gridSpan w:val="4"/>
            <w:vAlign w:val="center"/>
          </w:tcPr>
          <w:p w14:paraId="3489CB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auto"/>
                <w:sz w:val="21"/>
                <w:szCs w:val="21"/>
                <w:highlight w:val="none"/>
                <w:lang w:val="en-US" w:eastAsia="zh-CN"/>
              </w:rPr>
              <w:t>小写：</w:t>
            </w:r>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 xml:space="preserve"> 大写：</w:t>
            </w:r>
            <w:r>
              <w:rPr>
                <w:rFonts w:hint="eastAsia" w:ascii="宋体" w:hAnsi="宋体" w:eastAsia="宋体" w:cs="宋体"/>
                <w:b w:val="0"/>
                <w:bCs w:val="0"/>
                <w:color w:val="auto"/>
                <w:sz w:val="21"/>
                <w:szCs w:val="21"/>
                <w:highlight w:val="none"/>
                <w:u w:val="single"/>
                <w:lang w:val="en-US" w:eastAsia="zh-CN"/>
              </w:rPr>
              <w:t xml:space="preserve">                </w:t>
            </w:r>
          </w:p>
        </w:tc>
      </w:tr>
      <w:tr w14:paraId="2893A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9286" w:type="dxa"/>
            <w:gridSpan w:val="6"/>
            <w:vAlign w:val="center"/>
          </w:tcPr>
          <w:p w14:paraId="17CEDE66">
            <w:pPr>
              <w:pStyle w:val="24"/>
              <w:numPr>
                <w:ilvl w:val="0"/>
                <w:numId w:val="0"/>
              </w:numPr>
              <w:snapToGrid w:val="0"/>
              <w:spacing w:line="360" w:lineRule="auto"/>
              <w:contextualSpacing/>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备注：</w:t>
            </w:r>
          </w:p>
          <w:p w14:paraId="5189300C">
            <w:pPr>
              <w:snapToGrid/>
              <w:spacing w:line="400" w:lineRule="exact"/>
              <w:ind w:firstLine="422" w:firstLineChars="200"/>
              <w:contextualSpacing/>
              <w:rPr>
                <w:rFonts w:hint="default" w:ascii="宋体" w:hAnsi="宋体" w:eastAsia="宋体" w:cs="宋体"/>
                <w:b/>
                <w:bCs/>
                <w:color w:val="auto"/>
                <w:sz w:val="21"/>
                <w:szCs w:val="21"/>
                <w:highlight w:val="none"/>
                <w:u w:val="single"/>
                <w:lang w:val="en-US" w:eastAsia="zh-CN"/>
              </w:rPr>
            </w:pPr>
            <w:r>
              <w:rPr>
                <w:rFonts w:hint="eastAsia" w:ascii="宋体" w:hAnsi="宋体" w:eastAsia="宋体" w:cs="宋体"/>
                <w:b/>
                <w:bCs/>
                <w:color w:val="auto"/>
                <w:sz w:val="21"/>
                <w:szCs w:val="21"/>
                <w:highlight w:val="none"/>
                <w:u w:val="single"/>
                <w:lang w:val="en-US" w:eastAsia="zh-CN"/>
              </w:rPr>
              <w:t>1.“回收奖励金”为固定单价，即农药包装废弃物回收奖励金5000元/吨，废旧农膜回收奖励金2000元/吨，不得进行修改。</w:t>
            </w:r>
            <w:r>
              <w:rPr>
                <w:rFonts w:hint="eastAsia" w:ascii="宋体" w:hAnsi="宋体" w:eastAsia="宋体" w:cs="宋体"/>
                <w:b w:val="0"/>
                <w:bCs w:val="0"/>
                <w:color w:val="auto"/>
                <w:sz w:val="21"/>
                <w:szCs w:val="21"/>
                <w:highlight w:val="none"/>
                <w:lang w:val="en-US" w:eastAsia="zh-CN"/>
              </w:rPr>
              <w:t>回收奖励金总额上限175，000.00元，达到上限后，即停止发放。</w:t>
            </w:r>
          </w:p>
          <w:p w14:paraId="7950BE84">
            <w:pPr>
              <w:pStyle w:val="24"/>
              <w:snapToGrid w:val="0"/>
              <w:spacing w:line="360" w:lineRule="auto"/>
              <w:contextualSpacing/>
              <w:rPr>
                <w:rFonts w:hint="eastAsia" w:ascii="宋体" w:hAnsi="宋体" w:eastAsia="宋体" w:cs="宋体"/>
                <w:b w:val="0"/>
                <w:bCs w:val="0"/>
                <w:lang w:val="en-US" w:eastAsia="zh-CN"/>
              </w:rPr>
            </w:pPr>
            <w:r>
              <w:rPr>
                <w:rFonts w:hint="eastAsia" w:ascii="宋体" w:hAnsi="宋体" w:eastAsia="宋体" w:cs="宋体"/>
                <w:b w:val="0"/>
                <w:bCs w:val="0"/>
                <w:color w:val="auto"/>
                <w:sz w:val="21"/>
                <w:szCs w:val="21"/>
                <w:highlight w:val="none"/>
                <w:lang w:val="en-US" w:eastAsia="zh-CN"/>
              </w:rPr>
              <w:t>2.投标人需填报“假农药、劣质农药、过期农药及罚没农药收运及处理费”“转运运输费”“回收处理服务费”分项总价及单价，假农药、劣质农药、过期农药及罚没农药收运及处理费总价=假农药、劣质农药、过期农药及罚没农药收运及处理费单价×5，转运运输费总价=转运运输费单价×800个次，回收处理服务费总价=回收处理服务费单价×47吨。</w:t>
            </w:r>
          </w:p>
          <w:p w14:paraId="04BA89B2">
            <w:pPr>
              <w:pStyle w:val="24"/>
              <w:snapToGrid w:val="0"/>
              <w:spacing w:line="360" w:lineRule="auto"/>
              <w:contextualSpacing/>
              <w:rPr>
                <w:rFonts w:hint="eastAsia"/>
                <w:b w:val="0"/>
                <w:bCs w:val="0"/>
                <w:lang w:val="en-US" w:eastAsia="zh-CN"/>
              </w:rPr>
            </w:pPr>
            <w:r>
              <w:rPr>
                <w:rFonts w:hint="eastAsia" w:ascii="宋体" w:hAnsi="宋体" w:eastAsia="宋体" w:cs="宋体"/>
                <w:iCs/>
                <w:color w:val="auto"/>
                <w:sz w:val="21"/>
                <w:szCs w:val="21"/>
                <w:highlight w:val="none"/>
                <w:lang w:val="en-US" w:eastAsia="zh-CN"/>
              </w:rPr>
              <w:t>3.本项目</w:t>
            </w:r>
            <w:r>
              <w:rPr>
                <w:rFonts w:hint="eastAsia" w:ascii="宋体" w:hAnsi="宋体" w:eastAsia="宋体" w:cs="宋体"/>
                <w:b w:val="0"/>
                <w:bCs w:val="0"/>
                <w:color w:val="auto"/>
                <w:sz w:val="21"/>
                <w:szCs w:val="21"/>
                <w:highlight w:val="none"/>
                <w:lang w:val="en-US" w:eastAsia="zh-CN"/>
              </w:rPr>
              <w:t>假农药、劣质农药、过期农药及罚没农药收运及处理量、农药包装废弃物及废旧农膜转运个次及回收处理</w:t>
            </w:r>
            <w:r>
              <w:rPr>
                <w:rFonts w:hint="eastAsia" w:ascii="宋体" w:hAnsi="宋体" w:eastAsia="宋体" w:cs="宋体"/>
                <w:iCs/>
                <w:color w:val="auto"/>
                <w:sz w:val="21"/>
                <w:szCs w:val="21"/>
                <w:highlight w:val="none"/>
                <w:lang w:val="en-US" w:eastAsia="zh-CN"/>
              </w:rPr>
              <w:t>量存在不可控因素，如</w:t>
            </w:r>
            <w:r>
              <w:rPr>
                <w:rFonts w:hint="eastAsia" w:ascii="宋体" w:hAnsi="宋体" w:eastAsia="宋体" w:cs="宋体"/>
                <w:iCs/>
                <w:color w:val="auto"/>
                <w:sz w:val="21"/>
                <w:szCs w:val="21"/>
                <w:lang w:val="en-US" w:eastAsia="zh-CN"/>
              </w:rPr>
              <w:t>合同期满后</w:t>
            </w:r>
            <w:r>
              <w:rPr>
                <w:rFonts w:hint="eastAsia" w:ascii="宋体" w:hAnsi="宋体" w:eastAsia="宋体" w:cs="宋体"/>
                <w:iCs/>
                <w:color w:val="auto"/>
                <w:sz w:val="21"/>
                <w:szCs w:val="21"/>
                <w:highlight w:val="none"/>
                <w:lang w:val="en-US" w:eastAsia="zh-CN"/>
              </w:rPr>
              <w:t>还有未使用完合同价款的（含对应回收奖励金），中标人需在合同终止后10个工作日内无条件把余款退回至采购人指定账户。</w:t>
            </w:r>
          </w:p>
        </w:tc>
      </w:tr>
    </w:tbl>
    <w:p w14:paraId="3F260CC6">
      <w:pPr>
        <w:widowControl/>
        <w:jc w:val="left"/>
        <w:rPr>
          <w:rFonts w:ascii="Calibri" w:hAnsi="Calibri" w:eastAsia="宋体" w:cs="Times New Roman"/>
          <w:kern w:val="0"/>
          <w:szCs w:val="21"/>
        </w:rPr>
      </w:pPr>
    </w:p>
    <w:p w14:paraId="5B6FDB91">
      <w:pPr>
        <w:widowControl/>
        <w:jc w:val="left"/>
        <w:rPr>
          <w:rFonts w:ascii="Calibri" w:hAnsi="Calibri" w:eastAsia="宋体" w:cs="Times New Roman"/>
          <w:kern w:val="0"/>
          <w:szCs w:val="21"/>
        </w:rPr>
      </w:pPr>
    </w:p>
    <w:p w14:paraId="579E5FB5">
      <w:pPr>
        <w:pStyle w:val="2"/>
        <w:rPr>
          <w:rFonts w:hint="eastAsia" w:ascii="宋体" w:hAnsi="宋体" w:eastAsia="宋体" w:cs="宋体"/>
          <w:kern w:val="0"/>
          <w:szCs w:val="21"/>
        </w:rPr>
      </w:pPr>
    </w:p>
    <w:p w14:paraId="074186C7">
      <w:pPr>
        <w:rPr>
          <w:rFonts w:hint="eastAsia" w:ascii="宋体" w:hAnsi="宋体" w:eastAsia="宋体" w:cs="宋体"/>
          <w:kern w:val="0"/>
          <w:szCs w:val="21"/>
        </w:rPr>
      </w:pPr>
      <w:r>
        <w:rPr>
          <w:rFonts w:hint="eastAsia" w:ascii="宋体" w:hAnsi="宋体" w:eastAsia="宋体" w:cs="宋体"/>
          <w:kern w:val="0"/>
          <w:szCs w:val="21"/>
        </w:rPr>
        <w:t>1）投标总价栏须用文字和数字两种方式表示的投标总价。</w:t>
      </w:r>
    </w:p>
    <w:p w14:paraId="644ACFC2">
      <w:pPr>
        <w:rPr>
          <w:rFonts w:hint="eastAsia" w:ascii="宋体" w:hAnsi="宋体" w:eastAsia="宋体" w:cs="宋体"/>
          <w:kern w:val="0"/>
          <w:szCs w:val="21"/>
        </w:rPr>
      </w:pPr>
      <w:r>
        <w:rPr>
          <w:rFonts w:hint="eastAsia" w:ascii="宋体" w:hAnsi="宋体" w:eastAsia="宋体" w:cs="宋体"/>
          <w:kern w:val="0"/>
          <w:szCs w:val="21"/>
        </w:rPr>
        <w:t>2）开标一览表内容与投标文件中相应内容不一致的，以开标一览表为准。</w:t>
      </w:r>
    </w:p>
    <w:p w14:paraId="52A33B7B">
      <w:pPr>
        <w:rPr>
          <w:rFonts w:hint="eastAsia" w:ascii="宋体" w:hAnsi="宋体" w:eastAsia="宋体" w:cs="宋体"/>
          <w:kern w:val="0"/>
          <w:szCs w:val="21"/>
        </w:rPr>
      </w:pPr>
      <w:r>
        <w:rPr>
          <w:rFonts w:hint="eastAsia" w:ascii="宋体" w:hAnsi="宋体" w:eastAsia="宋体" w:cs="宋体"/>
          <w:kern w:val="0"/>
          <w:szCs w:val="21"/>
        </w:rPr>
        <w:t>3）大写金额和小写金额不一致的，以大写金额为准。</w:t>
      </w:r>
    </w:p>
    <w:p w14:paraId="0E87297F">
      <w:pPr>
        <w:pStyle w:val="2"/>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7D16D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7ACCEA4A">
            <w:pPr>
              <w:overflowPunct w:val="0"/>
              <w:adjustRightInd w:val="0"/>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62FF6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5C5C502">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B2C0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32F7C287">
            <w:pPr>
              <w:spacing w:line="30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49646519">
      <w:pPr>
        <w:widowControl/>
        <w:jc w:val="left"/>
        <w:rPr>
          <w:rFonts w:ascii="Calibri" w:hAnsi="Calibri" w:eastAsia="宋体" w:cs="Times New Roman"/>
          <w:kern w:val="0"/>
          <w:sz w:val="20"/>
          <w:szCs w:val="20"/>
          <w:lang w:eastAsia="zh-Hans"/>
        </w:rPr>
      </w:pPr>
    </w:p>
    <w:p w14:paraId="1901C49E">
      <w:pPr>
        <w:widowControl/>
        <w:jc w:val="left"/>
        <w:rPr>
          <w:rFonts w:ascii="Calibri" w:hAnsi="Calibri" w:eastAsia="宋体" w:cs="Times New Roman"/>
          <w:kern w:val="0"/>
          <w:sz w:val="20"/>
          <w:szCs w:val="20"/>
          <w:lang w:eastAsia="zh-Hans"/>
        </w:rPr>
      </w:pPr>
    </w:p>
    <w:p w14:paraId="498F04D0">
      <w:pPr>
        <w:pageBreakBefore/>
        <w:rPr>
          <w:rFonts w:ascii="Calibri" w:hAnsi="Calibri" w:eastAsia="宋体" w:cs="Times New Roman"/>
          <w:kern w:val="0"/>
          <w:sz w:val="20"/>
          <w:szCs w:val="20"/>
          <w:lang w:eastAsia="zh-Hans"/>
        </w:rPr>
      </w:pPr>
      <w:bookmarkStart w:id="41" w:name="_Toc169799789"/>
      <w:r>
        <w:rPr>
          <w:rFonts w:ascii="宋体" w:hAnsi="宋体" w:eastAsia="宋体"/>
          <w:b/>
          <w:bCs/>
          <w:sz w:val="24"/>
          <w:szCs w:val="28"/>
        </w:rPr>
        <w:t>格式</w:t>
      </w:r>
      <w:r>
        <w:rPr>
          <w:rFonts w:hint="eastAsia" w:ascii="宋体" w:hAnsi="宋体" w:eastAsia="宋体"/>
          <w:b/>
          <w:bCs/>
          <w:sz w:val="24"/>
          <w:szCs w:val="28"/>
          <w:lang w:val="en-US" w:eastAsia="zh-CN"/>
        </w:rPr>
        <w:t>三</w:t>
      </w:r>
      <w:r>
        <w:rPr>
          <w:rFonts w:ascii="宋体" w:hAnsi="宋体" w:eastAsia="宋体"/>
          <w:b/>
          <w:bCs/>
          <w:sz w:val="24"/>
          <w:szCs w:val="28"/>
        </w:rPr>
        <w:t>：</w:t>
      </w:r>
      <w:bookmarkEnd w:id="41"/>
    </w:p>
    <w:p w14:paraId="5CD17C42">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12047A30">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3D75D525">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65B3238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2850E5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E89628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4A7CFB4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64FF6E68">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66439CF0">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3C9723A">
      <w:pPr>
        <w:widowControl/>
        <w:ind w:right="840"/>
        <w:rPr>
          <w:rFonts w:ascii="宋体" w:hAnsi="宋体" w:eastAsia="宋体" w:cs="Times New Roman"/>
          <w:kern w:val="0"/>
          <w:szCs w:val="21"/>
          <w:lang w:eastAsia="zh-Hans"/>
        </w:rPr>
      </w:pPr>
    </w:p>
    <w:p w14:paraId="3B7FD1B1">
      <w:pPr>
        <w:widowControl/>
        <w:ind w:right="840"/>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72A8AD0F">
      <w:pPr>
        <w:widowControl/>
        <w:jc w:val="left"/>
        <w:rPr>
          <w:rFonts w:hint="eastAsia" w:ascii="宋体" w:hAnsi="宋体" w:eastAsia="宋体" w:cs="Times New Roman"/>
          <w:kern w:val="0"/>
          <w:szCs w:val="21"/>
          <w:lang w:eastAsia="zh-Hans"/>
        </w:rPr>
      </w:pPr>
    </w:p>
    <w:p w14:paraId="0C1A2FD1">
      <w:pPr>
        <w:pageBreakBefore/>
        <w:rPr>
          <w:rFonts w:ascii="Calibri" w:hAnsi="Calibri" w:eastAsia="宋体" w:cs="Times New Roman"/>
          <w:kern w:val="0"/>
          <w:szCs w:val="21"/>
          <w:lang w:eastAsia="zh-Hans"/>
        </w:rPr>
      </w:pPr>
      <w:bookmarkStart w:id="42" w:name="_Toc169799793"/>
      <w:r>
        <w:rPr>
          <w:rFonts w:ascii="宋体" w:hAnsi="宋体" w:eastAsia="宋体"/>
          <w:b/>
          <w:bCs/>
          <w:sz w:val="24"/>
          <w:szCs w:val="28"/>
        </w:rPr>
        <w:t>格式</w:t>
      </w:r>
      <w:r>
        <w:rPr>
          <w:rFonts w:hint="eastAsia" w:ascii="宋体" w:hAnsi="宋体" w:eastAsia="宋体"/>
          <w:b/>
          <w:bCs/>
          <w:sz w:val="24"/>
          <w:szCs w:val="28"/>
          <w:lang w:val="en-US" w:eastAsia="zh-CN"/>
        </w:rPr>
        <w:t>四</w:t>
      </w:r>
      <w:r>
        <w:rPr>
          <w:rFonts w:ascii="宋体" w:hAnsi="宋体" w:eastAsia="宋体"/>
          <w:b/>
          <w:bCs/>
          <w:sz w:val="24"/>
          <w:szCs w:val="28"/>
        </w:rPr>
        <w:t>：</w:t>
      </w:r>
      <w:bookmarkEnd w:id="42"/>
    </w:p>
    <w:p w14:paraId="42EB88FB">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22E5AFB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0C96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6F2DD9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2E5A25F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64135AE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2F0AD3B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40C54F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29449C4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277F409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6380CE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7907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8C6E02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3D225058">
            <w:pPr>
              <w:jc w:val="center"/>
              <w:rPr>
                <w:rFonts w:hint="eastAsia" w:ascii="宋体" w:hAnsi="宋体" w:eastAsia="宋体" w:cs="Times New Roman"/>
                <w:szCs w:val="21"/>
              </w:rPr>
            </w:pPr>
          </w:p>
        </w:tc>
        <w:tc>
          <w:tcPr>
            <w:tcW w:w="614" w:type="pct"/>
            <w:vAlign w:val="center"/>
          </w:tcPr>
          <w:p w14:paraId="647B7308">
            <w:pPr>
              <w:jc w:val="center"/>
              <w:rPr>
                <w:rFonts w:hint="eastAsia" w:ascii="宋体" w:hAnsi="宋体" w:eastAsia="宋体" w:cs="Times New Roman"/>
                <w:szCs w:val="21"/>
              </w:rPr>
            </w:pPr>
          </w:p>
        </w:tc>
        <w:tc>
          <w:tcPr>
            <w:tcW w:w="614" w:type="pct"/>
            <w:vAlign w:val="center"/>
          </w:tcPr>
          <w:p w14:paraId="20DDBB4D">
            <w:pPr>
              <w:jc w:val="center"/>
              <w:rPr>
                <w:rFonts w:hint="eastAsia" w:ascii="宋体" w:hAnsi="宋体" w:eastAsia="宋体" w:cs="Times New Roman"/>
                <w:szCs w:val="21"/>
              </w:rPr>
            </w:pPr>
          </w:p>
        </w:tc>
        <w:tc>
          <w:tcPr>
            <w:tcW w:w="613" w:type="pct"/>
            <w:vAlign w:val="center"/>
          </w:tcPr>
          <w:p w14:paraId="37400A20">
            <w:pPr>
              <w:jc w:val="center"/>
              <w:rPr>
                <w:rFonts w:hint="eastAsia" w:ascii="宋体" w:hAnsi="宋体" w:eastAsia="宋体" w:cs="Times New Roman"/>
                <w:szCs w:val="21"/>
              </w:rPr>
            </w:pPr>
          </w:p>
        </w:tc>
        <w:tc>
          <w:tcPr>
            <w:tcW w:w="614" w:type="pct"/>
            <w:vAlign w:val="center"/>
          </w:tcPr>
          <w:p w14:paraId="00524AC3">
            <w:pPr>
              <w:jc w:val="center"/>
              <w:rPr>
                <w:rFonts w:hint="eastAsia" w:ascii="宋体" w:hAnsi="宋体" w:eastAsia="宋体" w:cs="Times New Roman"/>
                <w:szCs w:val="21"/>
              </w:rPr>
            </w:pPr>
          </w:p>
        </w:tc>
        <w:tc>
          <w:tcPr>
            <w:tcW w:w="540" w:type="pct"/>
            <w:vAlign w:val="center"/>
          </w:tcPr>
          <w:p w14:paraId="59C1D7D0">
            <w:pPr>
              <w:jc w:val="center"/>
              <w:rPr>
                <w:rFonts w:hint="eastAsia" w:ascii="宋体" w:hAnsi="宋体" w:eastAsia="宋体" w:cs="Times New Roman"/>
                <w:szCs w:val="21"/>
              </w:rPr>
            </w:pPr>
          </w:p>
        </w:tc>
        <w:tc>
          <w:tcPr>
            <w:tcW w:w="624" w:type="pct"/>
            <w:vAlign w:val="center"/>
          </w:tcPr>
          <w:p w14:paraId="22A63E25">
            <w:pPr>
              <w:jc w:val="center"/>
              <w:rPr>
                <w:rFonts w:hint="eastAsia" w:ascii="宋体" w:hAnsi="宋体" w:eastAsia="宋体" w:cs="Times New Roman"/>
                <w:szCs w:val="21"/>
              </w:rPr>
            </w:pPr>
          </w:p>
        </w:tc>
      </w:tr>
      <w:tr w14:paraId="52131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093FC0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27930AB4">
            <w:pPr>
              <w:jc w:val="center"/>
              <w:rPr>
                <w:rFonts w:hint="eastAsia" w:ascii="宋体" w:hAnsi="宋体" w:eastAsia="宋体" w:cs="Times New Roman"/>
                <w:szCs w:val="21"/>
              </w:rPr>
            </w:pPr>
          </w:p>
        </w:tc>
        <w:tc>
          <w:tcPr>
            <w:tcW w:w="614" w:type="pct"/>
            <w:vAlign w:val="center"/>
          </w:tcPr>
          <w:p w14:paraId="55D3CA88">
            <w:pPr>
              <w:jc w:val="center"/>
              <w:rPr>
                <w:rFonts w:hint="eastAsia" w:ascii="宋体" w:hAnsi="宋体" w:eastAsia="宋体" w:cs="Times New Roman"/>
                <w:szCs w:val="21"/>
              </w:rPr>
            </w:pPr>
          </w:p>
        </w:tc>
        <w:tc>
          <w:tcPr>
            <w:tcW w:w="614" w:type="pct"/>
            <w:vAlign w:val="center"/>
          </w:tcPr>
          <w:p w14:paraId="3ACCBE84">
            <w:pPr>
              <w:jc w:val="center"/>
              <w:rPr>
                <w:rFonts w:hint="eastAsia" w:ascii="宋体" w:hAnsi="宋体" w:eastAsia="宋体" w:cs="Times New Roman"/>
                <w:szCs w:val="21"/>
              </w:rPr>
            </w:pPr>
          </w:p>
        </w:tc>
        <w:tc>
          <w:tcPr>
            <w:tcW w:w="613" w:type="pct"/>
            <w:vAlign w:val="center"/>
          </w:tcPr>
          <w:p w14:paraId="7B2DA817">
            <w:pPr>
              <w:jc w:val="center"/>
              <w:rPr>
                <w:rFonts w:hint="eastAsia" w:ascii="宋体" w:hAnsi="宋体" w:eastAsia="宋体" w:cs="Times New Roman"/>
                <w:szCs w:val="21"/>
              </w:rPr>
            </w:pPr>
          </w:p>
        </w:tc>
        <w:tc>
          <w:tcPr>
            <w:tcW w:w="614" w:type="pct"/>
            <w:vAlign w:val="center"/>
          </w:tcPr>
          <w:p w14:paraId="7C4A4D24">
            <w:pPr>
              <w:jc w:val="center"/>
              <w:rPr>
                <w:rFonts w:hint="eastAsia" w:ascii="宋体" w:hAnsi="宋体" w:eastAsia="宋体" w:cs="Times New Roman"/>
                <w:szCs w:val="21"/>
              </w:rPr>
            </w:pPr>
          </w:p>
        </w:tc>
        <w:tc>
          <w:tcPr>
            <w:tcW w:w="540" w:type="pct"/>
            <w:vAlign w:val="center"/>
          </w:tcPr>
          <w:p w14:paraId="6AACC53C">
            <w:pPr>
              <w:jc w:val="center"/>
              <w:rPr>
                <w:rFonts w:hint="eastAsia" w:ascii="宋体" w:hAnsi="宋体" w:eastAsia="宋体" w:cs="Times New Roman"/>
                <w:szCs w:val="21"/>
              </w:rPr>
            </w:pPr>
          </w:p>
        </w:tc>
        <w:tc>
          <w:tcPr>
            <w:tcW w:w="624" w:type="pct"/>
            <w:vAlign w:val="center"/>
          </w:tcPr>
          <w:p w14:paraId="3A2F64B3">
            <w:pPr>
              <w:jc w:val="center"/>
              <w:rPr>
                <w:rFonts w:hint="eastAsia" w:ascii="宋体" w:hAnsi="宋体" w:eastAsia="宋体" w:cs="Times New Roman"/>
                <w:szCs w:val="21"/>
              </w:rPr>
            </w:pPr>
          </w:p>
        </w:tc>
      </w:tr>
      <w:tr w14:paraId="6B96A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B34673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7EA13C5C">
            <w:pPr>
              <w:jc w:val="center"/>
              <w:rPr>
                <w:rFonts w:hint="eastAsia" w:ascii="宋体" w:hAnsi="宋体" w:eastAsia="宋体" w:cs="Times New Roman"/>
                <w:szCs w:val="21"/>
              </w:rPr>
            </w:pPr>
          </w:p>
        </w:tc>
        <w:tc>
          <w:tcPr>
            <w:tcW w:w="614" w:type="pct"/>
            <w:vAlign w:val="center"/>
          </w:tcPr>
          <w:p w14:paraId="59B681AE">
            <w:pPr>
              <w:jc w:val="center"/>
              <w:rPr>
                <w:rFonts w:hint="eastAsia" w:ascii="宋体" w:hAnsi="宋体" w:eastAsia="宋体" w:cs="Times New Roman"/>
                <w:szCs w:val="21"/>
              </w:rPr>
            </w:pPr>
          </w:p>
        </w:tc>
        <w:tc>
          <w:tcPr>
            <w:tcW w:w="614" w:type="pct"/>
            <w:vAlign w:val="center"/>
          </w:tcPr>
          <w:p w14:paraId="3F568EAA">
            <w:pPr>
              <w:jc w:val="center"/>
              <w:rPr>
                <w:rFonts w:hint="eastAsia" w:ascii="宋体" w:hAnsi="宋体" w:eastAsia="宋体" w:cs="Times New Roman"/>
                <w:szCs w:val="21"/>
              </w:rPr>
            </w:pPr>
          </w:p>
        </w:tc>
        <w:tc>
          <w:tcPr>
            <w:tcW w:w="613" w:type="pct"/>
            <w:vAlign w:val="center"/>
          </w:tcPr>
          <w:p w14:paraId="4B74BAF1">
            <w:pPr>
              <w:jc w:val="center"/>
              <w:rPr>
                <w:rFonts w:hint="eastAsia" w:ascii="宋体" w:hAnsi="宋体" w:eastAsia="宋体" w:cs="Times New Roman"/>
                <w:szCs w:val="21"/>
              </w:rPr>
            </w:pPr>
          </w:p>
        </w:tc>
        <w:tc>
          <w:tcPr>
            <w:tcW w:w="614" w:type="pct"/>
            <w:vAlign w:val="center"/>
          </w:tcPr>
          <w:p w14:paraId="04E88F09">
            <w:pPr>
              <w:jc w:val="center"/>
              <w:rPr>
                <w:rFonts w:hint="eastAsia" w:ascii="宋体" w:hAnsi="宋体" w:eastAsia="宋体" w:cs="Times New Roman"/>
                <w:szCs w:val="21"/>
              </w:rPr>
            </w:pPr>
          </w:p>
        </w:tc>
        <w:tc>
          <w:tcPr>
            <w:tcW w:w="540" w:type="pct"/>
            <w:vAlign w:val="center"/>
          </w:tcPr>
          <w:p w14:paraId="4F42E4C7">
            <w:pPr>
              <w:jc w:val="center"/>
              <w:rPr>
                <w:rFonts w:hint="eastAsia" w:ascii="宋体" w:hAnsi="宋体" w:eastAsia="宋体" w:cs="Times New Roman"/>
                <w:szCs w:val="21"/>
              </w:rPr>
            </w:pPr>
          </w:p>
        </w:tc>
        <w:tc>
          <w:tcPr>
            <w:tcW w:w="624" w:type="pct"/>
            <w:vAlign w:val="center"/>
          </w:tcPr>
          <w:p w14:paraId="4A6DA61A">
            <w:pPr>
              <w:jc w:val="center"/>
              <w:rPr>
                <w:rFonts w:hint="eastAsia" w:ascii="宋体" w:hAnsi="宋体" w:eastAsia="宋体" w:cs="Times New Roman"/>
                <w:szCs w:val="21"/>
              </w:rPr>
            </w:pPr>
          </w:p>
        </w:tc>
      </w:tr>
      <w:tr w14:paraId="0065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B684A0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3678246F">
            <w:pPr>
              <w:jc w:val="center"/>
              <w:rPr>
                <w:rFonts w:hint="eastAsia" w:ascii="宋体" w:hAnsi="宋体" w:eastAsia="宋体" w:cs="Times New Roman"/>
                <w:szCs w:val="21"/>
              </w:rPr>
            </w:pPr>
          </w:p>
        </w:tc>
        <w:tc>
          <w:tcPr>
            <w:tcW w:w="614" w:type="pct"/>
            <w:vAlign w:val="center"/>
          </w:tcPr>
          <w:p w14:paraId="5EF6BBC0">
            <w:pPr>
              <w:jc w:val="center"/>
              <w:rPr>
                <w:rFonts w:hint="eastAsia" w:ascii="宋体" w:hAnsi="宋体" w:eastAsia="宋体" w:cs="Times New Roman"/>
                <w:szCs w:val="21"/>
              </w:rPr>
            </w:pPr>
          </w:p>
        </w:tc>
        <w:tc>
          <w:tcPr>
            <w:tcW w:w="614" w:type="pct"/>
            <w:vAlign w:val="center"/>
          </w:tcPr>
          <w:p w14:paraId="7A72B803">
            <w:pPr>
              <w:jc w:val="center"/>
              <w:rPr>
                <w:rFonts w:hint="eastAsia" w:ascii="宋体" w:hAnsi="宋体" w:eastAsia="宋体" w:cs="Times New Roman"/>
                <w:szCs w:val="21"/>
              </w:rPr>
            </w:pPr>
          </w:p>
        </w:tc>
        <w:tc>
          <w:tcPr>
            <w:tcW w:w="613" w:type="pct"/>
            <w:vAlign w:val="center"/>
          </w:tcPr>
          <w:p w14:paraId="29EB1CDF">
            <w:pPr>
              <w:jc w:val="center"/>
              <w:rPr>
                <w:rFonts w:hint="eastAsia" w:ascii="宋体" w:hAnsi="宋体" w:eastAsia="宋体" w:cs="Times New Roman"/>
                <w:szCs w:val="21"/>
              </w:rPr>
            </w:pPr>
          </w:p>
        </w:tc>
        <w:tc>
          <w:tcPr>
            <w:tcW w:w="614" w:type="pct"/>
            <w:vAlign w:val="center"/>
          </w:tcPr>
          <w:p w14:paraId="02E05C72">
            <w:pPr>
              <w:jc w:val="center"/>
              <w:rPr>
                <w:rFonts w:hint="eastAsia" w:ascii="宋体" w:hAnsi="宋体" w:eastAsia="宋体" w:cs="Times New Roman"/>
                <w:szCs w:val="21"/>
              </w:rPr>
            </w:pPr>
          </w:p>
        </w:tc>
        <w:tc>
          <w:tcPr>
            <w:tcW w:w="540" w:type="pct"/>
            <w:vAlign w:val="center"/>
          </w:tcPr>
          <w:p w14:paraId="23221793">
            <w:pPr>
              <w:jc w:val="center"/>
              <w:rPr>
                <w:rFonts w:hint="eastAsia" w:ascii="宋体" w:hAnsi="宋体" w:eastAsia="宋体" w:cs="Times New Roman"/>
                <w:szCs w:val="21"/>
              </w:rPr>
            </w:pPr>
          </w:p>
        </w:tc>
        <w:tc>
          <w:tcPr>
            <w:tcW w:w="624" w:type="pct"/>
            <w:vAlign w:val="center"/>
          </w:tcPr>
          <w:p w14:paraId="287CC81B">
            <w:pPr>
              <w:jc w:val="center"/>
              <w:rPr>
                <w:rFonts w:hint="eastAsia" w:ascii="宋体" w:hAnsi="宋体" w:eastAsia="宋体" w:cs="Times New Roman"/>
                <w:szCs w:val="21"/>
              </w:rPr>
            </w:pPr>
          </w:p>
        </w:tc>
      </w:tr>
      <w:tr w14:paraId="71579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0EFB8C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7B5E35B9">
            <w:pPr>
              <w:jc w:val="center"/>
              <w:rPr>
                <w:rFonts w:hint="eastAsia" w:ascii="宋体" w:hAnsi="宋体" w:eastAsia="宋体" w:cs="Times New Roman"/>
                <w:szCs w:val="21"/>
              </w:rPr>
            </w:pPr>
          </w:p>
        </w:tc>
        <w:tc>
          <w:tcPr>
            <w:tcW w:w="614" w:type="pct"/>
            <w:vAlign w:val="center"/>
          </w:tcPr>
          <w:p w14:paraId="2584B866">
            <w:pPr>
              <w:jc w:val="center"/>
              <w:rPr>
                <w:rFonts w:hint="eastAsia" w:ascii="宋体" w:hAnsi="宋体" w:eastAsia="宋体" w:cs="Times New Roman"/>
                <w:szCs w:val="21"/>
              </w:rPr>
            </w:pPr>
          </w:p>
        </w:tc>
        <w:tc>
          <w:tcPr>
            <w:tcW w:w="614" w:type="pct"/>
            <w:vAlign w:val="center"/>
          </w:tcPr>
          <w:p w14:paraId="5D360996">
            <w:pPr>
              <w:jc w:val="center"/>
              <w:rPr>
                <w:rFonts w:hint="eastAsia" w:ascii="宋体" w:hAnsi="宋体" w:eastAsia="宋体" w:cs="Times New Roman"/>
                <w:szCs w:val="21"/>
              </w:rPr>
            </w:pPr>
          </w:p>
        </w:tc>
        <w:tc>
          <w:tcPr>
            <w:tcW w:w="613" w:type="pct"/>
            <w:vAlign w:val="center"/>
          </w:tcPr>
          <w:p w14:paraId="1EB6C5F7">
            <w:pPr>
              <w:jc w:val="center"/>
              <w:rPr>
                <w:rFonts w:hint="eastAsia" w:ascii="宋体" w:hAnsi="宋体" w:eastAsia="宋体" w:cs="Times New Roman"/>
                <w:szCs w:val="21"/>
              </w:rPr>
            </w:pPr>
          </w:p>
        </w:tc>
        <w:tc>
          <w:tcPr>
            <w:tcW w:w="614" w:type="pct"/>
            <w:vAlign w:val="center"/>
          </w:tcPr>
          <w:p w14:paraId="3E413C85">
            <w:pPr>
              <w:jc w:val="center"/>
              <w:rPr>
                <w:rFonts w:hint="eastAsia" w:ascii="宋体" w:hAnsi="宋体" w:eastAsia="宋体" w:cs="Times New Roman"/>
                <w:szCs w:val="21"/>
              </w:rPr>
            </w:pPr>
          </w:p>
        </w:tc>
        <w:tc>
          <w:tcPr>
            <w:tcW w:w="540" w:type="pct"/>
            <w:vAlign w:val="center"/>
          </w:tcPr>
          <w:p w14:paraId="190CA09D">
            <w:pPr>
              <w:jc w:val="center"/>
              <w:rPr>
                <w:rFonts w:hint="eastAsia" w:ascii="宋体" w:hAnsi="宋体" w:eastAsia="宋体" w:cs="Times New Roman"/>
                <w:szCs w:val="21"/>
              </w:rPr>
            </w:pPr>
          </w:p>
        </w:tc>
        <w:tc>
          <w:tcPr>
            <w:tcW w:w="624" w:type="pct"/>
            <w:vAlign w:val="center"/>
          </w:tcPr>
          <w:p w14:paraId="189823AE">
            <w:pPr>
              <w:jc w:val="center"/>
              <w:rPr>
                <w:rFonts w:hint="eastAsia" w:ascii="宋体" w:hAnsi="宋体" w:eastAsia="宋体" w:cs="Times New Roman"/>
                <w:szCs w:val="21"/>
              </w:rPr>
            </w:pPr>
          </w:p>
        </w:tc>
      </w:tr>
      <w:tr w14:paraId="5F647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C56212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25B66F31">
            <w:pPr>
              <w:jc w:val="center"/>
              <w:rPr>
                <w:rFonts w:hint="eastAsia" w:ascii="宋体" w:hAnsi="宋体" w:eastAsia="宋体" w:cs="Times New Roman"/>
                <w:szCs w:val="21"/>
              </w:rPr>
            </w:pPr>
          </w:p>
        </w:tc>
        <w:tc>
          <w:tcPr>
            <w:tcW w:w="614" w:type="pct"/>
            <w:vAlign w:val="center"/>
          </w:tcPr>
          <w:p w14:paraId="7FDC336C">
            <w:pPr>
              <w:jc w:val="center"/>
              <w:rPr>
                <w:rFonts w:hint="eastAsia" w:ascii="宋体" w:hAnsi="宋体" w:eastAsia="宋体" w:cs="Times New Roman"/>
                <w:szCs w:val="21"/>
              </w:rPr>
            </w:pPr>
          </w:p>
        </w:tc>
        <w:tc>
          <w:tcPr>
            <w:tcW w:w="614" w:type="pct"/>
            <w:vAlign w:val="center"/>
          </w:tcPr>
          <w:p w14:paraId="7FA3AACC">
            <w:pPr>
              <w:jc w:val="center"/>
              <w:rPr>
                <w:rFonts w:hint="eastAsia" w:ascii="宋体" w:hAnsi="宋体" w:eastAsia="宋体" w:cs="Times New Roman"/>
                <w:szCs w:val="21"/>
              </w:rPr>
            </w:pPr>
          </w:p>
        </w:tc>
        <w:tc>
          <w:tcPr>
            <w:tcW w:w="613" w:type="pct"/>
            <w:vAlign w:val="center"/>
          </w:tcPr>
          <w:p w14:paraId="0982C197">
            <w:pPr>
              <w:jc w:val="center"/>
              <w:rPr>
                <w:rFonts w:hint="eastAsia" w:ascii="宋体" w:hAnsi="宋体" w:eastAsia="宋体" w:cs="Times New Roman"/>
                <w:szCs w:val="21"/>
              </w:rPr>
            </w:pPr>
          </w:p>
        </w:tc>
        <w:tc>
          <w:tcPr>
            <w:tcW w:w="614" w:type="pct"/>
            <w:vAlign w:val="center"/>
          </w:tcPr>
          <w:p w14:paraId="110813A7">
            <w:pPr>
              <w:jc w:val="center"/>
              <w:rPr>
                <w:rFonts w:hint="eastAsia" w:ascii="宋体" w:hAnsi="宋体" w:eastAsia="宋体" w:cs="Times New Roman"/>
                <w:szCs w:val="21"/>
              </w:rPr>
            </w:pPr>
          </w:p>
        </w:tc>
        <w:tc>
          <w:tcPr>
            <w:tcW w:w="540" w:type="pct"/>
            <w:vAlign w:val="center"/>
          </w:tcPr>
          <w:p w14:paraId="2576DECF">
            <w:pPr>
              <w:jc w:val="center"/>
              <w:rPr>
                <w:rFonts w:hint="eastAsia" w:ascii="宋体" w:hAnsi="宋体" w:eastAsia="宋体" w:cs="Times New Roman"/>
                <w:szCs w:val="21"/>
              </w:rPr>
            </w:pPr>
          </w:p>
        </w:tc>
        <w:tc>
          <w:tcPr>
            <w:tcW w:w="624" w:type="pct"/>
            <w:vAlign w:val="center"/>
          </w:tcPr>
          <w:p w14:paraId="74FDC529">
            <w:pPr>
              <w:jc w:val="center"/>
              <w:rPr>
                <w:rFonts w:hint="eastAsia" w:ascii="宋体" w:hAnsi="宋体" w:eastAsia="宋体" w:cs="Times New Roman"/>
                <w:szCs w:val="21"/>
              </w:rPr>
            </w:pPr>
          </w:p>
        </w:tc>
      </w:tr>
    </w:tbl>
    <w:p w14:paraId="715ADA2F">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046291A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3F6B8EE6">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683EB6DB">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507882D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408F5013">
      <w:pPr>
        <w:widowControl/>
        <w:spacing w:before="870" w:beforeLines="200" w:line="300" w:lineRule="auto"/>
        <w:jc w:val="left"/>
        <w:rPr>
          <w:rFonts w:hint="eastAsia" w:ascii="宋体" w:hAnsi="宋体" w:eastAsia="宋体" w:cs="Times New Roman"/>
          <w:kern w:val="0"/>
          <w:szCs w:val="21"/>
          <w:lang w:eastAsia="zh-Hans"/>
        </w:rPr>
      </w:pPr>
      <w:bookmarkStart w:id="43"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72FE3C7">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3"/>
    </w:p>
    <w:p w14:paraId="6D32E3FF">
      <w:pPr>
        <w:pageBreakBefore/>
        <w:rPr>
          <w:rFonts w:hint="eastAsia" w:ascii="宋体" w:hAnsi="宋体" w:eastAsia="宋体" w:cs="Times New Roman"/>
          <w:kern w:val="0"/>
          <w:szCs w:val="21"/>
          <w:lang w:eastAsia="zh-Hans"/>
        </w:rPr>
      </w:pPr>
      <w:bookmarkStart w:id="44" w:name="_Toc169799794"/>
      <w:r>
        <w:rPr>
          <w:rFonts w:ascii="宋体" w:hAnsi="宋体" w:eastAsia="宋体"/>
          <w:b/>
          <w:bCs/>
          <w:sz w:val="24"/>
          <w:szCs w:val="28"/>
        </w:rPr>
        <w:t>格式</w:t>
      </w:r>
      <w:r>
        <w:rPr>
          <w:rFonts w:hint="eastAsia" w:ascii="宋体" w:hAnsi="宋体" w:eastAsia="宋体"/>
          <w:b/>
          <w:bCs/>
          <w:sz w:val="24"/>
          <w:szCs w:val="28"/>
          <w:lang w:val="en-US" w:eastAsia="zh-CN"/>
        </w:rPr>
        <w:t>五</w:t>
      </w:r>
      <w:r>
        <w:rPr>
          <w:rFonts w:ascii="宋体" w:hAnsi="宋体" w:eastAsia="宋体"/>
          <w:b/>
          <w:bCs/>
          <w:sz w:val="24"/>
          <w:szCs w:val="28"/>
        </w:rPr>
        <w:t>：</w:t>
      </w:r>
      <w:bookmarkEnd w:id="44"/>
    </w:p>
    <w:p w14:paraId="3C8AB30E">
      <w:pPr>
        <w:widowControl/>
        <w:jc w:val="left"/>
        <w:rPr>
          <w:rFonts w:hint="eastAsia" w:ascii="宋体" w:hAnsi="宋体" w:eastAsia="宋体" w:cs="Times New Roman"/>
          <w:kern w:val="0"/>
          <w:szCs w:val="21"/>
          <w:lang w:eastAsia="zh-Hans"/>
        </w:rPr>
      </w:pPr>
      <w:bookmarkStart w:id="45" w:name="_Hlk169795196"/>
      <w:r>
        <w:rPr>
          <w:rFonts w:ascii="宋体" w:hAnsi="宋体" w:eastAsia="宋体" w:cs="Times New Roman"/>
          <w:kern w:val="0"/>
          <w:szCs w:val="21"/>
          <w:lang w:eastAsia="zh-Hans"/>
        </w:rPr>
        <w:t>（以下格式文件由供应商根据需要选用）</w:t>
      </w:r>
      <w:bookmarkEnd w:id="45"/>
    </w:p>
    <w:p w14:paraId="0042352F">
      <w:pPr>
        <w:widowControl/>
        <w:spacing w:before="435" w:beforeLines="100" w:after="217" w:afterLines="50"/>
        <w:jc w:val="center"/>
        <w:outlineLvl w:val="3"/>
        <w:rPr>
          <w:rFonts w:hint="eastAsia" w:ascii="宋体" w:hAnsi="宋体" w:eastAsia="宋体" w:cs="Times New Roman"/>
          <w:kern w:val="0"/>
          <w:sz w:val="28"/>
          <w:szCs w:val="28"/>
          <w:lang w:eastAsia="zh-Hans"/>
        </w:rPr>
      </w:pPr>
      <w:r>
        <w:rPr>
          <w:rFonts w:ascii="宋体" w:hAnsi="宋体" w:eastAsia="宋体" w:cs="Times New Roman"/>
          <w:b/>
          <w:kern w:val="0"/>
          <w:sz w:val="32"/>
          <w:szCs w:val="32"/>
          <w:lang w:eastAsia="zh-Hans"/>
        </w:rPr>
        <w:t>联合体共同投标协议书</w:t>
      </w:r>
    </w:p>
    <w:p w14:paraId="5B3B438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立约方：</w:t>
      </w:r>
      <w:r>
        <w:rPr>
          <w:rFonts w:ascii="宋体" w:hAnsi="宋体" w:eastAsia="宋体" w:cs="Times New Roman"/>
          <w:kern w:val="0"/>
          <w:szCs w:val="21"/>
          <w:u w:val="single"/>
          <w:lang w:eastAsia="zh-Hans"/>
        </w:rPr>
        <w:t>（甲公司全称）</w:t>
      </w:r>
    </w:p>
    <w:p w14:paraId="760EE7A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（乙公司全称）</w:t>
      </w:r>
    </w:p>
    <w:p w14:paraId="0092254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（……公司全称）</w:t>
      </w:r>
    </w:p>
    <w:p w14:paraId="6BD2B07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自愿组成联合体，以一个投标人的身份共同参加（采购项目名称）（采购项目编号）的响应活动。经各方充分协商一致，就项目的响应和合同实施阶段的有关事务协商一致订立协议如下：</w:t>
      </w:r>
    </w:p>
    <w:p w14:paraId="67B35C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一、联合体各方关系</w:t>
      </w:r>
    </w:p>
    <w:p w14:paraId="585A76D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共同组成一个联合体，以一个投标人的身份共同参加本项目的响应。（甲公司全称）、（乙公司全称）、（……公司全称）作为联合体成员，若中标，联合体各方共同与（采购人）签订采购合同。</w:t>
      </w:r>
    </w:p>
    <w:p w14:paraId="239CB94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二、联合体内部有关事项约定如下：</w:t>
      </w:r>
    </w:p>
    <w:p w14:paraId="5B74F8FB">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1.（甲公司全称）作为联合体的牵头单位，代表联合体双方负责投标和合同实施阶段的主办、协调工作。</w:t>
      </w:r>
    </w:p>
    <w:p w14:paraId="4B85985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0B77A4FD">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3.如果本联合体中标，</w:t>
      </w:r>
      <w:r>
        <w:rPr>
          <w:rFonts w:ascii="宋体" w:hAnsi="宋体" w:eastAsia="宋体" w:cs="Times New Roman"/>
          <w:kern w:val="0"/>
          <w:szCs w:val="21"/>
          <w:u w:val="single"/>
          <w:lang w:eastAsia="zh-Hans"/>
        </w:rPr>
        <w:t>（甲公司全称）</w:t>
      </w:r>
      <w:r>
        <w:rPr>
          <w:rFonts w:ascii="宋体" w:hAnsi="宋体" w:eastAsia="宋体" w:cs="Times New Roman"/>
          <w:kern w:val="0"/>
          <w:szCs w:val="21"/>
          <w:lang w:eastAsia="zh-Hans"/>
        </w:rPr>
        <w:t>负责本项目___________部分，</w:t>
      </w:r>
      <w:r>
        <w:rPr>
          <w:rFonts w:ascii="宋体" w:hAnsi="宋体" w:eastAsia="宋体" w:cs="Times New Roman"/>
          <w:kern w:val="0"/>
          <w:szCs w:val="21"/>
          <w:u w:val="single"/>
          <w:lang w:eastAsia="zh-Hans"/>
        </w:rPr>
        <w:t>（乙公司全称）</w:t>
      </w:r>
      <w:r>
        <w:rPr>
          <w:rFonts w:ascii="宋体" w:hAnsi="宋体" w:eastAsia="宋体" w:cs="Times New Roman"/>
          <w:kern w:val="0"/>
          <w:szCs w:val="21"/>
          <w:lang w:eastAsia="zh-Hans"/>
        </w:rPr>
        <w:t>负责本项目___________部分。</w:t>
      </w:r>
    </w:p>
    <w:p w14:paraId="1C89384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4.如中标，联合体各方共同与（采购人）签订合同书，并就中标项目向采购人负责有连带的和各自的法律责任；</w:t>
      </w:r>
    </w:p>
    <w:p w14:paraId="4A7C0B0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5.联合体成员（公司全称）为（请填写：小型、微型）企业，将承担合同总金额_____%的工作内容（联合体成员中有小型、微型企业时适用）。</w:t>
      </w:r>
    </w:p>
    <w:p w14:paraId="4B12FD0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379DC4D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四、联合体如因违约过失责任而导致采购人经济损失或被索赔时，本联合体任何一方均同意无条件优先清偿采购人的一切债务和经济赔偿。</w:t>
      </w:r>
    </w:p>
    <w:p w14:paraId="5EFD062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五、本协议在自签署之日起生效，有效期内有效，如获中标资格，合同有效期延续至合同履行完毕之日。</w:t>
      </w:r>
    </w:p>
    <w:p w14:paraId="4ABEE18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六、本协议书正本一式_____份，随投标文件装订_____份，送采购人_____份，联合体成员各一份；副本一式_____份，联合体成员各执_____份。</w:t>
      </w:r>
    </w:p>
    <w:p w14:paraId="4AE43BD9">
      <w:pPr>
        <w:widowControl/>
        <w:jc w:val="left"/>
        <w:rPr>
          <w:rFonts w:hint="eastAsia" w:ascii="宋体" w:hAnsi="宋体" w:eastAsia="宋体" w:cs="Times New Roman"/>
          <w:kern w:val="0"/>
          <w:szCs w:val="21"/>
        </w:rPr>
      </w:pPr>
    </w:p>
    <w:p w14:paraId="0192ADE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甲公司全称：____（盖章）________，乙公司全称：____（盖章）________，……公司全称：____（盖章）________</w:t>
      </w:r>
    </w:p>
    <w:p w14:paraId="28ED159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____年____月 ____日，____年____月____日，____年____月____日</w:t>
      </w:r>
    </w:p>
    <w:p w14:paraId="5C322820">
      <w:pPr>
        <w:widowControl/>
        <w:spacing w:before="1305" w:beforeLines="300"/>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4201A14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1．联合响应时需签本协议，联合体各方成员应在本协议上共同盖章确认。</w:t>
      </w:r>
    </w:p>
    <w:p w14:paraId="7ABB6D6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2．本协议内容不得擅自修改。此协议将作为签订合同的附件之一。</w:t>
      </w:r>
    </w:p>
    <w:p w14:paraId="0BD94F0C">
      <w:pPr>
        <w:widowControl/>
        <w:jc w:val="left"/>
        <w:rPr>
          <w:rFonts w:ascii="Calibri" w:hAnsi="Calibri" w:eastAsia="宋体" w:cs="Times New Roman"/>
          <w:kern w:val="0"/>
          <w:sz w:val="20"/>
          <w:szCs w:val="20"/>
          <w:lang w:eastAsia="zh-Hans"/>
        </w:rPr>
      </w:pPr>
    </w:p>
    <w:p w14:paraId="35752D22">
      <w:pPr>
        <w:widowControl/>
        <w:jc w:val="left"/>
        <w:rPr>
          <w:rFonts w:ascii="Calibri" w:hAnsi="Calibri" w:eastAsia="宋体" w:cs="Times New Roman"/>
          <w:kern w:val="0"/>
          <w:sz w:val="20"/>
          <w:szCs w:val="20"/>
        </w:rPr>
      </w:pPr>
    </w:p>
    <w:p w14:paraId="66556174">
      <w:pPr>
        <w:pageBreakBefore/>
        <w:rPr>
          <w:rFonts w:ascii="Calibri" w:hAnsi="Calibri" w:eastAsia="宋体" w:cs="Times New Roman"/>
          <w:kern w:val="0"/>
          <w:sz w:val="20"/>
          <w:szCs w:val="20"/>
          <w:lang w:eastAsia="zh-Hans"/>
        </w:rPr>
      </w:pPr>
      <w:bookmarkStart w:id="46" w:name="_Toc169799795"/>
      <w:r>
        <w:rPr>
          <w:rFonts w:ascii="宋体" w:hAnsi="宋体" w:eastAsia="宋体"/>
          <w:b/>
          <w:bCs/>
          <w:sz w:val="24"/>
          <w:szCs w:val="28"/>
        </w:rPr>
        <w:t>格式</w:t>
      </w:r>
      <w:r>
        <w:rPr>
          <w:rFonts w:hint="eastAsia" w:ascii="宋体" w:hAnsi="宋体" w:eastAsia="宋体"/>
          <w:b/>
          <w:bCs/>
          <w:sz w:val="24"/>
          <w:szCs w:val="28"/>
          <w:lang w:val="en-US" w:eastAsia="zh-CN"/>
        </w:rPr>
        <w:t>六</w:t>
      </w:r>
      <w:r>
        <w:rPr>
          <w:rFonts w:ascii="宋体" w:hAnsi="宋体" w:eastAsia="宋体"/>
          <w:b/>
          <w:bCs/>
          <w:sz w:val="24"/>
          <w:szCs w:val="28"/>
        </w:rPr>
        <w:t>：</w:t>
      </w:r>
      <w:bookmarkEnd w:id="46"/>
    </w:p>
    <w:p w14:paraId="60FF7229">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1B5269A6">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BA829A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7516106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9B8915D">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33F215C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5EFC658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0705A6A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4174DA6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116CE5A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78C4812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33303D1">
      <w:pPr>
        <w:spacing w:before="217" w:beforeLines="50" w:after="217" w:afterLines="50" w:line="360" w:lineRule="auto"/>
        <w:rPr>
          <w:rFonts w:hint="eastAsia" w:ascii="宋体" w:hAnsi="宋体" w:eastAsia="宋体"/>
          <w:szCs w:val="21"/>
        </w:rPr>
      </w:pPr>
    </w:p>
    <w:p w14:paraId="56AEA32A">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B0DBCD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66700A06">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37C1F87C">
            <w:pPr>
              <w:pStyle w:val="27"/>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728AB0C5">
      <w:pPr>
        <w:widowControl/>
        <w:jc w:val="left"/>
        <w:rPr>
          <w:rFonts w:ascii="Calibri" w:hAnsi="Calibri" w:eastAsia="宋体" w:cs="Times New Roman"/>
          <w:kern w:val="0"/>
          <w:sz w:val="20"/>
          <w:szCs w:val="20"/>
          <w:lang w:eastAsia="zh-Hans"/>
        </w:rPr>
      </w:pPr>
    </w:p>
    <w:p w14:paraId="4F56ED7B">
      <w:pPr>
        <w:pageBreakBefore/>
        <w:rPr>
          <w:rFonts w:ascii="Calibri" w:hAnsi="Calibri" w:eastAsia="宋体" w:cs="Times New Roman"/>
          <w:kern w:val="0"/>
          <w:sz w:val="20"/>
          <w:szCs w:val="20"/>
          <w:lang w:eastAsia="zh-Hans"/>
        </w:rPr>
      </w:pPr>
      <w:bookmarkStart w:id="47" w:name="_Toc169799796"/>
      <w:r>
        <w:rPr>
          <w:rFonts w:ascii="宋体" w:hAnsi="宋体" w:eastAsia="宋体"/>
          <w:b/>
          <w:bCs/>
          <w:sz w:val="24"/>
          <w:szCs w:val="28"/>
        </w:rPr>
        <w:t>格式</w:t>
      </w:r>
      <w:r>
        <w:rPr>
          <w:rFonts w:hint="eastAsia" w:ascii="宋体" w:hAnsi="宋体" w:eastAsia="宋体"/>
          <w:b/>
          <w:bCs/>
          <w:sz w:val="24"/>
          <w:szCs w:val="28"/>
          <w:lang w:val="en-US" w:eastAsia="zh-CN"/>
        </w:rPr>
        <w:t>七</w:t>
      </w:r>
      <w:r>
        <w:rPr>
          <w:rFonts w:ascii="宋体" w:hAnsi="宋体" w:eastAsia="宋体"/>
          <w:b/>
          <w:bCs/>
          <w:sz w:val="24"/>
          <w:szCs w:val="28"/>
        </w:rPr>
        <w:t>：</w:t>
      </w:r>
      <w:bookmarkEnd w:id="47"/>
    </w:p>
    <w:p w14:paraId="7DCFE2A7">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57D16DD5">
      <w:pPr>
        <w:spacing w:before="652" w:beforeLines="150" w:line="360" w:lineRule="auto"/>
        <w:rPr>
          <w:rFonts w:hint="eastAsia"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790689B3">
      <w:pPr>
        <w:pStyle w:val="27"/>
        <w:spacing w:line="360" w:lineRule="auto"/>
        <w:ind w:firstLine="450" w:firstLineChars="0"/>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08FB17FC">
      <w:pPr>
        <w:pStyle w:val="27"/>
        <w:spacing w:line="360" w:lineRule="auto"/>
        <w:ind w:firstLine="428" w:firstLineChars="204"/>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7B99FA5">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6C531E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781D2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0738FA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5BA38BC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738E5A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787A3FE8">
      <w:pPr>
        <w:pStyle w:val="27"/>
        <w:spacing w:line="360" w:lineRule="auto"/>
        <w:ind w:firstLine="0" w:firstLineChars="0"/>
        <w:rPr>
          <w:rFonts w:hint="eastAsia"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0289412">
      <w:pPr>
        <w:pStyle w:val="27"/>
        <w:spacing w:line="360" w:lineRule="auto"/>
        <w:ind w:firstLine="0" w:firstLineChars="0"/>
        <w:rPr>
          <w:rFonts w:hint="eastAsia" w:ascii="宋体" w:eastAsia="宋体"/>
          <w:color w:val="000000" w:themeColor="text1"/>
          <w:sz w:val="21"/>
          <w:szCs w:val="21"/>
          <w14:textFill>
            <w14:solidFill>
              <w14:schemeClr w14:val="tx1"/>
            </w14:solidFill>
          </w14:textFill>
        </w:rPr>
      </w:pPr>
    </w:p>
    <w:p w14:paraId="0BDA4B79">
      <w:pPr>
        <w:spacing w:after="217" w:afterLines="50" w:line="360" w:lineRule="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7D425D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460AC46C">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7CE0BD6F">
            <w:pPr>
              <w:pStyle w:val="27"/>
              <w:spacing w:line="460" w:lineRule="exact"/>
              <w:ind w:firstLine="0" w:firstLineChars="0"/>
              <w:jc w:val="center"/>
              <w:rPr>
                <w:rFonts w:hint="eastAsia"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3FD8368D">
      <w:pPr>
        <w:widowControl/>
        <w:jc w:val="left"/>
        <w:rPr>
          <w:rFonts w:ascii="Calibri" w:hAnsi="Calibri" w:eastAsia="宋体" w:cs="Times New Roman"/>
          <w:kern w:val="0"/>
          <w:sz w:val="20"/>
          <w:szCs w:val="20"/>
          <w:lang w:eastAsia="zh-Hans"/>
        </w:rPr>
      </w:pPr>
    </w:p>
    <w:p w14:paraId="15CE9483">
      <w:pPr>
        <w:pageBreakBefore/>
        <w:rPr>
          <w:rFonts w:hint="eastAsia" w:ascii="宋体" w:hAnsi="宋体" w:eastAsia="宋体"/>
          <w:b/>
          <w:bCs/>
        </w:rPr>
      </w:pPr>
      <w:r>
        <w:rPr>
          <w:rFonts w:hint="eastAsia" w:ascii="宋体" w:hAnsi="宋体" w:eastAsia="宋体"/>
          <w:b/>
          <w:bCs/>
          <w:sz w:val="24"/>
          <w:szCs w:val="28"/>
        </w:rPr>
        <w:t>格式</w:t>
      </w:r>
      <w:r>
        <w:rPr>
          <w:rFonts w:hint="eastAsia" w:ascii="宋体" w:hAnsi="宋体" w:eastAsia="宋体"/>
          <w:b/>
          <w:bCs/>
          <w:sz w:val="24"/>
          <w:szCs w:val="28"/>
          <w:lang w:val="en-US" w:eastAsia="zh-CN"/>
        </w:rPr>
        <w:t>八</w:t>
      </w:r>
      <w:r>
        <w:rPr>
          <w:rFonts w:hint="eastAsia" w:ascii="宋体" w:hAnsi="宋体" w:eastAsia="宋体"/>
          <w:b/>
          <w:bCs/>
          <w:sz w:val="24"/>
          <w:szCs w:val="28"/>
        </w:rPr>
        <w:t>：</w:t>
      </w:r>
    </w:p>
    <w:p w14:paraId="0C3D1044">
      <w:pPr>
        <w:spacing w:before="217" w:beforeLines="50" w:after="435" w:afterLines="100" w:line="360" w:lineRule="auto"/>
        <w:jc w:val="center"/>
        <w:rPr>
          <w:rFonts w:hint="eastAsia"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02830B8C">
      <w:pPr>
        <w:adjustRightInd w:val="0"/>
        <w:snapToGrid w:val="0"/>
        <w:spacing w:line="360" w:lineRule="auto"/>
        <w:rPr>
          <w:rFonts w:hint="eastAsia"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59254574">
      <w:pPr>
        <w:adjustRightInd w:val="0"/>
        <w:snapToGrid w:val="0"/>
        <w:spacing w:before="217" w:beforeLines="50" w:line="360" w:lineRule="auto"/>
        <w:ind w:firstLine="424" w:firstLineChars="202"/>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063C4BB7">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46C24915">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52CE498D">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67C8DA0D">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600931B">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0A64737D">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5AB622">
      <w:pPr>
        <w:pStyle w:val="24"/>
        <w:widowControl/>
        <w:numPr>
          <w:ilvl w:val="0"/>
          <w:numId w:val="11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728E52BE">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6FE3D491">
      <w:pPr>
        <w:adjustRightInd w:val="0"/>
        <w:snapToGrid w:val="0"/>
        <w:spacing w:before="217" w:beforeLines="50" w:line="360" w:lineRule="auto"/>
        <w:ind w:firstLine="42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3F0D5A55">
      <w:pPr>
        <w:rPr>
          <w:rFonts w:hint="eastAsia" w:ascii="宋体" w:hAnsi="宋体" w:eastAsia="宋体" w:cs="Times New Roman"/>
          <w:szCs w:val="21"/>
        </w:rPr>
      </w:pPr>
    </w:p>
    <w:p w14:paraId="292E86F7">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D5D902E">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7AECF3">
      <w:pPr>
        <w:rPr>
          <w:rFonts w:hint="eastAsia" w:ascii="宋体" w:hAnsi="宋体" w:eastAsia="宋体" w:cs="Times New Roman"/>
          <w:szCs w:val="21"/>
        </w:rPr>
      </w:pPr>
    </w:p>
    <w:p w14:paraId="7734C3C5">
      <w:pPr>
        <w:pageBreakBefore/>
        <w:rPr>
          <w:rFonts w:ascii="Calibri" w:hAnsi="Calibri" w:eastAsia="宋体" w:cs="Times New Roman"/>
          <w:kern w:val="0"/>
          <w:szCs w:val="21"/>
          <w:lang w:eastAsia="zh-Hans"/>
        </w:rPr>
      </w:pPr>
      <w:bookmarkStart w:id="48" w:name="_Toc169799798"/>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48"/>
    </w:p>
    <w:p w14:paraId="586D896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22365597">
      <w:pPr>
        <w:widowControl/>
        <w:jc w:val="left"/>
        <w:rPr>
          <w:rFonts w:ascii="Calibri" w:hAnsi="Calibri" w:eastAsia="宋体" w:cs="Times New Roman"/>
          <w:kern w:val="0"/>
          <w:sz w:val="20"/>
          <w:szCs w:val="20"/>
          <w:lang w:eastAsia="zh-Hans"/>
        </w:rPr>
      </w:pPr>
    </w:p>
    <w:p w14:paraId="1A5B9033">
      <w:pPr>
        <w:pageBreakBefore/>
        <w:rPr>
          <w:rFonts w:hint="eastAsia" w:ascii="宋体" w:hAnsi="宋体" w:eastAsia="宋体"/>
          <w:b/>
          <w:bCs/>
        </w:rPr>
      </w:pPr>
      <w:bookmarkStart w:id="49" w:name="_Toc391627770"/>
      <w:bookmarkStart w:id="50" w:name="_Toc405313974"/>
      <w:r>
        <w:rPr>
          <w:rFonts w:hint="eastAsia" w:ascii="宋体" w:hAnsi="宋体" w:eastAsia="宋体"/>
          <w:b/>
          <w:bCs/>
          <w:sz w:val="24"/>
          <w:szCs w:val="28"/>
        </w:rPr>
        <w:t>格式十：</w:t>
      </w:r>
    </w:p>
    <w:p w14:paraId="2CEE831F">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9EF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B4D73C8">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348F685B">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783578B9">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11ADD769">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3E5E1C1D">
            <w:pPr>
              <w:jc w:val="center"/>
              <w:rPr>
                <w:rFonts w:hint="eastAsia" w:ascii="宋体" w:hAnsi="宋体" w:eastAsia="宋体"/>
                <w:b/>
                <w:bCs/>
                <w:szCs w:val="21"/>
              </w:rPr>
            </w:pPr>
            <w:r>
              <w:rPr>
                <w:rFonts w:hint="eastAsia" w:ascii="宋体" w:hAnsi="宋体" w:eastAsia="宋体"/>
                <w:b/>
                <w:bCs/>
                <w:szCs w:val="21"/>
              </w:rPr>
              <w:t>备注</w:t>
            </w:r>
          </w:p>
        </w:tc>
      </w:tr>
      <w:tr w14:paraId="36D5B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7E03ED7">
            <w:pPr>
              <w:jc w:val="center"/>
              <w:rPr>
                <w:rFonts w:hint="eastAsia" w:ascii="宋体" w:hAnsi="宋体" w:eastAsia="宋体"/>
                <w:szCs w:val="21"/>
              </w:rPr>
            </w:pPr>
          </w:p>
        </w:tc>
        <w:tc>
          <w:tcPr>
            <w:tcW w:w="1563" w:type="pct"/>
            <w:vAlign w:val="center"/>
          </w:tcPr>
          <w:p w14:paraId="27AB17EF">
            <w:pPr>
              <w:jc w:val="center"/>
              <w:rPr>
                <w:rFonts w:hint="eastAsia" w:ascii="宋体" w:hAnsi="宋体" w:eastAsia="宋体"/>
                <w:szCs w:val="21"/>
              </w:rPr>
            </w:pPr>
          </w:p>
        </w:tc>
        <w:tc>
          <w:tcPr>
            <w:tcW w:w="1164" w:type="pct"/>
            <w:vAlign w:val="center"/>
          </w:tcPr>
          <w:p w14:paraId="3E7F1EFA">
            <w:pPr>
              <w:jc w:val="center"/>
              <w:rPr>
                <w:rFonts w:hint="eastAsia" w:ascii="宋体" w:hAnsi="宋体" w:eastAsia="宋体"/>
                <w:szCs w:val="21"/>
              </w:rPr>
            </w:pPr>
          </w:p>
        </w:tc>
        <w:tc>
          <w:tcPr>
            <w:tcW w:w="732" w:type="pct"/>
            <w:vAlign w:val="center"/>
          </w:tcPr>
          <w:p w14:paraId="4D6D9A33">
            <w:pPr>
              <w:jc w:val="center"/>
              <w:rPr>
                <w:rFonts w:hint="eastAsia" w:ascii="宋体" w:hAnsi="宋体" w:eastAsia="宋体"/>
                <w:szCs w:val="21"/>
              </w:rPr>
            </w:pPr>
          </w:p>
        </w:tc>
        <w:tc>
          <w:tcPr>
            <w:tcW w:w="1009" w:type="pct"/>
            <w:vAlign w:val="center"/>
          </w:tcPr>
          <w:p w14:paraId="499A193D">
            <w:pPr>
              <w:jc w:val="center"/>
              <w:rPr>
                <w:rFonts w:hint="eastAsia" w:ascii="宋体" w:hAnsi="宋体" w:eastAsia="宋体"/>
                <w:szCs w:val="21"/>
              </w:rPr>
            </w:pPr>
          </w:p>
        </w:tc>
      </w:tr>
      <w:tr w14:paraId="5304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D54C706">
            <w:pPr>
              <w:jc w:val="center"/>
              <w:rPr>
                <w:rFonts w:hint="eastAsia" w:ascii="宋体" w:hAnsi="宋体" w:eastAsia="宋体"/>
                <w:szCs w:val="21"/>
              </w:rPr>
            </w:pPr>
          </w:p>
        </w:tc>
        <w:tc>
          <w:tcPr>
            <w:tcW w:w="1563" w:type="pct"/>
            <w:vAlign w:val="center"/>
          </w:tcPr>
          <w:p w14:paraId="01D41A48">
            <w:pPr>
              <w:jc w:val="center"/>
              <w:rPr>
                <w:rFonts w:hint="eastAsia" w:ascii="宋体" w:hAnsi="宋体" w:eastAsia="宋体"/>
                <w:szCs w:val="21"/>
              </w:rPr>
            </w:pPr>
          </w:p>
        </w:tc>
        <w:tc>
          <w:tcPr>
            <w:tcW w:w="1164" w:type="pct"/>
            <w:vAlign w:val="center"/>
          </w:tcPr>
          <w:p w14:paraId="56F101BC">
            <w:pPr>
              <w:jc w:val="center"/>
              <w:rPr>
                <w:rFonts w:hint="eastAsia" w:ascii="宋体" w:hAnsi="宋体" w:eastAsia="宋体"/>
                <w:szCs w:val="21"/>
              </w:rPr>
            </w:pPr>
          </w:p>
        </w:tc>
        <w:tc>
          <w:tcPr>
            <w:tcW w:w="732" w:type="pct"/>
            <w:vAlign w:val="center"/>
          </w:tcPr>
          <w:p w14:paraId="5B956B8A">
            <w:pPr>
              <w:jc w:val="center"/>
              <w:rPr>
                <w:rFonts w:hint="eastAsia" w:ascii="宋体" w:hAnsi="宋体" w:eastAsia="宋体"/>
                <w:szCs w:val="21"/>
              </w:rPr>
            </w:pPr>
          </w:p>
        </w:tc>
        <w:tc>
          <w:tcPr>
            <w:tcW w:w="1009" w:type="pct"/>
            <w:vAlign w:val="center"/>
          </w:tcPr>
          <w:p w14:paraId="492C53EC">
            <w:pPr>
              <w:jc w:val="center"/>
              <w:rPr>
                <w:rFonts w:hint="eastAsia" w:ascii="宋体" w:hAnsi="宋体" w:eastAsia="宋体"/>
                <w:szCs w:val="21"/>
              </w:rPr>
            </w:pPr>
          </w:p>
        </w:tc>
      </w:tr>
      <w:tr w14:paraId="1150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FB993C1">
            <w:pPr>
              <w:jc w:val="center"/>
              <w:rPr>
                <w:rFonts w:hint="eastAsia" w:ascii="宋体" w:hAnsi="宋体" w:eastAsia="宋体"/>
                <w:szCs w:val="21"/>
              </w:rPr>
            </w:pPr>
          </w:p>
        </w:tc>
        <w:tc>
          <w:tcPr>
            <w:tcW w:w="1563" w:type="pct"/>
            <w:vAlign w:val="center"/>
          </w:tcPr>
          <w:p w14:paraId="7F0787C3">
            <w:pPr>
              <w:jc w:val="center"/>
              <w:rPr>
                <w:rFonts w:hint="eastAsia" w:ascii="宋体" w:hAnsi="宋体" w:eastAsia="宋体"/>
                <w:szCs w:val="21"/>
              </w:rPr>
            </w:pPr>
          </w:p>
        </w:tc>
        <w:tc>
          <w:tcPr>
            <w:tcW w:w="1164" w:type="pct"/>
            <w:vAlign w:val="center"/>
          </w:tcPr>
          <w:p w14:paraId="05273825">
            <w:pPr>
              <w:jc w:val="center"/>
              <w:rPr>
                <w:rFonts w:hint="eastAsia" w:ascii="宋体" w:hAnsi="宋体" w:eastAsia="宋体"/>
                <w:szCs w:val="21"/>
              </w:rPr>
            </w:pPr>
          </w:p>
        </w:tc>
        <w:tc>
          <w:tcPr>
            <w:tcW w:w="732" w:type="pct"/>
            <w:vAlign w:val="center"/>
          </w:tcPr>
          <w:p w14:paraId="65A3176A">
            <w:pPr>
              <w:jc w:val="center"/>
              <w:rPr>
                <w:rFonts w:hint="eastAsia" w:ascii="宋体" w:hAnsi="宋体" w:eastAsia="宋体"/>
                <w:szCs w:val="21"/>
              </w:rPr>
            </w:pPr>
          </w:p>
        </w:tc>
        <w:tc>
          <w:tcPr>
            <w:tcW w:w="1009" w:type="pct"/>
            <w:vAlign w:val="center"/>
          </w:tcPr>
          <w:p w14:paraId="796D1CF8">
            <w:pPr>
              <w:jc w:val="center"/>
              <w:rPr>
                <w:rFonts w:hint="eastAsia" w:ascii="宋体" w:hAnsi="宋体" w:eastAsia="宋体"/>
                <w:szCs w:val="21"/>
              </w:rPr>
            </w:pPr>
          </w:p>
        </w:tc>
      </w:tr>
      <w:tr w14:paraId="0C65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AE80E83">
            <w:pPr>
              <w:jc w:val="center"/>
              <w:rPr>
                <w:rFonts w:hint="eastAsia" w:ascii="宋体" w:hAnsi="宋体" w:eastAsia="宋体"/>
                <w:szCs w:val="21"/>
              </w:rPr>
            </w:pPr>
          </w:p>
        </w:tc>
        <w:tc>
          <w:tcPr>
            <w:tcW w:w="1563" w:type="pct"/>
            <w:vAlign w:val="center"/>
          </w:tcPr>
          <w:p w14:paraId="2C1AE864">
            <w:pPr>
              <w:jc w:val="center"/>
              <w:rPr>
                <w:rFonts w:hint="eastAsia" w:ascii="宋体" w:hAnsi="宋体" w:eastAsia="宋体"/>
                <w:szCs w:val="21"/>
              </w:rPr>
            </w:pPr>
          </w:p>
        </w:tc>
        <w:tc>
          <w:tcPr>
            <w:tcW w:w="1164" w:type="pct"/>
            <w:vAlign w:val="center"/>
          </w:tcPr>
          <w:p w14:paraId="2CFAEEB9">
            <w:pPr>
              <w:jc w:val="center"/>
              <w:rPr>
                <w:rFonts w:hint="eastAsia" w:ascii="宋体" w:hAnsi="宋体" w:eastAsia="宋体"/>
                <w:szCs w:val="21"/>
              </w:rPr>
            </w:pPr>
          </w:p>
        </w:tc>
        <w:tc>
          <w:tcPr>
            <w:tcW w:w="732" w:type="pct"/>
            <w:vAlign w:val="center"/>
          </w:tcPr>
          <w:p w14:paraId="20288824">
            <w:pPr>
              <w:jc w:val="center"/>
              <w:rPr>
                <w:rFonts w:hint="eastAsia" w:ascii="宋体" w:hAnsi="宋体" w:eastAsia="宋体"/>
                <w:szCs w:val="21"/>
              </w:rPr>
            </w:pPr>
          </w:p>
        </w:tc>
        <w:tc>
          <w:tcPr>
            <w:tcW w:w="1009" w:type="pct"/>
            <w:vAlign w:val="center"/>
          </w:tcPr>
          <w:p w14:paraId="3DE9C3F2">
            <w:pPr>
              <w:jc w:val="center"/>
              <w:rPr>
                <w:rFonts w:hint="eastAsia" w:ascii="宋体" w:hAnsi="宋体" w:eastAsia="宋体"/>
                <w:szCs w:val="21"/>
              </w:rPr>
            </w:pPr>
          </w:p>
        </w:tc>
      </w:tr>
      <w:tr w14:paraId="6714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9C72D04">
            <w:pPr>
              <w:jc w:val="center"/>
              <w:rPr>
                <w:rFonts w:hint="eastAsia" w:ascii="宋体" w:hAnsi="宋体" w:eastAsia="宋体"/>
                <w:szCs w:val="21"/>
              </w:rPr>
            </w:pPr>
          </w:p>
        </w:tc>
        <w:tc>
          <w:tcPr>
            <w:tcW w:w="1563" w:type="pct"/>
            <w:vAlign w:val="center"/>
          </w:tcPr>
          <w:p w14:paraId="2AEC2E5F">
            <w:pPr>
              <w:jc w:val="center"/>
              <w:rPr>
                <w:rFonts w:hint="eastAsia" w:ascii="宋体" w:hAnsi="宋体" w:eastAsia="宋体"/>
                <w:szCs w:val="21"/>
              </w:rPr>
            </w:pPr>
          </w:p>
        </w:tc>
        <w:tc>
          <w:tcPr>
            <w:tcW w:w="1164" w:type="pct"/>
            <w:vAlign w:val="center"/>
          </w:tcPr>
          <w:p w14:paraId="026C2F43">
            <w:pPr>
              <w:jc w:val="center"/>
              <w:rPr>
                <w:rFonts w:hint="eastAsia" w:ascii="宋体" w:hAnsi="宋体" w:eastAsia="宋体"/>
                <w:szCs w:val="21"/>
              </w:rPr>
            </w:pPr>
          </w:p>
        </w:tc>
        <w:tc>
          <w:tcPr>
            <w:tcW w:w="732" w:type="pct"/>
            <w:vAlign w:val="center"/>
          </w:tcPr>
          <w:p w14:paraId="0FE8B5C0">
            <w:pPr>
              <w:jc w:val="center"/>
              <w:rPr>
                <w:rFonts w:hint="eastAsia" w:ascii="宋体" w:hAnsi="宋体" w:eastAsia="宋体"/>
                <w:szCs w:val="21"/>
              </w:rPr>
            </w:pPr>
          </w:p>
        </w:tc>
        <w:tc>
          <w:tcPr>
            <w:tcW w:w="1009" w:type="pct"/>
            <w:vAlign w:val="center"/>
          </w:tcPr>
          <w:p w14:paraId="46605AA0">
            <w:pPr>
              <w:jc w:val="center"/>
              <w:rPr>
                <w:rFonts w:hint="eastAsia" w:ascii="宋体" w:hAnsi="宋体" w:eastAsia="宋体"/>
                <w:szCs w:val="21"/>
              </w:rPr>
            </w:pPr>
          </w:p>
        </w:tc>
      </w:tr>
      <w:tr w14:paraId="2B5B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0C0B056">
            <w:pPr>
              <w:jc w:val="center"/>
              <w:rPr>
                <w:rFonts w:hint="eastAsia" w:ascii="宋体" w:hAnsi="宋体" w:eastAsia="宋体"/>
                <w:szCs w:val="21"/>
              </w:rPr>
            </w:pPr>
          </w:p>
        </w:tc>
        <w:tc>
          <w:tcPr>
            <w:tcW w:w="1563" w:type="pct"/>
            <w:vAlign w:val="center"/>
          </w:tcPr>
          <w:p w14:paraId="002AC7CC">
            <w:pPr>
              <w:jc w:val="center"/>
              <w:rPr>
                <w:rFonts w:hint="eastAsia" w:ascii="宋体" w:hAnsi="宋体" w:eastAsia="宋体"/>
                <w:szCs w:val="21"/>
              </w:rPr>
            </w:pPr>
          </w:p>
        </w:tc>
        <w:tc>
          <w:tcPr>
            <w:tcW w:w="1164" w:type="pct"/>
            <w:vAlign w:val="center"/>
          </w:tcPr>
          <w:p w14:paraId="702BFA81">
            <w:pPr>
              <w:jc w:val="center"/>
              <w:rPr>
                <w:rFonts w:hint="eastAsia" w:ascii="宋体" w:hAnsi="宋体" w:eastAsia="宋体"/>
                <w:szCs w:val="21"/>
              </w:rPr>
            </w:pPr>
          </w:p>
        </w:tc>
        <w:tc>
          <w:tcPr>
            <w:tcW w:w="732" w:type="pct"/>
            <w:vAlign w:val="center"/>
          </w:tcPr>
          <w:p w14:paraId="082DF6B7">
            <w:pPr>
              <w:jc w:val="center"/>
              <w:rPr>
                <w:rFonts w:hint="eastAsia" w:ascii="宋体" w:hAnsi="宋体" w:eastAsia="宋体"/>
                <w:szCs w:val="21"/>
              </w:rPr>
            </w:pPr>
          </w:p>
        </w:tc>
        <w:tc>
          <w:tcPr>
            <w:tcW w:w="1009" w:type="pct"/>
            <w:vAlign w:val="center"/>
          </w:tcPr>
          <w:p w14:paraId="7EF24010">
            <w:pPr>
              <w:jc w:val="center"/>
              <w:rPr>
                <w:rFonts w:hint="eastAsia" w:ascii="宋体" w:hAnsi="宋体" w:eastAsia="宋体"/>
                <w:szCs w:val="21"/>
              </w:rPr>
            </w:pPr>
          </w:p>
        </w:tc>
      </w:tr>
      <w:tr w14:paraId="0C485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781D556">
            <w:pPr>
              <w:jc w:val="center"/>
              <w:rPr>
                <w:rFonts w:hint="eastAsia" w:ascii="宋体" w:hAnsi="宋体" w:eastAsia="宋体"/>
                <w:szCs w:val="21"/>
              </w:rPr>
            </w:pPr>
          </w:p>
        </w:tc>
        <w:tc>
          <w:tcPr>
            <w:tcW w:w="1563" w:type="pct"/>
            <w:vAlign w:val="center"/>
          </w:tcPr>
          <w:p w14:paraId="25D32EDF">
            <w:pPr>
              <w:jc w:val="center"/>
              <w:rPr>
                <w:rFonts w:hint="eastAsia" w:ascii="宋体" w:hAnsi="宋体" w:eastAsia="宋体"/>
                <w:szCs w:val="21"/>
              </w:rPr>
            </w:pPr>
          </w:p>
        </w:tc>
        <w:tc>
          <w:tcPr>
            <w:tcW w:w="1164" w:type="pct"/>
            <w:vAlign w:val="center"/>
          </w:tcPr>
          <w:p w14:paraId="78F3935B">
            <w:pPr>
              <w:jc w:val="center"/>
              <w:rPr>
                <w:rFonts w:hint="eastAsia" w:ascii="宋体" w:hAnsi="宋体" w:eastAsia="宋体"/>
                <w:szCs w:val="21"/>
              </w:rPr>
            </w:pPr>
          </w:p>
        </w:tc>
        <w:tc>
          <w:tcPr>
            <w:tcW w:w="732" w:type="pct"/>
            <w:vAlign w:val="center"/>
          </w:tcPr>
          <w:p w14:paraId="5295BD56">
            <w:pPr>
              <w:jc w:val="center"/>
              <w:rPr>
                <w:rFonts w:hint="eastAsia" w:ascii="宋体" w:hAnsi="宋体" w:eastAsia="宋体"/>
                <w:szCs w:val="21"/>
              </w:rPr>
            </w:pPr>
          </w:p>
        </w:tc>
        <w:tc>
          <w:tcPr>
            <w:tcW w:w="1009" w:type="pct"/>
            <w:vAlign w:val="center"/>
          </w:tcPr>
          <w:p w14:paraId="5AA5168C">
            <w:pPr>
              <w:jc w:val="center"/>
              <w:rPr>
                <w:rFonts w:hint="eastAsia" w:ascii="宋体" w:hAnsi="宋体" w:eastAsia="宋体"/>
                <w:szCs w:val="21"/>
              </w:rPr>
            </w:pPr>
          </w:p>
        </w:tc>
      </w:tr>
      <w:tr w14:paraId="3CEE3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9F85B02">
            <w:pPr>
              <w:jc w:val="center"/>
              <w:rPr>
                <w:rFonts w:hint="eastAsia" w:ascii="宋体" w:hAnsi="宋体" w:eastAsia="宋体"/>
                <w:szCs w:val="21"/>
              </w:rPr>
            </w:pPr>
          </w:p>
        </w:tc>
        <w:tc>
          <w:tcPr>
            <w:tcW w:w="1563" w:type="pct"/>
            <w:vAlign w:val="center"/>
          </w:tcPr>
          <w:p w14:paraId="06FEF439">
            <w:pPr>
              <w:jc w:val="center"/>
              <w:rPr>
                <w:rFonts w:hint="eastAsia" w:ascii="宋体" w:hAnsi="宋体" w:eastAsia="宋体"/>
                <w:szCs w:val="21"/>
              </w:rPr>
            </w:pPr>
          </w:p>
        </w:tc>
        <w:tc>
          <w:tcPr>
            <w:tcW w:w="1164" w:type="pct"/>
            <w:vAlign w:val="center"/>
          </w:tcPr>
          <w:p w14:paraId="2CD0FC53">
            <w:pPr>
              <w:jc w:val="center"/>
              <w:rPr>
                <w:rFonts w:hint="eastAsia" w:ascii="宋体" w:hAnsi="宋体" w:eastAsia="宋体"/>
                <w:szCs w:val="21"/>
              </w:rPr>
            </w:pPr>
          </w:p>
        </w:tc>
        <w:tc>
          <w:tcPr>
            <w:tcW w:w="732" w:type="pct"/>
            <w:vAlign w:val="center"/>
          </w:tcPr>
          <w:p w14:paraId="2A36E908">
            <w:pPr>
              <w:jc w:val="center"/>
              <w:rPr>
                <w:rFonts w:hint="eastAsia" w:ascii="宋体" w:hAnsi="宋体" w:eastAsia="宋体"/>
                <w:szCs w:val="21"/>
              </w:rPr>
            </w:pPr>
          </w:p>
        </w:tc>
        <w:tc>
          <w:tcPr>
            <w:tcW w:w="1009" w:type="pct"/>
            <w:vAlign w:val="center"/>
          </w:tcPr>
          <w:p w14:paraId="4F11002E">
            <w:pPr>
              <w:jc w:val="center"/>
              <w:rPr>
                <w:rFonts w:hint="eastAsia" w:ascii="宋体" w:hAnsi="宋体" w:eastAsia="宋体"/>
                <w:szCs w:val="21"/>
              </w:rPr>
            </w:pPr>
          </w:p>
        </w:tc>
      </w:tr>
    </w:tbl>
    <w:p w14:paraId="3A5F477C">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378E179">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9"/>
    <w:bookmarkEnd w:id="50"/>
    <w:p w14:paraId="3AECE7A5">
      <w:pPr>
        <w:pageBreakBefore/>
        <w:rPr>
          <w:rFonts w:hint="eastAsia"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一</w:t>
      </w:r>
      <w:r>
        <w:rPr>
          <w:rFonts w:hint="eastAsia" w:ascii="宋体" w:hAnsi="宋体" w:eastAsia="宋体"/>
          <w:b/>
          <w:bCs/>
          <w:sz w:val="24"/>
          <w:szCs w:val="28"/>
        </w:rPr>
        <w:t>：</w:t>
      </w:r>
    </w:p>
    <w:p w14:paraId="5DDDE4CC">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7AC9F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446602FA">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468252BF">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27480A52">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17FDDD3A">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2B2E8574">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6AAA95C5">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35336A8C">
            <w:pPr>
              <w:jc w:val="center"/>
              <w:rPr>
                <w:rFonts w:hint="eastAsia" w:ascii="宋体" w:hAnsi="宋体" w:eastAsia="宋体"/>
                <w:b/>
                <w:bCs/>
                <w:szCs w:val="21"/>
              </w:rPr>
            </w:pPr>
            <w:r>
              <w:rPr>
                <w:rFonts w:hint="eastAsia" w:ascii="宋体" w:hAnsi="宋体" w:eastAsia="宋体"/>
                <w:b/>
                <w:bCs/>
                <w:szCs w:val="21"/>
              </w:rPr>
              <w:t>经验年限</w:t>
            </w:r>
          </w:p>
        </w:tc>
      </w:tr>
      <w:tr w14:paraId="2FB0A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2406E19">
            <w:pPr>
              <w:jc w:val="center"/>
              <w:rPr>
                <w:rFonts w:hint="eastAsia" w:ascii="宋体" w:hAnsi="宋体" w:eastAsia="宋体"/>
                <w:szCs w:val="21"/>
              </w:rPr>
            </w:pPr>
          </w:p>
        </w:tc>
        <w:tc>
          <w:tcPr>
            <w:tcW w:w="653" w:type="pct"/>
            <w:vAlign w:val="center"/>
          </w:tcPr>
          <w:p w14:paraId="2EE58143">
            <w:pPr>
              <w:jc w:val="center"/>
              <w:rPr>
                <w:rFonts w:hint="eastAsia" w:ascii="宋体" w:hAnsi="宋体" w:eastAsia="宋体"/>
                <w:szCs w:val="21"/>
              </w:rPr>
            </w:pPr>
          </w:p>
        </w:tc>
        <w:tc>
          <w:tcPr>
            <w:tcW w:w="739" w:type="pct"/>
            <w:vAlign w:val="center"/>
          </w:tcPr>
          <w:p w14:paraId="7A063D94">
            <w:pPr>
              <w:jc w:val="center"/>
              <w:rPr>
                <w:rFonts w:hint="eastAsia" w:ascii="宋体" w:hAnsi="宋体" w:eastAsia="宋体"/>
                <w:szCs w:val="21"/>
              </w:rPr>
            </w:pPr>
          </w:p>
        </w:tc>
        <w:tc>
          <w:tcPr>
            <w:tcW w:w="1081" w:type="pct"/>
            <w:vAlign w:val="center"/>
          </w:tcPr>
          <w:p w14:paraId="55159785">
            <w:pPr>
              <w:jc w:val="center"/>
              <w:rPr>
                <w:rFonts w:hint="eastAsia" w:ascii="宋体" w:hAnsi="宋体" w:eastAsia="宋体"/>
                <w:szCs w:val="21"/>
              </w:rPr>
            </w:pPr>
          </w:p>
        </w:tc>
        <w:tc>
          <w:tcPr>
            <w:tcW w:w="830" w:type="pct"/>
          </w:tcPr>
          <w:p w14:paraId="59B74C8F">
            <w:pPr>
              <w:jc w:val="center"/>
              <w:rPr>
                <w:rFonts w:hint="eastAsia" w:ascii="宋体" w:hAnsi="宋体" w:eastAsia="宋体"/>
                <w:szCs w:val="21"/>
              </w:rPr>
            </w:pPr>
          </w:p>
        </w:tc>
        <w:tc>
          <w:tcPr>
            <w:tcW w:w="582" w:type="pct"/>
            <w:vAlign w:val="center"/>
          </w:tcPr>
          <w:p w14:paraId="27935CA7">
            <w:pPr>
              <w:jc w:val="center"/>
              <w:rPr>
                <w:rFonts w:hint="eastAsia" w:ascii="宋体" w:hAnsi="宋体" w:eastAsia="宋体"/>
                <w:szCs w:val="21"/>
              </w:rPr>
            </w:pPr>
          </w:p>
        </w:tc>
        <w:tc>
          <w:tcPr>
            <w:tcW w:w="699" w:type="pct"/>
          </w:tcPr>
          <w:p w14:paraId="1D1D33AC">
            <w:pPr>
              <w:jc w:val="center"/>
              <w:rPr>
                <w:rFonts w:hint="eastAsia" w:ascii="宋体" w:hAnsi="宋体" w:eastAsia="宋体"/>
                <w:szCs w:val="21"/>
              </w:rPr>
            </w:pPr>
          </w:p>
        </w:tc>
      </w:tr>
      <w:tr w14:paraId="2C59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26B6327">
            <w:pPr>
              <w:jc w:val="center"/>
              <w:rPr>
                <w:rFonts w:hint="eastAsia" w:ascii="宋体" w:hAnsi="宋体" w:eastAsia="宋体"/>
                <w:szCs w:val="21"/>
              </w:rPr>
            </w:pPr>
          </w:p>
        </w:tc>
        <w:tc>
          <w:tcPr>
            <w:tcW w:w="653" w:type="pct"/>
            <w:vAlign w:val="center"/>
          </w:tcPr>
          <w:p w14:paraId="43742F1D">
            <w:pPr>
              <w:jc w:val="center"/>
              <w:rPr>
                <w:rFonts w:hint="eastAsia" w:ascii="宋体" w:hAnsi="宋体" w:eastAsia="宋体"/>
                <w:szCs w:val="21"/>
              </w:rPr>
            </w:pPr>
          </w:p>
        </w:tc>
        <w:tc>
          <w:tcPr>
            <w:tcW w:w="739" w:type="pct"/>
            <w:vAlign w:val="center"/>
          </w:tcPr>
          <w:p w14:paraId="6BAFB975">
            <w:pPr>
              <w:jc w:val="center"/>
              <w:rPr>
                <w:rFonts w:hint="eastAsia" w:ascii="宋体" w:hAnsi="宋体" w:eastAsia="宋体"/>
                <w:szCs w:val="21"/>
              </w:rPr>
            </w:pPr>
          </w:p>
        </w:tc>
        <w:tc>
          <w:tcPr>
            <w:tcW w:w="1081" w:type="pct"/>
            <w:vAlign w:val="center"/>
          </w:tcPr>
          <w:p w14:paraId="0F55BFD8">
            <w:pPr>
              <w:jc w:val="center"/>
              <w:rPr>
                <w:rFonts w:hint="eastAsia" w:ascii="宋体" w:hAnsi="宋体" w:eastAsia="宋体"/>
                <w:szCs w:val="21"/>
              </w:rPr>
            </w:pPr>
          </w:p>
        </w:tc>
        <w:tc>
          <w:tcPr>
            <w:tcW w:w="830" w:type="pct"/>
          </w:tcPr>
          <w:p w14:paraId="2644FC16">
            <w:pPr>
              <w:jc w:val="center"/>
              <w:rPr>
                <w:rFonts w:hint="eastAsia" w:ascii="宋体" w:hAnsi="宋体" w:eastAsia="宋体"/>
                <w:szCs w:val="21"/>
              </w:rPr>
            </w:pPr>
          </w:p>
        </w:tc>
        <w:tc>
          <w:tcPr>
            <w:tcW w:w="582" w:type="pct"/>
            <w:vAlign w:val="center"/>
          </w:tcPr>
          <w:p w14:paraId="55F9B3DB">
            <w:pPr>
              <w:jc w:val="center"/>
              <w:rPr>
                <w:rFonts w:hint="eastAsia" w:ascii="宋体" w:hAnsi="宋体" w:eastAsia="宋体"/>
                <w:szCs w:val="21"/>
              </w:rPr>
            </w:pPr>
          </w:p>
        </w:tc>
        <w:tc>
          <w:tcPr>
            <w:tcW w:w="699" w:type="pct"/>
          </w:tcPr>
          <w:p w14:paraId="2B4365C8">
            <w:pPr>
              <w:jc w:val="center"/>
              <w:rPr>
                <w:rFonts w:hint="eastAsia" w:ascii="宋体" w:hAnsi="宋体" w:eastAsia="宋体"/>
                <w:szCs w:val="21"/>
              </w:rPr>
            </w:pPr>
          </w:p>
        </w:tc>
      </w:tr>
      <w:tr w14:paraId="016D6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340FCDC">
            <w:pPr>
              <w:jc w:val="center"/>
              <w:rPr>
                <w:rFonts w:hint="eastAsia" w:ascii="宋体" w:hAnsi="宋体" w:eastAsia="宋体"/>
                <w:szCs w:val="21"/>
              </w:rPr>
            </w:pPr>
          </w:p>
        </w:tc>
        <w:tc>
          <w:tcPr>
            <w:tcW w:w="653" w:type="pct"/>
            <w:vAlign w:val="center"/>
          </w:tcPr>
          <w:p w14:paraId="545F6E88">
            <w:pPr>
              <w:jc w:val="center"/>
              <w:rPr>
                <w:rFonts w:hint="eastAsia" w:ascii="宋体" w:hAnsi="宋体" w:eastAsia="宋体"/>
                <w:szCs w:val="21"/>
              </w:rPr>
            </w:pPr>
          </w:p>
        </w:tc>
        <w:tc>
          <w:tcPr>
            <w:tcW w:w="739" w:type="pct"/>
            <w:vAlign w:val="center"/>
          </w:tcPr>
          <w:p w14:paraId="18C0B423">
            <w:pPr>
              <w:jc w:val="center"/>
              <w:rPr>
                <w:rFonts w:hint="eastAsia" w:ascii="宋体" w:hAnsi="宋体" w:eastAsia="宋体"/>
                <w:szCs w:val="21"/>
              </w:rPr>
            </w:pPr>
          </w:p>
        </w:tc>
        <w:tc>
          <w:tcPr>
            <w:tcW w:w="1081" w:type="pct"/>
            <w:vAlign w:val="center"/>
          </w:tcPr>
          <w:p w14:paraId="38AC7FD7">
            <w:pPr>
              <w:jc w:val="center"/>
              <w:rPr>
                <w:rFonts w:hint="eastAsia" w:ascii="宋体" w:hAnsi="宋体" w:eastAsia="宋体"/>
                <w:szCs w:val="21"/>
              </w:rPr>
            </w:pPr>
          </w:p>
        </w:tc>
        <w:tc>
          <w:tcPr>
            <w:tcW w:w="830" w:type="pct"/>
          </w:tcPr>
          <w:p w14:paraId="08E9AFBC">
            <w:pPr>
              <w:jc w:val="center"/>
              <w:rPr>
                <w:rFonts w:hint="eastAsia" w:ascii="宋体" w:hAnsi="宋体" w:eastAsia="宋体"/>
                <w:szCs w:val="21"/>
              </w:rPr>
            </w:pPr>
          </w:p>
        </w:tc>
        <w:tc>
          <w:tcPr>
            <w:tcW w:w="582" w:type="pct"/>
            <w:vAlign w:val="center"/>
          </w:tcPr>
          <w:p w14:paraId="1E3FA8DA">
            <w:pPr>
              <w:jc w:val="center"/>
              <w:rPr>
                <w:rFonts w:hint="eastAsia" w:ascii="宋体" w:hAnsi="宋体" w:eastAsia="宋体"/>
                <w:szCs w:val="21"/>
              </w:rPr>
            </w:pPr>
          </w:p>
        </w:tc>
        <w:tc>
          <w:tcPr>
            <w:tcW w:w="699" w:type="pct"/>
          </w:tcPr>
          <w:p w14:paraId="54C02E0E">
            <w:pPr>
              <w:jc w:val="center"/>
              <w:rPr>
                <w:rFonts w:hint="eastAsia" w:ascii="宋体" w:hAnsi="宋体" w:eastAsia="宋体"/>
                <w:szCs w:val="21"/>
              </w:rPr>
            </w:pPr>
          </w:p>
        </w:tc>
      </w:tr>
      <w:tr w14:paraId="7AC17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6B1C283">
            <w:pPr>
              <w:jc w:val="center"/>
              <w:rPr>
                <w:rFonts w:hint="eastAsia" w:ascii="宋体" w:hAnsi="宋体" w:eastAsia="宋体"/>
                <w:szCs w:val="21"/>
              </w:rPr>
            </w:pPr>
          </w:p>
        </w:tc>
        <w:tc>
          <w:tcPr>
            <w:tcW w:w="653" w:type="pct"/>
            <w:vAlign w:val="center"/>
          </w:tcPr>
          <w:p w14:paraId="483CF384">
            <w:pPr>
              <w:jc w:val="center"/>
              <w:rPr>
                <w:rFonts w:hint="eastAsia" w:ascii="宋体" w:hAnsi="宋体" w:eastAsia="宋体"/>
                <w:szCs w:val="21"/>
              </w:rPr>
            </w:pPr>
          </w:p>
        </w:tc>
        <w:tc>
          <w:tcPr>
            <w:tcW w:w="739" w:type="pct"/>
            <w:vAlign w:val="center"/>
          </w:tcPr>
          <w:p w14:paraId="16567E56">
            <w:pPr>
              <w:jc w:val="center"/>
              <w:rPr>
                <w:rFonts w:hint="eastAsia" w:ascii="宋体" w:hAnsi="宋体" w:eastAsia="宋体"/>
                <w:szCs w:val="21"/>
              </w:rPr>
            </w:pPr>
          </w:p>
        </w:tc>
        <w:tc>
          <w:tcPr>
            <w:tcW w:w="1081" w:type="pct"/>
            <w:vAlign w:val="center"/>
          </w:tcPr>
          <w:p w14:paraId="5E5C8E0C">
            <w:pPr>
              <w:jc w:val="center"/>
              <w:rPr>
                <w:rFonts w:hint="eastAsia" w:ascii="宋体" w:hAnsi="宋体" w:eastAsia="宋体"/>
                <w:szCs w:val="21"/>
              </w:rPr>
            </w:pPr>
          </w:p>
        </w:tc>
        <w:tc>
          <w:tcPr>
            <w:tcW w:w="830" w:type="pct"/>
          </w:tcPr>
          <w:p w14:paraId="4B2D9D03">
            <w:pPr>
              <w:jc w:val="center"/>
              <w:rPr>
                <w:rFonts w:hint="eastAsia" w:ascii="宋体" w:hAnsi="宋体" w:eastAsia="宋体"/>
                <w:szCs w:val="21"/>
              </w:rPr>
            </w:pPr>
          </w:p>
        </w:tc>
        <w:tc>
          <w:tcPr>
            <w:tcW w:w="582" w:type="pct"/>
            <w:vAlign w:val="center"/>
          </w:tcPr>
          <w:p w14:paraId="6847CAE1">
            <w:pPr>
              <w:jc w:val="center"/>
              <w:rPr>
                <w:rFonts w:hint="eastAsia" w:ascii="宋体" w:hAnsi="宋体" w:eastAsia="宋体"/>
                <w:szCs w:val="21"/>
              </w:rPr>
            </w:pPr>
          </w:p>
        </w:tc>
        <w:tc>
          <w:tcPr>
            <w:tcW w:w="699" w:type="pct"/>
          </w:tcPr>
          <w:p w14:paraId="05CF6867">
            <w:pPr>
              <w:jc w:val="center"/>
              <w:rPr>
                <w:rFonts w:hint="eastAsia" w:ascii="宋体" w:hAnsi="宋体" w:eastAsia="宋体"/>
                <w:szCs w:val="21"/>
              </w:rPr>
            </w:pPr>
          </w:p>
        </w:tc>
      </w:tr>
      <w:tr w14:paraId="628B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61B146A">
            <w:pPr>
              <w:jc w:val="center"/>
              <w:rPr>
                <w:rFonts w:hint="eastAsia" w:ascii="宋体" w:hAnsi="宋体" w:eastAsia="宋体"/>
                <w:szCs w:val="21"/>
              </w:rPr>
            </w:pPr>
          </w:p>
        </w:tc>
        <w:tc>
          <w:tcPr>
            <w:tcW w:w="653" w:type="pct"/>
            <w:vAlign w:val="center"/>
          </w:tcPr>
          <w:p w14:paraId="10762315">
            <w:pPr>
              <w:jc w:val="center"/>
              <w:rPr>
                <w:rFonts w:hint="eastAsia" w:ascii="宋体" w:hAnsi="宋体" w:eastAsia="宋体"/>
                <w:szCs w:val="21"/>
              </w:rPr>
            </w:pPr>
          </w:p>
        </w:tc>
        <w:tc>
          <w:tcPr>
            <w:tcW w:w="739" w:type="pct"/>
            <w:vAlign w:val="center"/>
          </w:tcPr>
          <w:p w14:paraId="21482558">
            <w:pPr>
              <w:jc w:val="center"/>
              <w:rPr>
                <w:rFonts w:hint="eastAsia" w:ascii="宋体" w:hAnsi="宋体" w:eastAsia="宋体"/>
                <w:szCs w:val="21"/>
              </w:rPr>
            </w:pPr>
          </w:p>
        </w:tc>
        <w:tc>
          <w:tcPr>
            <w:tcW w:w="1081" w:type="pct"/>
            <w:vAlign w:val="center"/>
          </w:tcPr>
          <w:p w14:paraId="52BCA246">
            <w:pPr>
              <w:widowControl/>
              <w:tabs>
                <w:tab w:val="right" w:leader="dot" w:pos="8302"/>
              </w:tabs>
              <w:jc w:val="center"/>
              <w:rPr>
                <w:rFonts w:hint="eastAsia" w:ascii="宋体" w:hAnsi="宋体" w:eastAsia="宋体"/>
                <w:kern w:val="0"/>
                <w:szCs w:val="21"/>
              </w:rPr>
            </w:pPr>
          </w:p>
        </w:tc>
        <w:tc>
          <w:tcPr>
            <w:tcW w:w="830" w:type="pct"/>
          </w:tcPr>
          <w:p w14:paraId="123D5F28">
            <w:pPr>
              <w:jc w:val="center"/>
              <w:rPr>
                <w:rFonts w:hint="eastAsia" w:ascii="宋体" w:hAnsi="宋体" w:eastAsia="宋体"/>
                <w:szCs w:val="21"/>
              </w:rPr>
            </w:pPr>
          </w:p>
        </w:tc>
        <w:tc>
          <w:tcPr>
            <w:tcW w:w="582" w:type="pct"/>
            <w:vAlign w:val="center"/>
          </w:tcPr>
          <w:p w14:paraId="4882C8B9">
            <w:pPr>
              <w:jc w:val="center"/>
              <w:rPr>
                <w:rFonts w:hint="eastAsia" w:ascii="宋体" w:hAnsi="宋体" w:eastAsia="宋体"/>
                <w:szCs w:val="21"/>
              </w:rPr>
            </w:pPr>
          </w:p>
        </w:tc>
        <w:tc>
          <w:tcPr>
            <w:tcW w:w="699" w:type="pct"/>
          </w:tcPr>
          <w:p w14:paraId="2D3164F2">
            <w:pPr>
              <w:jc w:val="center"/>
              <w:rPr>
                <w:rFonts w:hint="eastAsia" w:ascii="宋体" w:hAnsi="宋体" w:eastAsia="宋体"/>
                <w:szCs w:val="21"/>
              </w:rPr>
            </w:pPr>
          </w:p>
        </w:tc>
      </w:tr>
      <w:tr w14:paraId="39ADF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5339CD">
            <w:pPr>
              <w:jc w:val="center"/>
              <w:rPr>
                <w:rFonts w:hint="eastAsia" w:ascii="宋体" w:hAnsi="宋体" w:eastAsia="宋体"/>
                <w:szCs w:val="21"/>
              </w:rPr>
            </w:pPr>
          </w:p>
        </w:tc>
        <w:tc>
          <w:tcPr>
            <w:tcW w:w="653" w:type="pct"/>
            <w:vAlign w:val="center"/>
          </w:tcPr>
          <w:p w14:paraId="45E7C07B">
            <w:pPr>
              <w:jc w:val="center"/>
              <w:rPr>
                <w:rFonts w:hint="eastAsia" w:ascii="宋体" w:hAnsi="宋体" w:eastAsia="宋体"/>
                <w:szCs w:val="21"/>
              </w:rPr>
            </w:pPr>
          </w:p>
        </w:tc>
        <w:tc>
          <w:tcPr>
            <w:tcW w:w="739" w:type="pct"/>
            <w:vAlign w:val="center"/>
          </w:tcPr>
          <w:p w14:paraId="7246889B">
            <w:pPr>
              <w:jc w:val="center"/>
              <w:rPr>
                <w:rFonts w:hint="eastAsia" w:ascii="宋体" w:hAnsi="宋体" w:eastAsia="宋体"/>
                <w:szCs w:val="21"/>
              </w:rPr>
            </w:pPr>
          </w:p>
        </w:tc>
        <w:tc>
          <w:tcPr>
            <w:tcW w:w="1081" w:type="pct"/>
            <w:vAlign w:val="center"/>
          </w:tcPr>
          <w:p w14:paraId="4127F0CB">
            <w:pPr>
              <w:widowControl/>
              <w:tabs>
                <w:tab w:val="right" w:leader="dot" w:pos="8302"/>
              </w:tabs>
              <w:jc w:val="center"/>
              <w:rPr>
                <w:rFonts w:hint="eastAsia" w:ascii="宋体" w:hAnsi="宋体" w:eastAsia="宋体"/>
                <w:kern w:val="0"/>
                <w:szCs w:val="21"/>
              </w:rPr>
            </w:pPr>
          </w:p>
        </w:tc>
        <w:tc>
          <w:tcPr>
            <w:tcW w:w="830" w:type="pct"/>
          </w:tcPr>
          <w:p w14:paraId="24B80D2B">
            <w:pPr>
              <w:jc w:val="center"/>
              <w:rPr>
                <w:rFonts w:hint="eastAsia" w:ascii="宋体" w:hAnsi="宋体" w:eastAsia="宋体"/>
                <w:szCs w:val="21"/>
              </w:rPr>
            </w:pPr>
          </w:p>
        </w:tc>
        <w:tc>
          <w:tcPr>
            <w:tcW w:w="582" w:type="pct"/>
            <w:vAlign w:val="center"/>
          </w:tcPr>
          <w:p w14:paraId="3348647D">
            <w:pPr>
              <w:jc w:val="center"/>
              <w:rPr>
                <w:rFonts w:hint="eastAsia" w:ascii="宋体" w:hAnsi="宋体" w:eastAsia="宋体"/>
                <w:szCs w:val="21"/>
              </w:rPr>
            </w:pPr>
          </w:p>
        </w:tc>
        <w:tc>
          <w:tcPr>
            <w:tcW w:w="699" w:type="pct"/>
          </w:tcPr>
          <w:p w14:paraId="2D2EAA9D">
            <w:pPr>
              <w:jc w:val="center"/>
              <w:rPr>
                <w:rFonts w:hint="eastAsia" w:ascii="宋体" w:hAnsi="宋体" w:eastAsia="宋体"/>
                <w:szCs w:val="21"/>
              </w:rPr>
            </w:pPr>
          </w:p>
        </w:tc>
      </w:tr>
      <w:tr w14:paraId="3B440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D9420FC">
            <w:pPr>
              <w:jc w:val="center"/>
              <w:rPr>
                <w:rFonts w:hint="eastAsia" w:ascii="宋体" w:hAnsi="宋体" w:eastAsia="宋体"/>
                <w:szCs w:val="21"/>
              </w:rPr>
            </w:pPr>
          </w:p>
        </w:tc>
        <w:tc>
          <w:tcPr>
            <w:tcW w:w="653" w:type="pct"/>
            <w:vAlign w:val="center"/>
          </w:tcPr>
          <w:p w14:paraId="58841288">
            <w:pPr>
              <w:jc w:val="center"/>
              <w:rPr>
                <w:rFonts w:hint="eastAsia" w:ascii="宋体" w:hAnsi="宋体" w:eastAsia="宋体"/>
                <w:szCs w:val="21"/>
              </w:rPr>
            </w:pPr>
          </w:p>
        </w:tc>
        <w:tc>
          <w:tcPr>
            <w:tcW w:w="739" w:type="pct"/>
            <w:vAlign w:val="center"/>
          </w:tcPr>
          <w:p w14:paraId="7935E589">
            <w:pPr>
              <w:jc w:val="center"/>
              <w:rPr>
                <w:rFonts w:hint="eastAsia" w:ascii="宋体" w:hAnsi="宋体" w:eastAsia="宋体"/>
                <w:szCs w:val="21"/>
              </w:rPr>
            </w:pPr>
          </w:p>
        </w:tc>
        <w:tc>
          <w:tcPr>
            <w:tcW w:w="1081" w:type="pct"/>
            <w:vAlign w:val="center"/>
          </w:tcPr>
          <w:p w14:paraId="3DAE189E">
            <w:pPr>
              <w:jc w:val="center"/>
              <w:rPr>
                <w:rFonts w:hint="eastAsia" w:ascii="宋体" w:hAnsi="宋体" w:eastAsia="宋体"/>
                <w:szCs w:val="21"/>
              </w:rPr>
            </w:pPr>
          </w:p>
        </w:tc>
        <w:tc>
          <w:tcPr>
            <w:tcW w:w="830" w:type="pct"/>
          </w:tcPr>
          <w:p w14:paraId="04E872E3">
            <w:pPr>
              <w:jc w:val="center"/>
              <w:rPr>
                <w:rFonts w:hint="eastAsia" w:ascii="宋体" w:hAnsi="宋体" w:eastAsia="宋体"/>
                <w:szCs w:val="21"/>
              </w:rPr>
            </w:pPr>
          </w:p>
        </w:tc>
        <w:tc>
          <w:tcPr>
            <w:tcW w:w="582" w:type="pct"/>
            <w:vAlign w:val="center"/>
          </w:tcPr>
          <w:p w14:paraId="50482DEB">
            <w:pPr>
              <w:jc w:val="center"/>
              <w:rPr>
                <w:rFonts w:hint="eastAsia" w:ascii="宋体" w:hAnsi="宋体" w:eastAsia="宋体"/>
                <w:szCs w:val="21"/>
              </w:rPr>
            </w:pPr>
          </w:p>
        </w:tc>
        <w:tc>
          <w:tcPr>
            <w:tcW w:w="699" w:type="pct"/>
          </w:tcPr>
          <w:p w14:paraId="3BAA2C0D">
            <w:pPr>
              <w:jc w:val="center"/>
              <w:rPr>
                <w:rFonts w:hint="eastAsia" w:ascii="宋体" w:hAnsi="宋体" w:eastAsia="宋体"/>
                <w:szCs w:val="21"/>
              </w:rPr>
            </w:pPr>
          </w:p>
        </w:tc>
      </w:tr>
      <w:tr w14:paraId="41D5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8A9FA3D">
            <w:pPr>
              <w:jc w:val="center"/>
              <w:rPr>
                <w:rFonts w:hint="eastAsia" w:ascii="宋体" w:hAnsi="宋体" w:eastAsia="宋体"/>
                <w:szCs w:val="21"/>
              </w:rPr>
            </w:pPr>
          </w:p>
        </w:tc>
        <w:tc>
          <w:tcPr>
            <w:tcW w:w="653" w:type="pct"/>
            <w:vAlign w:val="center"/>
          </w:tcPr>
          <w:p w14:paraId="0E1DD4F6">
            <w:pPr>
              <w:jc w:val="center"/>
              <w:rPr>
                <w:rFonts w:hint="eastAsia" w:ascii="宋体" w:hAnsi="宋体" w:eastAsia="宋体"/>
                <w:szCs w:val="21"/>
              </w:rPr>
            </w:pPr>
          </w:p>
        </w:tc>
        <w:tc>
          <w:tcPr>
            <w:tcW w:w="739" w:type="pct"/>
            <w:vAlign w:val="center"/>
          </w:tcPr>
          <w:p w14:paraId="3A480F0A">
            <w:pPr>
              <w:jc w:val="center"/>
              <w:rPr>
                <w:rFonts w:hint="eastAsia" w:ascii="宋体" w:hAnsi="宋体" w:eastAsia="宋体"/>
                <w:szCs w:val="21"/>
              </w:rPr>
            </w:pPr>
          </w:p>
        </w:tc>
        <w:tc>
          <w:tcPr>
            <w:tcW w:w="1081" w:type="pct"/>
            <w:vAlign w:val="center"/>
          </w:tcPr>
          <w:p w14:paraId="6AAC2F2B">
            <w:pPr>
              <w:jc w:val="center"/>
              <w:rPr>
                <w:rFonts w:hint="eastAsia" w:ascii="宋体" w:hAnsi="宋体" w:eastAsia="宋体"/>
                <w:szCs w:val="21"/>
              </w:rPr>
            </w:pPr>
          </w:p>
        </w:tc>
        <w:tc>
          <w:tcPr>
            <w:tcW w:w="830" w:type="pct"/>
          </w:tcPr>
          <w:p w14:paraId="165A060E">
            <w:pPr>
              <w:jc w:val="center"/>
              <w:rPr>
                <w:rFonts w:hint="eastAsia" w:ascii="宋体" w:hAnsi="宋体" w:eastAsia="宋体"/>
                <w:szCs w:val="21"/>
              </w:rPr>
            </w:pPr>
          </w:p>
        </w:tc>
        <w:tc>
          <w:tcPr>
            <w:tcW w:w="582" w:type="pct"/>
            <w:vAlign w:val="center"/>
          </w:tcPr>
          <w:p w14:paraId="3B5CBEDB">
            <w:pPr>
              <w:jc w:val="center"/>
              <w:rPr>
                <w:rFonts w:hint="eastAsia" w:ascii="宋体" w:hAnsi="宋体" w:eastAsia="宋体"/>
                <w:szCs w:val="21"/>
              </w:rPr>
            </w:pPr>
          </w:p>
        </w:tc>
        <w:tc>
          <w:tcPr>
            <w:tcW w:w="699" w:type="pct"/>
          </w:tcPr>
          <w:p w14:paraId="75B7AA26">
            <w:pPr>
              <w:jc w:val="center"/>
              <w:rPr>
                <w:rFonts w:hint="eastAsia" w:ascii="宋体" w:hAnsi="宋体" w:eastAsia="宋体"/>
                <w:szCs w:val="21"/>
              </w:rPr>
            </w:pPr>
          </w:p>
        </w:tc>
      </w:tr>
    </w:tbl>
    <w:p w14:paraId="5765C75A">
      <w:pPr>
        <w:spacing w:line="360" w:lineRule="auto"/>
        <w:rPr>
          <w:rFonts w:hint="eastAsia" w:ascii="黑体" w:hAnsi="黑体" w:eastAsia="黑体"/>
        </w:rPr>
      </w:pPr>
    </w:p>
    <w:p w14:paraId="1374B25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CAC1991">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2238CF7">
      <w:pPr>
        <w:spacing w:line="360" w:lineRule="auto"/>
        <w:rPr>
          <w:rFonts w:hint="eastAsia" w:ascii="黑体" w:hAnsi="黑体" w:eastAsia="黑体"/>
        </w:rPr>
      </w:pPr>
    </w:p>
    <w:p w14:paraId="021AFE1B">
      <w:pPr>
        <w:pageBreakBefore/>
        <w:rPr>
          <w:rFonts w:hint="eastAsia"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7040D227">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3156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419" w:type="pct"/>
            <w:vAlign w:val="center"/>
          </w:tcPr>
          <w:p w14:paraId="32C7817B">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3C5B8D3D">
            <w:pPr>
              <w:jc w:val="center"/>
              <w:rPr>
                <w:rFonts w:hint="eastAsia" w:ascii="宋体" w:hAnsi="宋体" w:eastAsia="宋体"/>
                <w:szCs w:val="21"/>
              </w:rPr>
            </w:pPr>
          </w:p>
        </w:tc>
        <w:tc>
          <w:tcPr>
            <w:tcW w:w="480" w:type="pct"/>
            <w:vAlign w:val="center"/>
          </w:tcPr>
          <w:p w14:paraId="68AA514E">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4308A572">
            <w:pPr>
              <w:jc w:val="center"/>
              <w:rPr>
                <w:rFonts w:hint="eastAsia" w:ascii="宋体" w:hAnsi="宋体" w:eastAsia="宋体"/>
                <w:szCs w:val="21"/>
              </w:rPr>
            </w:pPr>
          </w:p>
        </w:tc>
        <w:tc>
          <w:tcPr>
            <w:tcW w:w="617" w:type="pct"/>
            <w:gridSpan w:val="2"/>
            <w:vAlign w:val="center"/>
          </w:tcPr>
          <w:p w14:paraId="076DF9BA">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7DA5D332">
            <w:pPr>
              <w:jc w:val="center"/>
              <w:rPr>
                <w:rFonts w:hint="eastAsia" w:ascii="宋体" w:hAnsi="宋体" w:eastAsia="宋体"/>
                <w:szCs w:val="21"/>
              </w:rPr>
            </w:pPr>
          </w:p>
        </w:tc>
      </w:tr>
      <w:tr w14:paraId="69F67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46B2DA2">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1F6BABCD">
            <w:pPr>
              <w:jc w:val="center"/>
              <w:rPr>
                <w:rFonts w:hint="eastAsia" w:ascii="宋体" w:hAnsi="宋体" w:eastAsia="宋体"/>
                <w:szCs w:val="21"/>
              </w:rPr>
            </w:pPr>
          </w:p>
        </w:tc>
        <w:tc>
          <w:tcPr>
            <w:tcW w:w="480" w:type="pct"/>
            <w:vAlign w:val="center"/>
          </w:tcPr>
          <w:p w14:paraId="7D3F7775">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078F488C">
            <w:pPr>
              <w:jc w:val="center"/>
              <w:rPr>
                <w:rFonts w:hint="eastAsia" w:ascii="宋体" w:hAnsi="宋体" w:eastAsia="宋体"/>
                <w:szCs w:val="21"/>
              </w:rPr>
            </w:pPr>
          </w:p>
        </w:tc>
        <w:tc>
          <w:tcPr>
            <w:tcW w:w="617" w:type="pct"/>
            <w:gridSpan w:val="2"/>
            <w:vAlign w:val="center"/>
          </w:tcPr>
          <w:p w14:paraId="1CFD91C3">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364EBA79">
            <w:pPr>
              <w:jc w:val="center"/>
              <w:rPr>
                <w:rFonts w:hint="eastAsia" w:ascii="宋体" w:hAnsi="宋体" w:eastAsia="宋体"/>
                <w:szCs w:val="21"/>
              </w:rPr>
            </w:pPr>
          </w:p>
        </w:tc>
      </w:tr>
      <w:tr w14:paraId="792FD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7655CEC9">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52BABBBF">
            <w:pPr>
              <w:jc w:val="center"/>
              <w:rPr>
                <w:rFonts w:hint="eastAsia" w:ascii="宋体" w:hAnsi="宋体" w:eastAsia="宋体"/>
                <w:szCs w:val="21"/>
              </w:rPr>
            </w:pPr>
          </w:p>
        </w:tc>
        <w:tc>
          <w:tcPr>
            <w:tcW w:w="1502" w:type="pct"/>
            <w:gridSpan w:val="5"/>
            <w:vAlign w:val="center"/>
          </w:tcPr>
          <w:p w14:paraId="7E81C25C">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77DDB73E">
            <w:pPr>
              <w:jc w:val="center"/>
              <w:rPr>
                <w:rFonts w:hint="eastAsia" w:ascii="宋体" w:hAnsi="宋体" w:eastAsia="宋体"/>
                <w:szCs w:val="21"/>
              </w:rPr>
            </w:pPr>
          </w:p>
        </w:tc>
      </w:tr>
      <w:tr w14:paraId="5F0F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8E52AF9">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03B34146">
            <w:pPr>
              <w:jc w:val="center"/>
              <w:rPr>
                <w:rFonts w:hint="eastAsia" w:ascii="宋体" w:hAnsi="宋体" w:eastAsia="宋体"/>
                <w:szCs w:val="21"/>
              </w:rPr>
            </w:pPr>
          </w:p>
        </w:tc>
      </w:tr>
      <w:tr w14:paraId="1C58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89C3DE8">
            <w:pPr>
              <w:jc w:val="center"/>
              <w:rPr>
                <w:rFonts w:hint="eastAsia" w:ascii="宋体" w:hAnsi="宋体" w:eastAsia="宋体"/>
                <w:szCs w:val="21"/>
              </w:rPr>
            </w:pPr>
            <w:r>
              <w:rPr>
                <w:rFonts w:hint="eastAsia" w:ascii="宋体" w:hAnsi="宋体" w:eastAsia="宋体"/>
                <w:szCs w:val="21"/>
              </w:rPr>
              <w:t>目前在任及以往服务项目情况</w:t>
            </w:r>
          </w:p>
        </w:tc>
      </w:tr>
      <w:tr w14:paraId="2DA6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2C3C027">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409BDF60">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47C45413">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210D69AF">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56B29417">
            <w:pPr>
              <w:jc w:val="center"/>
              <w:rPr>
                <w:rFonts w:hint="eastAsia" w:ascii="宋体" w:hAnsi="宋体" w:eastAsia="宋体"/>
                <w:szCs w:val="21"/>
              </w:rPr>
            </w:pPr>
            <w:r>
              <w:rPr>
                <w:rFonts w:hint="eastAsia" w:ascii="宋体" w:hAnsi="宋体" w:eastAsia="宋体"/>
                <w:szCs w:val="21"/>
              </w:rPr>
              <w:t>起止时间</w:t>
            </w:r>
          </w:p>
        </w:tc>
      </w:tr>
      <w:tr w14:paraId="34A4B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587CEDD">
            <w:pPr>
              <w:jc w:val="center"/>
              <w:rPr>
                <w:rFonts w:hint="eastAsia" w:ascii="宋体" w:hAnsi="宋体" w:eastAsia="宋体"/>
                <w:szCs w:val="21"/>
              </w:rPr>
            </w:pPr>
          </w:p>
        </w:tc>
        <w:tc>
          <w:tcPr>
            <w:tcW w:w="962" w:type="pct"/>
            <w:gridSpan w:val="2"/>
            <w:vAlign w:val="center"/>
          </w:tcPr>
          <w:p w14:paraId="7EC4D9C4">
            <w:pPr>
              <w:jc w:val="center"/>
              <w:rPr>
                <w:rFonts w:hint="eastAsia" w:ascii="宋体" w:hAnsi="宋体" w:eastAsia="宋体"/>
                <w:szCs w:val="21"/>
              </w:rPr>
            </w:pPr>
          </w:p>
        </w:tc>
        <w:tc>
          <w:tcPr>
            <w:tcW w:w="903" w:type="pct"/>
            <w:gridSpan w:val="4"/>
            <w:vAlign w:val="center"/>
          </w:tcPr>
          <w:p w14:paraId="677C83D3">
            <w:pPr>
              <w:jc w:val="center"/>
              <w:rPr>
                <w:rFonts w:hint="eastAsia" w:ascii="宋体" w:hAnsi="宋体" w:eastAsia="宋体"/>
                <w:szCs w:val="21"/>
              </w:rPr>
            </w:pPr>
          </w:p>
        </w:tc>
        <w:tc>
          <w:tcPr>
            <w:tcW w:w="892" w:type="pct"/>
            <w:gridSpan w:val="2"/>
            <w:vAlign w:val="center"/>
          </w:tcPr>
          <w:p w14:paraId="238338FF">
            <w:pPr>
              <w:jc w:val="center"/>
              <w:rPr>
                <w:rFonts w:hint="eastAsia" w:ascii="宋体" w:hAnsi="宋体" w:eastAsia="宋体"/>
                <w:szCs w:val="21"/>
              </w:rPr>
            </w:pPr>
          </w:p>
        </w:tc>
        <w:tc>
          <w:tcPr>
            <w:tcW w:w="1399" w:type="pct"/>
            <w:gridSpan w:val="3"/>
            <w:vAlign w:val="center"/>
          </w:tcPr>
          <w:p w14:paraId="37850832">
            <w:pPr>
              <w:jc w:val="center"/>
              <w:rPr>
                <w:rFonts w:hint="eastAsia" w:ascii="宋体" w:hAnsi="宋体" w:eastAsia="宋体"/>
                <w:szCs w:val="21"/>
              </w:rPr>
            </w:pPr>
          </w:p>
        </w:tc>
      </w:tr>
      <w:tr w14:paraId="548F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81155C6">
            <w:pPr>
              <w:jc w:val="center"/>
              <w:rPr>
                <w:rFonts w:hint="eastAsia" w:ascii="宋体" w:hAnsi="宋体" w:eastAsia="宋体"/>
                <w:szCs w:val="21"/>
              </w:rPr>
            </w:pPr>
          </w:p>
        </w:tc>
        <w:tc>
          <w:tcPr>
            <w:tcW w:w="962" w:type="pct"/>
            <w:gridSpan w:val="2"/>
            <w:vAlign w:val="center"/>
          </w:tcPr>
          <w:p w14:paraId="084DED3C">
            <w:pPr>
              <w:jc w:val="center"/>
              <w:rPr>
                <w:rFonts w:hint="eastAsia" w:ascii="宋体" w:hAnsi="宋体" w:eastAsia="宋体"/>
                <w:szCs w:val="21"/>
              </w:rPr>
            </w:pPr>
          </w:p>
        </w:tc>
        <w:tc>
          <w:tcPr>
            <w:tcW w:w="903" w:type="pct"/>
            <w:gridSpan w:val="4"/>
            <w:vAlign w:val="center"/>
          </w:tcPr>
          <w:p w14:paraId="1639BAAF">
            <w:pPr>
              <w:jc w:val="center"/>
              <w:rPr>
                <w:rFonts w:hint="eastAsia" w:ascii="宋体" w:hAnsi="宋体" w:eastAsia="宋体"/>
                <w:szCs w:val="21"/>
              </w:rPr>
            </w:pPr>
          </w:p>
        </w:tc>
        <w:tc>
          <w:tcPr>
            <w:tcW w:w="892" w:type="pct"/>
            <w:gridSpan w:val="2"/>
            <w:vAlign w:val="center"/>
          </w:tcPr>
          <w:p w14:paraId="3E561E6C">
            <w:pPr>
              <w:jc w:val="center"/>
              <w:rPr>
                <w:rFonts w:hint="eastAsia" w:ascii="宋体" w:hAnsi="宋体" w:eastAsia="宋体"/>
                <w:szCs w:val="21"/>
              </w:rPr>
            </w:pPr>
          </w:p>
        </w:tc>
        <w:tc>
          <w:tcPr>
            <w:tcW w:w="1399" w:type="pct"/>
            <w:gridSpan w:val="3"/>
            <w:vAlign w:val="center"/>
          </w:tcPr>
          <w:p w14:paraId="14A37475">
            <w:pPr>
              <w:jc w:val="center"/>
              <w:rPr>
                <w:rFonts w:hint="eastAsia" w:ascii="宋体" w:hAnsi="宋体" w:eastAsia="宋体"/>
                <w:szCs w:val="21"/>
              </w:rPr>
            </w:pPr>
          </w:p>
        </w:tc>
      </w:tr>
      <w:tr w14:paraId="1823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6231E10">
            <w:pPr>
              <w:jc w:val="center"/>
              <w:rPr>
                <w:rFonts w:hint="eastAsia" w:ascii="宋体" w:hAnsi="宋体" w:eastAsia="宋体"/>
                <w:szCs w:val="21"/>
              </w:rPr>
            </w:pPr>
          </w:p>
        </w:tc>
        <w:tc>
          <w:tcPr>
            <w:tcW w:w="962" w:type="pct"/>
            <w:gridSpan w:val="2"/>
            <w:vAlign w:val="center"/>
          </w:tcPr>
          <w:p w14:paraId="4A0658E4">
            <w:pPr>
              <w:jc w:val="center"/>
              <w:rPr>
                <w:rFonts w:hint="eastAsia" w:ascii="宋体" w:hAnsi="宋体" w:eastAsia="宋体"/>
                <w:szCs w:val="21"/>
              </w:rPr>
            </w:pPr>
          </w:p>
        </w:tc>
        <w:tc>
          <w:tcPr>
            <w:tcW w:w="903" w:type="pct"/>
            <w:gridSpan w:val="4"/>
            <w:vAlign w:val="center"/>
          </w:tcPr>
          <w:p w14:paraId="303EA928">
            <w:pPr>
              <w:jc w:val="center"/>
              <w:rPr>
                <w:rFonts w:hint="eastAsia" w:ascii="宋体" w:hAnsi="宋体" w:eastAsia="宋体"/>
                <w:szCs w:val="21"/>
              </w:rPr>
            </w:pPr>
          </w:p>
        </w:tc>
        <w:tc>
          <w:tcPr>
            <w:tcW w:w="892" w:type="pct"/>
            <w:gridSpan w:val="2"/>
            <w:vAlign w:val="center"/>
          </w:tcPr>
          <w:p w14:paraId="2639F98D">
            <w:pPr>
              <w:jc w:val="center"/>
              <w:rPr>
                <w:rFonts w:hint="eastAsia" w:ascii="宋体" w:hAnsi="宋体" w:eastAsia="宋体"/>
                <w:szCs w:val="21"/>
              </w:rPr>
            </w:pPr>
          </w:p>
        </w:tc>
        <w:tc>
          <w:tcPr>
            <w:tcW w:w="1399" w:type="pct"/>
            <w:gridSpan w:val="3"/>
            <w:vAlign w:val="center"/>
          </w:tcPr>
          <w:p w14:paraId="2B0FD870">
            <w:pPr>
              <w:jc w:val="center"/>
              <w:rPr>
                <w:rFonts w:hint="eastAsia" w:ascii="宋体" w:hAnsi="宋体" w:eastAsia="宋体"/>
                <w:szCs w:val="21"/>
              </w:rPr>
            </w:pPr>
          </w:p>
        </w:tc>
      </w:tr>
      <w:tr w14:paraId="1D80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13E3BE9">
            <w:pPr>
              <w:jc w:val="center"/>
              <w:rPr>
                <w:rFonts w:hint="eastAsia" w:ascii="宋体" w:hAnsi="宋体" w:eastAsia="宋体"/>
                <w:szCs w:val="21"/>
              </w:rPr>
            </w:pPr>
          </w:p>
        </w:tc>
        <w:tc>
          <w:tcPr>
            <w:tcW w:w="962" w:type="pct"/>
            <w:gridSpan w:val="2"/>
            <w:vAlign w:val="center"/>
          </w:tcPr>
          <w:p w14:paraId="186C7E40">
            <w:pPr>
              <w:jc w:val="center"/>
              <w:rPr>
                <w:rFonts w:hint="eastAsia" w:ascii="宋体" w:hAnsi="宋体" w:eastAsia="宋体"/>
                <w:szCs w:val="21"/>
              </w:rPr>
            </w:pPr>
          </w:p>
        </w:tc>
        <w:tc>
          <w:tcPr>
            <w:tcW w:w="903" w:type="pct"/>
            <w:gridSpan w:val="4"/>
            <w:vAlign w:val="center"/>
          </w:tcPr>
          <w:p w14:paraId="678077DF">
            <w:pPr>
              <w:jc w:val="center"/>
              <w:rPr>
                <w:rFonts w:hint="eastAsia" w:ascii="宋体" w:hAnsi="宋体" w:eastAsia="宋体"/>
                <w:szCs w:val="21"/>
              </w:rPr>
            </w:pPr>
          </w:p>
        </w:tc>
        <w:tc>
          <w:tcPr>
            <w:tcW w:w="892" w:type="pct"/>
            <w:gridSpan w:val="2"/>
            <w:vAlign w:val="center"/>
          </w:tcPr>
          <w:p w14:paraId="2FDAE357">
            <w:pPr>
              <w:jc w:val="center"/>
              <w:rPr>
                <w:rFonts w:hint="eastAsia" w:ascii="宋体" w:hAnsi="宋体" w:eastAsia="宋体"/>
                <w:szCs w:val="21"/>
              </w:rPr>
            </w:pPr>
          </w:p>
        </w:tc>
        <w:tc>
          <w:tcPr>
            <w:tcW w:w="1399" w:type="pct"/>
            <w:gridSpan w:val="3"/>
            <w:vAlign w:val="center"/>
          </w:tcPr>
          <w:p w14:paraId="2A482FCC">
            <w:pPr>
              <w:jc w:val="center"/>
              <w:rPr>
                <w:rFonts w:hint="eastAsia" w:ascii="宋体" w:hAnsi="宋体" w:eastAsia="宋体"/>
                <w:szCs w:val="21"/>
              </w:rPr>
            </w:pPr>
          </w:p>
        </w:tc>
      </w:tr>
      <w:tr w14:paraId="5C6DA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B89B21C">
            <w:pPr>
              <w:jc w:val="center"/>
              <w:rPr>
                <w:rFonts w:hint="eastAsia" w:ascii="宋体" w:hAnsi="宋体" w:eastAsia="宋体"/>
                <w:szCs w:val="21"/>
              </w:rPr>
            </w:pPr>
          </w:p>
        </w:tc>
        <w:tc>
          <w:tcPr>
            <w:tcW w:w="962" w:type="pct"/>
            <w:gridSpan w:val="2"/>
            <w:vAlign w:val="center"/>
          </w:tcPr>
          <w:p w14:paraId="18E650FE">
            <w:pPr>
              <w:jc w:val="center"/>
              <w:rPr>
                <w:rFonts w:hint="eastAsia" w:ascii="宋体" w:hAnsi="宋体" w:eastAsia="宋体"/>
                <w:szCs w:val="21"/>
              </w:rPr>
            </w:pPr>
          </w:p>
        </w:tc>
        <w:tc>
          <w:tcPr>
            <w:tcW w:w="903" w:type="pct"/>
            <w:gridSpan w:val="4"/>
            <w:vAlign w:val="center"/>
          </w:tcPr>
          <w:p w14:paraId="66F8BC36">
            <w:pPr>
              <w:jc w:val="center"/>
              <w:rPr>
                <w:rFonts w:hint="eastAsia" w:ascii="宋体" w:hAnsi="宋体" w:eastAsia="宋体"/>
                <w:szCs w:val="21"/>
              </w:rPr>
            </w:pPr>
          </w:p>
        </w:tc>
        <w:tc>
          <w:tcPr>
            <w:tcW w:w="892" w:type="pct"/>
            <w:gridSpan w:val="2"/>
            <w:vAlign w:val="center"/>
          </w:tcPr>
          <w:p w14:paraId="4BFD2C50">
            <w:pPr>
              <w:jc w:val="center"/>
              <w:rPr>
                <w:rFonts w:hint="eastAsia" w:ascii="宋体" w:hAnsi="宋体" w:eastAsia="宋体"/>
                <w:szCs w:val="21"/>
              </w:rPr>
            </w:pPr>
          </w:p>
        </w:tc>
        <w:tc>
          <w:tcPr>
            <w:tcW w:w="1399" w:type="pct"/>
            <w:gridSpan w:val="3"/>
            <w:vAlign w:val="center"/>
          </w:tcPr>
          <w:p w14:paraId="6F891135">
            <w:pPr>
              <w:jc w:val="center"/>
              <w:rPr>
                <w:rFonts w:hint="eastAsia" w:ascii="宋体" w:hAnsi="宋体" w:eastAsia="宋体"/>
                <w:szCs w:val="21"/>
              </w:rPr>
            </w:pPr>
          </w:p>
        </w:tc>
      </w:tr>
    </w:tbl>
    <w:p w14:paraId="38942FA0">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766A9AD">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87526C2">
      <w:pPr>
        <w:pageBreakBefore/>
        <w:rPr>
          <w:rFonts w:ascii="Calibri" w:hAnsi="Calibri" w:eastAsia="宋体" w:cs="Times New Roman"/>
          <w:kern w:val="0"/>
          <w:sz w:val="20"/>
          <w:szCs w:val="20"/>
        </w:rPr>
      </w:pPr>
      <w:bookmarkStart w:id="51" w:name="_Toc169799799"/>
      <w:r>
        <w:rPr>
          <w:rFonts w:ascii="宋体" w:hAnsi="宋体" w:eastAsia="宋体"/>
          <w:b/>
          <w:bCs/>
          <w:sz w:val="24"/>
          <w:szCs w:val="28"/>
        </w:rPr>
        <w:t>格式十</w:t>
      </w:r>
      <w:r>
        <w:rPr>
          <w:rFonts w:hint="eastAsia" w:ascii="宋体" w:hAnsi="宋体" w:eastAsia="宋体"/>
          <w:b/>
          <w:bCs/>
          <w:sz w:val="24"/>
          <w:szCs w:val="28"/>
          <w:lang w:val="en-US" w:eastAsia="zh-CN"/>
        </w:rPr>
        <w:t>三</w:t>
      </w:r>
      <w:r>
        <w:rPr>
          <w:rFonts w:ascii="宋体" w:hAnsi="宋体" w:eastAsia="宋体"/>
          <w:b/>
          <w:bCs/>
          <w:sz w:val="24"/>
          <w:szCs w:val="28"/>
        </w:rPr>
        <w:t>：</w:t>
      </w:r>
      <w:bookmarkEnd w:id="51"/>
    </w:p>
    <w:p w14:paraId="06667A8B">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6A0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4AE4D08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4FAED2B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08A65CA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6D8362A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1F7A29F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19EF857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004DA6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104CE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7AC35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4B77F9CC">
            <w:pPr>
              <w:rPr>
                <w:rFonts w:hint="eastAsia" w:ascii="宋体" w:hAnsi="宋体" w:eastAsia="宋体" w:cs="Times New Roman"/>
                <w:szCs w:val="21"/>
              </w:rPr>
            </w:pPr>
          </w:p>
        </w:tc>
        <w:tc>
          <w:tcPr>
            <w:tcW w:w="1113" w:type="pct"/>
          </w:tcPr>
          <w:p w14:paraId="30E97C1B">
            <w:pPr>
              <w:rPr>
                <w:rFonts w:hint="eastAsia" w:ascii="宋体" w:hAnsi="宋体" w:eastAsia="宋体" w:cs="Times New Roman"/>
                <w:szCs w:val="21"/>
              </w:rPr>
            </w:pPr>
          </w:p>
        </w:tc>
        <w:tc>
          <w:tcPr>
            <w:tcW w:w="704" w:type="pct"/>
          </w:tcPr>
          <w:p w14:paraId="5AF8C424">
            <w:pPr>
              <w:rPr>
                <w:rFonts w:hint="eastAsia" w:ascii="宋体" w:hAnsi="宋体" w:eastAsia="宋体" w:cs="Times New Roman"/>
                <w:szCs w:val="21"/>
              </w:rPr>
            </w:pPr>
          </w:p>
        </w:tc>
        <w:tc>
          <w:tcPr>
            <w:tcW w:w="627" w:type="pct"/>
          </w:tcPr>
          <w:p w14:paraId="5E0C27CF">
            <w:pPr>
              <w:rPr>
                <w:rFonts w:hint="eastAsia" w:ascii="宋体" w:hAnsi="宋体" w:eastAsia="宋体" w:cs="Times New Roman"/>
                <w:szCs w:val="21"/>
              </w:rPr>
            </w:pPr>
          </w:p>
        </w:tc>
        <w:tc>
          <w:tcPr>
            <w:tcW w:w="705" w:type="pct"/>
          </w:tcPr>
          <w:p w14:paraId="479FAC53">
            <w:pPr>
              <w:rPr>
                <w:rFonts w:hint="eastAsia" w:ascii="宋体" w:hAnsi="宋体" w:eastAsia="宋体" w:cs="Times New Roman"/>
                <w:szCs w:val="21"/>
              </w:rPr>
            </w:pPr>
          </w:p>
        </w:tc>
        <w:tc>
          <w:tcPr>
            <w:tcW w:w="855" w:type="pct"/>
          </w:tcPr>
          <w:p w14:paraId="6C94E918">
            <w:pPr>
              <w:rPr>
                <w:rFonts w:hint="eastAsia" w:ascii="宋体" w:hAnsi="宋体" w:eastAsia="宋体" w:cs="Times New Roman"/>
                <w:szCs w:val="21"/>
              </w:rPr>
            </w:pPr>
          </w:p>
        </w:tc>
      </w:tr>
      <w:tr w14:paraId="7E34E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B6307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2BCED9D4">
            <w:pPr>
              <w:rPr>
                <w:rFonts w:hint="eastAsia" w:ascii="宋体" w:hAnsi="宋体" w:eastAsia="宋体" w:cs="Times New Roman"/>
                <w:szCs w:val="21"/>
              </w:rPr>
            </w:pPr>
          </w:p>
        </w:tc>
        <w:tc>
          <w:tcPr>
            <w:tcW w:w="1113" w:type="pct"/>
          </w:tcPr>
          <w:p w14:paraId="05E5F239">
            <w:pPr>
              <w:rPr>
                <w:rFonts w:hint="eastAsia" w:ascii="宋体" w:hAnsi="宋体" w:eastAsia="宋体" w:cs="Times New Roman"/>
                <w:szCs w:val="21"/>
              </w:rPr>
            </w:pPr>
          </w:p>
        </w:tc>
        <w:tc>
          <w:tcPr>
            <w:tcW w:w="704" w:type="pct"/>
          </w:tcPr>
          <w:p w14:paraId="14A2F253">
            <w:pPr>
              <w:rPr>
                <w:rFonts w:hint="eastAsia" w:ascii="宋体" w:hAnsi="宋体" w:eastAsia="宋体" w:cs="Times New Roman"/>
                <w:szCs w:val="21"/>
              </w:rPr>
            </w:pPr>
          </w:p>
        </w:tc>
        <w:tc>
          <w:tcPr>
            <w:tcW w:w="627" w:type="pct"/>
          </w:tcPr>
          <w:p w14:paraId="491D913E">
            <w:pPr>
              <w:rPr>
                <w:rFonts w:hint="eastAsia" w:ascii="宋体" w:hAnsi="宋体" w:eastAsia="宋体" w:cs="Times New Roman"/>
                <w:szCs w:val="21"/>
              </w:rPr>
            </w:pPr>
          </w:p>
        </w:tc>
        <w:tc>
          <w:tcPr>
            <w:tcW w:w="705" w:type="pct"/>
          </w:tcPr>
          <w:p w14:paraId="3E706613">
            <w:pPr>
              <w:rPr>
                <w:rFonts w:hint="eastAsia" w:ascii="宋体" w:hAnsi="宋体" w:eastAsia="宋体" w:cs="Times New Roman"/>
                <w:szCs w:val="21"/>
              </w:rPr>
            </w:pPr>
          </w:p>
        </w:tc>
        <w:tc>
          <w:tcPr>
            <w:tcW w:w="855" w:type="pct"/>
          </w:tcPr>
          <w:p w14:paraId="3B6B099D">
            <w:pPr>
              <w:rPr>
                <w:rFonts w:hint="eastAsia" w:ascii="宋体" w:hAnsi="宋体" w:eastAsia="宋体" w:cs="Times New Roman"/>
                <w:szCs w:val="21"/>
              </w:rPr>
            </w:pPr>
          </w:p>
        </w:tc>
      </w:tr>
      <w:tr w14:paraId="505D2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DFC6C2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C9E001F">
            <w:pPr>
              <w:rPr>
                <w:rFonts w:hint="eastAsia" w:ascii="宋体" w:hAnsi="宋体" w:eastAsia="宋体" w:cs="Times New Roman"/>
                <w:szCs w:val="21"/>
              </w:rPr>
            </w:pPr>
          </w:p>
        </w:tc>
        <w:tc>
          <w:tcPr>
            <w:tcW w:w="1113" w:type="pct"/>
          </w:tcPr>
          <w:p w14:paraId="61646AB0">
            <w:pPr>
              <w:rPr>
                <w:rFonts w:hint="eastAsia" w:ascii="宋体" w:hAnsi="宋体" w:eastAsia="宋体" w:cs="Times New Roman"/>
                <w:szCs w:val="21"/>
              </w:rPr>
            </w:pPr>
          </w:p>
        </w:tc>
        <w:tc>
          <w:tcPr>
            <w:tcW w:w="704" w:type="pct"/>
          </w:tcPr>
          <w:p w14:paraId="756D49C1">
            <w:pPr>
              <w:rPr>
                <w:rFonts w:hint="eastAsia" w:ascii="宋体" w:hAnsi="宋体" w:eastAsia="宋体" w:cs="Times New Roman"/>
                <w:szCs w:val="21"/>
              </w:rPr>
            </w:pPr>
          </w:p>
        </w:tc>
        <w:tc>
          <w:tcPr>
            <w:tcW w:w="627" w:type="pct"/>
          </w:tcPr>
          <w:p w14:paraId="13B16900">
            <w:pPr>
              <w:rPr>
                <w:rFonts w:hint="eastAsia" w:ascii="宋体" w:hAnsi="宋体" w:eastAsia="宋体" w:cs="Times New Roman"/>
                <w:szCs w:val="21"/>
              </w:rPr>
            </w:pPr>
          </w:p>
        </w:tc>
        <w:tc>
          <w:tcPr>
            <w:tcW w:w="705" w:type="pct"/>
          </w:tcPr>
          <w:p w14:paraId="78F70F3A">
            <w:pPr>
              <w:rPr>
                <w:rFonts w:hint="eastAsia" w:ascii="宋体" w:hAnsi="宋体" w:eastAsia="宋体" w:cs="Times New Roman"/>
                <w:szCs w:val="21"/>
              </w:rPr>
            </w:pPr>
          </w:p>
        </w:tc>
        <w:tc>
          <w:tcPr>
            <w:tcW w:w="855" w:type="pct"/>
          </w:tcPr>
          <w:p w14:paraId="72932319">
            <w:pPr>
              <w:rPr>
                <w:rFonts w:hint="eastAsia" w:ascii="宋体" w:hAnsi="宋体" w:eastAsia="宋体" w:cs="Times New Roman"/>
                <w:szCs w:val="21"/>
              </w:rPr>
            </w:pPr>
          </w:p>
        </w:tc>
      </w:tr>
      <w:tr w14:paraId="4B74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7DF97E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5D149122">
            <w:pPr>
              <w:rPr>
                <w:rFonts w:hint="eastAsia" w:ascii="宋体" w:hAnsi="宋体" w:eastAsia="宋体" w:cs="Times New Roman"/>
                <w:szCs w:val="21"/>
              </w:rPr>
            </w:pPr>
          </w:p>
        </w:tc>
        <w:tc>
          <w:tcPr>
            <w:tcW w:w="1113" w:type="pct"/>
          </w:tcPr>
          <w:p w14:paraId="34CB54D8">
            <w:pPr>
              <w:rPr>
                <w:rFonts w:hint="eastAsia" w:ascii="宋体" w:hAnsi="宋体" w:eastAsia="宋体" w:cs="Times New Roman"/>
                <w:szCs w:val="21"/>
              </w:rPr>
            </w:pPr>
          </w:p>
        </w:tc>
        <w:tc>
          <w:tcPr>
            <w:tcW w:w="704" w:type="pct"/>
          </w:tcPr>
          <w:p w14:paraId="52086462">
            <w:pPr>
              <w:rPr>
                <w:rFonts w:hint="eastAsia" w:ascii="宋体" w:hAnsi="宋体" w:eastAsia="宋体" w:cs="Times New Roman"/>
                <w:szCs w:val="21"/>
              </w:rPr>
            </w:pPr>
          </w:p>
        </w:tc>
        <w:tc>
          <w:tcPr>
            <w:tcW w:w="627" w:type="pct"/>
          </w:tcPr>
          <w:p w14:paraId="7D2588F3">
            <w:pPr>
              <w:rPr>
                <w:rFonts w:hint="eastAsia" w:ascii="宋体" w:hAnsi="宋体" w:eastAsia="宋体" w:cs="Times New Roman"/>
                <w:szCs w:val="21"/>
              </w:rPr>
            </w:pPr>
          </w:p>
        </w:tc>
        <w:tc>
          <w:tcPr>
            <w:tcW w:w="705" w:type="pct"/>
          </w:tcPr>
          <w:p w14:paraId="26B20983">
            <w:pPr>
              <w:rPr>
                <w:rFonts w:hint="eastAsia" w:ascii="宋体" w:hAnsi="宋体" w:eastAsia="宋体" w:cs="Times New Roman"/>
                <w:szCs w:val="21"/>
              </w:rPr>
            </w:pPr>
          </w:p>
        </w:tc>
        <w:tc>
          <w:tcPr>
            <w:tcW w:w="855" w:type="pct"/>
          </w:tcPr>
          <w:p w14:paraId="15AF1BCA">
            <w:pPr>
              <w:rPr>
                <w:rFonts w:hint="eastAsia" w:ascii="宋体" w:hAnsi="宋体" w:eastAsia="宋体" w:cs="Times New Roman"/>
                <w:szCs w:val="21"/>
              </w:rPr>
            </w:pPr>
          </w:p>
        </w:tc>
      </w:tr>
      <w:tr w14:paraId="348A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71BE3C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7EC12BC">
            <w:pPr>
              <w:rPr>
                <w:rFonts w:hint="eastAsia" w:ascii="宋体" w:hAnsi="宋体" w:eastAsia="宋体" w:cs="Times New Roman"/>
                <w:szCs w:val="21"/>
              </w:rPr>
            </w:pPr>
          </w:p>
        </w:tc>
        <w:tc>
          <w:tcPr>
            <w:tcW w:w="1113" w:type="pct"/>
          </w:tcPr>
          <w:p w14:paraId="2FF2F3F8">
            <w:pPr>
              <w:rPr>
                <w:rFonts w:hint="eastAsia" w:ascii="宋体" w:hAnsi="宋体" w:eastAsia="宋体" w:cs="Times New Roman"/>
                <w:szCs w:val="21"/>
              </w:rPr>
            </w:pPr>
          </w:p>
        </w:tc>
        <w:tc>
          <w:tcPr>
            <w:tcW w:w="704" w:type="pct"/>
          </w:tcPr>
          <w:p w14:paraId="6B05C1C3">
            <w:pPr>
              <w:rPr>
                <w:rFonts w:hint="eastAsia" w:ascii="宋体" w:hAnsi="宋体" w:eastAsia="宋体" w:cs="Times New Roman"/>
                <w:szCs w:val="21"/>
              </w:rPr>
            </w:pPr>
          </w:p>
        </w:tc>
        <w:tc>
          <w:tcPr>
            <w:tcW w:w="627" w:type="pct"/>
          </w:tcPr>
          <w:p w14:paraId="490AD426">
            <w:pPr>
              <w:rPr>
                <w:rFonts w:hint="eastAsia" w:ascii="宋体" w:hAnsi="宋体" w:eastAsia="宋体" w:cs="Times New Roman"/>
                <w:szCs w:val="21"/>
              </w:rPr>
            </w:pPr>
          </w:p>
        </w:tc>
        <w:tc>
          <w:tcPr>
            <w:tcW w:w="705" w:type="pct"/>
          </w:tcPr>
          <w:p w14:paraId="7B521578">
            <w:pPr>
              <w:rPr>
                <w:rFonts w:hint="eastAsia" w:ascii="宋体" w:hAnsi="宋体" w:eastAsia="宋体" w:cs="Times New Roman"/>
                <w:szCs w:val="21"/>
              </w:rPr>
            </w:pPr>
          </w:p>
        </w:tc>
        <w:tc>
          <w:tcPr>
            <w:tcW w:w="855" w:type="pct"/>
          </w:tcPr>
          <w:p w14:paraId="2BA83C7A">
            <w:pPr>
              <w:rPr>
                <w:rFonts w:hint="eastAsia" w:ascii="宋体" w:hAnsi="宋体" w:eastAsia="宋体" w:cs="Times New Roman"/>
                <w:szCs w:val="21"/>
              </w:rPr>
            </w:pPr>
          </w:p>
        </w:tc>
      </w:tr>
    </w:tbl>
    <w:p w14:paraId="2406F2A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34DE4092">
      <w:pPr>
        <w:widowControl/>
        <w:jc w:val="left"/>
        <w:rPr>
          <w:rFonts w:ascii="Calibri" w:hAnsi="Calibri" w:eastAsia="宋体" w:cs="Times New Roman"/>
          <w:kern w:val="0"/>
          <w:sz w:val="20"/>
          <w:szCs w:val="20"/>
          <w:lang w:eastAsia="zh-Hans"/>
        </w:rPr>
      </w:pPr>
    </w:p>
    <w:p w14:paraId="0FA7F481">
      <w:pPr>
        <w:widowControl/>
        <w:jc w:val="left"/>
        <w:rPr>
          <w:rFonts w:ascii="Calibri" w:hAnsi="Calibri" w:eastAsia="宋体" w:cs="Times New Roman"/>
          <w:kern w:val="0"/>
          <w:sz w:val="20"/>
          <w:szCs w:val="20"/>
        </w:rPr>
      </w:pPr>
    </w:p>
    <w:p w14:paraId="7E145F17">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822350B">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C5474FC">
      <w:pPr>
        <w:pageBreakBefore/>
        <w:rPr>
          <w:rFonts w:ascii="Calibri" w:hAnsi="Calibri" w:eastAsia="宋体" w:cs="Times New Roman"/>
          <w:kern w:val="0"/>
          <w:sz w:val="20"/>
          <w:szCs w:val="20"/>
          <w:lang w:eastAsia="zh-Hans"/>
        </w:rPr>
      </w:pPr>
      <w:bookmarkStart w:id="52" w:name="_Toc169799800"/>
      <w:r>
        <w:rPr>
          <w:rFonts w:ascii="宋体" w:hAnsi="宋体" w:eastAsia="宋体"/>
          <w:b/>
          <w:bCs/>
          <w:sz w:val="24"/>
          <w:szCs w:val="28"/>
        </w:rPr>
        <w:t>格式十</w:t>
      </w:r>
      <w:r>
        <w:rPr>
          <w:rFonts w:hint="eastAsia" w:ascii="宋体" w:hAnsi="宋体" w:eastAsia="宋体"/>
          <w:b/>
          <w:bCs/>
          <w:sz w:val="24"/>
          <w:szCs w:val="28"/>
          <w:lang w:val="en-US" w:eastAsia="zh-CN"/>
        </w:rPr>
        <w:t>四</w:t>
      </w:r>
      <w:r>
        <w:rPr>
          <w:rFonts w:ascii="宋体" w:hAnsi="宋体" w:eastAsia="宋体"/>
          <w:b/>
          <w:bCs/>
          <w:sz w:val="24"/>
          <w:szCs w:val="28"/>
        </w:rPr>
        <w:t>：</w:t>
      </w:r>
      <w:bookmarkEnd w:id="52"/>
    </w:p>
    <w:p w14:paraId="623B472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375BE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5B4FA170">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2DFB1127">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5DC39CDE">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78AFE261">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626E3C6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54F1088D">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6F7A672E">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498C129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48278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A3FC61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462BB751">
            <w:pPr>
              <w:jc w:val="center"/>
              <w:rPr>
                <w:rFonts w:ascii="Calibri" w:hAnsi="Calibri" w:eastAsia="宋体" w:cs="Times New Roman"/>
                <w:szCs w:val="24"/>
              </w:rPr>
            </w:pPr>
          </w:p>
        </w:tc>
        <w:tc>
          <w:tcPr>
            <w:tcW w:w="842" w:type="pct"/>
          </w:tcPr>
          <w:p w14:paraId="08C468AA">
            <w:pPr>
              <w:jc w:val="center"/>
              <w:rPr>
                <w:rFonts w:ascii="Calibri" w:hAnsi="Calibri" w:eastAsia="宋体" w:cs="Times New Roman"/>
                <w:szCs w:val="24"/>
              </w:rPr>
            </w:pPr>
          </w:p>
        </w:tc>
        <w:tc>
          <w:tcPr>
            <w:tcW w:w="673" w:type="pct"/>
          </w:tcPr>
          <w:p w14:paraId="7E92370B">
            <w:pPr>
              <w:jc w:val="center"/>
              <w:rPr>
                <w:rFonts w:ascii="Calibri" w:hAnsi="Calibri" w:eastAsia="宋体" w:cs="Times New Roman"/>
                <w:szCs w:val="24"/>
              </w:rPr>
            </w:pPr>
          </w:p>
        </w:tc>
        <w:tc>
          <w:tcPr>
            <w:tcW w:w="673" w:type="pct"/>
          </w:tcPr>
          <w:p w14:paraId="36304637">
            <w:pPr>
              <w:jc w:val="center"/>
              <w:rPr>
                <w:rFonts w:ascii="Calibri" w:hAnsi="Calibri" w:eastAsia="宋体" w:cs="Times New Roman"/>
                <w:szCs w:val="24"/>
              </w:rPr>
            </w:pPr>
          </w:p>
        </w:tc>
        <w:tc>
          <w:tcPr>
            <w:tcW w:w="757" w:type="pct"/>
          </w:tcPr>
          <w:p w14:paraId="3C382810">
            <w:pPr>
              <w:jc w:val="center"/>
              <w:rPr>
                <w:rFonts w:ascii="Calibri" w:hAnsi="Calibri" w:eastAsia="宋体" w:cs="Times New Roman"/>
                <w:szCs w:val="24"/>
              </w:rPr>
            </w:pPr>
          </w:p>
        </w:tc>
        <w:tc>
          <w:tcPr>
            <w:tcW w:w="674" w:type="pct"/>
          </w:tcPr>
          <w:p w14:paraId="3BA31C17">
            <w:pPr>
              <w:jc w:val="center"/>
              <w:rPr>
                <w:rFonts w:ascii="Calibri" w:hAnsi="Calibri" w:eastAsia="宋体" w:cs="Times New Roman"/>
                <w:szCs w:val="24"/>
              </w:rPr>
            </w:pPr>
          </w:p>
        </w:tc>
        <w:tc>
          <w:tcPr>
            <w:tcW w:w="455" w:type="pct"/>
          </w:tcPr>
          <w:p w14:paraId="532AA381">
            <w:pPr>
              <w:jc w:val="center"/>
              <w:rPr>
                <w:rFonts w:ascii="Calibri" w:hAnsi="Calibri" w:eastAsia="宋体" w:cs="Times New Roman"/>
                <w:szCs w:val="24"/>
              </w:rPr>
            </w:pPr>
          </w:p>
        </w:tc>
      </w:tr>
      <w:tr w14:paraId="5552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F6400E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215BEDBC">
            <w:pPr>
              <w:jc w:val="center"/>
              <w:rPr>
                <w:rFonts w:ascii="Calibri" w:hAnsi="Calibri" w:eastAsia="宋体" w:cs="Times New Roman"/>
                <w:szCs w:val="24"/>
              </w:rPr>
            </w:pPr>
          </w:p>
        </w:tc>
        <w:tc>
          <w:tcPr>
            <w:tcW w:w="842" w:type="pct"/>
          </w:tcPr>
          <w:p w14:paraId="31EBF181">
            <w:pPr>
              <w:jc w:val="center"/>
              <w:rPr>
                <w:rFonts w:ascii="Calibri" w:hAnsi="Calibri" w:eastAsia="宋体" w:cs="Times New Roman"/>
                <w:szCs w:val="24"/>
              </w:rPr>
            </w:pPr>
          </w:p>
        </w:tc>
        <w:tc>
          <w:tcPr>
            <w:tcW w:w="673" w:type="pct"/>
          </w:tcPr>
          <w:p w14:paraId="2DBF6C29">
            <w:pPr>
              <w:jc w:val="center"/>
              <w:rPr>
                <w:rFonts w:ascii="Calibri" w:hAnsi="Calibri" w:eastAsia="宋体" w:cs="Times New Roman"/>
                <w:szCs w:val="24"/>
              </w:rPr>
            </w:pPr>
          </w:p>
        </w:tc>
        <w:tc>
          <w:tcPr>
            <w:tcW w:w="673" w:type="pct"/>
          </w:tcPr>
          <w:p w14:paraId="61F1ADFA">
            <w:pPr>
              <w:jc w:val="center"/>
              <w:rPr>
                <w:rFonts w:ascii="Calibri" w:hAnsi="Calibri" w:eastAsia="宋体" w:cs="Times New Roman"/>
                <w:szCs w:val="24"/>
              </w:rPr>
            </w:pPr>
          </w:p>
        </w:tc>
        <w:tc>
          <w:tcPr>
            <w:tcW w:w="757" w:type="pct"/>
          </w:tcPr>
          <w:p w14:paraId="008E0DDA">
            <w:pPr>
              <w:jc w:val="center"/>
              <w:rPr>
                <w:rFonts w:ascii="Calibri" w:hAnsi="Calibri" w:eastAsia="宋体" w:cs="Times New Roman"/>
                <w:szCs w:val="24"/>
              </w:rPr>
            </w:pPr>
          </w:p>
        </w:tc>
        <w:tc>
          <w:tcPr>
            <w:tcW w:w="674" w:type="pct"/>
          </w:tcPr>
          <w:p w14:paraId="64A53332">
            <w:pPr>
              <w:jc w:val="center"/>
              <w:rPr>
                <w:rFonts w:ascii="Calibri" w:hAnsi="Calibri" w:eastAsia="宋体" w:cs="Times New Roman"/>
                <w:szCs w:val="24"/>
              </w:rPr>
            </w:pPr>
          </w:p>
        </w:tc>
        <w:tc>
          <w:tcPr>
            <w:tcW w:w="455" w:type="pct"/>
          </w:tcPr>
          <w:p w14:paraId="2CA2C667">
            <w:pPr>
              <w:jc w:val="center"/>
              <w:rPr>
                <w:rFonts w:ascii="Calibri" w:hAnsi="Calibri" w:eastAsia="宋体" w:cs="Times New Roman"/>
                <w:szCs w:val="24"/>
              </w:rPr>
            </w:pPr>
          </w:p>
        </w:tc>
      </w:tr>
      <w:tr w14:paraId="65C63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37CFC9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6EDD9267">
            <w:pPr>
              <w:jc w:val="center"/>
              <w:rPr>
                <w:rFonts w:ascii="Calibri" w:hAnsi="Calibri" w:eastAsia="宋体" w:cs="Times New Roman"/>
                <w:szCs w:val="24"/>
              </w:rPr>
            </w:pPr>
          </w:p>
        </w:tc>
        <w:tc>
          <w:tcPr>
            <w:tcW w:w="842" w:type="pct"/>
          </w:tcPr>
          <w:p w14:paraId="1A67A282">
            <w:pPr>
              <w:jc w:val="center"/>
              <w:rPr>
                <w:rFonts w:ascii="Calibri" w:hAnsi="Calibri" w:eastAsia="宋体" w:cs="Times New Roman"/>
                <w:szCs w:val="24"/>
              </w:rPr>
            </w:pPr>
          </w:p>
        </w:tc>
        <w:tc>
          <w:tcPr>
            <w:tcW w:w="673" w:type="pct"/>
          </w:tcPr>
          <w:p w14:paraId="7173BF56">
            <w:pPr>
              <w:jc w:val="center"/>
              <w:rPr>
                <w:rFonts w:ascii="Calibri" w:hAnsi="Calibri" w:eastAsia="宋体" w:cs="Times New Roman"/>
                <w:szCs w:val="24"/>
              </w:rPr>
            </w:pPr>
          </w:p>
        </w:tc>
        <w:tc>
          <w:tcPr>
            <w:tcW w:w="673" w:type="pct"/>
          </w:tcPr>
          <w:p w14:paraId="52B77CF6">
            <w:pPr>
              <w:jc w:val="center"/>
              <w:rPr>
                <w:rFonts w:ascii="Calibri" w:hAnsi="Calibri" w:eastAsia="宋体" w:cs="Times New Roman"/>
                <w:szCs w:val="24"/>
              </w:rPr>
            </w:pPr>
          </w:p>
        </w:tc>
        <w:tc>
          <w:tcPr>
            <w:tcW w:w="757" w:type="pct"/>
          </w:tcPr>
          <w:p w14:paraId="736E0BA8">
            <w:pPr>
              <w:jc w:val="center"/>
              <w:rPr>
                <w:rFonts w:ascii="Calibri" w:hAnsi="Calibri" w:eastAsia="宋体" w:cs="Times New Roman"/>
                <w:szCs w:val="24"/>
              </w:rPr>
            </w:pPr>
          </w:p>
        </w:tc>
        <w:tc>
          <w:tcPr>
            <w:tcW w:w="674" w:type="pct"/>
          </w:tcPr>
          <w:p w14:paraId="042EB6CD">
            <w:pPr>
              <w:jc w:val="center"/>
              <w:rPr>
                <w:rFonts w:ascii="Calibri" w:hAnsi="Calibri" w:eastAsia="宋体" w:cs="Times New Roman"/>
                <w:szCs w:val="24"/>
              </w:rPr>
            </w:pPr>
          </w:p>
        </w:tc>
        <w:tc>
          <w:tcPr>
            <w:tcW w:w="455" w:type="pct"/>
          </w:tcPr>
          <w:p w14:paraId="3D981D69">
            <w:pPr>
              <w:jc w:val="center"/>
              <w:rPr>
                <w:rFonts w:ascii="Calibri" w:hAnsi="Calibri" w:eastAsia="宋体" w:cs="Times New Roman"/>
                <w:szCs w:val="24"/>
              </w:rPr>
            </w:pPr>
          </w:p>
        </w:tc>
      </w:tr>
      <w:tr w14:paraId="45F9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9F32D0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0E69B02D">
            <w:pPr>
              <w:jc w:val="center"/>
              <w:rPr>
                <w:rFonts w:ascii="Calibri" w:hAnsi="Calibri" w:eastAsia="宋体" w:cs="Times New Roman"/>
                <w:szCs w:val="24"/>
              </w:rPr>
            </w:pPr>
          </w:p>
        </w:tc>
        <w:tc>
          <w:tcPr>
            <w:tcW w:w="842" w:type="pct"/>
          </w:tcPr>
          <w:p w14:paraId="3D7BE88E">
            <w:pPr>
              <w:jc w:val="center"/>
              <w:rPr>
                <w:rFonts w:ascii="Calibri" w:hAnsi="Calibri" w:eastAsia="宋体" w:cs="Times New Roman"/>
                <w:szCs w:val="24"/>
              </w:rPr>
            </w:pPr>
          </w:p>
        </w:tc>
        <w:tc>
          <w:tcPr>
            <w:tcW w:w="673" w:type="pct"/>
          </w:tcPr>
          <w:p w14:paraId="7E53FBD3">
            <w:pPr>
              <w:jc w:val="center"/>
              <w:rPr>
                <w:rFonts w:ascii="Calibri" w:hAnsi="Calibri" w:eastAsia="宋体" w:cs="Times New Roman"/>
                <w:szCs w:val="24"/>
              </w:rPr>
            </w:pPr>
          </w:p>
        </w:tc>
        <w:tc>
          <w:tcPr>
            <w:tcW w:w="673" w:type="pct"/>
          </w:tcPr>
          <w:p w14:paraId="5F80EDE6">
            <w:pPr>
              <w:jc w:val="center"/>
              <w:rPr>
                <w:rFonts w:ascii="Calibri" w:hAnsi="Calibri" w:eastAsia="宋体" w:cs="Times New Roman"/>
                <w:szCs w:val="24"/>
              </w:rPr>
            </w:pPr>
          </w:p>
        </w:tc>
        <w:tc>
          <w:tcPr>
            <w:tcW w:w="757" w:type="pct"/>
          </w:tcPr>
          <w:p w14:paraId="2304E6BC">
            <w:pPr>
              <w:jc w:val="center"/>
              <w:rPr>
                <w:rFonts w:ascii="Calibri" w:hAnsi="Calibri" w:eastAsia="宋体" w:cs="Times New Roman"/>
                <w:szCs w:val="24"/>
              </w:rPr>
            </w:pPr>
          </w:p>
        </w:tc>
        <w:tc>
          <w:tcPr>
            <w:tcW w:w="674" w:type="pct"/>
          </w:tcPr>
          <w:p w14:paraId="574EFEA4">
            <w:pPr>
              <w:jc w:val="center"/>
              <w:rPr>
                <w:rFonts w:ascii="Calibri" w:hAnsi="Calibri" w:eastAsia="宋体" w:cs="Times New Roman"/>
                <w:szCs w:val="24"/>
              </w:rPr>
            </w:pPr>
          </w:p>
        </w:tc>
        <w:tc>
          <w:tcPr>
            <w:tcW w:w="455" w:type="pct"/>
          </w:tcPr>
          <w:p w14:paraId="676A68CD">
            <w:pPr>
              <w:jc w:val="center"/>
              <w:rPr>
                <w:rFonts w:ascii="Calibri" w:hAnsi="Calibri" w:eastAsia="宋体" w:cs="Times New Roman"/>
                <w:szCs w:val="24"/>
              </w:rPr>
            </w:pPr>
          </w:p>
        </w:tc>
      </w:tr>
      <w:tr w14:paraId="2B0B0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F212E03">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2DF0AB98">
            <w:pPr>
              <w:jc w:val="center"/>
              <w:rPr>
                <w:rFonts w:ascii="Calibri" w:hAnsi="Calibri" w:eastAsia="宋体" w:cs="Times New Roman"/>
                <w:szCs w:val="24"/>
              </w:rPr>
            </w:pPr>
          </w:p>
        </w:tc>
        <w:tc>
          <w:tcPr>
            <w:tcW w:w="842" w:type="pct"/>
          </w:tcPr>
          <w:p w14:paraId="40DC2DA2">
            <w:pPr>
              <w:jc w:val="center"/>
              <w:rPr>
                <w:rFonts w:ascii="Calibri" w:hAnsi="Calibri" w:eastAsia="宋体" w:cs="Times New Roman"/>
                <w:szCs w:val="24"/>
              </w:rPr>
            </w:pPr>
          </w:p>
        </w:tc>
        <w:tc>
          <w:tcPr>
            <w:tcW w:w="673" w:type="pct"/>
          </w:tcPr>
          <w:p w14:paraId="6A577545">
            <w:pPr>
              <w:jc w:val="center"/>
              <w:rPr>
                <w:rFonts w:ascii="Calibri" w:hAnsi="Calibri" w:eastAsia="宋体" w:cs="Times New Roman"/>
                <w:szCs w:val="24"/>
              </w:rPr>
            </w:pPr>
          </w:p>
        </w:tc>
        <w:tc>
          <w:tcPr>
            <w:tcW w:w="673" w:type="pct"/>
          </w:tcPr>
          <w:p w14:paraId="650404E1">
            <w:pPr>
              <w:jc w:val="center"/>
              <w:rPr>
                <w:rFonts w:ascii="Calibri" w:hAnsi="Calibri" w:eastAsia="宋体" w:cs="Times New Roman"/>
                <w:szCs w:val="24"/>
              </w:rPr>
            </w:pPr>
          </w:p>
        </w:tc>
        <w:tc>
          <w:tcPr>
            <w:tcW w:w="757" w:type="pct"/>
          </w:tcPr>
          <w:p w14:paraId="48933ADB">
            <w:pPr>
              <w:jc w:val="center"/>
              <w:rPr>
                <w:rFonts w:ascii="Calibri" w:hAnsi="Calibri" w:eastAsia="宋体" w:cs="Times New Roman"/>
                <w:szCs w:val="24"/>
              </w:rPr>
            </w:pPr>
          </w:p>
        </w:tc>
        <w:tc>
          <w:tcPr>
            <w:tcW w:w="674" w:type="pct"/>
          </w:tcPr>
          <w:p w14:paraId="5EEC79DD">
            <w:pPr>
              <w:jc w:val="center"/>
              <w:rPr>
                <w:rFonts w:ascii="Calibri" w:hAnsi="Calibri" w:eastAsia="宋体" w:cs="Times New Roman"/>
                <w:szCs w:val="24"/>
              </w:rPr>
            </w:pPr>
          </w:p>
        </w:tc>
        <w:tc>
          <w:tcPr>
            <w:tcW w:w="455" w:type="pct"/>
          </w:tcPr>
          <w:p w14:paraId="6EDF7065">
            <w:pPr>
              <w:jc w:val="center"/>
              <w:rPr>
                <w:rFonts w:ascii="Calibri" w:hAnsi="Calibri" w:eastAsia="宋体" w:cs="Times New Roman"/>
                <w:szCs w:val="24"/>
              </w:rPr>
            </w:pPr>
          </w:p>
        </w:tc>
      </w:tr>
      <w:tr w14:paraId="3E54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C4528D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5CB9B69">
            <w:pPr>
              <w:jc w:val="center"/>
              <w:rPr>
                <w:rFonts w:ascii="Calibri" w:hAnsi="Calibri" w:eastAsia="宋体" w:cs="Times New Roman"/>
                <w:szCs w:val="24"/>
              </w:rPr>
            </w:pPr>
          </w:p>
        </w:tc>
        <w:tc>
          <w:tcPr>
            <w:tcW w:w="842" w:type="pct"/>
          </w:tcPr>
          <w:p w14:paraId="6EC72A60">
            <w:pPr>
              <w:jc w:val="center"/>
              <w:rPr>
                <w:rFonts w:ascii="Calibri" w:hAnsi="Calibri" w:eastAsia="宋体" w:cs="Times New Roman"/>
                <w:szCs w:val="24"/>
              </w:rPr>
            </w:pPr>
          </w:p>
        </w:tc>
        <w:tc>
          <w:tcPr>
            <w:tcW w:w="673" w:type="pct"/>
          </w:tcPr>
          <w:p w14:paraId="6FB35265">
            <w:pPr>
              <w:jc w:val="center"/>
              <w:rPr>
                <w:rFonts w:ascii="Calibri" w:hAnsi="Calibri" w:eastAsia="宋体" w:cs="Times New Roman"/>
                <w:szCs w:val="24"/>
              </w:rPr>
            </w:pPr>
          </w:p>
        </w:tc>
        <w:tc>
          <w:tcPr>
            <w:tcW w:w="673" w:type="pct"/>
          </w:tcPr>
          <w:p w14:paraId="4D4174E8">
            <w:pPr>
              <w:jc w:val="center"/>
              <w:rPr>
                <w:rFonts w:ascii="Calibri" w:hAnsi="Calibri" w:eastAsia="宋体" w:cs="Times New Roman"/>
                <w:szCs w:val="24"/>
              </w:rPr>
            </w:pPr>
          </w:p>
        </w:tc>
        <w:tc>
          <w:tcPr>
            <w:tcW w:w="757" w:type="pct"/>
          </w:tcPr>
          <w:p w14:paraId="7FA9D6D0">
            <w:pPr>
              <w:jc w:val="center"/>
              <w:rPr>
                <w:rFonts w:ascii="Calibri" w:hAnsi="Calibri" w:eastAsia="宋体" w:cs="Times New Roman"/>
                <w:szCs w:val="24"/>
              </w:rPr>
            </w:pPr>
          </w:p>
        </w:tc>
        <w:tc>
          <w:tcPr>
            <w:tcW w:w="674" w:type="pct"/>
          </w:tcPr>
          <w:p w14:paraId="13CE5BBC">
            <w:pPr>
              <w:jc w:val="center"/>
              <w:rPr>
                <w:rFonts w:ascii="Calibri" w:hAnsi="Calibri" w:eastAsia="宋体" w:cs="Times New Roman"/>
                <w:szCs w:val="24"/>
              </w:rPr>
            </w:pPr>
          </w:p>
        </w:tc>
        <w:tc>
          <w:tcPr>
            <w:tcW w:w="455" w:type="pct"/>
          </w:tcPr>
          <w:p w14:paraId="40A93A28">
            <w:pPr>
              <w:jc w:val="center"/>
              <w:rPr>
                <w:rFonts w:ascii="Calibri" w:hAnsi="Calibri" w:eastAsia="宋体" w:cs="Times New Roman"/>
                <w:szCs w:val="24"/>
              </w:rPr>
            </w:pPr>
          </w:p>
        </w:tc>
      </w:tr>
      <w:tr w14:paraId="7E6E3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EC4C4E6">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567C07D7">
            <w:pPr>
              <w:jc w:val="center"/>
              <w:rPr>
                <w:rFonts w:ascii="Calibri" w:hAnsi="Calibri" w:eastAsia="宋体" w:cs="Times New Roman"/>
                <w:szCs w:val="24"/>
              </w:rPr>
            </w:pPr>
          </w:p>
        </w:tc>
        <w:tc>
          <w:tcPr>
            <w:tcW w:w="842" w:type="pct"/>
          </w:tcPr>
          <w:p w14:paraId="38723E90">
            <w:pPr>
              <w:jc w:val="center"/>
              <w:rPr>
                <w:rFonts w:ascii="Calibri" w:hAnsi="Calibri" w:eastAsia="宋体" w:cs="Times New Roman"/>
                <w:szCs w:val="24"/>
              </w:rPr>
            </w:pPr>
          </w:p>
        </w:tc>
        <w:tc>
          <w:tcPr>
            <w:tcW w:w="673" w:type="pct"/>
          </w:tcPr>
          <w:p w14:paraId="7D6E2DF5">
            <w:pPr>
              <w:jc w:val="center"/>
              <w:rPr>
                <w:rFonts w:ascii="Calibri" w:hAnsi="Calibri" w:eastAsia="宋体" w:cs="Times New Roman"/>
                <w:szCs w:val="24"/>
              </w:rPr>
            </w:pPr>
          </w:p>
        </w:tc>
        <w:tc>
          <w:tcPr>
            <w:tcW w:w="673" w:type="pct"/>
          </w:tcPr>
          <w:p w14:paraId="795015EB">
            <w:pPr>
              <w:jc w:val="center"/>
              <w:rPr>
                <w:rFonts w:ascii="Calibri" w:hAnsi="Calibri" w:eastAsia="宋体" w:cs="Times New Roman"/>
                <w:szCs w:val="24"/>
              </w:rPr>
            </w:pPr>
          </w:p>
        </w:tc>
        <w:tc>
          <w:tcPr>
            <w:tcW w:w="757" w:type="pct"/>
          </w:tcPr>
          <w:p w14:paraId="65E40E70">
            <w:pPr>
              <w:jc w:val="center"/>
              <w:rPr>
                <w:rFonts w:ascii="Calibri" w:hAnsi="Calibri" w:eastAsia="宋体" w:cs="Times New Roman"/>
                <w:szCs w:val="24"/>
              </w:rPr>
            </w:pPr>
          </w:p>
        </w:tc>
        <w:tc>
          <w:tcPr>
            <w:tcW w:w="674" w:type="pct"/>
          </w:tcPr>
          <w:p w14:paraId="0056B91D">
            <w:pPr>
              <w:jc w:val="center"/>
              <w:rPr>
                <w:rFonts w:ascii="Calibri" w:hAnsi="Calibri" w:eastAsia="宋体" w:cs="Times New Roman"/>
                <w:szCs w:val="24"/>
              </w:rPr>
            </w:pPr>
          </w:p>
        </w:tc>
        <w:tc>
          <w:tcPr>
            <w:tcW w:w="455" w:type="pct"/>
          </w:tcPr>
          <w:p w14:paraId="73EECC06">
            <w:pPr>
              <w:jc w:val="center"/>
              <w:rPr>
                <w:rFonts w:ascii="Calibri" w:hAnsi="Calibri" w:eastAsia="宋体" w:cs="Times New Roman"/>
                <w:szCs w:val="24"/>
              </w:rPr>
            </w:pPr>
          </w:p>
        </w:tc>
      </w:tr>
    </w:tbl>
    <w:p w14:paraId="15FE946A">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204B97">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26E7EC9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24826FD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1FFC0EF2">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69A1ECD4">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3" w:name="_Hlk169717981"/>
      <w:r>
        <w:rPr>
          <w:rFonts w:ascii="宋体" w:hAnsi="宋体" w:eastAsia="宋体" w:cs="Times New Roman"/>
          <w:kern w:val="0"/>
          <w:szCs w:val="21"/>
          <w:lang w:eastAsia="zh-Hans"/>
        </w:rPr>
        <w:t>“备注”</w:t>
      </w:r>
      <w:bookmarkEnd w:id="53"/>
      <w:r>
        <w:rPr>
          <w:rFonts w:ascii="宋体" w:hAnsi="宋体" w:eastAsia="宋体" w:cs="Times New Roman"/>
          <w:kern w:val="0"/>
          <w:szCs w:val="21"/>
          <w:lang w:eastAsia="zh-Hans"/>
        </w:rPr>
        <w:t>处可填写偏离情况的说明。</w:t>
      </w:r>
    </w:p>
    <w:p w14:paraId="408616EA">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7D0607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0AB34F5">
      <w:pPr>
        <w:pageBreakBefore/>
        <w:rPr>
          <w:rFonts w:ascii="Calibri" w:hAnsi="Calibri" w:eastAsia="宋体" w:cs="Times New Roman"/>
          <w:kern w:val="0"/>
          <w:sz w:val="20"/>
          <w:szCs w:val="20"/>
          <w:lang w:eastAsia="zh-Hans"/>
        </w:rPr>
      </w:pPr>
      <w:bookmarkStart w:id="54" w:name="_Toc169799801"/>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54"/>
    </w:p>
    <w:p w14:paraId="516A100D">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5FA2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524A55D5">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74E8F8B">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0ABDE87D">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08936E3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02D3BD8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79E5E21">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26AB6C8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D51A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C32BA5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114CE81A">
            <w:pPr>
              <w:rPr>
                <w:rFonts w:hint="eastAsia" w:ascii="宋体" w:hAnsi="宋体" w:eastAsia="宋体" w:cs="Times New Roman"/>
                <w:szCs w:val="21"/>
              </w:rPr>
            </w:pPr>
          </w:p>
        </w:tc>
        <w:tc>
          <w:tcPr>
            <w:tcW w:w="850" w:type="pct"/>
          </w:tcPr>
          <w:p w14:paraId="64A51BDE">
            <w:pPr>
              <w:rPr>
                <w:rFonts w:hint="eastAsia" w:ascii="宋体" w:hAnsi="宋体" w:eastAsia="宋体" w:cs="Times New Roman"/>
                <w:szCs w:val="21"/>
              </w:rPr>
            </w:pPr>
          </w:p>
        </w:tc>
        <w:tc>
          <w:tcPr>
            <w:tcW w:w="896" w:type="pct"/>
          </w:tcPr>
          <w:p w14:paraId="5ADC26D4">
            <w:pPr>
              <w:rPr>
                <w:rFonts w:hint="eastAsia" w:ascii="宋体" w:hAnsi="宋体" w:eastAsia="宋体" w:cs="Times New Roman"/>
                <w:szCs w:val="21"/>
              </w:rPr>
            </w:pPr>
          </w:p>
        </w:tc>
        <w:tc>
          <w:tcPr>
            <w:tcW w:w="712" w:type="pct"/>
          </w:tcPr>
          <w:p w14:paraId="76FBB7C5">
            <w:pPr>
              <w:rPr>
                <w:rFonts w:hint="eastAsia" w:ascii="宋体" w:hAnsi="宋体" w:eastAsia="宋体" w:cs="Times New Roman"/>
                <w:szCs w:val="21"/>
              </w:rPr>
            </w:pPr>
          </w:p>
        </w:tc>
        <w:tc>
          <w:tcPr>
            <w:tcW w:w="712" w:type="pct"/>
          </w:tcPr>
          <w:p w14:paraId="5D7A1ADF">
            <w:pPr>
              <w:rPr>
                <w:rFonts w:hint="eastAsia" w:ascii="宋体" w:hAnsi="宋体" w:eastAsia="宋体" w:cs="Times New Roman"/>
                <w:szCs w:val="21"/>
              </w:rPr>
            </w:pPr>
          </w:p>
        </w:tc>
        <w:tc>
          <w:tcPr>
            <w:tcW w:w="712" w:type="pct"/>
          </w:tcPr>
          <w:p w14:paraId="69E7DF9F">
            <w:pPr>
              <w:rPr>
                <w:rFonts w:hint="eastAsia" w:ascii="宋体" w:hAnsi="宋体" w:eastAsia="宋体" w:cs="Times New Roman"/>
                <w:szCs w:val="21"/>
              </w:rPr>
            </w:pPr>
          </w:p>
        </w:tc>
      </w:tr>
      <w:tr w14:paraId="6FAF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B331C5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6EC9B65F">
            <w:pPr>
              <w:rPr>
                <w:rFonts w:hint="eastAsia" w:ascii="宋体" w:hAnsi="宋体" w:eastAsia="宋体" w:cs="Times New Roman"/>
                <w:szCs w:val="21"/>
              </w:rPr>
            </w:pPr>
          </w:p>
        </w:tc>
        <w:tc>
          <w:tcPr>
            <w:tcW w:w="850" w:type="pct"/>
          </w:tcPr>
          <w:p w14:paraId="22E41918">
            <w:pPr>
              <w:rPr>
                <w:rFonts w:hint="eastAsia" w:ascii="宋体" w:hAnsi="宋体" w:eastAsia="宋体" w:cs="Times New Roman"/>
                <w:szCs w:val="21"/>
              </w:rPr>
            </w:pPr>
          </w:p>
        </w:tc>
        <w:tc>
          <w:tcPr>
            <w:tcW w:w="896" w:type="pct"/>
          </w:tcPr>
          <w:p w14:paraId="0F924241">
            <w:pPr>
              <w:rPr>
                <w:rFonts w:hint="eastAsia" w:ascii="宋体" w:hAnsi="宋体" w:eastAsia="宋体" w:cs="Times New Roman"/>
                <w:szCs w:val="21"/>
              </w:rPr>
            </w:pPr>
          </w:p>
        </w:tc>
        <w:tc>
          <w:tcPr>
            <w:tcW w:w="712" w:type="pct"/>
          </w:tcPr>
          <w:p w14:paraId="620A79D4">
            <w:pPr>
              <w:rPr>
                <w:rFonts w:hint="eastAsia" w:ascii="宋体" w:hAnsi="宋体" w:eastAsia="宋体" w:cs="Times New Roman"/>
                <w:szCs w:val="21"/>
              </w:rPr>
            </w:pPr>
          </w:p>
        </w:tc>
        <w:tc>
          <w:tcPr>
            <w:tcW w:w="712" w:type="pct"/>
          </w:tcPr>
          <w:p w14:paraId="6540C6DD">
            <w:pPr>
              <w:rPr>
                <w:rFonts w:hint="eastAsia" w:ascii="宋体" w:hAnsi="宋体" w:eastAsia="宋体" w:cs="Times New Roman"/>
                <w:szCs w:val="21"/>
              </w:rPr>
            </w:pPr>
          </w:p>
        </w:tc>
        <w:tc>
          <w:tcPr>
            <w:tcW w:w="712" w:type="pct"/>
          </w:tcPr>
          <w:p w14:paraId="09617B7E">
            <w:pPr>
              <w:rPr>
                <w:rFonts w:hint="eastAsia" w:ascii="宋体" w:hAnsi="宋体" w:eastAsia="宋体" w:cs="Times New Roman"/>
                <w:szCs w:val="21"/>
              </w:rPr>
            </w:pPr>
          </w:p>
        </w:tc>
      </w:tr>
      <w:tr w14:paraId="3B672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2A1F3E8">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59F513DA">
            <w:pPr>
              <w:rPr>
                <w:rFonts w:hint="eastAsia" w:ascii="宋体" w:hAnsi="宋体" w:eastAsia="宋体" w:cs="Times New Roman"/>
                <w:szCs w:val="21"/>
              </w:rPr>
            </w:pPr>
          </w:p>
        </w:tc>
        <w:tc>
          <w:tcPr>
            <w:tcW w:w="850" w:type="pct"/>
          </w:tcPr>
          <w:p w14:paraId="11AEFF8F">
            <w:pPr>
              <w:rPr>
                <w:rFonts w:hint="eastAsia" w:ascii="宋体" w:hAnsi="宋体" w:eastAsia="宋体" w:cs="Times New Roman"/>
                <w:szCs w:val="21"/>
              </w:rPr>
            </w:pPr>
          </w:p>
        </w:tc>
        <w:tc>
          <w:tcPr>
            <w:tcW w:w="896" w:type="pct"/>
          </w:tcPr>
          <w:p w14:paraId="4D53B815">
            <w:pPr>
              <w:rPr>
                <w:rFonts w:hint="eastAsia" w:ascii="宋体" w:hAnsi="宋体" w:eastAsia="宋体" w:cs="Times New Roman"/>
                <w:szCs w:val="21"/>
              </w:rPr>
            </w:pPr>
          </w:p>
        </w:tc>
        <w:tc>
          <w:tcPr>
            <w:tcW w:w="712" w:type="pct"/>
          </w:tcPr>
          <w:p w14:paraId="49C193DC">
            <w:pPr>
              <w:rPr>
                <w:rFonts w:hint="eastAsia" w:ascii="宋体" w:hAnsi="宋体" w:eastAsia="宋体" w:cs="Times New Roman"/>
                <w:szCs w:val="21"/>
              </w:rPr>
            </w:pPr>
          </w:p>
        </w:tc>
        <w:tc>
          <w:tcPr>
            <w:tcW w:w="712" w:type="pct"/>
          </w:tcPr>
          <w:p w14:paraId="0CE8B608">
            <w:pPr>
              <w:rPr>
                <w:rFonts w:hint="eastAsia" w:ascii="宋体" w:hAnsi="宋体" w:eastAsia="宋体" w:cs="Times New Roman"/>
                <w:szCs w:val="21"/>
              </w:rPr>
            </w:pPr>
          </w:p>
        </w:tc>
        <w:tc>
          <w:tcPr>
            <w:tcW w:w="712" w:type="pct"/>
          </w:tcPr>
          <w:p w14:paraId="1A3A1648">
            <w:pPr>
              <w:rPr>
                <w:rFonts w:hint="eastAsia" w:ascii="宋体" w:hAnsi="宋体" w:eastAsia="宋体" w:cs="Times New Roman"/>
                <w:szCs w:val="21"/>
              </w:rPr>
            </w:pPr>
          </w:p>
        </w:tc>
      </w:tr>
      <w:tr w14:paraId="4D6E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139717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6F29A31A">
            <w:pPr>
              <w:rPr>
                <w:rFonts w:hint="eastAsia" w:ascii="宋体" w:hAnsi="宋体" w:eastAsia="宋体" w:cs="Times New Roman"/>
                <w:szCs w:val="21"/>
              </w:rPr>
            </w:pPr>
          </w:p>
        </w:tc>
        <w:tc>
          <w:tcPr>
            <w:tcW w:w="850" w:type="pct"/>
          </w:tcPr>
          <w:p w14:paraId="7D7EFC3D">
            <w:pPr>
              <w:rPr>
                <w:rFonts w:hint="eastAsia" w:ascii="宋体" w:hAnsi="宋体" w:eastAsia="宋体" w:cs="Times New Roman"/>
                <w:szCs w:val="21"/>
              </w:rPr>
            </w:pPr>
          </w:p>
        </w:tc>
        <w:tc>
          <w:tcPr>
            <w:tcW w:w="896" w:type="pct"/>
          </w:tcPr>
          <w:p w14:paraId="15FE1099">
            <w:pPr>
              <w:rPr>
                <w:rFonts w:hint="eastAsia" w:ascii="宋体" w:hAnsi="宋体" w:eastAsia="宋体" w:cs="Times New Roman"/>
                <w:szCs w:val="21"/>
              </w:rPr>
            </w:pPr>
          </w:p>
        </w:tc>
        <w:tc>
          <w:tcPr>
            <w:tcW w:w="712" w:type="pct"/>
          </w:tcPr>
          <w:p w14:paraId="7CF69BDE">
            <w:pPr>
              <w:rPr>
                <w:rFonts w:hint="eastAsia" w:ascii="宋体" w:hAnsi="宋体" w:eastAsia="宋体" w:cs="Times New Roman"/>
                <w:szCs w:val="21"/>
              </w:rPr>
            </w:pPr>
          </w:p>
        </w:tc>
        <w:tc>
          <w:tcPr>
            <w:tcW w:w="712" w:type="pct"/>
          </w:tcPr>
          <w:p w14:paraId="141DDFDB">
            <w:pPr>
              <w:rPr>
                <w:rFonts w:hint="eastAsia" w:ascii="宋体" w:hAnsi="宋体" w:eastAsia="宋体" w:cs="Times New Roman"/>
                <w:szCs w:val="21"/>
              </w:rPr>
            </w:pPr>
          </w:p>
        </w:tc>
        <w:tc>
          <w:tcPr>
            <w:tcW w:w="712" w:type="pct"/>
          </w:tcPr>
          <w:p w14:paraId="74D85906">
            <w:pPr>
              <w:rPr>
                <w:rFonts w:hint="eastAsia" w:ascii="宋体" w:hAnsi="宋体" w:eastAsia="宋体" w:cs="Times New Roman"/>
                <w:szCs w:val="21"/>
              </w:rPr>
            </w:pPr>
          </w:p>
        </w:tc>
      </w:tr>
      <w:tr w14:paraId="732D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C0067D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2D9C0CCA">
            <w:pPr>
              <w:rPr>
                <w:rFonts w:hint="eastAsia" w:ascii="宋体" w:hAnsi="宋体" w:eastAsia="宋体" w:cs="Times New Roman"/>
                <w:szCs w:val="21"/>
              </w:rPr>
            </w:pPr>
          </w:p>
        </w:tc>
        <w:tc>
          <w:tcPr>
            <w:tcW w:w="850" w:type="pct"/>
          </w:tcPr>
          <w:p w14:paraId="449D0C54">
            <w:pPr>
              <w:rPr>
                <w:rFonts w:hint="eastAsia" w:ascii="宋体" w:hAnsi="宋体" w:eastAsia="宋体" w:cs="Times New Roman"/>
                <w:szCs w:val="21"/>
              </w:rPr>
            </w:pPr>
          </w:p>
        </w:tc>
        <w:tc>
          <w:tcPr>
            <w:tcW w:w="896" w:type="pct"/>
          </w:tcPr>
          <w:p w14:paraId="6A7B053A">
            <w:pPr>
              <w:rPr>
                <w:rFonts w:hint="eastAsia" w:ascii="宋体" w:hAnsi="宋体" w:eastAsia="宋体" w:cs="Times New Roman"/>
                <w:szCs w:val="21"/>
              </w:rPr>
            </w:pPr>
          </w:p>
        </w:tc>
        <w:tc>
          <w:tcPr>
            <w:tcW w:w="712" w:type="pct"/>
          </w:tcPr>
          <w:p w14:paraId="27B2706B">
            <w:pPr>
              <w:rPr>
                <w:rFonts w:hint="eastAsia" w:ascii="宋体" w:hAnsi="宋体" w:eastAsia="宋体" w:cs="Times New Roman"/>
                <w:szCs w:val="21"/>
              </w:rPr>
            </w:pPr>
          </w:p>
        </w:tc>
        <w:tc>
          <w:tcPr>
            <w:tcW w:w="712" w:type="pct"/>
          </w:tcPr>
          <w:p w14:paraId="2E77B141">
            <w:pPr>
              <w:rPr>
                <w:rFonts w:hint="eastAsia" w:ascii="宋体" w:hAnsi="宋体" w:eastAsia="宋体" w:cs="Times New Roman"/>
                <w:szCs w:val="21"/>
              </w:rPr>
            </w:pPr>
          </w:p>
        </w:tc>
        <w:tc>
          <w:tcPr>
            <w:tcW w:w="712" w:type="pct"/>
          </w:tcPr>
          <w:p w14:paraId="471593B6">
            <w:pPr>
              <w:rPr>
                <w:rFonts w:hint="eastAsia" w:ascii="宋体" w:hAnsi="宋体" w:eastAsia="宋体" w:cs="Times New Roman"/>
                <w:szCs w:val="21"/>
              </w:rPr>
            </w:pPr>
          </w:p>
        </w:tc>
      </w:tr>
      <w:tr w14:paraId="13AD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64FD56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3856CA3E">
            <w:pPr>
              <w:rPr>
                <w:rFonts w:hint="eastAsia" w:ascii="宋体" w:hAnsi="宋体" w:eastAsia="宋体" w:cs="Times New Roman"/>
                <w:szCs w:val="21"/>
              </w:rPr>
            </w:pPr>
          </w:p>
        </w:tc>
        <w:tc>
          <w:tcPr>
            <w:tcW w:w="850" w:type="pct"/>
          </w:tcPr>
          <w:p w14:paraId="4E59E3F6">
            <w:pPr>
              <w:rPr>
                <w:rFonts w:hint="eastAsia" w:ascii="宋体" w:hAnsi="宋体" w:eastAsia="宋体" w:cs="Times New Roman"/>
                <w:szCs w:val="21"/>
              </w:rPr>
            </w:pPr>
          </w:p>
        </w:tc>
        <w:tc>
          <w:tcPr>
            <w:tcW w:w="896" w:type="pct"/>
          </w:tcPr>
          <w:p w14:paraId="0A90D3C1">
            <w:pPr>
              <w:rPr>
                <w:rFonts w:hint="eastAsia" w:ascii="宋体" w:hAnsi="宋体" w:eastAsia="宋体" w:cs="Times New Roman"/>
                <w:szCs w:val="21"/>
              </w:rPr>
            </w:pPr>
          </w:p>
        </w:tc>
        <w:tc>
          <w:tcPr>
            <w:tcW w:w="712" w:type="pct"/>
          </w:tcPr>
          <w:p w14:paraId="01C41956">
            <w:pPr>
              <w:rPr>
                <w:rFonts w:hint="eastAsia" w:ascii="宋体" w:hAnsi="宋体" w:eastAsia="宋体" w:cs="Times New Roman"/>
                <w:szCs w:val="21"/>
              </w:rPr>
            </w:pPr>
          </w:p>
        </w:tc>
        <w:tc>
          <w:tcPr>
            <w:tcW w:w="712" w:type="pct"/>
          </w:tcPr>
          <w:p w14:paraId="5B975F55">
            <w:pPr>
              <w:rPr>
                <w:rFonts w:hint="eastAsia" w:ascii="宋体" w:hAnsi="宋体" w:eastAsia="宋体" w:cs="Times New Roman"/>
                <w:szCs w:val="21"/>
              </w:rPr>
            </w:pPr>
          </w:p>
        </w:tc>
        <w:tc>
          <w:tcPr>
            <w:tcW w:w="712" w:type="pct"/>
          </w:tcPr>
          <w:p w14:paraId="3A1835F5">
            <w:pPr>
              <w:rPr>
                <w:rFonts w:hint="eastAsia" w:ascii="宋体" w:hAnsi="宋体" w:eastAsia="宋体" w:cs="Times New Roman"/>
                <w:szCs w:val="21"/>
              </w:rPr>
            </w:pPr>
          </w:p>
        </w:tc>
      </w:tr>
      <w:tr w14:paraId="6BF3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E47BA2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06A32027">
            <w:pPr>
              <w:rPr>
                <w:rFonts w:hint="eastAsia" w:ascii="宋体" w:hAnsi="宋体" w:eastAsia="宋体" w:cs="Times New Roman"/>
                <w:szCs w:val="21"/>
              </w:rPr>
            </w:pPr>
          </w:p>
        </w:tc>
        <w:tc>
          <w:tcPr>
            <w:tcW w:w="850" w:type="pct"/>
          </w:tcPr>
          <w:p w14:paraId="3AB96B89">
            <w:pPr>
              <w:rPr>
                <w:rFonts w:hint="eastAsia" w:ascii="宋体" w:hAnsi="宋体" w:eastAsia="宋体" w:cs="Times New Roman"/>
                <w:szCs w:val="21"/>
              </w:rPr>
            </w:pPr>
          </w:p>
        </w:tc>
        <w:tc>
          <w:tcPr>
            <w:tcW w:w="896" w:type="pct"/>
          </w:tcPr>
          <w:p w14:paraId="2A39AA4E">
            <w:pPr>
              <w:rPr>
                <w:rFonts w:hint="eastAsia" w:ascii="宋体" w:hAnsi="宋体" w:eastAsia="宋体" w:cs="Times New Roman"/>
                <w:szCs w:val="21"/>
              </w:rPr>
            </w:pPr>
          </w:p>
        </w:tc>
        <w:tc>
          <w:tcPr>
            <w:tcW w:w="712" w:type="pct"/>
          </w:tcPr>
          <w:p w14:paraId="5C04316D">
            <w:pPr>
              <w:rPr>
                <w:rFonts w:hint="eastAsia" w:ascii="宋体" w:hAnsi="宋体" w:eastAsia="宋体" w:cs="Times New Roman"/>
                <w:szCs w:val="21"/>
              </w:rPr>
            </w:pPr>
          </w:p>
        </w:tc>
        <w:tc>
          <w:tcPr>
            <w:tcW w:w="712" w:type="pct"/>
          </w:tcPr>
          <w:p w14:paraId="20737D1A">
            <w:pPr>
              <w:rPr>
                <w:rFonts w:hint="eastAsia" w:ascii="宋体" w:hAnsi="宋体" w:eastAsia="宋体" w:cs="Times New Roman"/>
                <w:szCs w:val="21"/>
              </w:rPr>
            </w:pPr>
          </w:p>
        </w:tc>
        <w:tc>
          <w:tcPr>
            <w:tcW w:w="712" w:type="pct"/>
          </w:tcPr>
          <w:p w14:paraId="1F7C10C4">
            <w:pPr>
              <w:rPr>
                <w:rFonts w:hint="eastAsia" w:ascii="宋体" w:hAnsi="宋体" w:eastAsia="宋体" w:cs="Times New Roman"/>
                <w:szCs w:val="21"/>
              </w:rPr>
            </w:pPr>
          </w:p>
        </w:tc>
      </w:tr>
      <w:tr w14:paraId="16186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BF026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36E5B4D1">
            <w:pPr>
              <w:rPr>
                <w:rFonts w:hint="eastAsia" w:ascii="宋体" w:hAnsi="宋体" w:eastAsia="宋体" w:cs="Times New Roman"/>
                <w:szCs w:val="21"/>
              </w:rPr>
            </w:pPr>
          </w:p>
        </w:tc>
        <w:tc>
          <w:tcPr>
            <w:tcW w:w="850" w:type="pct"/>
          </w:tcPr>
          <w:p w14:paraId="5093EE3B">
            <w:pPr>
              <w:rPr>
                <w:rFonts w:hint="eastAsia" w:ascii="宋体" w:hAnsi="宋体" w:eastAsia="宋体" w:cs="Times New Roman"/>
                <w:szCs w:val="21"/>
              </w:rPr>
            </w:pPr>
          </w:p>
        </w:tc>
        <w:tc>
          <w:tcPr>
            <w:tcW w:w="896" w:type="pct"/>
          </w:tcPr>
          <w:p w14:paraId="688AC798">
            <w:pPr>
              <w:rPr>
                <w:rFonts w:hint="eastAsia" w:ascii="宋体" w:hAnsi="宋体" w:eastAsia="宋体" w:cs="Times New Roman"/>
                <w:szCs w:val="21"/>
              </w:rPr>
            </w:pPr>
          </w:p>
        </w:tc>
        <w:tc>
          <w:tcPr>
            <w:tcW w:w="712" w:type="pct"/>
          </w:tcPr>
          <w:p w14:paraId="3603E039">
            <w:pPr>
              <w:rPr>
                <w:rFonts w:hint="eastAsia" w:ascii="宋体" w:hAnsi="宋体" w:eastAsia="宋体" w:cs="Times New Roman"/>
                <w:szCs w:val="21"/>
              </w:rPr>
            </w:pPr>
          </w:p>
        </w:tc>
        <w:tc>
          <w:tcPr>
            <w:tcW w:w="712" w:type="pct"/>
          </w:tcPr>
          <w:p w14:paraId="6F23A74A">
            <w:pPr>
              <w:rPr>
                <w:rFonts w:hint="eastAsia" w:ascii="宋体" w:hAnsi="宋体" w:eastAsia="宋体" w:cs="Times New Roman"/>
                <w:szCs w:val="21"/>
              </w:rPr>
            </w:pPr>
          </w:p>
        </w:tc>
        <w:tc>
          <w:tcPr>
            <w:tcW w:w="712" w:type="pct"/>
          </w:tcPr>
          <w:p w14:paraId="1DBE3F2A">
            <w:pPr>
              <w:rPr>
                <w:rFonts w:hint="eastAsia" w:ascii="宋体" w:hAnsi="宋体" w:eastAsia="宋体" w:cs="Times New Roman"/>
                <w:szCs w:val="21"/>
              </w:rPr>
            </w:pPr>
          </w:p>
        </w:tc>
      </w:tr>
      <w:tr w14:paraId="2F047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BAA2AF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4A7CD884">
            <w:pPr>
              <w:rPr>
                <w:rFonts w:hint="eastAsia" w:ascii="宋体" w:hAnsi="宋体" w:eastAsia="宋体" w:cs="Times New Roman"/>
                <w:szCs w:val="21"/>
              </w:rPr>
            </w:pPr>
          </w:p>
        </w:tc>
        <w:tc>
          <w:tcPr>
            <w:tcW w:w="850" w:type="pct"/>
          </w:tcPr>
          <w:p w14:paraId="1DE1ACDF">
            <w:pPr>
              <w:rPr>
                <w:rFonts w:hint="eastAsia" w:ascii="宋体" w:hAnsi="宋体" w:eastAsia="宋体" w:cs="Times New Roman"/>
                <w:szCs w:val="21"/>
              </w:rPr>
            </w:pPr>
          </w:p>
        </w:tc>
        <w:tc>
          <w:tcPr>
            <w:tcW w:w="896" w:type="pct"/>
          </w:tcPr>
          <w:p w14:paraId="1E3B1E68">
            <w:pPr>
              <w:rPr>
                <w:rFonts w:hint="eastAsia" w:ascii="宋体" w:hAnsi="宋体" w:eastAsia="宋体" w:cs="Times New Roman"/>
                <w:szCs w:val="21"/>
              </w:rPr>
            </w:pPr>
          </w:p>
        </w:tc>
        <w:tc>
          <w:tcPr>
            <w:tcW w:w="712" w:type="pct"/>
          </w:tcPr>
          <w:p w14:paraId="078186BE">
            <w:pPr>
              <w:rPr>
                <w:rFonts w:hint="eastAsia" w:ascii="宋体" w:hAnsi="宋体" w:eastAsia="宋体" w:cs="Times New Roman"/>
                <w:szCs w:val="21"/>
              </w:rPr>
            </w:pPr>
          </w:p>
        </w:tc>
        <w:tc>
          <w:tcPr>
            <w:tcW w:w="712" w:type="pct"/>
          </w:tcPr>
          <w:p w14:paraId="4234C0A9">
            <w:pPr>
              <w:rPr>
                <w:rFonts w:hint="eastAsia" w:ascii="宋体" w:hAnsi="宋体" w:eastAsia="宋体" w:cs="Times New Roman"/>
                <w:szCs w:val="21"/>
              </w:rPr>
            </w:pPr>
          </w:p>
        </w:tc>
        <w:tc>
          <w:tcPr>
            <w:tcW w:w="712" w:type="pct"/>
          </w:tcPr>
          <w:p w14:paraId="524B7A11">
            <w:pPr>
              <w:rPr>
                <w:rFonts w:hint="eastAsia" w:ascii="宋体" w:hAnsi="宋体" w:eastAsia="宋体" w:cs="Times New Roman"/>
                <w:szCs w:val="21"/>
              </w:rPr>
            </w:pPr>
          </w:p>
        </w:tc>
      </w:tr>
      <w:tr w14:paraId="5CF2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47964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524D2BB6">
            <w:pPr>
              <w:rPr>
                <w:rFonts w:hint="eastAsia" w:ascii="宋体" w:hAnsi="宋体" w:eastAsia="宋体" w:cs="Times New Roman"/>
                <w:szCs w:val="21"/>
              </w:rPr>
            </w:pPr>
          </w:p>
        </w:tc>
        <w:tc>
          <w:tcPr>
            <w:tcW w:w="850" w:type="pct"/>
          </w:tcPr>
          <w:p w14:paraId="3C7B9EA9">
            <w:pPr>
              <w:rPr>
                <w:rFonts w:hint="eastAsia" w:ascii="宋体" w:hAnsi="宋体" w:eastAsia="宋体" w:cs="Times New Roman"/>
                <w:szCs w:val="21"/>
              </w:rPr>
            </w:pPr>
          </w:p>
        </w:tc>
        <w:tc>
          <w:tcPr>
            <w:tcW w:w="896" w:type="pct"/>
          </w:tcPr>
          <w:p w14:paraId="4CCC8A5C">
            <w:pPr>
              <w:rPr>
                <w:rFonts w:hint="eastAsia" w:ascii="宋体" w:hAnsi="宋体" w:eastAsia="宋体" w:cs="Times New Roman"/>
                <w:szCs w:val="21"/>
              </w:rPr>
            </w:pPr>
          </w:p>
        </w:tc>
        <w:tc>
          <w:tcPr>
            <w:tcW w:w="712" w:type="pct"/>
          </w:tcPr>
          <w:p w14:paraId="128F4787">
            <w:pPr>
              <w:rPr>
                <w:rFonts w:hint="eastAsia" w:ascii="宋体" w:hAnsi="宋体" w:eastAsia="宋体" w:cs="Times New Roman"/>
                <w:szCs w:val="21"/>
              </w:rPr>
            </w:pPr>
          </w:p>
        </w:tc>
        <w:tc>
          <w:tcPr>
            <w:tcW w:w="712" w:type="pct"/>
          </w:tcPr>
          <w:p w14:paraId="27BA0F14">
            <w:pPr>
              <w:rPr>
                <w:rFonts w:hint="eastAsia" w:ascii="宋体" w:hAnsi="宋体" w:eastAsia="宋体" w:cs="Times New Roman"/>
                <w:szCs w:val="21"/>
              </w:rPr>
            </w:pPr>
          </w:p>
        </w:tc>
        <w:tc>
          <w:tcPr>
            <w:tcW w:w="712" w:type="pct"/>
          </w:tcPr>
          <w:p w14:paraId="2C497B5B">
            <w:pPr>
              <w:rPr>
                <w:rFonts w:hint="eastAsia" w:ascii="宋体" w:hAnsi="宋体" w:eastAsia="宋体" w:cs="Times New Roman"/>
                <w:szCs w:val="21"/>
              </w:rPr>
            </w:pPr>
          </w:p>
        </w:tc>
      </w:tr>
    </w:tbl>
    <w:p w14:paraId="0652BE96">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905C77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155888B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51DFF9A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6836BBC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56F9BEE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25F40317">
      <w:pPr>
        <w:widowControl/>
        <w:spacing w:before="435" w:beforeLines="1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71EE30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0B1E9E5">
      <w:pPr>
        <w:pageBreakBefore/>
        <w:rPr>
          <w:rFonts w:ascii="Calibri" w:hAnsi="Calibri" w:eastAsia="宋体" w:cs="Times New Roman"/>
          <w:kern w:val="0"/>
          <w:sz w:val="20"/>
          <w:szCs w:val="20"/>
          <w:lang w:eastAsia="zh-Hans"/>
        </w:rPr>
      </w:pPr>
      <w:bookmarkStart w:id="55" w:name="_Toc169799802"/>
      <w:r>
        <w:rPr>
          <w:rFonts w:ascii="宋体" w:hAnsi="宋体" w:eastAsia="宋体"/>
          <w:b/>
          <w:bCs/>
          <w:sz w:val="24"/>
          <w:szCs w:val="28"/>
        </w:rPr>
        <w:t>格式</w:t>
      </w:r>
      <w:r>
        <w:rPr>
          <w:rFonts w:hint="eastAsia" w:ascii="宋体" w:hAnsi="宋体" w:eastAsia="宋体"/>
          <w:b/>
          <w:bCs/>
          <w:sz w:val="24"/>
          <w:szCs w:val="28"/>
          <w:lang w:val="en-US" w:eastAsia="zh-CN"/>
        </w:rPr>
        <w:t>十六</w:t>
      </w:r>
      <w:r>
        <w:rPr>
          <w:rFonts w:ascii="宋体" w:hAnsi="宋体" w:eastAsia="宋体"/>
          <w:b/>
          <w:bCs/>
          <w:sz w:val="24"/>
          <w:szCs w:val="28"/>
        </w:rPr>
        <w:t>：</w:t>
      </w:r>
      <w:bookmarkEnd w:id="55"/>
    </w:p>
    <w:p w14:paraId="5D63B112">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76C89FA5">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5DDD066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34C19E8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029A1473">
      <w:pPr>
        <w:widowControl/>
        <w:jc w:val="left"/>
        <w:rPr>
          <w:rFonts w:ascii="Calibri" w:hAnsi="Calibri" w:eastAsia="宋体" w:cs="Times New Roman"/>
          <w:kern w:val="0"/>
          <w:sz w:val="20"/>
          <w:szCs w:val="20"/>
          <w:lang w:eastAsia="zh-Hans"/>
        </w:rPr>
      </w:pPr>
    </w:p>
    <w:p w14:paraId="520906F6">
      <w:pPr>
        <w:pageBreakBefore/>
        <w:rPr>
          <w:rFonts w:ascii="Calibri" w:hAnsi="Calibri" w:eastAsia="宋体" w:cs="Times New Roman"/>
          <w:kern w:val="0"/>
          <w:sz w:val="20"/>
          <w:szCs w:val="20"/>
          <w:lang w:eastAsia="zh-Hans"/>
        </w:rPr>
      </w:pPr>
      <w:bookmarkStart w:id="56" w:name="_Toc169799803"/>
      <w:r>
        <w:rPr>
          <w:rFonts w:ascii="宋体" w:hAnsi="宋体" w:eastAsia="宋体"/>
          <w:b/>
          <w:bCs/>
          <w:sz w:val="24"/>
          <w:szCs w:val="28"/>
        </w:rPr>
        <w:t>格式</w:t>
      </w:r>
      <w:r>
        <w:rPr>
          <w:rFonts w:hint="eastAsia" w:ascii="宋体" w:hAnsi="宋体" w:eastAsia="宋体"/>
          <w:b/>
          <w:bCs/>
          <w:sz w:val="24"/>
          <w:szCs w:val="28"/>
          <w:lang w:val="en-US" w:eastAsia="zh-CN"/>
        </w:rPr>
        <w:t>十七</w:t>
      </w:r>
      <w:r>
        <w:rPr>
          <w:rFonts w:ascii="宋体" w:hAnsi="宋体" w:eastAsia="宋体"/>
          <w:b/>
          <w:bCs/>
          <w:sz w:val="24"/>
          <w:szCs w:val="28"/>
        </w:rPr>
        <w:t>：</w:t>
      </w:r>
      <w:bookmarkEnd w:id="56"/>
    </w:p>
    <w:p w14:paraId="32508291">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7CA2CEB">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152376F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6ABB3C93">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5D242ACA">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53C141AC">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4608B199">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7808F4A8">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468F13CC">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2D9570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36D2B243">
      <w:pPr>
        <w:pageBreakBefore/>
        <w:rPr>
          <w:rFonts w:ascii="Calibri" w:hAnsi="Calibri" w:eastAsia="宋体" w:cs="Times New Roman"/>
          <w:kern w:val="0"/>
          <w:sz w:val="20"/>
          <w:szCs w:val="20"/>
          <w:lang w:eastAsia="zh-Hans"/>
        </w:rPr>
      </w:pPr>
      <w:bookmarkStart w:id="57" w:name="_Toc169799804"/>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7"/>
    </w:p>
    <w:p w14:paraId="7CBDE262">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09FBA3F9">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0929684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57C74E28">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37BCE0FE">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F649026">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1E4C87BE">
      <w:pPr>
        <w:widowControl/>
        <w:tabs>
          <w:tab w:val="center" w:pos="5019"/>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39F66175">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7A54505F">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615833BD">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7982E68A">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76C7DC8B">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778BE15C">
      <w:pPr>
        <w:widowControl/>
        <w:tabs>
          <w:tab w:val="left" w:pos="6300"/>
        </w:tabs>
        <w:adjustRightInd w:val="0"/>
        <w:spacing w:line="360" w:lineRule="auto"/>
        <w:ind w:firstLine="420" w:firstLineChars="2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6BB20B20">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0449D760">
      <w:pPr>
        <w:widowControl/>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47B8E33E">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30FA0D28">
      <w:pPr>
        <w:tabs>
          <w:tab w:val="left" w:pos="6300"/>
        </w:tabs>
        <w:adjustRightInd w:val="0"/>
        <w:spacing w:line="360" w:lineRule="auto"/>
        <w:ind w:firstLine="1260" w:firstLineChars="600"/>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0D358A67">
      <w:pPr>
        <w:adjustRightInd w:val="0"/>
        <w:spacing w:before="435" w:beforeLines="100" w:line="360" w:lineRule="auto"/>
        <w:jc w:val="righ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6875DEDC">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4A49F2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6D2D2A4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393FD1E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1613AB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0E8CBE41">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AC0D95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51BBCB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4FC9D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01C4BDD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6BDF058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465E4E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4CF21E8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2DC591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2599110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52DE875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87C017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ADB768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F74619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5A8696E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0F040D4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294F906E">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67040D6A">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3C60C95D">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0D021F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252A678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8ACE5D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1C6D9DD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6DF72C1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2A725D20">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076AC4E3">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217C2E57">
      <w:pPr>
        <w:widowControl/>
        <w:jc w:val="left"/>
        <w:rPr>
          <w:rFonts w:hint="eastAsia" w:ascii="宋体" w:hAnsi="宋体" w:eastAsia="宋体" w:cs="Times New Roman"/>
          <w:kern w:val="0"/>
          <w:szCs w:val="21"/>
          <w:lang w:eastAsia="zh-Hans"/>
        </w:rPr>
      </w:pPr>
      <w:bookmarkStart w:id="58" w:name="_Hlk170136144"/>
      <w:r>
        <w:rPr>
          <w:rFonts w:ascii="宋体" w:hAnsi="宋体" w:eastAsia="宋体" w:cs="Times New Roman"/>
          <w:kern w:val="0"/>
          <w:szCs w:val="21"/>
          <w:lang w:eastAsia="zh-Hans"/>
        </w:rPr>
        <w:t>一、投诉相关主体基本情况</w:t>
      </w:r>
    </w:p>
    <w:p w14:paraId="53CF9C80">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33994659">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188613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37B4D12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71827D31">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4C91039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35EF358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0C9C48F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6C281E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F39DD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1630463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4D7003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0C29218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DEF939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599046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4774FD5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7EDCD04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5ACE424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011E7435">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67A57AF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hint="eastAsia" w:ascii="宋体" w:hAnsi="宋体" w:eastAsia="宋体" w:cs="Times New Roman"/>
          <w:kern w:val="0"/>
          <w:szCs w:val="21"/>
          <w:lang w:eastAsia="zh-CN"/>
        </w:rPr>
        <w:t>：</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406FDBB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hint="eastAsia" w:ascii="宋体" w:hAnsi="宋体" w:eastAsia="宋体" w:cs="Times New Roman"/>
          <w:kern w:val="0"/>
          <w:szCs w:val="21"/>
          <w:lang w:eastAsia="zh-CN"/>
        </w:rPr>
        <w:t>：</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29EBE4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6AC9BCB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向提出质疑，质疑事项为：</w:t>
      </w:r>
      <w:r>
        <w:rPr>
          <w:rFonts w:hint="eastAsia" w:ascii="宋体" w:hAnsi="宋体" w:eastAsia="宋体" w:cs="Times New Roman"/>
          <w:kern w:val="0"/>
          <w:szCs w:val="21"/>
          <w:u w:val="single"/>
        </w:rPr>
        <w:t xml:space="preserve">                            </w:t>
      </w:r>
    </w:p>
    <w:p w14:paraId="61B0F0E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就质疑事项作出了答复/没有在法定期限内作出答复。</w:t>
      </w:r>
    </w:p>
    <w:p w14:paraId="2B654D9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10D3022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6ECD87F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5DCFB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2D5EF1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D24080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AAB7E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6BCA2D4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40EF25D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25AA34C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331E806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0C7A9E5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268AD02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E9F7B3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52B9692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14B6490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108DB6C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43CABEC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14:paraId="73736C0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D091D43">
      <w:pPr>
        <w:widowControl/>
        <w:jc w:val="left"/>
        <w:rPr>
          <w:rFonts w:ascii="Calibri" w:hAnsi="Calibri" w:eastAsia="宋体" w:cs="Times New Roman"/>
          <w:kern w:val="0"/>
          <w:sz w:val="20"/>
          <w:szCs w:val="20"/>
          <w:lang w:eastAsia="zh-Hans"/>
        </w:rPr>
      </w:pPr>
    </w:p>
    <w:p w14:paraId="2EAE7258">
      <w:pPr>
        <w:widowControl/>
        <w:jc w:val="left"/>
        <w:rPr>
          <w:rFonts w:ascii="Calibri" w:hAnsi="Calibri" w:eastAsia="宋体" w:cs="Times New Roman"/>
          <w:kern w:val="0"/>
          <w:sz w:val="20"/>
          <w:szCs w:val="20"/>
          <w:lang w:eastAsia="zh-Hans"/>
        </w:rPr>
      </w:pPr>
    </w:p>
    <w:p w14:paraId="33006CA9">
      <w:pPr>
        <w:pageBreakBefore/>
        <w:rPr>
          <w:rFonts w:ascii="Calibri" w:hAnsi="Calibri" w:eastAsia="宋体" w:cs="Times New Roman"/>
          <w:kern w:val="0"/>
          <w:sz w:val="20"/>
          <w:szCs w:val="20"/>
          <w:lang w:eastAsia="zh-Hans"/>
        </w:rPr>
      </w:pPr>
      <w:bookmarkStart w:id="59" w:name="_Toc169799806"/>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59"/>
    </w:p>
    <w:p w14:paraId="0269C7C5">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（以下格式文件由供应商根据需要选用）</w:t>
      </w:r>
    </w:p>
    <w:p w14:paraId="01573560">
      <w:pPr>
        <w:pStyle w:val="18"/>
        <w:rPr>
          <w:rFonts w:hint="default" w:ascii="Calibri" w:hAnsi="Calibri" w:eastAsia="宋体" w:cs="Times New Roman"/>
          <w:sz w:val="21"/>
          <w:szCs w:val="21"/>
        </w:rPr>
      </w:pPr>
      <w:r>
        <w:rPr>
          <w:rFonts w:ascii="Calibri" w:hAnsi="Calibri" w:eastAsia="宋体" w:cs="Times New Roman"/>
          <w:sz w:val="21"/>
          <w:szCs w:val="21"/>
        </w:rPr>
        <w:t>项目实施方案、质量保证及售后服务承诺等内容和格式自拟。</w:t>
      </w:r>
    </w:p>
    <w:p w14:paraId="23147C5A">
      <w:pPr>
        <w:rPr>
          <w:rFonts w:hint="eastAsia"/>
        </w:rPr>
      </w:pPr>
    </w:p>
    <w:p w14:paraId="18E29AC8">
      <w:pPr>
        <w:rPr>
          <w:rFonts w:ascii="Calibri" w:hAnsi="Calibri" w:eastAsia="宋体" w:cs="Times New Roman"/>
          <w:kern w:val="0"/>
          <w:sz w:val="20"/>
          <w:szCs w:val="20"/>
          <w:lang w:eastAsia="zh-Hans"/>
        </w:rPr>
      </w:pPr>
    </w:p>
    <w:p w14:paraId="576ECE6D">
      <w:pPr>
        <w:pageBreakBefore/>
        <w:rPr>
          <w:rFonts w:hint="eastAsia"/>
          <w:bCs/>
        </w:rPr>
      </w:pPr>
      <w:r>
        <w:rPr>
          <w:rFonts w:hint="eastAsia" w:ascii="宋体" w:hAnsi="宋体" w:eastAsia="宋体"/>
          <w:b/>
          <w:bCs/>
          <w:sz w:val="24"/>
          <w:szCs w:val="28"/>
        </w:rPr>
        <w:t>唱标信封格式</w:t>
      </w:r>
    </w:p>
    <w:p w14:paraId="2EFC8728">
      <w:pPr>
        <w:spacing w:before="652" w:beforeLines="150"/>
        <w:jc w:val="center"/>
        <w:rPr>
          <w:rFonts w:hint="eastAsia" w:ascii="宋体" w:hAnsi="宋体" w:eastAsia="宋体"/>
          <w:b/>
          <w:bCs/>
          <w:sz w:val="72"/>
          <w:szCs w:val="72"/>
        </w:rPr>
      </w:pPr>
      <w:r>
        <w:rPr>
          <w:rFonts w:hint="eastAsia" w:ascii="宋体" w:hAnsi="宋体" w:eastAsia="宋体"/>
          <w:b/>
          <w:bCs/>
          <w:sz w:val="72"/>
          <w:szCs w:val="72"/>
        </w:rPr>
        <w:t>2025年东莞市农药包装废弃物与废旧农膜回收处理项目</w:t>
      </w:r>
    </w:p>
    <w:p w14:paraId="2AED11B5">
      <w:pPr>
        <w:spacing w:before="652" w:beforeLines="150"/>
        <w:jc w:val="center"/>
        <w:rPr>
          <w:rFonts w:hint="eastAsia" w:ascii="宋体" w:hAnsi="宋体" w:eastAsia="宋体"/>
          <w:b/>
          <w:bCs/>
          <w:sz w:val="80"/>
          <w:szCs w:val="80"/>
        </w:rPr>
      </w:pPr>
      <w:r>
        <w:rPr>
          <w:rFonts w:hint="eastAsia" w:ascii="宋体" w:hAnsi="宋体" w:eastAsia="宋体"/>
          <w:b/>
          <w:bCs/>
          <w:sz w:val="80"/>
          <w:szCs w:val="80"/>
        </w:rPr>
        <w:t>唱标信封</w:t>
      </w:r>
    </w:p>
    <w:p w14:paraId="4DE4F916">
      <w:pPr>
        <w:jc w:val="center"/>
        <w:rPr>
          <w:rFonts w:hint="eastAsia" w:ascii="宋体" w:hAnsi="宋体" w:eastAsia="宋体"/>
          <w:b/>
          <w:bCs/>
        </w:rPr>
      </w:pPr>
      <w:r>
        <w:rPr>
          <w:rFonts w:ascii="宋体" w:hAnsi="宋体" w:eastAsia="宋体"/>
          <w:b/>
          <w:bCs/>
        </w:rPr>
        <w:br w:type="textWrapping"/>
      </w:r>
    </w:p>
    <w:p w14:paraId="3B6841D0">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项目编号：ZHDGZC2025070</w:t>
      </w:r>
    </w:p>
    <w:p w14:paraId="44D3A940">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54EC070A">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547FA5D0">
      <w:pPr>
        <w:spacing w:line="360" w:lineRule="auto"/>
        <w:jc w:val="center"/>
        <w:rPr>
          <w:rFonts w:hint="eastAsia" w:ascii="黑体" w:hAnsi="黑体" w:eastAsia="黑体"/>
          <w:bCs/>
          <w:color w:val="000000" w:themeColor="text1"/>
          <w:sz w:val="50"/>
          <w:szCs w:val="50"/>
          <w14:textFill>
            <w14:solidFill>
              <w14:schemeClr w14:val="tx1"/>
            </w14:solidFill>
          </w14:textFill>
        </w:rPr>
      </w:pPr>
    </w:p>
    <w:p w14:paraId="258B0036">
      <w:pPr>
        <w:pStyle w:val="24"/>
        <w:numPr>
          <w:ilvl w:val="0"/>
          <w:numId w:val="114"/>
        </w:numPr>
        <w:spacing w:line="360" w:lineRule="auto"/>
        <w:ind w:firstLineChars="0"/>
        <w:rPr>
          <w:rFonts w:hint="eastAsia" w:ascii="宋体" w:hAnsi="宋体" w:eastAsia="宋体"/>
          <w:szCs w:val="21"/>
        </w:rPr>
      </w:pPr>
      <w:r>
        <w:rPr>
          <w:rFonts w:hint="eastAsia" w:ascii="宋体" w:hAnsi="宋体" w:eastAsia="宋体"/>
          <w:szCs w:val="21"/>
        </w:rPr>
        <w:t>开标一览表加盖投标人公章；</w:t>
      </w:r>
    </w:p>
    <w:p w14:paraId="520925B8">
      <w:pPr>
        <w:pStyle w:val="24"/>
        <w:numPr>
          <w:ilvl w:val="0"/>
          <w:numId w:val="114"/>
        </w:numPr>
        <w:spacing w:line="360" w:lineRule="auto"/>
        <w:ind w:firstLineChars="0"/>
        <w:rPr>
          <w:rFonts w:hint="eastAsia" w:ascii="宋体" w:hAnsi="宋体" w:eastAsia="宋体"/>
          <w:szCs w:val="21"/>
        </w:rPr>
      </w:pPr>
      <w:r>
        <w:rPr>
          <w:rFonts w:hint="eastAsia" w:ascii="宋体" w:hAnsi="宋体" w:eastAsia="宋体"/>
          <w:szCs w:val="21"/>
        </w:rPr>
        <w:t>法定代表人证明书或法定代表人授权委托书加盖投标人公章；</w:t>
      </w:r>
    </w:p>
    <w:p w14:paraId="178D72C7">
      <w:pPr>
        <w:pStyle w:val="24"/>
        <w:numPr>
          <w:ilvl w:val="0"/>
          <w:numId w:val="114"/>
        </w:numPr>
        <w:spacing w:line="360" w:lineRule="auto"/>
        <w:ind w:firstLineChars="0"/>
        <w:rPr>
          <w:rFonts w:hint="eastAsia"/>
        </w:rPr>
      </w:pPr>
      <w:r>
        <w:rPr>
          <w:rFonts w:hint="eastAsia" w:ascii="宋体" w:hAnsi="宋体" w:eastAsia="宋体"/>
          <w:bCs/>
          <w:szCs w:val="21"/>
        </w:rPr>
        <w:t>《联合投标协议》原件（非联合体投标除外）。</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41E54481">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DF371">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CA8E8C"/>
    <w:multiLevelType w:val="singleLevel"/>
    <w:tmpl w:val="83CA8E8C"/>
    <w:lvl w:ilvl="0" w:tentative="0">
      <w:start w:val="1"/>
      <w:numFmt w:val="decimal"/>
      <w:lvlText w:val="(%1)"/>
      <w:lvlJc w:val="left"/>
      <w:pPr>
        <w:ind w:left="425" w:hanging="425"/>
      </w:pPr>
      <w:rPr>
        <w:rFonts w:hint="default"/>
      </w:rPr>
    </w:lvl>
  </w:abstractNum>
  <w:abstractNum w:abstractNumId="1">
    <w:nsid w:val="85D85871"/>
    <w:multiLevelType w:val="multilevel"/>
    <w:tmpl w:val="85D8587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85E395FC"/>
    <w:multiLevelType w:val="singleLevel"/>
    <w:tmpl w:val="85E395FC"/>
    <w:lvl w:ilvl="0" w:tentative="0">
      <w:start w:val="1"/>
      <w:numFmt w:val="decimal"/>
      <w:lvlText w:val="%1."/>
      <w:lvlJc w:val="left"/>
      <w:pPr>
        <w:ind w:left="425" w:hanging="425"/>
      </w:pPr>
      <w:rPr>
        <w:rFonts w:hint="default"/>
      </w:rPr>
    </w:lvl>
  </w:abstractNum>
  <w:abstractNum w:abstractNumId="3">
    <w:nsid w:val="967C8D94"/>
    <w:multiLevelType w:val="singleLevel"/>
    <w:tmpl w:val="967C8D94"/>
    <w:lvl w:ilvl="0" w:tentative="0">
      <w:start w:val="1"/>
      <w:numFmt w:val="decimal"/>
      <w:lvlText w:val="%1."/>
      <w:lvlJc w:val="left"/>
      <w:pPr>
        <w:ind w:left="425" w:hanging="425"/>
      </w:pPr>
      <w:rPr>
        <w:rFonts w:hint="default"/>
      </w:rPr>
    </w:lvl>
  </w:abstractNum>
  <w:abstractNum w:abstractNumId="4">
    <w:nsid w:val="973A3D36"/>
    <w:multiLevelType w:val="singleLevel"/>
    <w:tmpl w:val="973A3D36"/>
    <w:lvl w:ilvl="0" w:tentative="0">
      <w:start w:val="1"/>
      <w:numFmt w:val="decimal"/>
      <w:lvlText w:val="(%1)"/>
      <w:lvlJc w:val="left"/>
      <w:pPr>
        <w:ind w:left="425" w:hanging="425"/>
      </w:pPr>
      <w:rPr>
        <w:rFonts w:hint="default"/>
      </w:rPr>
    </w:lvl>
  </w:abstractNum>
  <w:abstractNum w:abstractNumId="5">
    <w:nsid w:val="9BECE626"/>
    <w:multiLevelType w:val="singleLevel"/>
    <w:tmpl w:val="9BECE626"/>
    <w:lvl w:ilvl="0" w:tentative="0">
      <w:start w:val="1"/>
      <w:numFmt w:val="decimal"/>
      <w:lvlText w:val="%1."/>
      <w:lvlJc w:val="left"/>
      <w:pPr>
        <w:ind w:left="425" w:hanging="425"/>
      </w:pPr>
      <w:rPr>
        <w:rFonts w:hint="default"/>
      </w:rPr>
    </w:lvl>
  </w:abstractNum>
  <w:abstractNum w:abstractNumId="6">
    <w:nsid w:val="A62AA547"/>
    <w:multiLevelType w:val="singleLevel"/>
    <w:tmpl w:val="A62AA547"/>
    <w:lvl w:ilvl="0" w:tentative="0">
      <w:start w:val="1"/>
      <w:numFmt w:val="decimal"/>
      <w:lvlText w:val="%1."/>
      <w:lvlJc w:val="left"/>
      <w:pPr>
        <w:ind w:left="425" w:hanging="425"/>
      </w:pPr>
      <w:rPr>
        <w:rFonts w:hint="default"/>
      </w:rPr>
    </w:lvl>
  </w:abstractNum>
  <w:abstractNum w:abstractNumId="7">
    <w:nsid w:val="AB0CB8AE"/>
    <w:multiLevelType w:val="singleLevel"/>
    <w:tmpl w:val="AB0CB8AE"/>
    <w:lvl w:ilvl="0" w:tentative="0">
      <w:start w:val="1"/>
      <w:numFmt w:val="decimal"/>
      <w:lvlText w:val="%1."/>
      <w:lvlJc w:val="left"/>
      <w:pPr>
        <w:ind w:left="425" w:hanging="425"/>
      </w:pPr>
      <w:rPr>
        <w:rFonts w:hint="default"/>
      </w:rPr>
    </w:lvl>
  </w:abstractNum>
  <w:abstractNum w:abstractNumId="8">
    <w:nsid w:val="AC24F4D6"/>
    <w:multiLevelType w:val="singleLevel"/>
    <w:tmpl w:val="AC24F4D6"/>
    <w:lvl w:ilvl="0" w:tentative="0">
      <w:start w:val="1"/>
      <w:numFmt w:val="decimal"/>
      <w:lvlText w:val="%1."/>
      <w:lvlJc w:val="left"/>
      <w:pPr>
        <w:ind w:left="425" w:hanging="425"/>
      </w:pPr>
      <w:rPr>
        <w:rFonts w:hint="default"/>
      </w:rPr>
    </w:lvl>
  </w:abstractNum>
  <w:abstractNum w:abstractNumId="9">
    <w:nsid w:val="C0B037EB"/>
    <w:multiLevelType w:val="singleLevel"/>
    <w:tmpl w:val="C0B037EB"/>
    <w:lvl w:ilvl="0" w:tentative="0">
      <w:start w:val="1"/>
      <w:numFmt w:val="decimal"/>
      <w:lvlText w:val="%1."/>
      <w:lvlJc w:val="left"/>
      <w:pPr>
        <w:ind w:left="425" w:hanging="425"/>
      </w:pPr>
      <w:rPr>
        <w:rFonts w:hint="default"/>
      </w:rPr>
    </w:lvl>
  </w:abstractNum>
  <w:abstractNum w:abstractNumId="10">
    <w:nsid w:val="D3915E7E"/>
    <w:multiLevelType w:val="singleLevel"/>
    <w:tmpl w:val="D3915E7E"/>
    <w:lvl w:ilvl="0" w:tentative="0">
      <w:start w:val="1"/>
      <w:numFmt w:val="decimal"/>
      <w:lvlText w:val="(%1)"/>
      <w:lvlJc w:val="left"/>
      <w:pPr>
        <w:ind w:left="425" w:hanging="425"/>
      </w:pPr>
      <w:rPr>
        <w:rFonts w:hint="default"/>
      </w:rPr>
    </w:lvl>
  </w:abstractNum>
  <w:abstractNum w:abstractNumId="11">
    <w:nsid w:val="D40487B1"/>
    <w:multiLevelType w:val="singleLevel"/>
    <w:tmpl w:val="D40487B1"/>
    <w:lvl w:ilvl="0" w:tentative="0">
      <w:start w:val="1"/>
      <w:numFmt w:val="decimal"/>
      <w:lvlText w:val="(%1)"/>
      <w:lvlJc w:val="left"/>
      <w:pPr>
        <w:ind w:left="425" w:hanging="425"/>
      </w:pPr>
      <w:rPr>
        <w:rFonts w:hint="default"/>
      </w:rPr>
    </w:lvl>
  </w:abstractNum>
  <w:abstractNum w:abstractNumId="12">
    <w:nsid w:val="D8B0E390"/>
    <w:multiLevelType w:val="singleLevel"/>
    <w:tmpl w:val="D8B0E390"/>
    <w:lvl w:ilvl="0" w:tentative="0">
      <w:start w:val="1"/>
      <w:numFmt w:val="decimal"/>
      <w:lvlText w:val="(%1)"/>
      <w:lvlJc w:val="left"/>
      <w:pPr>
        <w:ind w:left="425" w:hanging="425"/>
      </w:pPr>
      <w:rPr>
        <w:rFonts w:hint="default"/>
        <w:sz w:val="21"/>
        <w:szCs w:val="21"/>
      </w:rPr>
    </w:lvl>
  </w:abstractNum>
  <w:abstractNum w:abstractNumId="13">
    <w:nsid w:val="DDD61DA1"/>
    <w:multiLevelType w:val="singleLevel"/>
    <w:tmpl w:val="DDD61DA1"/>
    <w:lvl w:ilvl="0" w:tentative="0">
      <w:start w:val="1"/>
      <w:numFmt w:val="decimal"/>
      <w:lvlText w:val="%1."/>
      <w:lvlJc w:val="left"/>
      <w:pPr>
        <w:ind w:left="425" w:hanging="425"/>
      </w:pPr>
      <w:rPr>
        <w:rFonts w:hint="default"/>
      </w:rPr>
    </w:lvl>
  </w:abstractNum>
  <w:abstractNum w:abstractNumId="14">
    <w:nsid w:val="ED82DA9A"/>
    <w:multiLevelType w:val="singleLevel"/>
    <w:tmpl w:val="ED82DA9A"/>
    <w:lvl w:ilvl="0" w:tentative="0">
      <w:start w:val="1"/>
      <w:numFmt w:val="decimal"/>
      <w:lvlText w:val="%1."/>
      <w:lvlJc w:val="left"/>
      <w:pPr>
        <w:ind w:left="425" w:hanging="425"/>
      </w:pPr>
      <w:rPr>
        <w:rFonts w:hint="default"/>
      </w:rPr>
    </w:lvl>
  </w:abstractNum>
  <w:abstractNum w:abstractNumId="15">
    <w:nsid w:val="EE8954F7"/>
    <w:multiLevelType w:val="singleLevel"/>
    <w:tmpl w:val="EE8954F7"/>
    <w:lvl w:ilvl="0" w:tentative="0">
      <w:start w:val="1"/>
      <w:numFmt w:val="decimal"/>
      <w:lvlText w:val="%1."/>
      <w:lvlJc w:val="left"/>
      <w:pPr>
        <w:ind w:left="425" w:hanging="425"/>
      </w:pPr>
      <w:rPr>
        <w:rFonts w:hint="default"/>
      </w:rPr>
    </w:lvl>
  </w:abstractNum>
  <w:abstractNum w:abstractNumId="16">
    <w:nsid w:val="F20A9806"/>
    <w:multiLevelType w:val="singleLevel"/>
    <w:tmpl w:val="F20A9806"/>
    <w:lvl w:ilvl="0" w:tentative="0">
      <w:start w:val="1"/>
      <w:numFmt w:val="decimal"/>
      <w:lvlText w:val="%1."/>
      <w:lvlJc w:val="left"/>
      <w:pPr>
        <w:ind w:left="425" w:hanging="425"/>
      </w:pPr>
      <w:rPr>
        <w:rFonts w:hint="default"/>
      </w:rPr>
    </w:lvl>
  </w:abstractNum>
  <w:abstractNum w:abstractNumId="17">
    <w:nsid w:val="F85E16BB"/>
    <w:multiLevelType w:val="singleLevel"/>
    <w:tmpl w:val="F85E16BB"/>
    <w:lvl w:ilvl="0" w:tentative="0">
      <w:start w:val="1"/>
      <w:numFmt w:val="decimal"/>
      <w:lvlText w:val="(%1)"/>
      <w:lvlJc w:val="left"/>
      <w:pPr>
        <w:ind w:left="425" w:hanging="425"/>
      </w:pPr>
      <w:rPr>
        <w:rFonts w:hint="default"/>
        <w:b w:val="0"/>
        <w:bCs w:val="0"/>
        <w:color w:val="auto"/>
      </w:rPr>
    </w:lvl>
  </w:abstractNum>
  <w:abstractNum w:abstractNumId="18">
    <w:nsid w:val="FF43A117"/>
    <w:multiLevelType w:val="singleLevel"/>
    <w:tmpl w:val="FF43A117"/>
    <w:lvl w:ilvl="0" w:tentative="0">
      <w:start w:val="1"/>
      <w:numFmt w:val="decimal"/>
      <w:lvlText w:val="%1."/>
      <w:lvlJc w:val="left"/>
      <w:pPr>
        <w:ind w:left="425" w:hanging="425"/>
      </w:pPr>
      <w:rPr>
        <w:rFonts w:hint="default"/>
      </w:rPr>
    </w:lvl>
  </w:abstractNum>
  <w:abstractNum w:abstractNumId="19">
    <w:nsid w:val="FF8E4286"/>
    <w:multiLevelType w:val="singleLevel"/>
    <w:tmpl w:val="FF8E4286"/>
    <w:lvl w:ilvl="0" w:tentative="0">
      <w:start w:val="1"/>
      <w:numFmt w:val="decimal"/>
      <w:lvlText w:val="(%1)"/>
      <w:lvlJc w:val="left"/>
      <w:pPr>
        <w:ind w:left="425" w:hanging="425"/>
      </w:pPr>
      <w:rPr>
        <w:rFonts w:hint="default"/>
        <w:sz w:val="21"/>
        <w:szCs w:val="21"/>
      </w:rPr>
    </w:lvl>
  </w:abstractNum>
  <w:abstractNum w:abstractNumId="20">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2F3796B"/>
    <w:multiLevelType w:val="singleLevel"/>
    <w:tmpl w:val="02F3796B"/>
    <w:lvl w:ilvl="0" w:tentative="0">
      <w:start w:val="1"/>
      <w:numFmt w:val="decimal"/>
      <w:lvlText w:val="(%1)"/>
      <w:lvlJc w:val="left"/>
      <w:pPr>
        <w:ind w:left="425" w:hanging="425"/>
      </w:pPr>
      <w:rPr>
        <w:rFonts w:hint="default"/>
      </w:rPr>
    </w:lvl>
  </w:abstractNum>
  <w:abstractNum w:abstractNumId="2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5">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0B317D2A"/>
    <w:multiLevelType w:val="multilevel"/>
    <w:tmpl w:val="0B317D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E4EC528"/>
    <w:multiLevelType w:val="singleLevel"/>
    <w:tmpl w:val="0E4EC528"/>
    <w:lvl w:ilvl="0" w:tentative="0">
      <w:start w:val="1"/>
      <w:numFmt w:val="decimal"/>
      <w:lvlText w:val="(%1)"/>
      <w:lvlJc w:val="left"/>
      <w:pPr>
        <w:ind w:left="425" w:hanging="425"/>
      </w:pPr>
      <w:rPr>
        <w:rFonts w:hint="default"/>
        <w:b w:val="0"/>
        <w:bCs w:val="0"/>
        <w:color w:val="auto"/>
      </w:rPr>
    </w:lvl>
  </w:abstractNum>
  <w:abstractNum w:abstractNumId="30">
    <w:nsid w:val="1177374B"/>
    <w:multiLevelType w:val="singleLevel"/>
    <w:tmpl w:val="1177374B"/>
    <w:lvl w:ilvl="0" w:tentative="0">
      <w:start w:val="1"/>
      <w:numFmt w:val="decimal"/>
      <w:lvlText w:val="%1."/>
      <w:lvlJc w:val="left"/>
      <w:pPr>
        <w:ind w:left="425" w:hanging="425"/>
      </w:pPr>
      <w:rPr>
        <w:rFonts w:hint="default"/>
      </w:rPr>
    </w:lvl>
  </w:abstractNum>
  <w:abstractNum w:abstractNumId="31">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28FCDB4"/>
    <w:multiLevelType w:val="multilevel"/>
    <w:tmpl w:val="228FCDB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9E2ED3B"/>
    <w:multiLevelType w:val="singleLevel"/>
    <w:tmpl w:val="29E2ED3B"/>
    <w:lvl w:ilvl="0" w:tentative="0">
      <w:start w:val="1"/>
      <w:numFmt w:val="decimal"/>
      <w:lvlText w:val="(%1)"/>
      <w:lvlJc w:val="left"/>
      <w:pPr>
        <w:ind w:left="425" w:hanging="425"/>
      </w:pPr>
      <w:rPr>
        <w:rFonts w:hint="default"/>
      </w:rPr>
    </w:lvl>
  </w:abstractNum>
  <w:abstractNum w:abstractNumId="46">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FAE2843"/>
    <w:multiLevelType w:val="singleLevel"/>
    <w:tmpl w:val="2FAE2843"/>
    <w:lvl w:ilvl="0" w:tentative="0">
      <w:start w:val="1"/>
      <w:numFmt w:val="decimal"/>
      <w:lvlText w:val="(%1)"/>
      <w:lvlJc w:val="left"/>
      <w:pPr>
        <w:ind w:left="425" w:hanging="425"/>
      </w:pPr>
      <w:rPr>
        <w:rFonts w:hint="default"/>
      </w:rPr>
    </w:lvl>
  </w:abstractNum>
  <w:abstractNum w:abstractNumId="4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635C8F9"/>
    <w:multiLevelType w:val="singleLevel"/>
    <w:tmpl w:val="3635C8F9"/>
    <w:lvl w:ilvl="0" w:tentative="0">
      <w:start w:val="1"/>
      <w:numFmt w:val="chineseCounting"/>
      <w:suff w:val="nothing"/>
      <w:lvlText w:val="%1、"/>
      <w:lvlJc w:val="left"/>
      <w:pPr>
        <w:ind w:left="0" w:firstLine="420"/>
      </w:pPr>
      <w:rPr>
        <w:rFonts w:hint="eastAsia"/>
      </w:rPr>
    </w:lvl>
  </w:abstractNum>
  <w:abstractNum w:abstractNumId="51">
    <w:nsid w:val="36A9FF88"/>
    <w:multiLevelType w:val="singleLevel"/>
    <w:tmpl w:val="36A9FF88"/>
    <w:lvl w:ilvl="0" w:tentative="0">
      <w:start w:val="1"/>
      <w:numFmt w:val="decimal"/>
      <w:lvlText w:val="%1."/>
      <w:lvlJc w:val="left"/>
      <w:pPr>
        <w:ind w:left="425" w:hanging="425"/>
      </w:pPr>
      <w:rPr>
        <w:rFonts w:hint="default"/>
      </w:rPr>
    </w:lvl>
  </w:abstractNum>
  <w:abstractNum w:abstractNumId="52">
    <w:nsid w:val="386CB393"/>
    <w:multiLevelType w:val="singleLevel"/>
    <w:tmpl w:val="386CB393"/>
    <w:lvl w:ilvl="0" w:tentative="0">
      <w:start w:val="1"/>
      <w:numFmt w:val="decimal"/>
      <w:lvlText w:val="(%1)"/>
      <w:lvlJc w:val="left"/>
      <w:pPr>
        <w:ind w:left="425" w:hanging="425"/>
      </w:pPr>
      <w:rPr>
        <w:rFonts w:hint="default"/>
      </w:rPr>
    </w:lvl>
  </w:abstractNum>
  <w:abstractNum w:abstractNumId="53">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4">
    <w:nsid w:val="44DB0361"/>
    <w:multiLevelType w:val="singleLevel"/>
    <w:tmpl w:val="44DB0361"/>
    <w:lvl w:ilvl="0" w:tentative="0">
      <w:start w:val="1"/>
      <w:numFmt w:val="decimal"/>
      <w:lvlText w:val="%1."/>
      <w:lvlJc w:val="left"/>
      <w:pPr>
        <w:ind w:left="425" w:hanging="425"/>
      </w:pPr>
      <w:rPr>
        <w:rFonts w:hint="default"/>
        <w:b w:val="0"/>
        <w:bCs w:val="0"/>
        <w:sz w:val="21"/>
        <w:szCs w:val="21"/>
      </w:rPr>
    </w:lvl>
  </w:abstractNum>
  <w:abstractNum w:abstractNumId="6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0C951F0"/>
    <w:multiLevelType w:val="singleLevel"/>
    <w:tmpl w:val="50C951F0"/>
    <w:lvl w:ilvl="0" w:tentative="0">
      <w:start w:val="1"/>
      <w:numFmt w:val="decimal"/>
      <w:lvlText w:val="%1."/>
      <w:lvlJc w:val="left"/>
      <w:pPr>
        <w:ind w:left="425" w:hanging="425"/>
      </w:pPr>
      <w:rPr>
        <w:rFonts w:hint="default"/>
      </w:rPr>
    </w:lvl>
  </w:abstractNum>
  <w:abstractNum w:abstractNumId="74">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5756142"/>
    <w:multiLevelType w:val="singleLevel"/>
    <w:tmpl w:val="55756142"/>
    <w:lvl w:ilvl="0" w:tentative="0">
      <w:start w:val="1"/>
      <w:numFmt w:val="decimal"/>
      <w:lvlText w:val="(%1)"/>
      <w:lvlJc w:val="left"/>
      <w:pPr>
        <w:ind w:left="425" w:hanging="425"/>
      </w:pPr>
      <w:rPr>
        <w:rFonts w:hint="default"/>
      </w:rPr>
    </w:lvl>
  </w:abstractNum>
  <w:abstractNum w:abstractNumId="8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5C14B3C2"/>
    <w:multiLevelType w:val="singleLevel"/>
    <w:tmpl w:val="5C14B3C2"/>
    <w:lvl w:ilvl="0" w:tentative="0">
      <w:start w:val="1"/>
      <w:numFmt w:val="decimal"/>
      <w:lvlText w:val="%1."/>
      <w:lvlJc w:val="left"/>
      <w:pPr>
        <w:ind w:left="425" w:hanging="425"/>
      </w:pPr>
      <w:rPr>
        <w:rFonts w:hint="default"/>
      </w:rPr>
    </w:lvl>
  </w:abstractNum>
  <w:abstractNum w:abstractNumId="88">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2A33089"/>
    <w:multiLevelType w:val="singleLevel"/>
    <w:tmpl w:val="62A33089"/>
    <w:lvl w:ilvl="0" w:tentative="0">
      <w:start w:val="1"/>
      <w:numFmt w:val="decimal"/>
      <w:lvlText w:val="%1."/>
      <w:lvlJc w:val="left"/>
      <w:pPr>
        <w:ind w:left="425" w:hanging="425"/>
      </w:pPr>
      <w:rPr>
        <w:rFonts w:hint="default"/>
      </w:rPr>
    </w:lvl>
  </w:abstractNum>
  <w:abstractNum w:abstractNumId="91">
    <w:nsid w:val="62A79E3B"/>
    <w:multiLevelType w:val="singleLevel"/>
    <w:tmpl w:val="62A79E3B"/>
    <w:lvl w:ilvl="0" w:tentative="0">
      <w:start w:val="1"/>
      <w:numFmt w:val="decimal"/>
      <w:lvlText w:val="(%1)"/>
      <w:lvlJc w:val="left"/>
      <w:pPr>
        <w:ind w:left="425" w:hanging="425"/>
      </w:pPr>
      <w:rPr>
        <w:rFonts w:hint="default"/>
        <w:b w:val="0"/>
        <w:bCs w:val="0"/>
        <w:color w:val="auto"/>
      </w:rPr>
    </w:lvl>
  </w:abstractNum>
  <w:abstractNum w:abstractNumId="92">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204DDD3"/>
    <w:multiLevelType w:val="singleLevel"/>
    <w:tmpl w:val="7204DDD3"/>
    <w:lvl w:ilvl="0" w:tentative="0">
      <w:start w:val="1"/>
      <w:numFmt w:val="decimal"/>
      <w:lvlText w:val="%1."/>
      <w:lvlJc w:val="left"/>
      <w:pPr>
        <w:ind w:left="425" w:hanging="425"/>
      </w:pPr>
      <w:rPr>
        <w:rFonts w:hint="default"/>
      </w:rPr>
    </w:lvl>
  </w:abstractNum>
  <w:abstractNum w:abstractNumId="101">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38E3C21"/>
    <w:multiLevelType w:val="singleLevel"/>
    <w:tmpl w:val="738E3C21"/>
    <w:lvl w:ilvl="0" w:tentative="0">
      <w:start w:val="1"/>
      <w:numFmt w:val="decimal"/>
      <w:lvlText w:val="(%1)"/>
      <w:lvlJc w:val="left"/>
      <w:pPr>
        <w:ind w:left="425" w:hanging="425"/>
      </w:pPr>
      <w:rPr>
        <w:rFonts w:hint="default"/>
      </w:rPr>
    </w:lvl>
  </w:abstractNum>
  <w:abstractNum w:abstractNumId="104">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57B7DE6"/>
    <w:multiLevelType w:val="singleLevel"/>
    <w:tmpl w:val="757B7DE6"/>
    <w:lvl w:ilvl="0" w:tentative="0">
      <w:start w:val="1"/>
      <w:numFmt w:val="decimal"/>
      <w:lvlText w:val="%1."/>
      <w:lvlJc w:val="left"/>
      <w:pPr>
        <w:ind w:left="425" w:hanging="425"/>
      </w:pPr>
      <w:rPr>
        <w:rFonts w:hint="default"/>
      </w:rPr>
    </w:lvl>
  </w:abstractNum>
  <w:abstractNum w:abstractNumId="10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767656D2"/>
    <w:multiLevelType w:val="singleLevel"/>
    <w:tmpl w:val="767656D2"/>
    <w:lvl w:ilvl="0" w:tentative="0">
      <w:start w:val="1"/>
      <w:numFmt w:val="decimal"/>
      <w:lvlText w:val="(%1)"/>
      <w:lvlJc w:val="left"/>
      <w:pPr>
        <w:ind w:left="425" w:hanging="425"/>
      </w:pPr>
      <w:rPr>
        <w:rFonts w:hint="default"/>
      </w:rPr>
    </w:lvl>
  </w:abstractNum>
  <w:abstractNum w:abstractNumId="10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9"/>
  </w:num>
  <w:num w:numId="2">
    <w:abstractNumId w:val="43"/>
  </w:num>
  <w:num w:numId="3">
    <w:abstractNumId w:val="62"/>
  </w:num>
  <w:num w:numId="4">
    <w:abstractNumId w:val="48"/>
  </w:num>
  <w:num w:numId="5">
    <w:abstractNumId w:val="70"/>
  </w:num>
  <w:num w:numId="6">
    <w:abstractNumId w:val="102"/>
  </w:num>
  <w:num w:numId="7">
    <w:abstractNumId w:val="104"/>
  </w:num>
  <w:num w:numId="8">
    <w:abstractNumId w:val="78"/>
  </w:num>
  <w:num w:numId="9">
    <w:abstractNumId w:val="110"/>
  </w:num>
  <w:num w:numId="10">
    <w:abstractNumId w:val="25"/>
  </w:num>
  <w:num w:numId="11">
    <w:abstractNumId w:val="3"/>
  </w:num>
  <w:num w:numId="12">
    <w:abstractNumId w:val="0"/>
  </w:num>
  <w:num w:numId="13">
    <w:abstractNumId w:val="2"/>
  </w:num>
  <w:num w:numId="14">
    <w:abstractNumId w:val="39"/>
  </w:num>
  <w:num w:numId="15">
    <w:abstractNumId w:val="9"/>
  </w:num>
  <w:num w:numId="16">
    <w:abstractNumId w:val="26"/>
  </w:num>
  <w:num w:numId="17">
    <w:abstractNumId w:val="12"/>
  </w:num>
  <w:num w:numId="18">
    <w:abstractNumId w:val="1"/>
  </w:num>
  <w:num w:numId="19">
    <w:abstractNumId w:val="19"/>
  </w:num>
  <w:num w:numId="20">
    <w:abstractNumId w:val="103"/>
  </w:num>
  <w:num w:numId="21">
    <w:abstractNumId w:val="17"/>
  </w:num>
  <w:num w:numId="22">
    <w:abstractNumId w:val="91"/>
  </w:num>
  <w:num w:numId="23">
    <w:abstractNumId w:val="45"/>
  </w:num>
  <w:num w:numId="24">
    <w:abstractNumId w:val="28"/>
  </w:num>
  <w:num w:numId="25">
    <w:abstractNumId w:val="16"/>
  </w:num>
  <w:num w:numId="26">
    <w:abstractNumId w:val="60"/>
  </w:num>
  <w:num w:numId="27">
    <w:abstractNumId w:val="101"/>
  </w:num>
  <w:num w:numId="28">
    <w:abstractNumId w:val="86"/>
  </w:num>
  <w:num w:numId="29">
    <w:abstractNumId w:val="58"/>
  </w:num>
  <w:num w:numId="30">
    <w:abstractNumId w:val="36"/>
  </w:num>
  <w:num w:numId="31">
    <w:abstractNumId w:val="111"/>
  </w:num>
  <w:num w:numId="32">
    <w:abstractNumId w:val="82"/>
  </w:num>
  <w:num w:numId="33">
    <w:abstractNumId w:val="46"/>
  </w:num>
  <w:num w:numId="34">
    <w:abstractNumId w:val="92"/>
  </w:num>
  <w:num w:numId="35">
    <w:abstractNumId w:val="53"/>
  </w:num>
  <w:num w:numId="36">
    <w:abstractNumId w:val="93"/>
  </w:num>
  <w:num w:numId="37">
    <w:abstractNumId w:val="88"/>
  </w:num>
  <w:num w:numId="38">
    <w:abstractNumId w:val="99"/>
  </w:num>
  <w:num w:numId="39">
    <w:abstractNumId w:val="97"/>
  </w:num>
  <w:num w:numId="40">
    <w:abstractNumId w:val="37"/>
  </w:num>
  <w:num w:numId="41">
    <w:abstractNumId w:val="31"/>
  </w:num>
  <w:num w:numId="42">
    <w:abstractNumId w:val="69"/>
  </w:num>
  <w:num w:numId="43">
    <w:abstractNumId w:val="61"/>
  </w:num>
  <w:num w:numId="44">
    <w:abstractNumId w:val="85"/>
  </w:num>
  <w:num w:numId="45">
    <w:abstractNumId w:val="106"/>
  </w:num>
  <w:num w:numId="46">
    <w:abstractNumId w:val="66"/>
  </w:num>
  <w:num w:numId="47">
    <w:abstractNumId w:val="56"/>
  </w:num>
  <w:num w:numId="48">
    <w:abstractNumId w:val="55"/>
  </w:num>
  <w:num w:numId="49">
    <w:abstractNumId w:val="68"/>
  </w:num>
  <w:num w:numId="50">
    <w:abstractNumId w:val="22"/>
  </w:num>
  <w:num w:numId="51">
    <w:abstractNumId w:val="83"/>
  </w:num>
  <w:num w:numId="52">
    <w:abstractNumId w:val="96"/>
  </w:num>
  <w:num w:numId="53">
    <w:abstractNumId w:val="98"/>
  </w:num>
  <w:num w:numId="54">
    <w:abstractNumId w:val="34"/>
  </w:num>
  <w:num w:numId="55">
    <w:abstractNumId w:val="44"/>
  </w:num>
  <w:num w:numId="56">
    <w:abstractNumId w:val="84"/>
  </w:num>
  <w:num w:numId="57">
    <w:abstractNumId w:val="33"/>
  </w:num>
  <w:num w:numId="58">
    <w:abstractNumId w:val="35"/>
  </w:num>
  <w:num w:numId="59">
    <w:abstractNumId w:val="27"/>
  </w:num>
  <w:num w:numId="60">
    <w:abstractNumId w:val="65"/>
  </w:num>
  <w:num w:numId="61">
    <w:abstractNumId w:val="76"/>
  </w:num>
  <w:num w:numId="62">
    <w:abstractNumId w:val="89"/>
  </w:num>
  <w:num w:numId="63">
    <w:abstractNumId w:val="57"/>
  </w:num>
  <w:num w:numId="64">
    <w:abstractNumId w:val="59"/>
  </w:num>
  <w:num w:numId="65">
    <w:abstractNumId w:val="79"/>
  </w:num>
  <w:num w:numId="66">
    <w:abstractNumId w:val="94"/>
  </w:num>
  <w:num w:numId="67">
    <w:abstractNumId w:val="95"/>
  </w:num>
  <w:num w:numId="68">
    <w:abstractNumId w:val="71"/>
  </w:num>
  <w:num w:numId="69">
    <w:abstractNumId w:val="72"/>
  </w:num>
  <w:num w:numId="70">
    <w:abstractNumId w:val="113"/>
  </w:num>
  <w:num w:numId="71">
    <w:abstractNumId w:val="41"/>
  </w:num>
  <w:num w:numId="72">
    <w:abstractNumId w:val="74"/>
  </w:num>
  <w:num w:numId="73">
    <w:abstractNumId w:val="67"/>
  </w:num>
  <w:num w:numId="74">
    <w:abstractNumId w:val="112"/>
  </w:num>
  <w:num w:numId="75">
    <w:abstractNumId w:val="40"/>
  </w:num>
  <w:num w:numId="76">
    <w:abstractNumId w:val="63"/>
  </w:num>
  <w:num w:numId="77">
    <w:abstractNumId w:val="109"/>
  </w:num>
  <w:num w:numId="78">
    <w:abstractNumId w:val="24"/>
  </w:num>
  <w:num w:numId="79">
    <w:abstractNumId w:val="42"/>
  </w:num>
  <w:num w:numId="80">
    <w:abstractNumId w:val="77"/>
  </w:num>
  <w:num w:numId="81">
    <w:abstractNumId w:val="75"/>
  </w:num>
  <w:num w:numId="82">
    <w:abstractNumId w:val="32"/>
  </w:num>
  <w:num w:numId="83">
    <w:abstractNumId w:val="21"/>
  </w:num>
  <w:num w:numId="84">
    <w:abstractNumId w:val="107"/>
  </w:num>
  <w:num w:numId="85">
    <w:abstractNumId w:val="20"/>
  </w:num>
  <w:num w:numId="86">
    <w:abstractNumId w:val="15"/>
  </w:num>
  <w:num w:numId="87">
    <w:abstractNumId w:val="30"/>
  </w:num>
  <w:num w:numId="88">
    <w:abstractNumId w:val="13"/>
  </w:num>
  <w:num w:numId="89">
    <w:abstractNumId w:val="52"/>
  </w:num>
  <w:num w:numId="90">
    <w:abstractNumId w:val="80"/>
  </w:num>
  <w:num w:numId="91">
    <w:abstractNumId w:val="6"/>
  </w:num>
  <w:num w:numId="92">
    <w:abstractNumId w:val="90"/>
  </w:num>
  <w:num w:numId="93">
    <w:abstractNumId w:val="108"/>
  </w:num>
  <w:num w:numId="94">
    <w:abstractNumId w:val="51"/>
  </w:num>
  <w:num w:numId="95">
    <w:abstractNumId w:val="8"/>
  </w:num>
  <w:num w:numId="96">
    <w:abstractNumId w:val="38"/>
  </w:num>
  <w:num w:numId="97">
    <w:abstractNumId w:val="11"/>
  </w:num>
  <w:num w:numId="98">
    <w:abstractNumId w:val="18"/>
  </w:num>
  <w:num w:numId="99">
    <w:abstractNumId w:val="47"/>
  </w:num>
  <w:num w:numId="100">
    <w:abstractNumId w:val="4"/>
  </w:num>
  <w:num w:numId="101">
    <w:abstractNumId w:val="29"/>
  </w:num>
  <w:num w:numId="102">
    <w:abstractNumId w:val="23"/>
  </w:num>
  <w:num w:numId="103">
    <w:abstractNumId w:val="10"/>
  </w:num>
  <w:num w:numId="104">
    <w:abstractNumId w:val="73"/>
  </w:num>
  <w:num w:numId="105">
    <w:abstractNumId w:val="64"/>
  </w:num>
  <w:num w:numId="106">
    <w:abstractNumId w:val="5"/>
  </w:num>
  <w:num w:numId="107">
    <w:abstractNumId w:val="87"/>
  </w:num>
  <w:num w:numId="108">
    <w:abstractNumId w:val="14"/>
  </w:num>
  <w:num w:numId="109">
    <w:abstractNumId w:val="100"/>
  </w:num>
  <w:num w:numId="110">
    <w:abstractNumId w:val="7"/>
  </w:num>
  <w:num w:numId="111">
    <w:abstractNumId w:val="105"/>
  </w:num>
  <w:num w:numId="112">
    <w:abstractNumId w:val="50"/>
  </w:num>
  <w:num w:numId="113">
    <w:abstractNumId w:val="54"/>
  </w:num>
  <w:num w:numId="114">
    <w:abstractNumId w:val="8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GNJ3">
    <w15:presenceInfo w15:providerId="None" w15:userId="DGNJ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77B1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1225F6B"/>
    <w:rsid w:val="013D6CF9"/>
    <w:rsid w:val="01FB40D3"/>
    <w:rsid w:val="023C44BA"/>
    <w:rsid w:val="02C50533"/>
    <w:rsid w:val="031E62CB"/>
    <w:rsid w:val="0449796F"/>
    <w:rsid w:val="050723CE"/>
    <w:rsid w:val="05444432"/>
    <w:rsid w:val="0574717F"/>
    <w:rsid w:val="066A0082"/>
    <w:rsid w:val="06AC4047"/>
    <w:rsid w:val="06B81D95"/>
    <w:rsid w:val="06F00D62"/>
    <w:rsid w:val="07156475"/>
    <w:rsid w:val="07647CAF"/>
    <w:rsid w:val="0818412D"/>
    <w:rsid w:val="08B93377"/>
    <w:rsid w:val="08F55D20"/>
    <w:rsid w:val="08F74842"/>
    <w:rsid w:val="092B5F96"/>
    <w:rsid w:val="093E43D5"/>
    <w:rsid w:val="0A21672A"/>
    <w:rsid w:val="0A707854"/>
    <w:rsid w:val="0B1B0CC4"/>
    <w:rsid w:val="0B935630"/>
    <w:rsid w:val="0BBC48D3"/>
    <w:rsid w:val="0BDB587F"/>
    <w:rsid w:val="0BDF3D90"/>
    <w:rsid w:val="0BED7182"/>
    <w:rsid w:val="0C0F0EA7"/>
    <w:rsid w:val="0C2B2187"/>
    <w:rsid w:val="0C5E25D5"/>
    <w:rsid w:val="0CA84FD3"/>
    <w:rsid w:val="0CBB5B8B"/>
    <w:rsid w:val="0D7E5606"/>
    <w:rsid w:val="0DAA3ED2"/>
    <w:rsid w:val="0E413A70"/>
    <w:rsid w:val="0E825B5E"/>
    <w:rsid w:val="0E995783"/>
    <w:rsid w:val="105A7962"/>
    <w:rsid w:val="108A26B0"/>
    <w:rsid w:val="11096801"/>
    <w:rsid w:val="11250330"/>
    <w:rsid w:val="113B2058"/>
    <w:rsid w:val="11C15FB0"/>
    <w:rsid w:val="121A7943"/>
    <w:rsid w:val="12263756"/>
    <w:rsid w:val="122F4065"/>
    <w:rsid w:val="12591626"/>
    <w:rsid w:val="12A9001C"/>
    <w:rsid w:val="13BD455E"/>
    <w:rsid w:val="13DA081E"/>
    <w:rsid w:val="14223741"/>
    <w:rsid w:val="143C503F"/>
    <w:rsid w:val="14702016"/>
    <w:rsid w:val="159E053B"/>
    <w:rsid w:val="183923CC"/>
    <w:rsid w:val="188F2DDB"/>
    <w:rsid w:val="189D00F6"/>
    <w:rsid w:val="1905081B"/>
    <w:rsid w:val="19B27315"/>
    <w:rsid w:val="19B50128"/>
    <w:rsid w:val="1A287679"/>
    <w:rsid w:val="1A43439E"/>
    <w:rsid w:val="1A5302BC"/>
    <w:rsid w:val="1B1F0B0A"/>
    <w:rsid w:val="1B427DC5"/>
    <w:rsid w:val="1BDA123E"/>
    <w:rsid w:val="1CAD6710"/>
    <w:rsid w:val="1CBE39E2"/>
    <w:rsid w:val="1DC7686B"/>
    <w:rsid w:val="1DE37094"/>
    <w:rsid w:val="1DF42BB2"/>
    <w:rsid w:val="1E0A05D9"/>
    <w:rsid w:val="1E192299"/>
    <w:rsid w:val="2008261D"/>
    <w:rsid w:val="205D342E"/>
    <w:rsid w:val="206E6F02"/>
    <w:rsid w:val="22573718"/>
    <w:rsid w:val="226136F6"/>
    <w:rsid w:val="234B10F5"/>
    <w:rsid w:val="24593831"/>
    <w:rsid w:val="250C32D4"/>
    <w:rsid w:val="25637566"/>
    <w:rsid w:val="256945C8"/>
    <w:rsid w:val="25A96658"/>
    <w:rsid w:val="25E023B3"/>
    <w:rsid w:val="25F832BF"/>
    <w:rsid w:val="26785DA9"/>
    <w:rsid w:val="267C5EF5"/>
    <w:rsid w:val="26A8437A"/>
    <w:rsid w:val="26D12FC0"/>
    <w:rsid w:val="26F217CD"/>
    <w:rsid w:val="274A6102"/>
    <w:rsid w:val="282E04AF"/>
    <w:rsid w:val="28790163"/>
    <w:rsid w:val="28CD627E"/>
    <w:rsid w:val="291908FB"/>
    <w:rsid w:val="2A0A5C85"/>
    <w:rsid w:val="2A321596"/>
    <w:rsid w:val="2A3978F7"/>
    <w:rsid w:val="2A3A5489"/>
    <w:rsid w:val="2A791605"/>
    <w:rsid w:val="2B062899"/>
    <w:rsid w:val="2B563729"/>
    <w:rsid w:val="2BC508DC"/>
    <w:rsid w:val="2BF42E9D"/>
    <w:rsid w:val="2D60377E"/>
    <w:rsid w:val="2D625537"/>
    <w:rsid w:val="2DF65282"/>
    <w:rsid w:val="2E206E6C"/>
    <w:rsid w:val="2E3D31FA"/>
    <w:rsid w:val="2EDE5274"/>
    <w:rsid w:val="2EE9067E"/>
    <w:rsid w:val="2EF912D0"/>
    <w:rsid w:val="2FE547A2"/>
    <w:rsid w:val="2FF80CC3"/>
    <w:rsid w:val="31506C9A"/>
    <w:rsid w:val="31CE5693"/>
    <w:rsid w:val="31F75486"/>
    <w:rsid w:val="325C7890"/>
    <w:rsid w:val="32C37159"/>
    <w:rsid w:val="32DA54BB"/>
    <w:rsid w:val="333B2EA1"/>
    <w:rsid w:val="33853FC1"/>
    <w:rsid w:val="36B62551"/>
    <w:rsid w:val="37090CD6"/>
    <w:rsid w:val="37CB4618"/>
    <w:rsid w:val="37D238D3"/>
    <w:rsid w:val="3862667F"/>
    <w:rsid w:val="38654816"/>
    <w:rsid w:val="387B6706"/>
    <w:rsid w:val="38993B50"/>
    <w:rsid w:val="393357C5"/>
    <w:rsid w:val="3A6058D6"/>
    <w:rsid w:val="3AB939E6"/>
    <w:rsid w:val="3AF90F4C"/>
    <w:rsid w:val="3B6E70E8"/>
    <w:rsid w:val="3B9C785C"/>
    <w:rsid w:val="3BC33E98"/>
    <w:rsid w:val="3BCB3A73"/>
    <w:rsid w:val="3C932C37"/>
    <w:rsid w:val="3D8F6522"/>
    <w:rsid w:val="3D965098"/>
    <w:rsid w:val="3E1375BC"/>
    <w:rsid w:val="3E802A97"/>
    <w:rsid w:val="3EDB4A95"/>
    <w:rsid w:val="3EFF6BE9"/>
    <w:rsid w:val="3F3775E4"/>
    <w:rsid w:val="3F6A0496"/>
    <w:rsid w:val="3F8E1B07"/>
    <w:rsid w:val="3FE51083"/>
    <w:rsid w:val="3FFF200F"/>
    <w:rsid w:val="401818B4"/>
    <w:rsid w:val="40934A80"/>
    <w:rsid w:val="41076015"/>
    <w:rsid w:val="41357278"/>
    <w:rsid w:val="4191369F"/>
    <w:rsid w:val="4205365D"/>
    <w:rsid w:val="42220A0F"/>
    <w:rsid w:val="42947A49"/>
    <w:rsid w:val="42DE0EC0"/>
    <w:rsid w:val="42DF2149"/>
    <w:rsid w:val="42EE49B4"/>
    <w:rsid w:val="431D6BDB"/>
    <w:rsid w:val="444E229E"/>
    <w:rsid w:val="44773462"/>
    <w:rsid w:val="44FE1322"/>
    <w:rsid w:val="453B6B7C"/>
    <w:rsid w:val="45662D6A"/>
    <w:rsid w:val="4570367A"/>
    <w:rsid w:val="458F3F2F"/>
    <w:rsid w:val="47B922BA"/>
    <w:rsid w:val="481B6ADB"/>
    <w:rsid w:val="48900C98"/>
    <w:rsid w:val="48EB00AD"/>
    <w:rsid w:val="49B93111"/>
    <w:rsid w:val="49CF169A"/>
    <w:rsid w:val="4AC544BB"/>
    <w:rsid w:val="4B1F5D09"/>
    <w:rsid w:val="4BBF2155"/>
    <w:rsid w:val="4C1B6FEB"/>
    <w:rsid w:val="4C9246AB"/>
    <w:rsid w:val="4CB64C6B"/>
    <w:rsid w:val="4DE41E5A"/>
    <w:rsid w:val="4E077A90"/>
    <w:rsid w:val="4E0D6869"/>
    <w:rsid w:val="4FC92F74"/>
    <w:rsid w:val="4FE528A4"/>
    <w:rsid w:val="51047446"/>
    <w:rsid w:val="517F39A6"/>
    <w:rsid w:val="51C1782C"/>
    <w:rsid w:val="51F837D1"/>
    <w:rsid w:val="52054A9D"/>
    <w:rsid w:val="52CF5520"/>
    <w:rsid w:val="53BF72F1"/>
    <w:rsid w:val="54C54621"/>
    <w:rsid w:val="54FB3FF7"/>
    <w:rsid w:val="55F751A5"/>
    <w:rsid w:val="563F70BA"/>
    <w:rsid w:val="566775D0"/>
    <w:rsid w:val="56A959EA"/>
    <w:rsid w:val="56F25947"/>
    <w:rsid w:val="57796962"/>
    <w:rsid w:val="57A77F5C"/>
    <w:rsid w:val="57D61909"/>
    <w:rsid w:val="59140247"/>
    <w:rsid w:val="59563081"/>
    <w:rsid w:val="5B173CBE"/>
    <w:rsid w:val="5B28666B"/>
    <w:rsid w:val="5B5309E2"/>
    <w:rsid w:val="5B7E2B2B"/>
    <w:rsid w:val="5C184475"/>
    <w:rsid w:val="5C2F04B3"/>
    <w:rsid w:val="5C433B6E"/>
    <w:rsid w:val="5E1C6C20"/>
    <w:rsid w:val="5E731884"/>
    <w:rsid w:val="5E85179E"/>
    <w:rsid w:val="5E903B0D"/>
    <w:rsid w:val="5F185C8E"/>
    <w:rsid w:val="605E6EDA"/>
    <w:rsid w:val="60680A3A"/>
    <w:rsid w:val="60BB6C1F"/>
    <w:rsid w:val="60DF60FA"/>
    <w:rsid w:val="622F6D22"/>
    <w:rsid w:val="62E22BEB"/>
    <w:rsid w:val="633D16F7"/>
    <w:rsid w:val="63785DBF"/>
    <w:rsid w:val="6402057A"/>
    <w:rsid w:val="645C559A"/>
    <w:rsid w:val="649D15A1"/>
    <w:rsid w:val="64B11C70"/>
    <w:rsid w:val="64EE6C25"/>
    <w:rsid w:val="659D7CC2"/>
    <w:rsid w:val="65B23EF2"/>
    <w:rsid w:val="668734C3"/>
    <w:rsid w:val="669C6524"/>
    <w:rsid w:val="66BC011A"/>
    <w:rsid w:val="673B426B"/>
    <w:rsid w:val="6864524C"/>
    <w:rsid w:val="68C3086F"/>
    <w:rsid w:val="690D79EA"/>
    <w:rsid w:val="69246215"/>
    <w:rsid w:val="692F7B9E"/>
    <w:rsid w:val="6A22078E"/>
    <w:rsid w:val="6A555782"/>
    <w:rsid w:val="6A563204"/>
    <w:rsid w:val="6B8C0D41"/>
    <w:rsid w:val="6B8C547F"/>
    <w:rsid w:val="6BD20172"/>
    <w:rsid w:val="6C1956BC"/>
    <w:rsid w:val="6CD9769F"/>
    <w:rsid w:val="6D167504"/>
    <w:rsid w:val="6D1D2712"/>
    <w:rsid w:val="6D9510D7"/>
    <w:rsid w:val="6DEC3B3F"/>
    <w:rsid w:val="6E255041"/>
    <w:rsid w:val="6E794BCD"/>
    <w:rsid w:val="6FAA4F3F"/>
    <w:rsid w:val="6FE476A3"/>
    <w:rsid w:val="70EA114F"/>
    <w:rsid w:val="71BF3449"/>
    <w:rsid w:val="71E338E5"/>
    <w:rsid w:val="71FB452B"/>
    <w:rsid w:val="725714AD"/>
    <w:rsid w:val="727D3192"/>
    <w:rsid w:val="72DA63FB"/>
    <w:rsid w:val="72DB7FB8"/>
    <w:rsid w:val="731F693F"/>
    <w:rsid w:val="734813A9"/>
    <w:rsid w:val="73A56DC9"/>
    <w:rsid w:val="73E831D5"/>
    <w:rsid w:val="73FB1D56"/>
    <w:rsid w:val="75017085"/>
    <w:rsid w:val="75304351"/>
    <w:rsid w:val="75FB4D1F"/>
    <w:rsid w:val="78241686"/>
    <w:rsid w:val="799C3B90"/>
    <w:rsid w:val="7A2B3800"/>
    <w:rsid w:val="7A50273A"/>
    <w:rsid w:val="7A741675"/>
    <w:rsid w:val="7A887EF9"/>
    <w:rsid w:val="7B050F64"/>
    <w:rsid w:val="7B8472B4"/>
    <w:rsid w:val="7BEE565F"/>
    <w:rsid w:val="7C5E6C17"/>
    <w:rsid w:val="7C6E4CB3"/>
    <w:rsid w:val="7CA4190A"/>
    <w:rsid w:val="7D2C5EE0"/>
    <w:rsid w:val="7D3014EE"/>
    <w:rsid w:val="7D896705"/>
    <w:rsid w:val="7D964715"/>
    <w:rsid w:val="7E664DEE"/>
    <w:rsid w:val="7EC21C85"/>
    <w:rsid w:val="7F9D1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0"/>
    <w:qFormat/>
    <w:uiPriority w:val="0"/>
    <w:pPr>
      <w:spacing w:after="120"/>
    </w:pPr>
    <w:rPr>
      <w:rFonts w:ascii="Times New Roman" w:hAnsi="Times New Roman" w:eastAsia="宋体" w:cs="Times New Roman"/>
      <w:szCs w:val="24"/>
    </w:rPr>
  </w:style>
  <w:style w:type="paragraph" w:styleId="5">
    <w:name w:val="annotation text"/>
    <w:basedOn w:val="1"/>
    <w:link w:val="21"/>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5"/>
    <w:next w:val="5"/>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5"/>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4"/>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2"/>
    <w:qFormat/>
    <w:uiPriority w:val="0"/>
    <w:rPr>
      <w:rFonts w:ascii="Times New Roman" w:hAnsi="Times New Roman" w:eastAsia="宋体" w:cs="Times New Roman"/>
      <w:szCs w:val="24"/>
    </w:rPr>
  </w:style>
  <w:style w:type="character" w:customStyle="1" w:styleId="31">
    <w:name w:val="标题 1 字符"/>
    <w:basedOn w:val="14"/>
    <w:link w:val="3"/>
    <w:qFormat/>
    <w:uiPriority w:val="9"/>
    <w:rPr>
      <w:b/>
      <w:bCs/>
      <w:kern w:val="44"/>
      <w:sz w:val="44"/>
      <w:szCs w:val="44"/>
    </w:rPr>
  </w:style>
  <w:style w:type="paragraph" w:customStyle="1" w:styleId="32">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4">
    <w:name w:val="正文文本11"/>
    <w:basedOn w:val="1"/>
    <w:qFormat/>
    <w:uiPriority w:val="0"/>
    <w:pPr>
      <w:tabs>
        <w:tab w:val="left" w:pos="567"/>
      </w:tabs>
      <w:spacing w:before="120" w:line="22" w:lineRule="atLeast"/>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71</Pages>
  <Words>7242</Words>
  <Characters>7644</Characters>
  <Lines>304</Lines>
  <Paragraphs>85</Paragraphs>
  <TotalTime>19</TotalTime>
  <ScaleCrop>false</ScaleCrop>
  <LinksUpToDate>false</LinksUpToDate>
  <CharactersWithSpaces>7808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代理机构</cp:lastModifiedBy>
  <dcterms:modified xsi:type="dcterms:W3CDTF">2025-09-02T07:00:35Z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eyJoZGlkIjoiYTc4OTRkMGYzMjVjNjBiYzgxYWE5YTExYTA0ZTNjMDgiLCJ1c2VySWQiOiI1MTY5MTQyOTMifQ==</vt:lpwstr>
  </property>
  <property fmtid="{D5CDD505-2E9C-101B-9397-08002B2CF9AE}" pid="3" name="KSOProductBuildVer">
    <vt:lpwstr>2052-12.1.0.22529</vt:lpwstr>
  </property>
  <property fmtid="{D5CDD505-2E9C-101B-9397-08002B2CF9AE}" pid="4" name="ICV">
    <vt:lpwstr>3DFEA3BD7C004D3986E2856EA1EFC50C</vt:lpwstr>
  </property>
</Properties>
</file>