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3BAE">
      <w:pPr>
        <w:spacing w:before="1248" w:beforeLines="400" w:after="780" w:afterLines="250" w:line="480" w:lineRule="auto"/>
        <w:ind w:left="315" w:leftChars="150"/>
        <w:jc w:val="center"/>
        <w:rPr>
          <w:rFonts w:ascii="宋体" w:hAnsi="宋体"/>
          <w:color w:val="auto"/>
          <w:sz w:val="120"/>
          <w:szCs w:val="120"/>
          <w:highlight w:val="none"/>
        </w:rPr>
      </w:pPr>
      <w:r>
        <w:rPr>
          <w:rFonts w:hint="eastAsia" w:ascii="宋体" w:hAnsi="宋体"/>
          <w:b/>
          <w:color w:val="auto"/>
          <w:sz w:val="120"/>
          <w:szCs w:val="120"/>
          <w:highlight w:val="none"/>
        </w:rPr>
        <w:t>竞争性磋商文件</w:t>
      </w:r>
    </w:p>
    <w:p w14:paraId="1114B413">
      <w:pPr>
        <w:jc w:val="center"/>
        <w:rPr>
          <w:rFonts w:asciiTheme="minorEastAsia" w:hAnsiTheme="minorEastAsia" w:eastAsiaTheme="minorEastAsia"/>
          <w:b/>
          <w:color w:val="auto"/>
          <w:sz w:val="32"/>
          <w:szCs w:val="32"/>
          <w:highlight w:val="none"/>
        </w:rPr>
      </w:pPr>
      <w:r>
        <w:rPr>
          <w:rFonts w:asciiTheme="minorEastAsia" w:hAnsiTheme="minorEastAsia" w:eastAsiaTheme="minorEastAsia"/>
          <w:b/>
          <w:color w:val="auto"/>
          <w:sz w:val="32"/>
          <w:highlight w:val="none"/>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7D6D7F16">
      <w:pPr>
        <w:pStyle w:val="74"/>
        <w:tabs>
          <w:tab w:val="left" w:pos="9072"/>
        </w:tabs>
        <w:spacing w:before="936" w:beforeLines="300" w:line="640" w:lineRule="exact"/>
        <w:ind w:firstLine="826" w:firstLineChars="235"/>
        <w:outlineLvl w:val="9"/>
        <w:rPr>
          <w:rFonts w:hint="default" w:ascii="宋体" w:hAnsi="宋体" w:eastAsia="宋体"/>
          <w:color w:val="auto"/>
          <w:sz w:val="35"/>
          <w:szCs w:val="35"/>
          <w:highlight w:val="none"/>
          <w:lang w:eastAsia="zh-CN"/>
        </w:rPr>
      </w:pPr>
      <w:r>
        <w:rPr>
          <w:rFonts w:ascii="宋体" w:hAnsi="宋体" w:eastAsia="宋体"/>
          <w:b/>
          <w:color w:val="auto"/>
          <w:sz w:val="35"/>
          <w:szCs w:val="35"/>
          <w:highlight w:val="none"/>
        </w:rPr>
        <w:t>项目编号：</w:t>
      </w:r>
      <w:r>
        <w:rPr>
          <w:rFonts w:hint="eastAsia" w:ascii="宋体" w:hAnsi="宋体" w:eastAsia="宋体"/>
          <w:b/>
          <w:color w:val="auto"/>
          <w:sz w:val="35"/>
          <w:szCs w:val="35"/>
          <w:highlight w:val="none"/>
        </w:rPr>
        <w:t>ZHDGZC2025054</w:t>
      </w:r>
    </w:p>
    <w:p w14:paraId="6CB17377">
      <w:pPr>
        <w:pStyle w:val="74"/>
        <w:spacing w:line="640" w:lineRule="exact"/>
        <w:ind w:firstLine="826" w:firstLineChars="235"/>
        <w:outlineLvl w:val="9"/>
        <w:rPr>
          <w:rFonts w:hint="default" w:ascii="宋体" w:hAnsi="宋体" w:eastAsia="宋体"/>
          <w:color w:val="auto"/>
          <w:sz w:val="35"/>
          <w:szCs w:val="35"/>
          <w:highlight w:val="none"/>
        </w:rPr>
      </w:pPr>
      <w:r>
        <w:rPr>
          <w:rFonts w:ascii="宋体" w:hAnsi="宋体" w:eastAsia="宋体"/>
          <w:b/>
          <w:color w:val="auto"/>
          <w:sz w:val="35"/>
          <w:szCs w:val="35"/>
          <w:highlight w:val="none"/>
        </w:rPr>
        <w:t>项目名称：</w:t>
      </w:r>
      <w:r>
        <w:rPr>
          <w:rFonts w:hint="eastAsia" w:ascii="宋体" w:hAnsi="宋体" w:eastAsia="宋体"/>
          <w:b/>
          <w:color w:val="auto"/>
          <w:sz w:val="35"/>
          <w:szCs w:val="35"/>
          <w:highlight w:val="none"/>
        </w:rPr>
        <w:t>蔡白村办公大楼保安服务采购项目</w:t>
      </w:r>
    </w:p>
    <w:p w14:paraId="6EA77B76">
      <w:pPr>
        <w:pStyle w:val="74"/>
        <w:spacing w:line="640" w:lineRule="exact"/>
        <w:ind w:firstLine="826" w:firstLineChars="235"/>
        <w:outlineLvl w:val="9"/>
        <w:rPr>
          <w:rFonts w:hint="default" w:ascii="宋体" w:hAnsi="宋体" w:eastAsia="宋体"/>
          <w:color w:val="auto"/>
          <w:sz w:val="35"/>
          <w:szCs w:val="35"/>
          <w:highlight w:val="none"/>
        </w:rPr>
      </w:pPr>
      <w:r>
        <w:rPr>
          <w:rFonts w:ascii="宋体" w:hAnsi="宋体" w:eastAsia="宋体"/>
          <w:b/>
          <w:color w:val="auto"/>
          <w:sz w:val="35"/>
          <w:szCs w:val="35"/>
          <w:highlight w:val="none"/>
        </w:rPr>
        <w:t>采</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购</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人：</w:t>
      </w:r>
      <w:r>
        <w:rPr>
          <w:rFonts w:hint="eastAsia" w:ascii="宋体" w:hAnsi="宋体" w:eastAsia="宋体"/>
          <w:b/>
          <w:color w:val="auto"/>
          <w:sz w:val="35"/>
          <w:szCs w:val="35"/>
          <w:highlight w:val="none"/>
        </w:rPr>
        <w:t>东莞市道滘镇蔡白股份经济联合社</w:t>
      </w:r>
    </w:p>
    <w:p w14:paraId="2A3858FA">
      <w:pPr>
        <w:pStyle w:val="74"/>
        <w:spacing w:line="640" w:lineRule="exact"/>
        <w:ind w:firstLine="826" w:firstLineChars="235"/>
        <w:outlineLvl w:val="9"/>
        <w:rPr>
          <w:rFonts w:hint="default" w:ascii="宋体" w:hAnsi="宋体" w:eastAsia="宋体"/>
          <w:b/>
          <w:color w:val="auto"/>
          <w:sz w:val="36"/>
          <w:szCs w:val="24"/>
          <w:highlight w:val="none"/>
          <w:lang w:eastAsia="zh-CN"/>
        </w:rPr>
      </w:pPr>
      <w:r>
        <w:rPr>
          <w:rFonts w:ascii="宋体" w:hAnsi="宋体" w:eastAsia="宋体"/>
          <w:b/>
          <w:color w:val="auto"/>
          <w:sz w:val="35"/>
          <w:szCs w:val="35"/>
          <w:highlight w:val="none"/>
        </w:rPr>
        <w:t>采购代理机构：广东智汇城市招标采购有限公司</w:t>
      </w:r>
    </w:p>
    <w:p w14:paraId="09F98784">
      <w:pPr>
        <w:jc w:val="center"/>
        <w:rPr>
          <w:rFonts w:asciiTheme="minorEastAsia" w:hAnsiTheme="minorEastAsia" w:eastAsiaTheme="minorEastAsia"/>
          <w:b/>
          <w:color w:val="auto"/>
          <w:spacing w:val="60"/>
          <w:sz w:val="28"/>
          <w:szCs w:val="28"/>
          <w:highlight w:val="none"/>
        </w:rPr>
      </w:pPr>
    </w:p>
    <w:sdt>
      <w:sdtPr>
        <w:rPr>
          <w:rFonts w:asciiTheme="minorEastAsia" w:hAnsiTheme="minorEastAsia" w:eastAsiaTheme="minorEastAsia" w:cstheme="minorBidi"/>
          <w:b w:val="0"/>
          <w:bCs w:val="0"/>
          <w:color w:val="auto"/>
          <w:kern w:val="2"/>
          <w:sz w:val="21"/>
          <w:szCs w:val="22"/>
          <w:highlight w:val="none"/>
          <w:lang w:val="zh-CN"/>
        </w:rPr>
        <w:id w:val="1573932282"/>
      </w:sdtPr>
      <w:sdtEndPr>
        <w:rPr>
          <w:rFonts w:asciiTheme="minorEastAsia" w:hAnsiTheme="minorEastAsia" w:eastAsiaTheme="minorEastAsia" w:cstheme="minorBidi"/>
          <w:b w:val="0"/>
          <w:bCs w:val="0"/>
          <w:color w:val="auto"/>
          <w:kern w:val="0"/>
          <w:sz w:val="22"/>
          <w:szCs w:val="22"/>
          <w:highlight w:val="none"/>
          <w:lang w:val="zh-CN"/>
        </w:rPr>
      </w:sdtEndPr>
      <w:sdtContent>
        <w:p w14:paraId="08619079">
          <w:pPr>
            <w:pStyle w:val="48"/>
            <w:keepNext w:val="0"/>
            <w:keepLines w:val="0"/>
            <w:pageBreakBefore/>
            <w:widowControl w:val="0"/>
            <w:spacing w:before="156" w:beforeLines="50" w:after="156" w:afterLines="50" w:line="360" w:lineRule="auto"/>
            <w:jc w:val="center"/>
            <w:rPr>
              <w:rFonts w:asciiTheme="minorEastAsia" w:hAnsiTheme="minorEastAsia" w:eastAsiaTheme="minorEastAsia"/>
              <w:color w:val="auto"/>
              <w:highlight w:val="none"/>
            </w:rPr>
          </w:pPr>
          <w:r>
            <w:rPr>
              <w:rFonts w:hint="eastAsia" w:asciiTheme="minorEastAsia" w:hAnsiTheme="minorEastAsia" w:eastAsiaTheme="minorEastAsia"/>
              <w:color w:val="auto"/>
              <w:sz w:val="32"/>
              <w:szCs w:val="32"/>
              <w:highlight w:val="none"/>
              <w:lang w:val="zh-CN"/>
            </w:rPr>
            <w:t>目 录</w:t>
          </w:r>
        </w:p>
        <w:p w14:paraId="675C3B27">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color w:val="auto"/>
              <w:spacing w:val="20"/>
              <w:sz w:val="24"/>
              <w:szCs w:val="24"/>
              <w:highlight w:val="none"/>
            </w:rPr>
          </w:pPr>
          <w:r>
            <w:rPr>
              <w:rStyle w:val="28"/>
              <w:rFonts w:ascii="宋体" w:hAnsi="宋体" w:eastAsia="宋体"/>
              <w:color w:val="auto"/>
              <w:spacing w:val="20"/>
              <w:sz w:val="24"/>
              <w:szCs w:val="24"/>
              <w:highlight w:val="none"/>
            </w:rPr>
            <w:fldChar w:fldCharType="begin"/>
          </w:r>
          <w:r>
            <w:rPr>
              <w:rStyle w:val="28"/>
              <w:rFonts w:ascii="宋体" w:hAnsi="宋体" w:eastAsia="宋体"/>
              <w:color w:val="auto"/>
              <w:spacing w:val="20"/>
              <w:sz w:val="24"/>
              <w:szCs w:val="24"/>
              <w:highlight w:val="none"/>
            </w:rPr>
            <w:instrText xml:space="preserve"> TOC \o "1-3" \h \z \u </w:instrText>
          </w:r>
          <w:r>
            <w:rPr>
              <w:rStyle w:val="28"/>
              <w:rFonts w:ascii="宋体" w:hAnsi="宋体" w:eastAsia="宋体"/>
              <w:color w:val="auto"/>
              <w:spacing w:val="20"/>
              <w:sz w:val="24"/>
              <w:szCs w:val="24"/>
              <w:highlight w:val="none"/>
            </w:rPr>
            <w:fldChar w:fldCharType="separate"/>
          </w:r>
          <w:r>
            <w:rPr>
              <w:color w:val="auto"/>
              <w:highlight w:val="none"/>
            </w:rPr>
            <w:fldChar w:fldCharType="begin"/>
          </w:r>
          <w:r>
            <w:rPr>
              <w:color w:val="auto"/>
              <w:highlight w:val="none"/>
            </w:rPr>
            <w:instrText xml:space="preserve"> HYPERLINK \l "_Toc170228128" </w:instrText>
          </w:r>
          <w:r>
            <w:rPr>
              <w:color w:val="auto"/>
              <w:highlight w:val="none"/>
            </w:rPr>
            <w:fldChar w:fldCharType="separate"/>
          </w:r>
          <w:r>
            <w:rPr>
              <w:rStyle w:val="28"/>
              <w:rFonts w:ascii="宋体" w:hAnsi="宋体" w:eastAsia="宋体"/>
              <w:color w:val="auto"/>
              <w:spacing w:val="20"/>
              <w:sz w:val="24"/>
              <w:szCs w:val="24"/>
              <w:highlight w:val="none"/>
            </w:rPr>
            <w:t>第一章 磋商邀请</w:t>
          </w:r>
          <w:r>
            <w:rPr>
              <w:rStyle w:val="28"/>
              <w:rFonts w:ascii="宋体" w:hAnsi="宋体" w:eastAsia="宋体"/>
              <w:color w:val="auto"/>
              <w:spacing w:val="20"/>
              <w:sz w:val="24"/>
              <w:szCs w:val="24"/>
              <w:highlight w:val="none"/>
            </w:rPr>
            <w:tab/>
          </w:r>
          <w:r>
            <w:rPr>
              <w:rStyle w:val="28"/>
              <w:rFonts w:ascii="宋体" w:hAnsi="宋体" w:eastAsia="宋体"/>
              <w:color w:val="auto"/>
              <w:spacing w:val="20"/>
              <w:sz w:val="24"/>
              <w:szCs w:val="24"/>
              <w:highlight w:val="none"/>
            </w:rPr>
            <w:fldChar w:fldCharType="begin"/>
          </w:r>
          <w:r>
            <w:rPr>
              <w:rStyle w:val="28"/>
              <w:rFonts w:ascii="宋体" w:hAnsi="宋体" w:eastAsia="宋体"/>
              <w:color w:val="auto"/>
              <w:spacing w:val="20"/>
              <w:sz w:val="24"/>
              <w:szCs w:val="24"/>
              <w:highlight w:val="none"/>
            </w:rPr>
            <w:instrText xml:space="preserve"> PAGEREF _Toc170228128 \h </w:instrText>
          </w:r>
          <w:r>
            <w:rPr>
              <w:rStyle w:val="28"/>
              <w:rFonts w:ascii="宋体" w:hAnsi="宋体" w:eastAsia="宋体"/>
              <w:color w:val="auto"/>
              <w:spacing w:val="20"/>
              <w:sz w:val="24"/>
              <w:szCs w:val="24"/>
              <w:highlight w:val="none"/>
            </w:rPr>
            <w:fldChar w:fldCharType="separate"/>
          </w:r>
          <w:r>
            <w:rPr>
              <w:rStyle w:val="28"/>
              <w:rFonts w:ascii="宋体" w:hAnsi="宋体" w:eastAsia="宋体"/>
              <w:color w:val="auto"/>
              <w:spacing w:val="20"/>
              <w:sz w:val="24"/>
              <w:szCs w:val="24"/>
              <w:highlight w:val="none"/>
            </w:rPr>
            <w:t>2</w:t>
          </w:r>
          <w:r>
            <w:rPr>
              <w:rStyle w:val="28"/>
              <w:rFonts w:ascii="宋体" w:hAnsi="宋体" w:eastAsia="宋体"/>
              <w:color w:val="auto"/>
              <w:spacing w:val="20"/>
              <w:sz w:val="24"/>
              <w:szCs w:val="24"/>
              <w:highlight w:val="none"/>
            </w:rPr>
            <w:fldChar w:fldCharType="end"/>
          </w:r>
          <w:r>
            <w:rPr>
              <w:rStyle w:val="28"/>
              <w:rFonts w:ascii="宋体" w:hAnsi="宋体" w:eastAsia="宋体"/>
              <w:color w:val="auto"/>
              <w:spacing w:val="20"/>
              <w:sz w:val="24"/>
              <w:szCs w:val="24"/>
              <w:highlight w:val="none"/>
            </w:rPr>
            <w:fldChar w:fldCharType="end"/>
          </w:r>
        </w:p>
        <w:p w14:paraId="58562E1E">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color w:val="auto"/>
              <w:spacing w:val="20"/>
              <w:sz w:val="24"/>
              <w:szCs w:val="24"/>
              <w:highlight w:val="none"/>
            </w:rPr>
          </w:pPr>
          <w:r>
            <w:rPr>
              <w:color w:val="auto"/>
              <w:highlight w:val="none"/>
            </w:rPr>
            <w:fldChar w:fldCharType="begin"/>
          </w:r>
          <w:r>
            <w:rPr>
              <w:color w:val="auto"/>
              <w:highlight w:val="none"/>
            </w:rPr>
            <w:instrText xml:space="preserve"> HYPERLINK \l "_Toc170228129" </w:instrText>
          </w:r>
          <w:r>
            <w:rPr>
              <w:color w:val="auto"/>
              <w:highlight w:val="none"/>
            </w:rPr>
            <w:fldChar w:fldCharType="separate"/>
          </w:r>
          <w:r>
            <w:rPr>
              <w:rStyle w:val="28"/>
              <w:rFonts w:ascii="宋体" w:hAnsi="宋体" w:eastAsia="宋体"/>
              <w:color w:val="auto"/>
              <w:spacing w:val="20"/>
              <w:sz w:val="24"/>
              <w:szCs w:val="24"/>
              <w:highlight w:val="none"/>
            </w:rPr>
            <w:t>第二章 采购需求</w:t>
          </w:r>
          <w:r>
            <w:rPr>
              <w:rStyle w:val="28"/>
              <w:rFonts w:ascii="宋体" w:hAnsi="宋体" w:eastAsia="宋体"/>
              <w:color w:val="auto"/>
              <w:spacing w:val="20"/>
              <w:sz w:val="24"/>
              <w:szCs w:val="24"/>
              <w:highlight w:val="none"/>
            </w:rPr>
            <w:tab/>
          </w:r>
          <w:r>
            <w:rPr>
              <w:rStyle w:val="28"/>
              <w:rFonts w:ascii="宋体" w:hAnsi="宋体" w:eastAsia="宋体"/>
              <w:color w:val="auto"/>
              <w:spacing w:val="20"/>
              <w:sz w:val="24"/>
              <w:szCs w:val="24"/>
              <w:highlight w:val="none"/>
            </w:rPr>
            <w:fldChar w:fldCharType="begin"/>
          </w:r>
          <w:r>
            <w:rPr>
              <w:rStyle w:val="28"/>
              <w:rFonts w:ascii="宋体" w:hAnsi="宋体" w:eastAsia="宋体"/>
              <w:color w:val="auto"/>
              <w:spacing w:val="20"/>
              <w:sz w:val="24"/>
              <w:szCs w:val="24"/>
              <w:highlight w:val="none"/>
            </w:rPr>
            <w:instrText xml:space="preserve"> PAGEREF _Toc170228129 \h </w:instrText>
          </w:r>
          <w:r>
            <w:rPr>
              <w:rStyle w:val="28"/>
              <w:rFonts w:ascii="宋体" w:hAnsi="宋体" w:eastAsia="宋体"/>
              <w:color w:val="auto"/>
              <w:spacing w:val="20"/>
              <w:sz w:val="24"/>
              <w:szCs w:val="24"/>
              <w:highlight w:val="none"/>
            </w:rPr>
            <w:fldChar w:fldCharType="separate"/>
          </w:r>
          <w:r>
            <w:rPr>
              <w:rStyle w:val="28"/>
              <w:rFonts w:ascii="宋体" w:hAnsi="宋体" w:eastAsia="宋体"/>
              <w:color w:val="auto"/>
              <w:spacing w:val="20"/>
              <w:sz w:val="24"/>
              <w:szCs w:val="24"/>
              <w:highlight w:val="none"/>
            </w:rPr>
            <w:t>6</w:t>
          </w:r>
          <w:r>
            <w:rPr>
              <w:rStyle w:val="28"/>
              <w:rFonts w:ascii="宋体" w:hAnsi="宋体" w:eastAsia="宋体"/>
              <w:color w:val="auto"/>
              <w:spacing w:val="20"/>
              <w:sz w:val="24"/>
              <w:szCs w:val="24"/>
              <w:highlight w:val="none"/>
            </w:rPr>
            <w:fldChar w:fldCharType="end"/>
          </w:r>
          <w:r>
            <w:rPr>
              <w:rStyle w:val="28"/>
              <w:rFonts w:ascii="宋体" w:hAnsi="宋体" w:eastAsia="宋体"/>
              <w:color w:val="auto"/>
              <w:spacing w:val="20"/>
              <w:sz w:val="24"/>
              <w:szCs w:val="24"/>
              <w:highlight w:val="none"/>
            </w:rPr>
            <w:fldChar w:fldCharType="end"/>
          </w:r>
        </w:p>
        <w:p w14:paraId="7D3424C3">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color w:val="auto"/>
              <w:spacing w:val="20"/>
              <w:sz w:val="24"/>
              <w:szCs w:val="24"/>
              <w:highlight w:val="none"/>
            </w:rPr>
          </w:pPr>
          <w:r>
            <w:rPr>
              <w:color w:val="auto"/>
              <w:highlight w:val="none"/>
            </w:rPr>
            <w:fldChar w:fldCharType="begin"/>
          </w:r>
          <w:r>
            <w:rPr>
              <w:color w:val="auto"/>
              <w:highlight w:val="none"/>
            </w:rPr>
            <w:instrText xml:space="preserve"> HYPERLINK \l "_Toc170228130" </w:instrText>
          </w:r>
          <w:r>
            <w:rPr>
              <w:color w:val="auto"/>
              <w:highlight w:val="none"/>
            </w:rPr>
            <w:fldChar w:fldCharType="separate"/>
          </w:r>
          <w:r>
            <w:rPr>
              <w:rStyle w:val="28"/>
              <w:rFonts w:ascii="宋体" w:hAnsi="宋体" w:eastAsia="宋体"/>
              <w:color w:val="auto"/>
              <w:spacing w:val="20"/>
              <w:sz w:val="24"/>
              <w:szCs w:val="24"/>
              <w:highlight w:val="none"/>
            </w:rPr>
            <w:t>第三章 磋商须知</w:t>
          </w:r>
          <w:r>
            <w:rPr>
              <w:rStyle w:val="28"/>
              <w:rFonts w:ascii="宋体" w:hAnsi="宋体" w:eastAsia="宋体"/>
              <w:color w:val="auto"/>
              <w:spacing w:val="20"/>
              <w:sz w:val="24"/>
              <w:szCs w:val="24"/>
              <w:highlight w:val="none"/>
            </w:rPr>
            <w:tab/>
          </w:r>
          <w:r>
            <w:rPr>
              <w:rStyle w:val="28"/>
              <w:rFonts w:ascii="宋体" w:hAnsi="宋体" w:eastAsia="宋体"/>
              <w:color w:val="auto"/>
              <w:spacing w:val="20"/>
              <w:sz w:val="24"/>
              <w:szCs w:val="24"/>
              <w:highlight w:val="none"/>
            </w:rPr>
            <w:fldChar w:fldCharType="begin"/>
          </w:r>
          <w:r>
            <w:rPr>
              <w:rStyle w:val="28"/>
              <w:rFonts w:ascii="宋体" w:hAnsi="宋体" w:eastAsia="宋体"/>
              <w:color w:val="auto"/>
              <w:spacing w:val="20"/>
              <w:sz w:val="24"/>
              <w:szCs w:val="24"/>
              <w:highlight w:val="none"/>
            </w:rPr>
            <w:instrText xml:space="preserve"> PAGEREF _Toc170228130 \h </w:instrText>
          </w:r>
          <w:r>
            <w:rPr>
              <w:rStyle w:val="28"/>
              <w:rFonts w:ascii="宋体" w:hAnsi="宋体" w:eastAsia="宋体"/>
              <w:color w:val="auto"/>
              <w:spacing w:val="20"/>
              <w:sz w:val="24"/>
              <w:szCs w:val="24"/>
              <w:highlight w:val="none"/>
            </w:rPr>
            <w:fldChar w:fldCharType="separate"/>
          </w:r>
          <w:r>
            <w:rPr>
              <w:rStyle w:val="28"/>
              <w:rFonts w:ascii="宋体" w:hAnsi="宋体" w:eastAsia="宋体"/>
              <w:color w:val="auto"/>
              <w:spacing w:val="20"/>
              <w:sz w:val="24"/>
              <w:szCs w:val="24"/>
              <w:highlight w:val="none"/>
            </w:rPr>
            <w:t>11</w:t>
          </w:r>
          <w:r>
            <w:rPr>
              <w:rStyle w:val="28"/>
              <w:rFonts w:ascii="宋体" w:hAnsi="宋体" w:eastAsia="宋体"/>
              <w:color w:val="auto"/>
              <w:spacing w:val="20"/>
              <w:sz w:val="24"/>
              <w:szCs w:val="24"/>
              <w:highlight w:val="none"/>
            </w:rPr>
            <w:fldChar w:fldCharType="end"/>
          </w:r>
          <w:r>
            <w:rPr>
              <w:rStyle w:val="28"/>
              <w:rFonts w:ascii="宋体" w:hAnsi="宋体" w:eastAsia="宋体"/>
              <w:color w:val="auto"/>
              <w:spacing w:val="20"/>
              <w:sz w:val="24"/>
              <w:szCs w:val="24"/>
              <w:highlight w:val="none"/>
            </w:rPr>
            <w:fldChar w:fldCharType="end"/>
          </w:r>
        </w:p>
        <w:p w14:paraId="5473544F">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color w:val="auto"/>
              <w:spacing w:val="20"/>
              <w:sz w:val="24"/>
              <w:szCs w:val="24"/>
              <w:highlight w:val="none"/>
            </w:rPr>
          </w:pPr>
          <w:r>
            <w:rPr>
              <w:color w:val="auto"/>
              <w:highlight w:val="none"/>
            </w:rPr>
            <w:fldChar w:fldCharType="begin"/>
          </w:r>
          <w:r>
            <w:rPr>
              <w:color w:val="auto"/>
              <w:highlight w:val="none"/>
            </w:rPr>
            <w:instrText xml:space="preserve"> HYPERLINK \l "_Toc170228131" </w:instrText>
          </w:r>
          <w:r>
            <w:rPr>
              <w:color w:val="auto"/>
              <w:highlight w:val="none"/>
            </w:rPr>
            <w:fldChar w:fldCharType="separate"/>
          </w:r>
          <w:r>
            <w:rPr>
              <w:rStyle w:val="28"/>
              <w:rFonts w:ascii="宋体" w:hAnsi="宋体" w:eastAsia="宋体"/>
              <w:color w:val="auto"/>
              <w:spacing w:val="20"/>
              <w:sz w:val="24"/>
              <w:szCs w:val="24"/>
              <w:highlight w:val="none"/>
            </w:rPr>
            <w:t>第四章 评审</w:t>
          </w:r>
          <w:r>
            <w:rPr>
              <w:rStyle w:val="28"/>
              <w:rFonts w:ascii="宋体" w:hAnsi="宋体" w:eastAsia="宋体"/>
              <w:color w:val="auto"/>
              <w:spacing w:val="20"/>
              <w:sz w:val="24"/>
              <w:szCs w:val="24"/>
              <w:highlight w:val="none"/>
            </w:rPr>
            <w:tab/>
          </w:r>
          <w:r>
            <w:rPr>
              <w:rStyle w:val="28"/>
              <w:rFonts w:ascii="宋体" w:hAnsi="宋体" w:eastAsia="宋体"/>
              <w:color w:val="auto"/>
              <w:spacing w:val="20"/>
              <w:sz w:val="24"/>
              <w:szCs w:val="24"/>
              <w:highlight w:val="none"/>
            </w:rPr>
            <w:fldChar w:fldCharType="begin"/>
          </w:r>
          <w:r>
            <w:rPr>
              <w:rStyle w:val="28"/>
              <w:rFonts w:ascii="宋体" w:hAnsi="宋体" w:eastAsia="宋体"/>
              <w:color w:val="auto"/>
              <w:spacing w:val="20"/>
              <w:sz w:val="24"/>
              <w:szCs w:val="24"/>
              <w:highlight w:val="none"/>
            </w:rPr>
            <w:instrText xml:space="preserve"> PAGEREF _Toc170228131 \h </w:instrText>
          </w:r>
          <w:r>
            <w:rPr>
              <w:rStyle w:val="28"/>
              <w:rFonts w:ascii="宋体" w:hAnsi="宋体" w:eastAsia="宋体"/>
              <w:color w:val="auto"/>
              <w:spacing w:val="20"/>
              <w:sz w:val="24"/>
              <w:szCs w:val="24"/>
              <w:highlight w:val="none"/>
            </w:rPr>
            <w:fldChar w:fldCharType="separate"/>
          </w:r>
          <w:r>
            <w:rPr>
              <w:rStyle w:val="28"/>
              <w:rFonts w:ascii="宋体" w:hAnsi="宋体" w:eastAsia="宋体"/>
              <w:color w:val="auto"/>
              <w:spacing w:val="20"/>
              <w:sz w:val="24"/>
              <w:szCs w:val="24"/>
              <w:highlight w:val="none"/>
            </w:rPr>
            <w:t>21</w:t>
          </w:r>
          <w:r>
            <w:rPr>
              <w:rStyle w:val="28"/>
              <w:rFonts w:ascii="宋体" w:hAnsi="宋体" w:eastAsia="宋体"/>
              <w:color w:val="auto"/>
              <w:spacing w:val="20"/>
              <w:sz w:val="24"/>
              <w:szCs w:val="24"/>
              <w:highlight w:val="none"/>
            </w:rPr>
            <w:fldChar w:fldCharType="end"/>
          </w:r>
          <w:r>
            <w:rPr>
              <w:rStyle w:val="28"/>
              <w:rFonts w:ascii="宋体" w:hAnsi="宋体" w:eastAsia="宋体"/>
              <w:color w:val="auto"/>
              <w:spacing w:val="20"/>
              <w:sz w:val="24"/>
              <w:szCs w:val="24"/>
              <w:highlight w:val="none"/>
            </w:rPr>
            <w:fldChar w:fldCharType="end"/>
          </w:r>
        </w:p>
        <w:p w14:paraId="6776441F">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color w:val="auto"/>
              <w:spacing w:val="20"/>
              <w:sz w:val="24"/>
              <w:szCs w:val="24"/>
              <w:highlight w:val="none"/>
            </w:rPr>
          </w:pPr>
          <w:r>
            <w:rPr>
              <w:color w:val="auto"/>
              <w:highlight w:val="none"/>
            </w:rPr>
            <w:fldChar w:fldCharType="begin"/>
          </w:r>
          <w:r>
            <w:rPr>
              <w:color w:val="auto"/>
              <w:highlight w:val="none"/>
            </w:rPr>
            <w:instrText xml:space="preserve"> HYPERLINK \l "_Toc170228132" </w:instrText>
          </w:r>
          <w:r>
            <w:rPr>
              <w:color w:val="auto"/>
              <w:highlight w:val="none"/>
            </w:rPr>
            <w:fldChar w:fldCharType="separate"/>
          </w:r>
          <w:r>
            <w:rPr>
              <w:rStyle w:val="28"/>
              <w:rFonts w:ascii="宋体" w:hAnsi="宋体" w:eastAsia="宋体"/>
              <w:color w:val="auto"/>
              <w:spacing w:val="20"/>
              <w:sz w:val="24"/>
              <w:szCs w:val="24"/>
              <w:highlight w:val="none"/>
            </w:rPr>
            <w:t>第五章 合同文本</w:t>
          </w:r>
          <w:r>
            <w:rPr>
              <w:rStyle w:val="28"/>
              <w:rFonts w:ascii="宋体" w:hAnsi="宋体" w:eastAsia="宋体"/>
              <w:color w:val="auto"/>
              <w:spacing w:val="20"/>
              <w:sz w:val="24"/>
              <w:szCs w:val="24"/>
              <w:highlight w:val="none"/>
            </w:rPr>
            <w:tab/>
          </w:r>
          <w:r>
            <w:rPr>
              <w:rStyle w:val="28"/>
              <w:rFonts w:ascii="宋体" w:hAnsi="宋体" w:eastAsia="宋体"/>
              <w:color w:val="auto"/>
              <w:spacing w:val="20"/>
              <w:sz w:val="24"/>
              <w:szCs w:val="24"/>
              <w:highlight w:val="none"/>
            </w:rPr>
            <w:fldChar w:fldCharType="begin"/>
          </w:r>
          <w:r>
            <w:rPr>
              <w:rStyle w:val="28"/>
              <w:rFonts w:ascii="宋体" w:hAnsi="宋体" w:eastAsia="宋体"/>
              <w:color w:val="auto"/>
              <w:spacing w:val="20"/>
              <w:sz w:val="24"/>
              <w:szCs w:val="24"/>
              <w:highlight w:val="none"/>
            </w:rPr>
            <w:instrText xml:space="preserve"> PAGEREF _Toc170228132 \h </w:instrText>
          </w:r>
          <w:r>
            <w:rPr>
              <w:rStyle w:val="28"/>
              <w:rFonts w:ascii="宋体" w:hAnsi="宋体" w:eastAsia="宋体"/>
              <w:color w:val="auto"/>
              <w:spacing w:val="20"/>
              <w:sz w:val="24"/>
              <w:szCs w:val="24"/>
              <w:highlight w:val="none"/>
            </w:rPr>
            <w:fldChar w:fldCharType="separate"/>
          </w:r>
          <w:r>
            <w:rPr>
              <w:rStyle w:val="28"/>
              <w:rFonts w:ascii="宋体" w:hAnsi="宋体" w:eastAsia="宋体"/>
              <w:color w:val="auto"/>
              <w:spacing w:val="20"/>
              <w:sz w:val="24"/>
              <w:szCs w:val="24"/>
              <w:highlight w:val="none"/>
            </w:rPr>
            <w:t>30</w:t>
          </w:r>
          <w:r>
            <w:rPr>
              <w:rStyle w:val="28"/>
              <w:rFonts w:ascii="宋体" w:hAnsi="宋体" w:eastAsia="宋体"/>
              <w:color w:val="auto"/>
              <w:spacing w:val="20"/>
              <w:sz w:val="24"/>
              <w:szCs w:val="24"/>
              <w:highlight w:val="none"/>
            </w:rPr>
            <w:fldChar w:fldCharType="end"/>
          </w:r>
          <w:r>
            <w:rPr>
              <w:rStyle w:val="28"/>
              <w:rFonts w:ascii="宋体" w:hAnsi="宋体" w:eastAsia="宋体"/>
              <w:color w:val="auto"/>
              <w:spacing w:val="20"/>
              <w:sz w:val="24"/>
              <w:szCs w:val="24"/>
              <w:highlight w:val="none"/>
            </w:rPr>
            <w:fldChar w:fldCharType="end"/>
          </w:r>
        </w:p>
        <w:p w14:paraId="3F2048E8">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color w:val="auto"/>
              <w:spacing w:val="20"/>
              <w:sz w:val="24"/>
              <w:szCs w:val="24"/>
              <w:highlight w:val="none"/>
            </w:rPr>
          </w:pPr>
          <w:r>
            <w:rPr>
              <w:color w:val="auto"/>
              <w:highlight w:val="none"/>
            </w:rPr>
            <w:fldChar w:fldCharType="begin"/>
          </w:r>
          <w:r>
            <w:rPr>
              <w:color w:val="auto"/>
              <w:highlight w:val="none"/>
            </w:rPr>
            <w:instrText xml:space="preserve"> HYPERLINK \l "_Toc170228133" </w:instrText>
          </w:r>
          <w:r>
            <w:rPr>
              <w:color w:val="auto"/>
              <w:highlight w:val="none"/>
            </w:rPr>
            <w:fldChar w:fldCharType="separate"/>
          </w:r>
          <w:r>
            <w:rPr>
              <w:rStyle w:val="28"/>
              <w:rFonts w:ascii="宋体" w:hAnsi="宋体" w:eastAsia="宋体"/>
              <w:color w:val="auto"/>
              <w:spacing w:val="20"/>
              <w:sz w:val="24"/>
              <w:szCs w:val="24"/>
              <w:highlight w:val="none"/>
            </w:rPr>
            <w:t>第六章 响应文件格式</w:t>
          </w:r>
          <w:r>
            <w:rPr>
              <w:rStyle w:val="28"/>
              <w:rFonts w:ascii="宋体" w:hAnsi="宋体" w:eastAsia="宋体"/>
              <w:color w:val="auto"/>
              <w:spacing w:val="20"/>
              <w:sz w:val="24"/>
              <w:szCs w:val="24"/>
              <w:highlight w:val="none"/>
            </w:rPr>
            <w:tab/>
          </w:r>
          <w:r>
            <w:rPr>
              <w:rStyle w:val="28"/>
              <w:rFonts w:ascii="宋体" w:hAnsi="宋体" w:eastAsia="宋体"/>
              <w:color w:val="auto"/>
              <w:spacing w:val="20"/>
              <w:sz w:val="24"/>
              <w:szCs w:val="24"/>
              <w:highlight w:val="none"/>
            </w:rPr>
            <w:fldChar w:fldCharType="begin"/>
          </w:r>
          <w:r>
            <w:rPr>
              <w:rStyle w:val="28"/>
              <w:rFonts w:ascii="宋体" w:hAnsi="宋体" w:eastAsia="宋体"/>
              <w:color w:val="auto"/>
              <w:spacing w:val="20"/>
              <w:sz w:val="24"/>
              <w:szCs w:val="24"/>
              <w:highlight w:val="none"/>
            </w:rPr>
            <w:instrText xml:space="preserve"> PAGEREF _Toc170228133 \h </w:instrText>
          </w:r>
          <w:r>
            <w:rPr>
              <w:rStyle w:val="28"/>
              <w:rFonts w:ascii="宋体" w:hAnsi="宋体" w:eastAsia="宋体"/>
              <w:color w:val="auto"/>
              <w:spacing w:val="20"/>
              <w:sz w:val="24"/>
              <w:szCs w:val="24"/>
              <w:highlight w:val="none"/>
            </w:rPr>
            <w:fldChar w:fldCharType="separate"/>
          </w:r>
          <w:r>
            <w:rPr>
              <w:rStyle w:val="28"/>
              <w:rFonts w:ascii="宋体" w:hAnsi="宋体" w:eastAsia="宋体"/>
              <w:color w:val="auto"/>
              <w:spacing w:val="20"/>
              <w:sz w:val="24"/>
              <w:szCs w:val="24"/>
              <w:highlight w:val="none"/>
            </w:rPr>
            <w:t>35</w:t>
          </w:r>
          <w:r>
            <w:rPr>
              <w:rStyle w:val="28"/>
              <w:rFonts w:ascii="宋体" w:hAnsi="宋体" w:eastAsia="宋体"/>
              <w:color w:val="auto"/>
              <w:spacing w:val="20"/>
              <w:sz w:val="24"/>
              <w:szCs w:val="24"/>
              <w:highlight w:val="none"/>
            </w:rPr>
            <w:fldChar w:fldCharType="end"/>
          </w:r>
          <w:r>
            <w:rPr>
              <w:rStyle w:val="28"/>
              <w:rFonts w:ascii="宋体" w:hAnsi="宋体" w:eastAsia="宋体"/>
              <w:color w:val="auto"/>
              <w:spacing w:val="20"/>
              <w:sz w:val="24"/>
              <w:szCs w:val="24"/>
              <w:highlight w:val="none"/>
            </w:rPr>
            <w:fldChar w:fldCharType="end"/>
          </w:r>
        </w:p>
        <w:p w14:paraId="43968C3E">
          <w:pPr>
            <w:pStyle w:val="15"/>
            <w:tabs>
              <w:tab w:val="right" w:leader="dot" w:pos="9070"/>
              <w:tab w:val="clear" w:pos="8273"/>
            </w:tabs>
            <w:rPr>
              <w:color w:val="auto"/>
              <w:highlight w:val="none"/>
            </w:rPr>
          </w:pPr>
          <w:r>
            <w:rPr>
              <w:rStyle w:val="28"/>
              <w:rFonts w:ascii="宋体" w:hAnsi="宋体" w:eastAsia="宋体"/>
              <w:color w:val="auto"/>
              <w:spacing w:val="20"/>
              <w:sz w:val="24"/>
              <w:szCs w:val="24"/>
              <w:highlight w:val="none"/>
            </w:rPr>
            <w:fldChar w:fldCharType="end"/>
          </w:r>
        </w:p>
      </w:sdtContent>
    </w:sdt>
    <w:p w14:paraId="636ADDE6">
      <w:pPr>
        <w:tabs>
          <w:tab w:val="left" w:pos="6433"/>
        </w:tabs>
        <w:rPr>
          <w:rFonts w:asciiTheme="minorEastAsia" w:hAnsiTheme="minorEastAsia" w:eastAsiaTheme="minorEastAsia"/>
          <w:color w:val="auto"/>
          <w:highlight w:val="none"/>
          <w:lang w:val="zh-CN"/>
        </w:rPr>
      </w:pPr>
      <w:r>
        <w:rPr>
          <w:rFonts w:asciiTheme="minorEastAsia" w:hAnsiTheme="minorEastAsia" w:eastAsiaTheme="minorEastAsia"/>
          <w:color w:val="auto"/>
          <w:highlight w:val="none"/>
          <w:lang w:val="zh-CN"/>
        </w:rPr>
        <w:tab/>
      </w:r>
      <w:bookmarkStart w:id="69" w:name="_GoBack"/>
      <w:bookmarkEnd w:id="69"/>
    </w:p>
    <w:p w14:paraId="6FAB5EA8">
      <w:pPr>
        <w:pStyle w:val="2"/>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bookmarkStart w:id="0" w:name="_Toc170228128"/>
      <w:bookmarkStart w:id="1" w:name="_Toc516661492"/>
      <w:bookmarkStart w:id="2" w:name="_Toc405313952"/>
      <w:bookmarkStart w:id="3" w:name="_Toc503257147"/>
      <w:r>
        <w:rPr>
          <w:rFonts w:hint="eastAsia" w:asciiTheme="minorEastAsia" w:hAnsiTheme="minorEastAsia" w:eastAsiaTheme="minorEastAsia"/>
          <w:color w:val="auto"/>
          <w:spacing w:val="20"/>
          <w:sz w:val="32"/>
          <w:szCs w:val="32"/>
          <w:highlight w:val="none"/>
        </w:rPr>
        <w:t>第一章 磋商邀请</w:t>
      </w:r>
      <w:bookmarkEnd w:id="0"/>
      <w:bookmarkEnd w:id="1"/>
    </w:p>
    <w:p w14:paraId="1C5B5735">
      <w:pPr>
        <w:widowControl/>
        <w:spacing w:before="156" w:beforeLines="50" w:after="156" w:afterLines="50" w:line="360" w:lineRule="atLeast"/>
        <w:jc w:val="left"/>
        <w:rPr>
          <w:rFonts w:cs="宋体" w:asciiTheme="minorEastAsia" w:hAnsiTheme="minorEastAsia" w:eastAsiaTheme="minorEastAsia"/>
          <w:b/>
          <w:color w:val="auto"/>
          <w:kern w:val="0"/>
          <w:sz w:val="24"/>
          <w:szCs w:val="24"/>
          <w:highlight w:val="none"/>
        </w:rPr>
      </w:pPr>
      <w:r>
        <w:rPr>
          <w:rFonts w:hint="eastAsia" w:cs="宋体" w:asciiTheme="minorEastAsia" w:hAnsiTheme="minorEastAsia" w:eastAsiaTheme="minorEastAsia"/>
          <w:b/>
          <w:color w:val="auto"/>
          <w:kern w:val="0"/>
          <w:sz w:val="24"/>
          <w:szCs w:val="24"/>
          <w:highlight w:val="none"/>
        </w:rPr>
        <w:t>项目概况</w:t>
      </w:r>
    </w:p>
    <w:p w14:paraId="772D4F9D">
      <w:pPr>
        <w:spacing w:line="360" w:lineRule="auto"/>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u w:val="single"/>
        </w:rPr>
        <w:t>蔡白村办公大楼保安服务采购项目</w:t>
      </w:r>
      <w:r>
        <w:rPr>
          <w:rFonts w:hint="eastAsia" w:asciiTheme="minorEastAsia" w:hAnsiTheme="minorEastAsia" w:eastAsiaTheme="minorEastAsia"/>
          <w:color w:val="auto"/>
          <w:szCs w:val="21"/>
          <w:highlight w:val="none"/>
        </w:rPr>
        <w:t>的潜在供应商应在东莞市南城街道雅园产业园区路5号1栋1楼或微信搜索公众号“广东智汇城市招标采购有限公司”获取采购文件，并于</w:t>
      </w:r>
      <w:r>
        <w:rPr>
          <w:rFonts w:hint="eastAsia" w:asciiTheme="minorEastAsia" w:hAnsiTheme="minorEastAsia" w:eastAsiaTheme="minorEastAsia"/>
          <w:color w:val="auto"/>
          <w:szCs w:val="21"/>
          <w:highlight w:val="none"/>
          <w:u w:val="single"/>
          <w:lang w:val="en-US" w:eastAsia="zh-CN"/>
        </w:rPr>
        <w:t>2025</w:t>
      </w:r>
      <w:r>
        <w:rPr>
          <w:rFonts w:hint="eastAsia" w:asciiTheme="minorEastAsia" w:hAnsiTheme="minorEastAsia" w:eastAsiaTheme="minorEastAsia"/>
          <w:color w:val="auto"/>
          <w:szCs w:val="21"/>
          <w:highlight w:val="none"/>
        </w:rPr>
        <w:t>年</w:t>
      </w:r>
      <w:r>
        <w:rPr>
          <w:rFonts w:hint="eastAsia" w:asciiTheme="minorEastAsia" w:hAnsiTheme="minorEastAsia" w:eastAsiaTheme="minorEastAsia"/>
          <w:color w:val="auto"/>
          <w:szCs w:val="21"/>
          <w:highlight w:val="none"/>
          <w:u w:val="single"/>
          <w:lang w:val="en-US" w:eastAsia="zh-CN"/>
        </w:rPr>
        <w:t>09</w:t>
      </w:r>
      <w:r>
        <w:rPr>
          <w:rFonts w:hint="eastAsia" w:asciiTheme="minorEastAsia" w:hAnsiTheme="minorEastAsia" w:eastAsiaTheme="minorEastAsia"/>
          <w:color w:val="auto"/>
          <w:szCs w:val="21"/>
          <w:highlight w:val="none"/>
        </w:rPr>
        <w:t>月</w:t>
      </w:r>
      <w:r>
        <w:rPr>
          <w:rFonts w:hint="eastAsia" w:asciiTheme="minorEastAsia" w:hAnsiTheme="minorEastAsia" w:eastAsiaTheme="minorEastAsia"/>
          <w:color w:val="auto"/>
          <w:szCs w:val="21"/>
          <w:highlight w:val="none"/>
          <w:u w:val="single"/>
          <w:lang w:val="en-US" w:eastAsia="zh-CN"/>
        </w:rPr>
        <w:t>22</w:t>
      </w:r>
      <w:r>
        <w:rPr>
          <w:rFonts w:hint="eastAsia" w:asciiTheme="minorEastAsia" w:hAnsiTheme="minorEastAsia" w:eastAsiaTheme="minorEastAsia"/>
          <w:color w:val="auto"/>
          <w:szCs w:val="21"/>
          <w:highlight w:val="none"/>
        </w:rPr>
        <w:t>日</w:t>
      </w:r>
      <w:r>
        <w:rPr>
          <w:rFonts w:hint="eastAsia" w:asciiTheme="minorEastAsia" w:hAnsiTheme="minorEastAsia" w:eastAsiaTheme="minorEastAsia"/>
          <w:color w:val="auto"/>
          <w:szCs w:val="21"/>
          <w:highlight w:val="none"/>
          <w:u w:val="single"/>
          <w:lang w:val="en-US" w:eastAsia="zh-CN"/>
        </w:rPr>
        <w:t>10</w:t>
      </w:r>
      <w:r>
        <w:rPr>
          <w:rFonts w:hint="eastAsia" w:asciiTheme="minorEastAsia" w:hAnsiTheme="minorEastAsia" w:eastAsiaTheme="minorEastAsia"/>
          <w:color w:val="auto"/>
          <w:szCs w:val="21"/>
          <w:highlight w:val="none"/>
        </w:rPr>
        <w:t>点</w:t>
      </w:r>
      <w:r>
        <w:rPr>
          <w:rFonts w:hint="eastAsia" w:asciiTheme="minorEastAsia" w:hAnsiTheme="minorEastAsia" w:eastAsiaTheme="minorEastAsia"/>
          <w:color w:val="auto"/>
          <w:szCs w:val="21"/>
          <w:highlight w:val="none"/>
          <w:u w:val="single"/>
          <w:lang w:val="en-US" w:eastAsia="zh-CN"/>
        </w:rPr>
        <w:t>00</w:t>
      </w:r>
      <w:r>
        <w:rPr>
          <w:rFonts w:hint="eastAsia" w:asciiTheme="minorEastAsia" w:hAnsiTheme="minorEastAsia" w:eastAsiaTheme="minorEastAsia"/>
          <w:color w:val="auto"/>
          <w:szCs w:val="21"/>
          <w:highlight w:val="none"/>
        </w:rPr>
        <w:t>分（北京时间）前递交响应文件。</w:t>
      </w:r>
    </w:p>
    <w:p w14:paraId="20541F31">
      <w:pPr>
        <w:pStyle w:val="70"/>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auto"/>
          <w:szCs w:val="21"/>
          <w:highlight w:val="none"/>
        </w:rPr>
      </w:pPr>
      <w:r>
        <w:rPr>
          <w:rFonts w:hint="eastAsia" w:asciiTheme="minorEastAsia" w:hAnsiTheme="minorEastAsia" w:eastAsiaTheme="minorEastAsia"/>
          <w:b/>
          <w:color w:val="auto"/>
          <w:szCs w:val="21"/>
          <w:highlight w:val="none"/>
        </w:rPr>
        <w:t>项目基本情况：</w:t>
      </w:r>
    </w:p>
    <w:p w14:paraId="563D56AB">
      <w:pPr>
        <w:tabs>
          <w:tab w:val="left" w:pos="426"/>
        </w:tabs>
        <w:spacing w:line="360" w:lineRule="auto"/>
        <w:ind w:left="420" w:hanging="420" w:hangingChars="200"/>
        <w:rPr>
          <w:rFonts w:asciiTheme="minorEastAsia" w:hAnsiTheme="minorEastAsia" w:eastAsiaTheme="minorEastAsia"/>
          <w:color w:val="auto"/>
          <w:szCs w:val="21"/>
          <w:highlight w:val="none"/>
          <w:u w:val="single"/>
        </w:rPr>
      </w:pPr>
      <w:r>
        <w:rPr>
          <w:rFonts w:hint="eastAsia" w:asciiTheme="minorEastAsia" w:hAnsiTheme="minorEastAsia" w:eastAsiaTheme="minorEastAsia"/>
          <w:color w:val="auto"/>
          <w:szCs w:val="21"/>
          <w:highlight w:val="none"/>
        </w:rPr>
        <w:t>项目编号：ZHDGZC2025054</w:t>
      </w:r>
    </w:p>
    <w:p w14:paraId="0A32BCFC">
      <w:pPr>
        <w:tabs>
          <w:tab w:val="left" w:pos="426"/>
        </w:tabs>
        <w:spacing w:line="360" w:lineRule="auto"/>
        <w:ind w:left="420" w:hanging="420" w:hanging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项目名称：蔡白村办公大楼保安服务采购项目</w:t>
      </w:r>
    </w:p>
    <w:p w14:paraId="5788C160">
      <w:pPr>
        <w:tabs>
          <w:tab w:val="left" w:pos="426"/>
        </w:tabs>
        <w:spacing w:line="360" w:lineRule="auto"/>
        <w:ind w:left="420" w:hanging="420" w:hanging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采购方式：竞争性磋商</w:t>
      </w:r>
    </w:p>
    <w:p w14:paraId="346F51B3">
      <w:pPr>
        <w:tabs>
          <w:tab w:val="left" w:pos="426"/>
        </w:tabs>
        <w:spacing w:line="360" w:lineRule="auto"/>
        <w:ind w:left="420" w:hanging="420" w:hanging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预算金额：</w:t>
      </w:r>
      <w:r>
        <w:rPr>
          <w:rFonts w:hint="eastAsia" w:asciiTheme="minorEastAsia" w:hAnsiTheme="minorEastAsia" w:eastAsiaTheme="minorEastAsia"/>
          <w:color w:val="auto"/>
          <w:szCs w:val="21"/>
          <w:highlight w:val="none"/>
          <w:lang w:val="en-US" w:eastAsia="zh-CN"/>
        </w:rPr>
        <w:t>56</w:t>
      </w:r>
      <w:r>
        <w:rPr>
          <w:rFonts w:hint="eastAsia" w:asciiTheme="minorEastAsia" w:hAnsiTheme="minorEastAsia" w:eastAsiaTheme="minorEastAsia"/>
          <w:color w:val="auto"/>
          <w:szCs w:val="21"/>
          <w:highlight w:val="none"/>
        </w:rPr>
        <w:t>7,200.00元</w:t>
      </w:r>
    </w:p>
    <w:p w14:paraId="7F606E7A">
      <w:pPr>
        <w:tabs>
          <w:tab w:val="left" w:pos="284"/>
        </w:tabs>
        <w:spacing w:line="360" w:lineRule="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标的内容：</w:t>
      </w:r>
    </w:p>
    <w:tbl>
      <w:tblPr>
        <w:tblStyle w:val="22"/>
        <w:tblW w:w="4996"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3000"/>
        <w:gridCol w:w="2084"/>
        <w:gridCol w:w="851"/>
        <w:gridCol w:w="765"/>
        <w:gridCol w:w="1874"/>
      </w:tblGrid>
      <w:tr w14:paraId="2065386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80" w:type="pct"/>
            <w:vAlign w:val="center"/>
          </w:tcPr>
          <w:p w14:paraId="264A58CD">
            <w:pPr>
              <w:jc w:val="center"/>
              <w:rPr>
                <w:rFonts w:asciiTheme="minorEastAsia" w:hAnsiTheme="minorEastAsia" w:eastAsiaTheme="minorEastAsia"/>
                <w:b/>
                <w:bCs w:val="0"/>
                <w:color w:val="auto"/>
                <w:szCs w:val="21"/>
                <w:highlight w:val="none"/>
              </w:rPr>
            </w:pPr>
            <w:r>
              <w:rPr>
                <w:rFonts w:hint="eastAsia" w:asciiTheme="minorEastAsia" w:hAnsiTheme="minorEastAsia" w:eastAsiaTheme="minorEastAsia"/>
                <w:b/>
                <w:bCs w:val="0"/>
                <w:color w:val="auto"/>
                <w:szCs w:val="21"/>
                <w:highlight w:val="none"/>
              </w:rPr>
              <w:t>序号</w:t>
            </w:r>
          </w:p>
        </w:tc>
        <w:tc>
          <w:tcPr>
            <w:tcW w:w="1616" w:type="pct"/>
            <w:vAlign w:val="center"/>
          </w:tcPr>
          <w:p w14:paraId="0D3D7A5B">
            <w:pPr>
              <w:jc w:val="center"/>
              <w:rPr>
                <w:rFonts w:asciiTheme="minorEastAsia" w:hAnsiTheme="minorEastAsia" w:eastAsiaTheme="minorEastAsia"/>
                <w:b/>
                <w:bCs w:val="0"/>
                <w:color w:val="auto"/>
                <w:szCs w:val="21"/>
                <w:highlight w:val="none"/>
              </w:rPr>
            </w:pPr>
            <w:r>
              <w:rPr>
                <w:rFonts w:asciiTheme="minorEastAsia" w:hAnsiTheme="minorEastAsia" w:eastAsiaTheme="minorEastAsia"/>
                <w:b/>
                <w:bCs w:val="0"/>
                <w:color w:val="auto"/>
                <w:szCs w:val="21"/>
                <w:highlight w:val="none"/>
              </w:rPr>
              <w:t>标的名称</w:t>
            </w:r>
          </w:p>
        </w:tc>
        <w:tc>
          <w:tcPr>
            <w:tcW w:w="1122" w:type="pct"/>
            <w:vAlign w:val="center"/>
          </w:tcPr>
          <w:p w14:paraId="0A8BAC49">
            <w:pPr>
              <w:jc w:val="center"/>
              <w:rPr>
                <w:rFonts w:asciiTheme="minorEastAsia" w:hAnsiTheme="minorEastAsia" w:eastAsiaTheme="minorEastAsia"/>
                <w:b/>
                <w:bCs w:val="0"/>
                <w:color w:val="auto"/>
                <w:szCs w:val="21"/>
                <w:highlight w:val="none"/>
              </w:rPr>
            </w:pPr>
            <w:r>
              <w:rPr>
                <w:rFonts w:asciiTheme="minorEastAsia" w:hAnsiTheme="minorEastAsia" w:eastAsiaTheme="minorEastAsia"/>
                <w:b/>
                <w:bCs w:val="0"/>
                <w:color w:val="auto"/>
                <w:szCs w:val="21"/>
                <w:highlight w:val="none"/>
              </w:rPr>
              <w:t>预算金额（元）</w:t>
            </w:r>
          </w:p>
        </w:tc>
        <w:tc>
          <w:tcPr>
            <w:tcW w:w="458" w:type="pct"/>
            <w:vAlign w:val="center"/>
          </w:tcPr>
          <w:p w14:paraId="2B5D1AFA">
            <w:pPr>
              <w:jc w:val="center"/>
              <w:rPr>
                <w:rFonts w:asciiTheme="minorEastAsia" w:hAnsiTheme="minorEastAsia" w:eastAsiaTheme="minorEastAsia"/>
                <w:b/>
                <w:bCs w:val="0"/>
                <w:color w:val="auto"/>
                <w:szCs w:val="21"/>
                <w:highlight w:val="none"/>
              </w:rPr>
            </w:pPr>
            <w:r>
              <w:rPr>
                <w:rFonts w:asciiTheme="minorEastAsia" w:hAnsiTheme="minorEastAsia" w:eastAsiaTheme="minorEastAsia"/>
                <w:b/>
                <w:bCs w:val="0"/>
                <w:color w:val="auto"/>
                <w:szCs w:val="21"/>
                <w:highlight w:val="none"/>
              </w:rPr>
              <w:t>数量</w:t>
            </w:r>
          </w:p>
        </w:tc>
        <w:tc>
          <w:tcPr>
            <w:tcW w:w="412" w:type="pct"/>
            <w:vAlign w:val="center"/>
          </w:tcPr>
          <w:p w14:paraId="44B8A416">
            <w:pPr>
              <w:jc w:val="center"/>
              <w:rPr>
                <w:rFonts w:hint="eastAsia" w:asciiTheme="minorEastAsia" w:hAnsiTheme="minorEastAsia" w:eastAsiaTheme="minorEastAsia"/>
                <w:b/>
                <w:bCs w:val="0"/>
                <w:color w:val="auto"/>
                <w:szCs w:val="21"/>
                <w:highlight w:val="none"/>
                <w:lang w:val="en-US" w:eastAsia="zh-CN"/>
              </w:rPr>
            </w:pPr>
            <w:r>
              <w:rPr>
                <w:rFonts w:hint="eastAsia" w:asciiTheme="minorEastAsia" w:hAnsiTheme="minorEastAsia" w:eastAsiaTheme="minorEastAsia"/>
                <w:b/>
                <w:bCs w:val="0"/>
                <w:color w:val="auto"/>
                <w:szCs w:val="21"/>
                <w:highlight w:val="none"/>
                <w:lang w:val="en-US" w:eastAsia="zh-CN"/>
              </w:rPr>
              <w:t>单位</w:t>
            </w:r>
          </w:p>
        </w:tc>
        <w:tc>
          <w:tcPr>
            <w:tcW w:w="1009" w:type="pct"/>
            <w:vAlign w:val="center"/>
          </w:tcPr>
          <w:p w14:paraId="2DE0B3FA">
            <w:pPr>
              <w:jc w:val="center"/>
              <w:rPr>
                <w:rFonts w:asciiTheme="minorEastAsia" w:hAnsiTheme="minorEastAsia" w:eastAsiaTheme="minorEastAsia"/>
                <w:b/>
                <w:bCs w:val="0"/>
                <w:color w:val="auto"/>
                <w:szCs w:val="21"/>
                <w:highlight w:val="none"/>
              </w:rPr>
            </w:pPr>
            <w:r>
              <w:rPr>
                <w:rFonts w:asciiTheme="minorEastAsia" w:hAnsiTheme="minorEastAsia" w:eastAsiaTheme="minorEastAsia"/>
                <w:b/>
                <w:bCs w:val="0"/>
                <w:color w:val="auto"/>
                <w:szCs w:val="21"/>
                <w:highlight w:val="none"/>
              </w:rPr>
              <w:t>简要技术需求或服务要求</w:t>
            </w:r>
          </w:p>
        </w:tc>
      </w:tr>
      <w:tr w14:paraId="66F7A71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380" w:type="pct"/>
            <w:vAlign w:val="center"/>
          </w:tcPr>
          <w:p w14:paraId="663215FE">
            <w:pPr>
              <w:jc w:val="center"/>
              <w:rPr>
                <w:rFonts w:asciiTheme="minorEastAsia" w:hAnsiTheme="minorEastAsia" w:eastAsiaTheme="minorEastAsia"/>
                <w:bCs/>
                <w:color w:val="auto"/>
                <w:szCs w:val="21"/>
                <w:highlight w:val="none"/>
              </w:rPr>
            </w:pPr>
            <w:r>
              <w:rPr>
                <w:rFonts w:asciiTheme="minorEastAsia" w:hAnsiTheme="minorEastAsia" w:eastAsiaTheme="minorEastAsia"/>
                <w:b/>
                <w:bCs w:val="0"/>
                <w:color w:val="auto"/>
                <w:szCs w:val="21"/>
                <w:highlight w:val="none"/>
              </w:rPr>
              <w:t>1</w:t>
            </w:r>
          </w:p>
        </w:tc>
        <w:tc>
          <w:tcPr>
            <w:tcW w:w="1616" w:type="pct"/>
            <w:vAlign w:val="center"/>
          </w:tcPr>
          <w:p w14:paraId="2A82A929">
            <w:pPr>
              <w:jc w:val="center"/>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lang w:val="en-US" w:eastAsia="zh-CN"/>
              </w:rPr>
              <w:t>办公</w:t>
            </w:r>
            <w:r>
              <w:rPr>
                <w:rFonts w:hint="eastAsia" w:asciiTheme="minorEastAsia" w:hAnsiTheme="minorEastAsia" w:eastAsiaTheme="minorEastAsia"/>
                <w:bCs/>
                <w:color w:val="auto"/>
                <w:szCs w:val="21"/>
                <w:highlight w:val="none"/>
              </w:rPr>
              <w:t>大楼保安服务</w:t>
            </w:r>
          </w:p>
        </w:tc>
        <w:tc>
          <w:tcPr>
            <w:tcW w:w="1122" w:type="pct"/>
            <w:vAlign w:val="center"/>
          </w:tcPr>
          <w:p w14:paraId="71A05558">
            <w:pPr>
              <w:jc w:val="center"/>
              <w:rPr>
                <w:rFonts w:asciiTheme="minorEastAsia" w:hAnsiTheme="minorEastAsia" w:eastAsiaTheme="minorEastAsia"/>
                <w:bCs/>
                <w:color w:val="auto"/>
                <w:szCs w:val="21"/>
                <w:highlight w:val="none"/>
              </w:rPr>
            </w:pPr>
            <w:r>
              <w:rPr>
                <w:rFonts w:hint="eastAsia" w:asciiTheme="minorEastAsia" w:hAnsiTheme="minorEastAsia" w:eastAsiaTheme="minorEastAsia"/>
                <w:color w:val="auto"/>
                <w:szCs w:val="21"/>
                <w:highlight w:val="none"/>
                <w:lang w:val="en-US" w:eastAsia="zh-CN"/>
              </w:rPr>
              <w:t>56</w:t>
            </w:r>
            <w:r>
              <w:rPr>
                <w:rFonts w:hint="eastAsia" w:asciiTheme="minorEastAsia" w:hAnsiTheme="minorEastAsia" w:eastAsiaTheme="minorEastAsia"/>
                <w:color w:val="auto"/>
                <w:szCs w:val="21"/>
                <w:highlight w:val="none"/>
              </w:rPr>
              <w:t>7,200.00</w:t>
            </w:r>
          </w:p>
        </w:tc>
        <w:tc>
          <w:tcPr>
            <w:tcW w:w="458" w:type="pct"/>
            <w:vAlign w:val="center"/>
          </w:tcPr>
          <w:p w14:paraId="2EF70DCD">
            <w:pPr>
              <w:jc w:val="center"/>
              <w:rPr>
                <w:rFonts w:hint="eastAsia" w:asciiTheme="minorEastAsia" w:hAnsiTheme="minorEastAsia" w:eastAsiaTheme="minorEastAsia"/>
                <w:bCs/>
                <w:color w:val="auto"/>
                <w:szCs w:val="21"/>
                <w:highlight w:val="none"/>
                <w:lang w:val="en-US" w:eastAsia="zh-CN"/>
              </w:rPr>
            </w:pPr>
            <w:r>
              <w:rPr>
                <w:rFonts w:hint="eastAsia" w:asciiTheme="minorEastAsia" w:hAnsiTheme="minorEastAsia" w:eastAsiaTheme="minorEastAsia"/>
                <w:bCs/>
                <w:color w:val="auto"/>
                <w:szCs w:val="21"/>
                <w:highlight w:val="none"/>
                <w:lang w:val="en-US" w:eastAsia="zh-CN"/>
              </w:rPr>
              <w:t>1</w:t>
            </w:r>
          </w:p>
        </w:tc>
        <w:tc>
          <w:tcPr>
            <w:tcW w:w="412" w:type="pct"/>
            <w:vAlign w:val="center"/>
          </w:tcPr>
          <w:p w14:paraId="17B4C39C">
            <w:pPr>
              <w:jc w:val="center"/>
              <w:rPr>
                <w:rFonts w:hint="eastAsia" w:asciiTheme="minorEastAsia" w:hAnsiTheme="minorEastAsia" w:eastAsiaTheme="minorEastAsia"/>
                <w:bCs/>
                <w:color w:val="auto"/>
                <w:szCs w:val="21"/>
                <w:highlight w:val="none"/>
                <w:lang w:val="en-US" w:eastAsia="zh-CN"/>
              </w:rPr>
            </w:pPr>
            <w:r>
              <w:rPr>
                <w:rFonts w:hint="eastAsia" w:asciiTheme="minorEastAsia" w:hAnsiTheme="minorEastAsia" w:eastAsiaTheme="minorEastAsia"/>
                <w:bCs/>
                <w:color w:val="auto"/>
                <w:szCs w:val="21"/>
                <w:highlight w:val="none"/>
                <w:lang w:val="en-US" w:eastAsia="zh-CN"/>
              </w:rPr>
              <w:t>项</w:t>
            </w:r>
          </w:p>
        </w:tc>
        <w:tc>
          <w:tcPr>
            <w:tcW w:w="1009" w:type="pct"/>
            <w:vAlign w:val="center"/>
          </w:tcPr>
          <w:p w14:paraId="56D93CA0">
            <w:pPr>
              <w:jc w:val="center"/>
              <w:rPr>
                <w:rFonts w:asciiTheme="minorEastAsia" w:hAnsiTheme="minorEastAsia" w:eastAsiaTheme="minorEastAsia"/>
                <w:color w:val="auto"/>
                <w:kern w:val="0"/>
                <w:szCs w:val="21"/>
                <w:highlight w:val="none"/>
              </w:rPr>
            </w:pPr>
            <w:r>
              <w:rPr>
                <w:rFonts w:hint="eastAsia" w:asciiTheme="minorEastAsia" w:hAnsiTheme="minorEastAsia" w:eastAsiaTheme="minorEastAsia"/>
                <w:color w:val="auto"/>
                <w:kern w:val="0"/>
                <w:szCs w:val="21"/>
                <w:highlight w:val="none"/>
              </w:rPr>
              <w:t>详见采购需求</w:t>
            </w:r>
          </w:p>
        </w:tc>
      </w:tr>
    </w:tbl>
    <w:p w14:paraId="637D930B">
      <w:pPr>
        <w:tabs>
          <w:tab w:val="left" w:pos="284"/>
        </w:tabs>
        <w:spacing w:line="360" w:lineRule="auto"/>
        <w:rPr>
          <w:rFonts w:hint="eastAsia" w:asciiTheme="minorEastAsia" w:hAnsiTheme="minorEastAsia" w:eastAsiaTheme="minorEastAsia"/>
          <w:color w:val="auto"/>
          <w:szCs w:val="21"/>
          <w:highlight w:val="none"/>
          <w:lang w:eastAsia="zh-CN"/>
        </w:rPr>
      </w:pPr>
      <w:r>
        <w:rPr>
          <w:rFonts w:hint="eastAsia" w:asciiTheme="minorEastAsia" w:hAnsiTheme="minorEastAsia" w:eastAsiaTheme="minorEastAsia"/>
          <w:color w:val="auto"/>
          <w:szCs w:val="21"/>
          <w:highlight w:val="none"/>
        </w:rPr>
        <w:t>合同履行期限：自合同签订之日起</w:t>
      </w:r>
      <w:r>
        <w:rPr>
          <w:rFonts w:hint="eastAsia" w:asciiTheme="minorEastAsia" w:hAnsiTheme="minorEastAsia" w:eastAsiaTheme="minorEastAsia"/>
          <w:color w:val="auto"/>
          <w:szCs w:val="21"/>
          <w:highlight w:val="none"/>
          <w:lang w:val="en-US" w:eastAsia="zh-CN"/>
        </w:rPr>
        <w:t>2</w:t>
      </w:r>
      <w:r>
        <w:rPr>
          <w:rFonts w:hint="eastAsia" w:asciiTheme="minorEastAsia" w:hAnsiTheme="minorEastAsia" w:eastAsiaTheme="minorEastAsia"/>
          <w:color w:val="auto"/>
          <w:szCs w:val="21"/>
          <w:highlight w:val="none"/>
        </w:rPr>
        <w:t>年。</w:t>
      </w:r>
      <w:r>
        <w:rPr>
          <w:rFonts w:hint="eastAsia" w:asciiTheme="minorEastAsia" w:hAnsiTheme="minorEastAsia" w:eastAsiaTheme="minorEastAsia"/>
          <w:color w:val="auto"/>
          <w:szCs w:val="21"/>
          <w:highlight w:val="none"/>
          <w:lang w:eastAsia="zh-CN"/>
        </w:rPr>
        <w:t>（</w:t>
      </w:r>
      <w:r>
        <w:rPr>
          <w:rFonts w:hint="eastAsia" w:asciiTheme="minorEastAsia" w:hAnsiTheme="minorEastAsia" w:eastAsiaTheme="minorEastAsia"/>
          <w:color w:val="auto"/>
          <w:szCs w:val="21"/>
          <w:highlight w:val="none"/>
          <w:lang w:val="en-US" w:eastAsia="zh-CN"/>
        </w:rPr>
        <w:t>具体起止时间以合同签订内容为准</w:t>
      </w:r>
      <w:r>
        <w:rPr>
          <w:rFonts w:hint="eastAsia" w:asciiTheme="minorEastAsia" w:hAnsiTheme="minorEastAsia" w:eastAsiaTheme="minorEastAsia"/>
          <w:color w:val="auto"/>
          <w:szCs w:val="21"/>
          <w:highlight w:val="none"/>
          <w:lang w:eastAsia="zh-CN"/>
        </w:rPr>
        <w:t>）</w:t>
      </w:r>
    </w:p>
    <w:p w14:paraId="55232128">
      <w:pPr>
        <w:tabs>
          <w:tab w:val="left" w:pos="284"/>
        </w:tabs>
        <w:spacing w:line="360" w:lineRule="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本项目（</w:t>
      </w:r>
      <w:r>
        <w:rPr>
          <w:rFonts w:hint="eastAsia" w:asciiTheme="minorEastAsia" w:hAnsiTheme="minorEastAsia" w:eastAsiaTheme="minorEastAsia"/>
          <w:color w:val="auto"/>
          <w:szCs w:val="21"/>
          <w:highlight w:val="none"/>
          <w:lang w:val="en-US" w:eastAsia="zh-CN"/>
        </w:rPr>
        <w:t>不</w:t>
      </w:r>
      <w:r>
        <w:rPr>
          <w:rFonts w:hint="eastAsia" w:asciiTheme="minorEastAsia" w:hAnsiTheme="minorEastAsia" w:eastAsiaTheme="minorEastAsia"/>
          <w:color w:val="auto"/>
          <w:szCs w:val="21"/>
          <w:highlight w:val="none"/>
        </w:rPr>
        <w:t>）接受联合体</w:t>
      </w:r>
      <w:r>
        <w:rPr>
          <w:rFonts w:hint="eastAsia" w:asciiTheme="minorEastAsia" w:hAnsiTheme="minorEastAsia" w:eastAsiaTheme="minorEastAsia"/>
          <w:color w:val="auto"/>
          <w:szCs w:val="21"/>
          <w:highlight w:val="none"/>
          <w:lang w:val="en-US" w:eastAsia="zh-CN"/>
        </w:rPr>
        <w:t>响应</w:t>
      </w:r>
      <w:r>
        <w:rPr>
          <w:rFonts w:hint="eastAsia" w:asciiTheme="minorEastAsia" w:hAnsiTheme="minorEastAsia" w:eastAsiaTheme="minorEastAsia"/>
          <w:color w:val="auto"/>
          <w:szCs w:val="21"/>
          <w:highlight w:val="none"/>
        </w:rPr>
        <w:t>。</w:t>
      </w:r>
    </w:p>
    <w:p w14:paraId="3FBBEF12">
      <w:pPr>
        <w:pStyle w:val="70"/>
        <w:numPr>
          <w:ilvl w:val="0"/>
          <w:numId w:val="1"/>
        </w:numPr>
        <w:tabs>
          <w:tab w:val="left" w:pos="426"/>
        </w:tabs>
        <w:spacing w:line="360" w:lineRule="auto"/>
        <w:ind w:left="426" w:hanging="426" w:firstLineChars="0"/>
        <w:jc w:val="left"/>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申请人的资格要求</w:t>
      </w:r>
    </w:p>
    <w:p w14:paraId="1EDEB16E">
      <w:pPr>
        <w:pStyle w:val="70"/>
        <w:numPr>
          <w:ilvl w:val="0"/>
          <w:numId w:val="2"/>
        </w:numPr>
        <w:ind w:firstLineChars="0"/>
        <w:rPr>
          <w:rFonts w:asciiTheme="minorEastAsia" w:hAnsiTheme="minorEastAsia" w:eastAsiaTheme="minorEastAsia"/>
          <w:color w:val="auto"/>
          <w:szCs w:val="21"/>
          <w:highlight w:val="none"/>
        </w:rPr>
      </w:pPr>
      <w:r>
        <w:rPr>
          <w:b/>
          <w:color w:val="auto"/>
          <w:kern w:val="0"/>
          <w:szCs w:val="21"/>
          <w:highlight w:val="none"/>
          <w:lang w:eastAsia="zh-Hans"/>
        </w:rPr>
        <w:t>满足《中华人民共和国政府采购法》第二十二条规定</w:t>
      </w:r>
      <w:r>
        <w:rPr>
          <w:rFonts w:hint="eastAsia"/>
          <w:b/>
          <w:color w:val="auto"/>
          <w:kern w:val="0"/>
          <w:szCs w:val="21"/>
          <w:highlight w:val="none"/>
          <w:lang w:eastAsia="zh-Hans"/>
        </w:rPr>
        <w:t>：</w:t>
      </w:r>
    </w:p>
    <w:p w14:paraId="60499636">
      <w:pPr>
        <w:pStyle w:val="70"/>
        <w:keepNext w:val="0"/>
        <w:keepLines w:val="0"/>
        <w:pageBreakBefore w:val="0"/>
        <w:widowControl w:val="0"/>
        <w:numPr>
          <w:ilvl w:val="0"/>
          <w:numId w:val="3"/>
        </w:numPr>
        <w:shd w:val="clear" w:color="auto" w:fill="FFFFFF"/>
        <w:kinsoku/>
        <w:overflowPunct/>
        <w:topLinePunct w:val="0"/>
        <w:autoSpaceDE/>
        <w:autoSpaceDN/>
        <w:bidi w:val="0"/>
        <w:adjustRightInd/>
        <w:snapToGrid/>
        <w:spacing w:line="360" w:lineRule="auto"/>
        <w:ind w:hangingChars="200"/>
        <w:textAlignment w:val="baseline"/>
        <w:outlineLvl w:val="3"/>
        <w:rPr>
          <w:rFonts w:ascii="宋体" w:hAnsi="宋体" w:cs="宋体"/>
          <w:color w:val="auto"/>
          <w:kern w:val="0"/>
          <w:szCs w:val="21"/>
          <w:highlight w:val="none"/>
        </w:rPr>
      </w:pPr>
      <w:r>
        <w:rPr>
          <w:rFonts w:hint="eastAsia" w:ascii="宋体" w:hAnsi="宋体" w:cs="宋体"/>
          <w:color w:val="auto"/>
          <w:kern w:val="0"/>
          <w:szCs w:val="21"/>
          <w:highlight w:val="none"/>
        </w:rPr>
        <w:t>具有独立承担民事责任的能力</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021479E0">
      <w:pPr>
        <w:pStyle w:val="70"/>
        <w:keepNext w:val="0"/>
        <w:keepLines w:val="0"/>
        <w:pageBreakBefore w:val="0"/>
        <w:widowControl w:val="0"/>
        <w:numPr>
          <w:ilvl w:val="0"/>
          <w:numId w:val="3"/>
        </w:numPr>
        <w:shd w:val="clear" w:color="auto" w:fill="FFFFFF"/>
        <w:kinsoku/>
        <w:overflowPunct/>
        <w:topLinePunct w:val="0"/>
        <w:autoSpaceDE/>
        <w:autoSpaceDN/>
        <w:bidi w:val="0"/>
        <w:adjustRightInd/>
        <w:snapToGrid/>
        <w:spacing w:line="360" w:lineRule="auto"/>
        <w:ind w:hangingChars="200"/>
        <w:textAlignment w:val="baseline"/>
        <w:outlineLvl w:val="3"/>
        <w:rPr>
          <w:rFonts w:ascii="宋体" w:hAnsi="宋体" w:cs="宋体"/>
          <w:color w:val="auto"/>
          <w:kern w:val="0"/>
          <w:szCs w:val="21"/>
          <w:highlight w:val="none"/>
        </w:rPr>
      </w:pPr>
      <w:r>
        <w:rPr>
          <w:rFonts w:hint="eastAsia" w:ascii="宋体" w:hAnsi="宋体" w:cs="宋体"/>
          <w:color w:val="auto"/>
          <w:kern w:val="0"/>
          <w:szCs w:val="21"/>
          <w:highlight w:val="none"/>
        </w:rPr>
        <w:t>有</w:t>
      </w:r>
      <w:r>
        <w:rPr>
          <w:rFonts w:ascii="宋体" w:hAnsi="宋体"/>
          <w:bCs/>
          <w:color w:val="auto"/>
          <w:kern w:val="0"/>
          <w:szCs w:val="21"/>
          <w:highlight w:val="none"/>
        </w:rPr>
        <w:t>具有良好的商业信誉和健全的财务会计制度</w:t>
      </w:r>
      <w:r>
        <w:rPr>
          <w:rFonts w:hint="eastAsia" w:ascii="宋体" w:hAnsi="宋体"/>
          <w:bCs/>
          <w:color w:val="auto"/>
          <w:kern w:val="0"/>
          <w:szCs w:val="21"/>
          <w:highlight w:val="none"/>
          <w:lang w:eastAsia="zh-CN"/>
        </w:rPr>
        <w:t>：</w:t>
      </w:r>
      <w:r>
        <w:rPr>
          <w:rFonts w:hint="eastAsia" w:ascii="宋体" w:hAnsi="宋体"/>
          <w:bCs/>
          <w:color w:val="auto"/>
          <w:kern w:val="0"/>
          <w:szCs w:val="21"/>
          <w:highlight w:val="none"/>
        </w:rPr>
        <w:t>提供</w:t>
      </w:r>
      <w:r>
        <w:rPr>
          <w:rFonts w:ascii="宋体" w:hAnsi="宋体"/>
          <w:bCs/>
          <w:color w:val="auto"/>
          <w:kern w:val="0"/>
          <w:szCs w:val="21"/>
          <w:highlight w:val="none"/>
        </w:rPr>
        <w:t>202</w:t>
      </w:r>
      <w:r>
        <w:rPr>
          <w:rFonts w:hint="eastAsia" w:ascii="宋体" w:hAnsi="宋体"/>
          <w:bCs/>
          <w:color w:val="auto"/>
          <w:kern w:val="0"/>
          <w:szCs w:val="21"/>
          <w:highlight w:val="none"/>
          <w:lang w:val="en-US" w:eastAsia="zh-CN"/>
        </w:rPr>
        <w:t>3</w:t>
      </w:r>
      <w:r>
        <w:rPr>
          <w:rFonts w:ascii="宋体" w:hAnsi="宋体"/>
          <w:bCs/>
          <w:color w:val="auto"/>
          <w:kern w:val="0"/>
          <w:szCs w:val="21"/>
          <w:highlight w:val="none"/>
        </w:rPr>
        <w:t>年或20</w:t>
      </w:r>
      <w:r>
        <w:rPr>
          <w:rFonts w:hint="eastAsia" w:ascii="宋体" w:hAnsi="宋体"/>
          <w:bCs/>
          <w:color w:val="auto"/>
          <w:kern w:val="0"/>
          <w:szCs w:val="21"/>
          <w:highlight w:val="none"/>
          <w:lang w:val="en-US" w:eastAsia="zh-CN"/>
        </w:rPr>
        <w:t>24</w:t>
      </w:r>
      <w:r>
        <w:rPr>
          <w:rFonts w:ascii="宋体" w:hAnsi="宋体"/>
          <w:bCs/>
          <w:color w:val="auto"/>
          <w:kern w:val="0"/>
          <w:szCs w:val="21"/>
          <w:highlight w:val="none"/>
        </w:rPr>
        <w:t>年财务状况报告或者基本户开户银行出具的资信证明或提供资格条件承诺函（详见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p>
    <w:p w14:paraId="66943B33">
      <w:pPr>
        <w:pStyle w:val="70"/>
        <w:keepNext w:val="0"/>
        <w:keepLines w:val="0"/>
        <w:pageBreakBefore w:val="0"/>
        <w:widowControl w:val="0"/>
        <w:numPr>
          <w:ilvl w:val="0"/>
          <w:numId w:val="3"/>
        </w:numPr>
        <w:shd w:val="clear" w:color="auto" w:fill="FFFFFF"/>
        <w:kinsoku/>
        <w:overflowPunct/>
        <w:topLinePunct w:val="0"/>
        <w:autoSpaceDE/>
        <w:autoSpaceDN/>
        <w:bidi w:val="0"/>
        <w:adjustRightInd/>
        <w:snapToGrid/>
        <w:spacing w:line="360" w:lineRule="auto"/>
        <w:ind w:hangingChars="200"/>
        <w:textAlignment w:val="baseline"/>
        <w:outlineLvl w:val="3"/>
        <w:rPr>
          <w:rFonts w:ascii="宋体" w:hAnsi="宋体" w:cs="宋体"/>
          <w:color w:val="auto"/>
          <w:kern w:val="0"/>
          <w:szCs w:val="21"/>
          <w:highlight w:val="none"/>
        </w:rPr>
      </w:pPr>
      <w:r>
        <w:rPr>
          <w:rFonts w:ascii="宋体" w:hAnsi="宋体"/>
          <w:bCs/>
          <w:color w:val="auto"/>
          <w:kern w:val="0"/>
          <w:szCs w:val="21"/>
          <w:highlight w:val="none"/>
        </w:rPr>
        <w:t>履行合同所必需的设备和专业技术能力</w:t>
      </w:r>
      <w:r>
        <w:rPr>
          <w:rFonts w:hint="eastAsia" w:ascii="宋体" w:hAnsi="宋体"/>
          <w:bCs/>
          <w:color w:val="auto"/>
          <w:kern w:val="0"/>
          <w:szCs w:val="21"/>
          <w:highlight w:val="none"/>
          <w:lang w:eastAsia="zh-CN"/>
        </w:rPr>
        <w:t>：</w:t>
      </w:r>
      <w:r>
        <w:rPr>
          <w:rFonts w:hint="eastAsia" w:ascii="宋体" w:hAnsi="宋体"/>
          <w:bCs/>
          <w:color w:val="auto"/>
          <w:kern w:val="0"/>
          <w:szCs w:val="21"/>
          <w:highlight w:val="none"/>
        </w:rPr>
        <w:t>在响应文件中填报设备及专业技术能力情况或提供资格条件承诺函（详见响应文件格式）。</w:t>
      </w:r>
    </w:p>
    <w:p w14:paraId="5FAFEF8A">
      <w:pPr>
        <w:pStyle w:val="70"/>
        <w:keepNext w:val="0"/>
        <w:keepLines w:val="0"/>
        <w:pageBreakBefore w:val="0"/>
        <w:widowControl w:val="0"/>
        <w:numPr>
          <w:ilvl w:val="0"/>
          <w:numId w:val="3"/>
        </w:numPr>
        <w:shd w:val="clear" w:color="auto" w:fill="FFFFFF"/>
        <w:kinsoku/>
        <w:overflowPunct/>
        <w:topLinePunct w:val="0"/>
        <w:autoSpaceDE/>
        <w:autoSpaceDN/>
        <w:bidi w:val="0"/>
        <w:adjustRightInd/>
        <w:snapToGrid/>
        <w:spacing w:line="360" w:lineRule="auto"/>
        <w:ind w:hangingChars="200"/>
        <w:textAlignment w:val="baseline"/>
        <w:outlineLvl w:val="3"/>
        <w:rPr>
          <w:rFonts w:ascii="宋体" w:hAnsi="宋体" w:cs="宋体"/>
          <w:color w:val="auto"/>
          <w:kern w:val="0"/>
          <w:szCs w:val="21"/>
          <w:highlight w:val="none"/>
        </w:rPr>
      </w:pPr>
      <w:r>
        <w:rPr>
          <w:rFonts w:hint="eastAsia" w:ascii="宋体" w:hAnsi="宋体"/>
          <w:bCs/>
          <w:color w:val="auto"/>
          <w:kern w:val="0"/>
          <w:szCs w:val="21"/>
          <w:highlight w:val="none"/>
        </w:rPr>
        <w:t>有依法缴纳税收和社会保障资金的良好记录</w:t>
      </w:r>
      <w:r>
        <w:rPr>
          <w:rFonts w:hint="eastAsia" w:ascii="宋体" w:hAnsi="宋体"/>
          <w:bCs/>
          <w:color w:val="auto"/>
          <w:kern w:val="0"/>
          <w:szCs w:val="21"/>
          <w:highlight w:val="none"/>
          <w:lang w:eastAsia="zh-CN"/>
        </w:rPr>
        <w:t>：</w:t>
      </w:r>
      <w:r>
        <w:rPr>
          <w:rFonts w:hint="eastAsia" w:ascii="宋体" w:hAnsi="宋体"/>
          <w:bCs/>
          <w:color w:val="auto"/>
          <w:kern w:val="0"/>
          <w:szCs w:val="21"/>
          <w:highlight w:val="none"/>
        </w:rPr>
        <w:t>提供响应截止日前</w:t>
      </w:r>
      <w:r>
        <w:rPr>
          <w:rFonts w:ascii="宋体" w:hAnsi="宋体"/>
          <w:bCs/>
          <w:color w:val="auto"/>
          <w:kern w:val="0"/>
          <w:szCs w:val="21"/>
          <w:highlight w:val="none"/>
        </w:rPr>
        <w:t>6个月内任意1个月依法缴纳税收和社会保障资金的相关材料；如依法免税或不需要缴纳社会保障资金的，提供相应证明材料。或提供资格条件承诺函（详见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p>
    <w:p w14:paraId="3CE7DD10">
      <w:pPr>
        <w:pStyle w:val="70"/>
        <w:keepNext w:val="0"/>
        <w:keepLines w:val="0"/>
        <w:pageBreakBefore w:val="0"/>
        <w:widowControl w:val="0"/>
        <w:numPr>
          <w:ilvl w:val="0"/>
          <w:numId w:val="3"/>
        </w:numPr>
        <w:shd w:val="clear" w:color="auto" w:fill="FFFFFF"/>
        <w:kinsoku/>
        <w:overflowPunct/>
        <w:topLinePunct w:val="0"/>
        <w:autoSpaceDE/>
        <w:autoSpaceDN/>
        <w:bidi w:val="0"/>
        <w:adjustRightInd/>
        <w:snapToGrid/>
        <w:spacing w:line="360" w:lineRule="auto"/>
        <w:ind w:hangingChars="200"/>
        <w:textAlignment w:val="baseline"/>
        <w:outlineLvl w:val="3"/>
        <w:rPr>
          <w:rFonts w:ascii="宋体" w:hAnsi="宋体" w:cs="宋体"/>
          <w:bCs/>
          <w:color w:val="auto"/>
          <w:kern w:val="0"/>
          <w:szCs w:val="21"/>
          <w:highlight w:val="none"/>
        </w:rPr>
      </w:pPr>
      <w:r>
        <w:rPr>
          <w:rFonts w:ascii="宋体" w:hAnsi="宋体" w:cs="宋体"/>
          <w:bCs/>
          <w:color w:val="auto"/>
          <w:kern w:val="0"/>
          <w:szCs w:val="21"/>
          <w:highlight w:val="none"/>
        </w:rPr>
        <w:t>参加采购活动前3年内，在经营活动中没有重大违法记录：</w:t>
      </w:r>
      <w:r>
        <w:rPr>
          <w:rFonts w:hint="eastAsia" w:ascii="宋体" w:hAnsi="宋体" w:cs="宋体"/>
          <w:bCs/>
          <w:color w:val="auto"/>
          <w:kern w:val="0"/>
          <w:szCs w:val="21"/>
          <w:highlight w:val="none"/>
        </w:rPr>
        <w:t>提供资格条件承诺函（</w:t>
      </w:r>
      <w:r>
        <w:rPr>
          <w:rFonts w:ascii="宋体" w:hAnsi="宋体" w:cs="宋体"/>
          <w:bCs/>
          <w:color w:val="auto"/>
          <w:kern w:val="0"/>
          <w:szCs w:val="21"/>
          <w:highlight w:val="none"/>
        </w:rPr>
        <w:t>详见</w:t>
      </w:r>
      <w:r>
        <w:rPr>
          <w:rFonts w:hint="eastAsia" w:ascii="宋体" w:hAnsi="宋体" w:cs="宋体"/>
          <w:bCs/>
          <w:color w:val="auto"/>
          <w:kern w:val="0"/>
          <w:szCs w:val="21"/>
          <w:highlight w:val="none"/>
        </w:rPr>
        <w:t>响应</w:t>
      </w:r>
      <w:r>
        <w:rPr>
          <w:rFonts w:ascii="宋体" w:hAnsi="宋体" w:cs="宋体"/>
          <w:bCs/>
          <w:color w:val="auto"/>
          <w:kern w:val="0"/>
          <w:szCs w:val="21"/>
          <w:highlight w:val="none"/>
        </w:rPr>
        <w:t>文件格式</w:t>
      </w:r>
      <w:r>
        <w:rPr>
          <w:rFonts w:hint="eastAsia" w:ascii="宋体" w:hAnsi="宋体" w:cs="宋体"/>
          <w:bCs/>
          <w:color w:val="auto"/>
          <w:kern w:val="0"/>
          <w:szCs w:val="21"/>
          <w:highlight w:val="none"/>
        </w:rPr>
        <w:t>）</w:t>
      </w:r>
      <w:r>
        <w:rPr>
          <w:rFonts w:ascii="宋体" w:hAnsi="宋体" w:cs="宋体"/>
          <w:bCs/>
          <w:color w:val="auto"/>
          <w:kern w:val="0"/>
          <w:szCs w:val="21"/>
          <w:highlight w:val="none"/>
        </w:rPr>
        <w:t>。</w:t>
      </w:r>
      <w:r>
        <w:rPr>
          <w:rFonts w:hint="eastAsia" w:ascii="宋体" w:hAnsi="宋体" w:cs="宋体"/>
          <w:bCs/>
          <w:color w:val="auto"/>
          <w:kern w:val="0"/>
          <w:szCs w:val="21"/>
          <w:highlight w:val="none"/>
        </w:rPr>
        <w:t>重大违法记录，是指供应商因违法经营受到刑事处罚或者责令停产停业、吊销许可证或者执照、较大数额罚款等行政处罚。（根据财库〔</w:t>
      </w:r>
      <w:r>
        <w:rPr>
          <w:rFonts w:ascii="宋体" w:hAnsi="宋体" w:cs="宋体"/>
          <w:bCs/>
          <w:color w:val="auto"/>
          <w:kern w:val="0"/>
          <w:szCs w:val="21"/>
          <w:highlight w:val="none"/>
        </w:rPr>
        <w:t>2022〕3号文，“较大数额罚款”认定为200万元以上的罚款，法律、行政法规以及国务院有关部门明确规定相关领域“较大数额罚款”标准高于200万元的，从其规定。）</w:t>
      </w:r>
    </w:p>
    <w:p w14:paraId="73B0127C">
      <w:pPr>
        <w:pStyle w:val="70"/>
        <w:keepNext w:val="0"/>
        <w:keepLines w:val="0"/>
        <w:pageBreakBefore w:val="0"/>
        <w:widowControl w:val="0"/>
        <w:numPr>
          <w:ilvl w:val="0"/>
          <w:numId w:val="2"/>
        </w:numPr>
        <w:kinsoku/>
        <w:overflowPunct/>
        <w:topLinePunct w:val="0"/>
        <w:autoSpaceDE/>
        <w:autoSpaceDN/>
        <w:bidi w:val="0"/>
        <w:adjustRightInd/>
        <w:snapToGrid/>
        <w:spacing w:line="360" w:lineRule="auto"/>
        <w:ind w:left="422" w:hanging="422" w:hangingChars="200"/>
        <w:outlineLvl w:val="3"/>
        <w:rPr>
          <w:rFonts w:ascii="宋体" w:hAnsi="宋体"/>
          <w:b/>
          <w:color w:val="auto"/>
          <w:kern w:val="0"/>
          <w:szCs w:val="21"/>
          <w:highlight w:val="none"/>
        </w:rPr>
      </w:pPr>
      <w:bookmarkStart w:id="4" w:name="_Hlk169874618"/>
      <w:r>
        <w:rPr>
          <w:rFonts w:ascii="宋体" w:hAnsi="宋体"/>
          <w:b/>
          <w:color w:val="auto"/>
          <w:kern w:val="0"/>
          <w:szCs w:val="21"/>
          <w:highlight w:val="none"/>
          <w:lang w:eastAsia="zh-Hans"/>
        </w:rPr>
        <w:t>落实政府采购政策需满足的资格要求：</w:t>
      </w:r>
      <w:r>
        <w:rPr>
          <w:rFonts w:hint="eastAsia" w:ascii="宋体" w:hAnsi="宋体"/>
          <w:b/>
          <w:color w:val="auto"/>
          <w:kern w:val="0"/>
          <w:szCs w:val="21"/>
          <w:highlight w:val="none"/>
          <w:lang w:eastAsia="zh-Hans"/>
        </w:rPr>
        <w:t>本项目专门面向中小企业采购，供应商应为中小微企业、监狱企业、残疾人福利性单位。（提供《中小企业声明函》或属于监狱企业的证明材料或《残疾人福利性单位声明函》）详见响应文件格式</w:t>
      </w:r>
      <w:r>
        <w:rPr>
          <w:rFonts w:hint="eastAsia" w:ascii="宋体" w:hAnsi="宋体"/>
          <w:b/>
          <w:color w:val="auto"/>
          <w:kern w:val="0"/>
          <w:szCs w:val="21"/>
          <w:highlight w:val="none"/>
          <w:lang w:eastAsia="zh-CN"/>
        </w:rPr>
        <w:t>。</w:t>
      </w:r>
    </w:p>
    <w:p w14:paraId="44C225EB">
      <w:pPr>
        <w:pStyle w:val="70"/>
        <w:keepNext w:val="0"/>
        <w:keepLines w:val="0"/>
        <w:pageBreakBefore w:val="0"/>
        <w:widowControl w:val="0"/>
        <w:numPr>
          <w:ilvl w:val="0"/>
          <w:numId w:val="2"/>
        </w:numPr>
        <w:kinsoku/>
        <w:overflowPunct/>
        <w:topLinePunct w:val="0"/>
        <w:autoSpaceDE/>
        <w:autoSpaceDN/>
        <w:bidi w:val="0"/>
        <w:adjustRightInd/>
        <w:snapToGrid/>
        <w:spacing w:line="360" w:lineRule="auto"/>
        <w:ind w:left="422" w:hanging="422" w:hangingChars="200"/>
        <w:jc w:val="left"/>
        <w:outlineLvl w:val="3"/>
        <w:rPr>
          <w:rFonts w:ascii="宋体" w:hAnsi="宋体"/>
          <w:b/>
          <w:color w:val="auto"/>
          <w:kern w:val="0"/>
          <w:sz w:val="24"/>
          <w:szCs w:val="20"/>
          <w:highlight w:val="none"/>
          <w:lang w:eastAsia="zh-Hans"/>
        </w:rPr>
      </w:pPr>
      <w:r>
        <w:rPr>
          <w:rFonts w:ascii="宋体" w:hAnsi="宋体"/>
          <w:b/>
          <w:color w:val="auto"/>
          <w:kern w:val="0"/>
          <w:szCs w:val="21"/>
          <w:highlight w:val="none"/>
          <w:lang w:eastAsia="zh-Hans"/>
        </w:rPr>
        <w:t>本项目的特定资格要求：</w:t>
      </w:r>
    </w:p>
    <w:p w14:paraId="67358069">
      <w:pPr>
        <w:keepNext w:val="0"/>
        <w:keepLines w:val="0"/>
        <w:pageBreakBefore w:val="0"/>
        <w:widowControl w:val="0"/>
        <w:numPr>
          <w:ilvl w:val="0"/>
          <w:numId w:val="4"/>
        </w:numPr>
        <w:kinsoku/>
        <w:wordWrap w:val="0"/>
        <w:overflowPunct/>
        <w:topLinePunct w:val="0"/>
        <w:autoSpaceDE/>
        <w:autoSpaceDN/>
        <w:bidi w:val="0"/>
        <w:adjustRightInd/>
        <w:snapToGrid/>
        <w:spacing w:line="360" w:lineRule="auto"/>
        <w:ind w:left="0" w:hanging="420" w:hangingChars="200"/>
        <w:jc w:val="left"/>
        <w:textAlignment w:val="auto"/>
        <w:outlineLvl w:val="3"/>
        <w:rPr>
          <w:rFonts w:ascii="宋体" w:hAnsi="宋体"/>
          <w:color w:val="auto"/>
          <w:kern w:val="0"/>
          <w:szCs w:val="21"/>
          <w:highlight w:val="none"/>
          <w:lang w:eastAsia="zh-Hans"/>
        </w:rPr>
      </w:pPr>
      <w:r>
        <w:rPr>
          <w:rFonts w:ascii="宋体" w:hAnsi="宋体"/>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A8C2665">
      <w:pPr>
        <w:keepNext w:val="0"/>
        <w:keepLines w:val="0"/>
        <w:pageBreakBefore w:val="0"/>
        <w:widowControl w:val="0"/>
        <w:numPr>
          <w:ilvl w:val="0"/>
          <w:numId w:val="4"/>
        </w:numPr>
        <w:kinsoku/>
        <w:overflowPunct/>
        <w:topLinePunct w:val="0"/>
        <w:autoSpaceDE/>
        <w:autoSpaceDN/>
        <w:bidi w:val="0"/>
        <w:adjustRightInd/>
        <w:snapToGrid/>
        <w:spacing w:line="360" w:lineRule="auto"/>
        <w:ind w:left="420" w:hanging="420" w:hangingChars="200"/>
        <w:jc w:val="left"/>
        <w:outlineLvl w:val="3"/>
        <w:rPr>
          <w:rFonts w:ascii="宋体" w:hAnsi="宋体"/>
          <w:color w:val="auto"/>
          <w:kern w:val="0"/>
          <w:szCs w:val="21"/>
          <w:highlight w:val="none"/>
          <w:lang w:eastAsia="zh-Hans"/>
        </w:rPr>
      </w:pPr>
      <w:r>
        <w:rPr>
          <w:rFonts w:ascii="宋体" w:hAnsi="宋体"/>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宋体" w:hAnsi="宋体"/>
          <w:bCs/>
          <w:color w:val="auto"/>
          <w:kern w:val="0"/>
          <w:szCs w:val="21"/>
          <w:highlight w:val="none"/>
        </w:rPr>
        <w:t>提供资格条件承诺函（详见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p>
    <w:p w14:paraId="3DA9B9E6">
      <w:pPr>
        <w:keepNext w:val="0"/>
        <w:keepLines w:val="0"/>
        <w:pageBreakBefore w:val="0"/>
        <w:widowControl w:val="0"/>
        <w:numPr>
          <w:ilvl w:val="0"/>
          <w:numId w:val="4"/>
        </w:numPr>
        <w:kinsoku/>
        <w:overflowPunct/>
        <w:topLinePunct w:val="0"/>
        <w:autoSpaceDE/>
        <w:autoSpaceDN/>
        <w:bidi w:val="0"/>
        <w:adjustRightInd/>
        <w:snapToGrid/>
        <w:spacing w:line="360" w:lineRule="auto"/>
        <w:ind w:left="420" w:hanging="422" w:hangingChars="200"/>
        <w:jc w:val="left"/>
        <w:outlineLvl w:val="3"/>
        <w:rPr>
          <w:rFonts w:ascii="宋体" w:hAnsi="宋体"/>
          <w:b/>
          <w:bCs/>
          <w:color w:val="auto"/>
          <w:kern w:val="0"/>
          <w:szCs w:val="21"/>
          <w:highlight w:val="none"/>
          <w:lang w:eastAsia="zh-Hans"/>
        </w:rPr>
      </w:pPr>
      <w:r>
        <w:rPr>
          <w:rFonts w:hint="eastAsia" w:ascii="宋体" w:hAnsi="宋体"/>
          <w:b/>
          <w:bCs/>
          <w:color w:val="auto"/>
          <w:kern w:val="0"/>
          <w:szCs w:val="21"/>
          <w:highlight w:val="none"/>
        </w:rPr>
        <w:t>其他特定资格要求：</w:t>
      </w:r>
      <w:r>
        <w:rPr>
          <w:rFonts w:hint="eastAsia" w:ascii="宋体" w:hAnsi="宋体"/>
          <w:b/>
          <w:bCs/>
          <w:color w:val="auto"/>
          <w:kern w:val="0"/>
          <w:szCs w:val="21"/>
          <w:highlight w:val="none"/>
          <w:lang w:val="en-US" w:eastAsia="zh-CN"/>
        </w:rPr>
        <w:t>响应供应商</w:t>
      </w:r>
      <w:r>
        <w:rPr>
          <w:rFonts w:hint="eastAsia" w:ascii="宋体" w:hAnsi="宋体"/>
          <w:b/>
          <w:bCs/>
          <w:color w:val="auto"/>
          <w:kern w:val="0"/>
          <w:szCs w:val="21"/>
          <w:highlight w:val="none"/>
        </w:rPr>
        <w:t>具有公安机关核发的《保安服务许可证》，须提供复印件加盖</w:t>
      </w:r>
      <w:r>
        <w:rPr>
          <w:rFonts w:hint="eastAsia" w:ascii="宋体" w:hAnsi="宋体"/>
          <w:b/>
          <w:bCs/>
          <w:color w:val="auto"/>
          <w:kern w:val="0"/>
          <w:szCs w:val="21"/>
          <w:highlight w:val="none"/>
          <w:lang w:val="en-US" w:eastAsia="zh-CN"/>
        </w:rPr>
        <w:t>供应商</w:t>
      </w:r>
      <w:r>
        <w:rPr>
          <w:rFonts w:hint="eastAsia" w:ascii="宋体" w:hAnsi="宋体"/>
          <w:b/>
          <w:bCs/>
          <w:color w:val="auto"/>
          <w:kern w:val="0"/>
          <w:szCs w:val="21"/>
          <w:highlight w:val="none"/>
        </w:rPr>
        <w:t>公章。</w:t>
      </w:r>
    </w:p>
    <w:bookmarkEnd w:id="4"/>
    <w:p w14:paraId="385CC300">
      <w:pPr>
        <w:pStyle w:val="70"/>
        <w:keepNext w:val="0"/>
        <w:keepLines w:val="0"/>
        <w:pageBreakBefore w:val="0"/>
        <w:widowControl w:val="0"/>
        <w:numPr>
          <w:ilvl w:val="0"/>
          <w:numId w:val="1"/>
        </w:numPr>
        <w:tabs>
          <w:tab w:val="left" w:pos="426"/>
        </w:tabs>
        <w:kinsoku/>
        <w:overflowPunct/>
        <w:topLinePunct w:val="0"/>
        <w:autoSpaceDE/>
        <w:autoSpaceDN/>
        <w:bidi w:val="0"/>
        <w:adjustRightInd/>
        <w:snapToGrid/>
        <w:spacing w:line="360" w:lineRule="auto"/>
        <w:ind w:firstLineChars="0"/>
        <w:rPr>
          <w:rFonts w:asciiTheme="minorEastAsia" w:hAnsiTheme="minorEastAsia" w:eastAsiaTheme="minorEastAsia"/>
          <w:b/>
          <w:color w:val="auto"/>
          <w:szCs w:val="21"/>
          <w:highlight w:val="none"/>
        </w:rPr>
      </w:pPr>
      <w:bookmarkStart w:id="5" w:name="_Hlk58185024"/>
      <w:r>
        <w:rPr>
          <w:rFonts w:hint="eastAsia" w:asciiTheme="minorEastAsia" w:hAnsiTheme="minorEastAsia" w:eastAsiaTheme="minorEastAsia"/>
          <w:b/>
          <w:color w:val="auto"/>
          <w:szCs w:val="21"/>
          <w:highlight w:val="none"/>
        </w:rPr>
        <w:t>获取采购文件</w:t>
      </w:r>
    </w:p>
    <w:bookmarkEnd w:id="5"/>
    <w:p w14:paraId="577DE8D7">
      <w:pPr>
        <w:pStyle w:val="70"/>
        <w:keepNext w:val="0"/>
        <w:keepLines w:val="0"/>
        <w:pageBreakBefore w:val="0"/>
        <w:widowControl w:val="0"/>
        <w:kinsoku/>
        <w:wordWrap/>
        <w:overflowPunct/>
        <w:topLinePunct w:val="0"/>
        <w:autoSpaceDE/>
        <w:autoSpaceDN/>
        <w:bidi w:val="0"/>
        <w:adjustRightInd/>
        <w:snapToGrid/>
        <w:spacing w:line="360" w:lineRule="auto"/>
        <w:ind w:left="420" w:leftChars="200" w:firstLine="0" w:firstLineChars="0"/>
        <w:textAlignment w:val="auto"/>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时间：</w:t>
      </w:r>
      <w:r>
        <w:rPr>
          <w:rFonts w:hint="eastAsia" w:asciiTheme="minorEastAsia" w:hAnsiTheme="minorEastAsia" w:eastAsiaTheme="minorEastAsia"/>
          <w:color w:val="auto"/>
          <w:szCs w:val="21"/>
          <w:highlight w:val="none"/>
          <w:u w:val="single"/>
          <w:lang w:val="en-US" w:eastAsia="zh-CN"/>
        </w:rPr>
        <w:t>2025</w:t>
      </w:r>
      <w:r>
        <w:rPr>
          <w:rFonts w:hint="eastAsia" w:asciiTheme="minorEastAsia" w:hAnsiTheme="minorEastAsia" w:eastAsiaTheme="minorEastAsia"/>
          <w:color w:val="auto"/>
          <w:szCs w:val="21"/>
          <w:highlight w:val="none"/>
          <w:u w:val="none"/>
        </w:rPr>
        <w:t>年</w:t>
      </w:r>
      <w:r>
        <w:rPr>
          <w:rFonts w:hint="eastAsia" w:asciiTheme="minorEastAsia" w:hAnsiTheme="minorEastAsia" w:eastAsiaTheme="minorEastAsia"/>
          <w:color w:val="auto"/>
          <w:szCs w:val="21"/>
          <w:highlight w:val="none"/>
          <w:u w:val="single"/>
          <w:lang w:val="en-US" w:eastAsia="zh-CN"/>
        </w:rPr>
        <w:t>09</w:t>
      </w:r>
      <w:r>
        <w:rPr>
          <w:rFonts w:hint="eastAsia" w:asciiTheme="minorEastAsia" w:hAnsiTheme="minorEastAsia" w:eastAsiaTheme="minorEastAsia"/>
          <w:color w:val="auto"/>
          <w:szCs w:val="21"/>
          <w:highlight w:val="none"/>
          <w:u w:val="none"/>
        </w:rPr>
        <w:t>月</w:t>
      </w:r>
      <w:r>
        <w:rPr>
          <w:rFonts w:hint="eastAsia" w:asciiTheme="minorEastAsia" w:hAnsiTheme="minorEastAsia" w:eastAsiaTheme="minorEastAsia"/>
          <w:color w:val="auto"/>
          <w:szCs w:val="21"/>
          <w:highlight w:val="none"/>
          <w:u w:val="single"/>
          <w:lang w:val="en-US" w:eastAsia="zh-CN"/>
        </w:rPr>
        <w:t>10</w:t>
      </w:r>
      <w:r>
        <w:rPr>
          <w:rFonts w:hint="eastAsia" w:asciiTheme="minorEastAsia" w:hAnsiTheme="minorEastAsia" w:eastAsiaTheme="minorEastAsia"/>
          <w:color w:val="auto"/>
          <w:szCs w:val="21"/>
          <w:highlight w:val="none"/>
          <w:u w:val="none"/>
        </w:rPr>
        <w:t>日</w:t>
      </w:r>
      <w:r>
        <w:rPr>
          <w:rFonts w:hint="eastAsia" w:cs="宋体" w:asciiTheme="minorEastAsia" w:hAnsiTheme="minorEastAsia" w:eastAsiaTheme="minorEastAsia"/>
          <w:color w:val="auto"/>
          <w:szCs w:val="21"/>
          <w:highlight w:val="none"/>
        </w:rPr>
        <w:t>至</w:t>
      </w:r>
      <w:r>
        <w:rPr>
          <w:rFonts w:hint="eastAsia" w:asciiTheme="minorEastAsia" w:hAnsiTheme="minorEastAsia" w:eastAsiaTheme="minorEastAsia"/>
          <w:color w:val="auto"/>
          <w:szCs w:val="21"/>
          <w:highlight w:val="none"/>
          <w:u w:val="single"/>
          <w:lang w:val="en-US" w:eastAsia="zh-CN"/>
        </w:rPr>
        <w:t>2025</w:t>
      </w:r>
      <w:r>
        <w:rPr>
          <w:rFonts w:hint="eastAsia" w:asciiTheme="minorEastAsia" w:hAnsiTheme="minorEastAsia" w:eastAsiaTheme="minorEastAsia"/>
          <w:color w:val="auto"/>
          <w:szCs w:val="21"/>
          <w:highlight w:val="none"/>
          <w:u w:val="none"/>
        </w:rPr>
        <w:t>年</w:t>
      </w:r>
      <w:r>
        <w:rPr>
          <w:rFonts w:hint="eastAsia" w:asciiTheme="minorEastAsia" w:hAnsiTheme="minorEastAsia" w:eastAsiaTheme="minorEastAsia"/>
          <w:color w:val="auto"/>
          <w:szCs w:val="21"/>
          <w:highlight w:val="none"/>
          <w:u w:val="single"/>
          <w:lang w:val="en-US" w:eastAsia="zh-CN"/>
        </w:rPr>
        <w:t>09</w:t>
      </w:r>
      <w:r>
        <w:rPr>
          <w:rFonts w:hint="eastAsia" w:asciiTheme="minorEastAsia" w:hAnsiTheme="minorEastAsia" w:eastAsiaTheme="minorEastAsia"/>
          <w:color w:val="auto"/>
          <w:szCs w:val="21"/>
          <w:highlight w:val="none"/>
          <w:u w:val="none"/>
        </w:rPr>
        <w:t>月</w:t>
      </w:r>
      <w:r>
        <w:rPr>
          <w:rFonts w:hint="eastAsia" w:asciiTheme="minorEastAsia" w:hAnsiTheme="minorEastAsia" w:eastAsiaTheme="minorEastAsia"/>
          <w:color w:val="auto"/>
          <w:szCs w:val="21"/>
          <w:highlight w:val="none"/>
          <w:u w:val="single"/>
          <w:lang w:val="en-US" w:eastAsia="zh-CN"/>
        </w:rPr>
        <w:t>17</w:t>
      </w:r>
      <w:r>
        <w:rPr>
          <w:rFonts w:hint="eastAsia" w:asciiTheme="minorEastAsia" w:hAnsiTheme="minorEastAsia" w:eastAsiaTheme="minorEastAsia"/>
          <w:color w:val="auto"/>
          <w:szCs w:val="21"/>
          <w:highlight w:val="none"/>
          <w:u w:val="none"/>
        </w:rPr>
        <w:t>日</w:t>
      </w:r>
      <w:r>
        <w:rPr>
          <w:rFonts w:hint="eastAsia" w:cs="宋体" w:asciiTheme="minorEastAsia" w:hAnsiTheme="minorEastAsia" w:eastAsiaTheme="minorEastAsia"/>
          <w:iCs/>
          <w:color w:val="auto"/>
          <w:szCs w:val="21"/>
          <w:highlight w:val="none"/>
          <w:u w:val="single"/>
        </w:rPr>
        <w:t>（磋商文件的发售期限自开始之日起不得少于5个工作日）</w:t>
      </w:r>
      <w:r>
        <w:rPr>
          <w:rFonts w:hint="eastAsia" w:cs="宋体" w:asciiTheme="minorEastAsia" w:hAnsiTheme="minorEastAsia" w:eastAsiaTheme="minorEastAsia"/>
          <w:color w:val="auto"/>
          <w:szCs w:val="21"/>
          <w:highlight w:val="none"/>
        </w:rPr>
        <w:t>，每天上午9：00至12：00，下午2：30至5：30（北京时间，</w:t>
      </w:r>
      <w:r>
        <w:rPr>
          <w:rFonts w:cs="宋体" w:asciiTheme="minorEastAsia" w:hAnsiTheme="minorEastAsia" w:eastAsiaTheme="minorEastAsia"/>
          <w:color w:val="auto"/>
          <w:szCs w:val="21"/>
          <w:highlight w:val="none"/>
        </w:rPr>
        <w:t>法定节假日</w:t>
      </w:r>
      <w:r>
        <w:rPr>
          <w:rFonts w:hint="eastAsia" w:cs="宋体" w:asciiTheme="minorEastAsia" w:hAnsiTheme="minorEastAsia" w:eastAsiaTheme="minorEastAsia"/>
          <w:color w:val="auto"/>
          <w:szCs w:val="21"/>
          <w:highlight w:val="none"/>
        </w:rPr>
        <w:t>除外）</w:t>
      </w:r>
    </w:p>
    <w:p w14:paraId="7BDE2886">
      <w:pPr>
        <w:pStyle w:val="70"/>
        <w:keepNext w:val="0"/>
        <w:keepLines w:val="0"/>
        <w:pageBreakBefore w:val="0"/>
        <w:widowControl w:val="0"/>
        <w:kinsoku/>
        <w:overflowPunct/>
        <w:topLinePunct w:val="0"/>
        <w:autoSpaceDE/>
        <w:autoSpaceDN/>
        <w:bidi w:val="0"/>
        <w:adjustRightInd/>
        <w:snapToGrid/>
        <w:spacing w:line="360" w:lineRule="auto"/>
        <w:ind w:left="420" w:firstLine="4" w:firstLineChars="2"/>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地点：东莞市南城街道雅园产业园区路5号1栋1楼或微信搜索公众号“广东智汇城市招标采购有限公司”进行获取。</w:t>
      </w:r>
    </w:p>
    <w:p w14:paraId="0A0CC842">
      <w:pPr>
        <w:pStyle w:val="70"/>
        <w:keepNext w:val="0"/>
        <w:keepLines w:val="0"/>
        <w:pageBreakBefore w:val="0"/>
        <w:widowControl w:val="0"/>
        <w:kinsoku/>
        <w:overflowPunct/>
        <w:topLinePunct w:val="0"/>
        <w:autoSpaceDE/>
        <w:autoSpaceDN/>
        <w:bidi w:val="0"/>
        <w:adjustRightInd/>
        <w:snapToGrid/>
        <w:spacing w:line="360" w:lineRule="auto"/>
        <w:ind w:left="420" w:firstLine="0" w:firstLineChars="0"/>
        <w:rPr>
          <w:rFonts w:cs="宋体" w:asciiTheme="minorEastAsia" w:hAnsiTheme="minorEastAsia" w:eastAsiaTheme="minorEastAsia"/>
          <w:color w:val="auto"/>
          <w:szCs w:val="21"/>
          <w:highlight w:val="none"/>
          <w:u w:val="single"/>
        </w:rPr>
      </w:pPr>
      <w:r>
        <w:rPr>
          <w:rFonts w:hint="eastAsia" w:cs="宋体" w:asciiTheme="minorEastAsia" w:hAnsiTheme="minorEastAsia" w:eastAsiaTheme="minorEastAsia"/>
          <w:color w:val="auto"/>
          <w:szCs w:val="21"/>
          <w:highlight w:val="none"/>
        </w:rPr>
        <w:t>方式：现场或线上获取</w:t>
      </w:r>
    </w:p>
    <w:p w14:paraId="1BFDBB80">
      <w:pPr>
        <w:pStyle w:val="70"/>
        <w:keepNext w:val="0"/>
        <w:keepLines w:val="0"/>
        <w:pageBreakBefore w:val="0"/>
        <w:widowControl w:val="0"/>
        <w:kinsoku/>
        <w:overflowPunct/>
        <w:topLinePunct w:val="0"/>
        <w:autoSpaceDE/>
        <w:autoSpaceDN/>
        <w:bidi w:val="0"/>
        <w:adjustRightInd/>
        <w:snapToGrid/>
        <w:spacing w:line="360" w:lineRule="auto"/>
        <w:ind w:left="420" w:firstLine="0" w:firstLineChars="0"/>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售价：</w:t>
      </w:r>
      <w:r>
        <w:rPr>
          <w:rFonts w:cs="宋体" w:asciiTheme="minorEastAsia" w:hAnsiTheme="minorEastAsia" w:eastAsiaTheme="minorEastAsia"/>
          <w:color w:val="auto"/>
          <w:szCs w:val="21"/>
          <w:highlight w:val="none"/>
        </w:rPr>
        <w:t>200</w:t>
      </w:r>
      <w:r>
        <w:rPr>
          <w:rFonts w:hint="eastAsia" w:cs="宋体" w:asciiTheme="minorEastAsia" w:hAnsiTheme="minorEastAsia" w:eastAsiaTheme="minorEastAsia"/>
          <w:color w:val="auto"/>
          <w:szCs w:val="21"/>
          <w:highlight w:val="none"/>
        </w:rPr>
        <w:t>元</w:t>
      </w:r>
    </w:p>
    <w:p w14:paraId="0EBB73C8">
      <w:pPr>
        <w:pStyle w:val="70"/>
        <w:keepNext w:val="0"/>
        <w:keepLines w:val="0"/>
        <w:pageBreakBefore w:val="0"/>
        <w:widowControl w:val="0"/>
        <w:numPr>
          <w:ilvl w:val="0"/>
          <w:numId w:val="1"/>
        </w:numPr>
        <w:tabs>
          <w:tab w:val="left" w:pos="426"/>
        </w:tabs>
        <w:kinsoku/>
        <w:overflowPunct/>
        <w:topLinePunct w:val="0"/>
        <w:autoSpaceDE/>
        <w:autoSpaceDN/>
        <w:bidi w:val="0"/>
        <w:adjustRightInd/>
        <w:snapToGrid/>
        <w:spacing w:line="360" w:lineRule="auto"/>
        <w:ind w:left="0" w:firstLine="0"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响应文件提交</w:t>
      </w:r>
    </w:p>
    <w:p w14:paraId="0B93A57F">
      <w:pPr>
        <w:keepNext w:val="0"/>
        <w:keepLines w:val="0"/>
        <w:pageBreakBefore w:val="0"/>
        <w:widowControl w:val="0"/>
        <w:tabs>
          <w:tab w:val="left" w:pos="284"/>
          <w:tab w:val="left" w:pos="426"/>
        </w:tabs>
        <w:kinsoku/>
        <w:wordWrap/>
        <w:overflowPunct/>
        <w:topLinePunct w:val="0"/>
        <w:autoSpaceDE/>
        <w:autoSpaceDN/>
        <w:bidi w:val="0"/>
        <w:adjustRightInd/>
        <w:snapToGrid/>
        <w:spacing w:line="360" w:lineRule="auto"/>
        <w:ind w:left="945" w:leftChars="200" w:hanging="525" w:hangingChars="250"/>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时间：</w:t>
      </w:r>
      <w:r>
        <w:rPr>
          <w:rFonts w:hint="eastAsia" w:asciiTheme="minorEastAsia" w:hAnsiTheme="minorEastAsia" w:eastAsiaTheme="minorEastAsia"/>
          <w:color w:val="auto"/>
          <w:szCs w:val="21"/>
          <w:highlight w:val="none"/>
        </w:rPr>
        <w:t>截止时间</w:t>
      </w:r>
      <w:r>
        <w:rPr>
          <w:rFonts w:hint="eastAsia" w:asciiTheme="minorEastAsia" w:hAnsiTheme="minorEastAsia" w:eastAsiaTheme="minorEastAsia"/>
          <w:color w:val="auto"/>
          <w:szCs w:val="21"/>
          <w:highlight w:val="none"/>
          <w:u w:val="single"/>
          <w:lang w:val="en-US" w:eastAsia="zh-CN"/>
        </w:rPr>
        <w:t>2025</w:t>
      </w:r>
      <w:r>
        <w:rPr>
          <w:rFonts w:hint="eastAsia" w:asciiTheme="minorEastAsia" w:hAnsiTheme="minorEastAsia" w:eastAsiaTheme="minorEastAsia"/>
          <w:color w:val="auto"/>
          <w:szCs w:val="21"/>
          <w:highlight w:val="none"/>
          <w:u w:val="none"/>
        </w:rPr>
        <w:t>年</w:t>
      </w:r>
      <w:r>
        <w:rPr>
          <w:rFonts w:hint="eastAsia" w:asciiTheme="minorEastAsia" w:hAnsiTheme="minorEastAsia" w:eastAsiaTheme="minorEastAsia"/>
          <w:color w:val="auto"/>
          <w:szCs w:val="21"/>
          <w:highlight w:val="none"/>
          <w:u w:val="single"/>
          <w:lang w:val="en-US" w:eastAsia="zh-CN"/>
        </w:rPr>
        <w:t>09</w:t>
      </w:r>
      <w:r>
        <w:rPr>
          <w:rFonts w:hint="eastAsia" w:asciiTheme="minorEastAsia" w:hAnsiTheme="minorEastAsia" w:eastAsiaTheme="minorEastAsia"/>
          <w:color w:val="auto"/>
          <w:szCs w:val="21"/>
          <w:highlight w:val="none"/>
          <w:u w:val="none"/>
        </w:rPr>
        <w:t>月</w:t>
      </w:r>
      <w:r>
        <w:rPr>
          <w:rFonts w:hint="eastAsia" w:asciiTheme="minorEastAsia" w:hAnsiTheme="minorEastAsia" w:eastAsiaTheme="minorEastAsia"/>
          <w:color w:val="auto"/>
          <w:szCs w:val="21"/>
          <w:highlight w:val="none"/>
          <w:u w:val="single"/>
          <w:lang w:val="en-US" w:eastAsia="zh-CN"/>
        </w:rPr>
        <w:t>22</w:t>
      </w:r>
      <w:r>
        <w:rPr>
          <w:rFonts w:hint="eastAsia" w:asciiTheme="minorEastAsia" w:hAnsiTheme="minorEastAsia" w:eastAsiaTheme="minorEastAsia"/>
          <w:color w:val="auto"/>
          <w:szCs w:val="21"/>
          <w:highlight w:val="none"/>
          <w:u w:val="none"/>
        </w:rPr>
        <w:t>日</w:t>
      </w:r>
      <w:r>
        <w:rPr>
          <w:rFonts w:hint="eastAsia" w:asciiTheme="minorEastAsia" w:hAnsiTheme="minorEastAsia" w:eastAsiaTheme="minorEastAsia"/>
          <w:color w:val="auto"/>
          <w:szCs w:val="21"/>
          <w:highlight w:val="none"/>
          <w:u w:val="single"/>
          <w:lang w:val="en-US" w:eastAsia="zh-CN"/>
        </w:rPr>
        <w:t>10</w:t>
      </w:r>
      <w:r>
        <w:rPr>
          <w:rFonts w:hint="eastAsia" w:asciiTheme="minorEastAsia" w:hAnsiTheme="minorEastAsia" w:eastAsiaTheme="minorEastAsia"/>
          <w:color w:val="auto"/>
          <w:szCs w:val="21"/>
          <w:highlight w:val="none"/>
          <w:u w:val="none"/>
        </w:rPr>
        <w:t>点</w:t>
      </w:r>
      <w:r>
        <w:rPr>
          <w:rFonts w:hint="eastAsia" w:asciiTheme="minorEastAsia" w:hAnsiTheme="minorEastAsia" w:eastAsiaTheme="minorEastAsia"/>
          <w:color w:val="auto"/>
          <w:szCs w:val="21"/>
          <w:highlight w:val="none"/>
          <w:u w:val="single"/>
          <w:lang w:val="en-US" w:eastAsia="zh-CN"/>
        </w:rPr>
        <w:t>00</w:t>
      </w:r>
      <w:r>
        <w:rPr>
          <w:rFonts w:hint="eastAsia" w:asciiTheme="minorEastAsia" w:hAnsiTheme="minorEastAsia" w:eastAsiaTheme="minorEastAsia"/>
          <w:color w:val="auto"/>
          <w:szCs w:val="21"/>
          <w:highlight w:val="none"/>
          <w:u w:val="none"/>
        </w:rPr>
        <w:t>分</w:t>
      </w:r>
      <w:r>
        <w:rPr>
          <w:rFonts w:hint="eastAsia" w:asciiTheme="minorEastAsia" w:hAnsiTheme="minorEastAsia" w:eastAsiaTheme="minorEastAsia"/>
          <w:color w:val="auto"/>
          <w:szCs w:val="21"/>
          <w:highlight w:val="none"/>
        </w:rPr>
        <w:t>（北京时间）（从磋商文件开始发出之日起至供应商提交首次响应文件截止之日止不得少于10日）</w:t>
      </w:r>
    </w:p>
    <w:p w14:paraId="26A769B0">
      <w:pPr>
        <w:pStyle w:val="70"/>
        <w:keepNext w:val="0"/>
        <w:keepLines w:val="0"/>
        <w:pageBreakBefore w:val="0"/>
        <w:widowControl w:val="0"/>
        <w:tabs>
          <w:tab w:val="left" w:pos="426"/>
        </w:tabs>
        <w:kinsoku/>
        <w:overflowPunct/>
        <w:topLinePunct w:val="0"/>
        <w:autoSpaceDE/>
        <w:autoSpaceDN/>
        <w:bidi w:val="0"/>
        <w:adjustRightInd/>
        <w:snapToGrid/>
        <w:spacing w:line="360" w:lineRule="auto"/>
        <w:ind w:left="420" w:firstLine="0" w:firstLineChars="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地点：东莞市道滘镇道厚路创新岛2号4楼招投标服务所</w:t>
      </w:r>
    </w:p>
    <w:p w14:paraId="1B618459">
      <w:pPr>
        <w:pStyle w:val="70"/>
        <w:keepNext w:val="0"/>
        <w:keepLines w:val="0"/>
        <w:pageBreakBefore w:val="0"/>
        <w:widowControl w:val="0"/>
        <w:numPr>
          <w:ilvl w:val="0"/>
          <w:numId w:val="1"/>
        </w:numPr>
        <w:tabs>
          <w:tab w:val="left" w:pos="426"/>
        </w:tabs>
        <w:kinsoku/>
        <w:overflowPunct/>
        <w:topLinePunct w:val="0"/>
        <w:autoSpaceDE/>
        <w:autoSpaceDN/>
        <w:bidi w:val="0"/>
        <w:adjustRightInd/>
        <w:snapToGrid/>
        <w:spacing w:line="360" w:lineRule="auto"/>
        <w:ind w:left="-2" w:leftChars="-1" w:firstLine="1"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开启</w:t>
      </w:r>
    </w:p>
    <w:p w14:paraId="355F8BC2">
      <w:pPr>
        <w:pStyle w:val="70"/>
        <w:keepNext w:val="0"/>
        <w:keepLines w:val="0"/>
        <w:pageBreakBefore w:val="0"/>
        <w:widowControl w:val="0"/>
        <w:tabs>
          <w:tab w:val="left" w:pos="426"/>
        </w:tabs>
        <w:kinsoku/>
        <w:overflowPunct/>
        <w:topLinePunct w:val="0"/>
        <w:autoSpaceDE/>
        <w:autoSpaceDN/>
        <w:bidi w:val="0"/>
        <w:adjustRightInd/>
        <w:snapToGrid/>
        <w:spacing w:line="360" w:lineRule="auto"/>
        <w:ind w:left="-1"/>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时间：</w:t>
      </w:r>
      <w:r>
        <w:rPr>
          <w:rFonts w:hint="eastAsia" w:asciiTheme="minorEastAsia" w:hAnsiTheme="minorEastAsia" w:eastAsiaTheme="minorEastAsia"/>
          <w:color w:val="auto"/>
          <w:szCs w:val="21"/>
          <w:highlight w:val="none"/>
          <w:u w:val="single"/>
          <w:lang w:val="en-US" w:eastAsia="zh-CN"/>
        </w:rPr>
        <w:t>2025</w:t>
      </w:r>
      <w:r>
        <w:rPr>
          <w:rFonts w:hint="eastAsia" w:asciiTheme="minorEastAsia" w:hAnsiTheme="minorEastAsia" w:eastAsiaTheme="minorEastAsia"/>
          <w:color w:val="auto"/>
          <w:szCs w:val="21"/>
          <w:highlight w:val="none"/>
          <w:u w:val="none"/>
        </w:rPr>
        <w:t>年</w:t>
      </w:r>
      <w:r>
        <w:rPr>
          <w:rFonts w:hint="eastAsia" w:asciiTheme="minorEastAsia" w:hAnsiTheme="minorEastAsia" w:eastAsiaTheme="minorEastAsia"/>
          <w:color w:val="auto"/>
          <w:szCs w:val="21"/>
          <w:highlight w:val="none"/>
          <w:u w:val="single"/>
          <w:lang w:val="en-US" w:eastAsia="zh-CN"/>
        </w:rPr>
        <w:t>09</w:t>
      </w:r>
      <w:r>
        <w:rPr>
          <w:rFonts w:hint="eastAsia" w:asciiTheme="minorEastAsia" w:hAnsiTheme="minorEastAsia" w:eastAsiaTheme="minorEastAsia"/>
          <w:color w:val="auto"/>
          <w:szCs w:val="21"/>
          <w:highlight w:val="none"/>
          <w:u w:val="none"/>
        </w:rPr>
        <w:t>月</w:t>
      </w:r>
      <w:r>
        <w:rPr>
          <w:rFonts w:hint="eastAsia" w:asciiTheme="minorEastAsia" w:hAnsiTheme="minorEastAsia" w:eastAsiaTheme="minorEastAsia"/>
          <w:color w:val="auto"/>
          <w:szCs w:val="21"/>
          <w:highlight w:val="none"/>
          <w:u w:val="single"/>
          <w:lang w:val="en-US" w:eastAsia="zh-CN"/>
        </w:rPr>
        <w:t>22</w:t>
      </w:r>
      <w:r>
        <w:rPr>
          <w:rFonts w:hint="eastAsia" w:asciiTheme="minorEastAsia" w:hAnsiTheme="minorEastAsia" w:eastAsiaTheme="minorEastAsia"/>
          <w:color w:val="auto"/>
          <w:szCs w:val="21"/>
          <w:highlight w:val="none"/>
          <w:u w:val="none"/>
        </w:rPr>
        <w:t>日</w:t>
      </w:r>
      <w:r>
        <w:rPr>
          <w:rFonts w:hint="eastAsia" w:asciiTheme="minorEastAsia" w:hAnsiTheme="minorEastAsia" w:eastAsiaTheme="minorEastAsia"/>
          <w:color w:val="auto"/>
          <w:szCs w:val="21"/>
          <w:highlight w:val="none"/>
          <w:u w:val="single"/>
          <w:lang w:val="en-US" w:eastAsia="zh-CN"/>
        </w:rPr>
        <w:t>10</w:t>
      </w:r>
      <w:r>
        <w:rPr>
          <w:rFonts w:hint="eastAsia" w:asciiTheme="minorEastAsia" w:hAnsiTheme="minorEastAsia" w:eastAsiaTheme="minorEastAsia"/>
          <w:color w:val="auto"/>
          <w:szCs w:val="21"/>
          <w:highlight w:val="none"/>
          <w:u w:val="none"/>
        </w:rPr>
        <w:t>点</w:t>
      </w:r>
      <w:r>
        <w:rPr>
          <w:rFonts w:hint="eastAsia" w:asciiTheme="minorEastAsia" w:hAnsiTheme="minorEastAsia" w:eastAsiaTheme="minorEastAsia"/>
          <w:color w:val="auto"/>
          <w:szCs w:val="21"/>
          <w:highlight w:val="none"/>
          <w:u w:val="single"/>
          <w:lang w:val="en-US" w:eastAsia="zh-CN"/>
        </w:rPr>
        <w:t>00</w:t>
      </w:r>
      <w:r>
        <w:rPr>
          <w:rFonts w:hint="eastAsia" w:asciiTheme="minorEastAsia" w:hAnsiTheme="minorEastAsia" w:eastAsiaTheme="minorEastAsia"/>
          <w:color w:val="auto"/>
          <w:szCs w:val="21"/>
          <w:highlight w:val="none"/>
          <w:u w:val="none"/>
        </w:rPr>
        <w:t>分</w:t>
      </w:r>
      <w:r>
        <w:rPr>
          <w:rFonts w:hint="eastAsia" w:asciiTheme="minorEastAsia" w:hAnsiTheme="minorEastAsia" w:eastAsiaTheme="minorEastAsia"/>
          <w:color w:val="auto"/>
          <w:szCs w:val="21"/>
          <w:highlight w:val="none"/>
        </w:rPr>
        <w:t>（北京时间）</w:t>
      </w:r>
    </w:p>
    <w:p w14:paraId="3C8A36AD">
      <w:pPr>
        <w:pStyle w:val="70"/>
        <w:keepNext w:val="0"/>
        <w:keepLines w:val="0"/>
        <w:pageBreakBefore w:val="0"/>
        <w:widowControl w:val="0"/>
        <w:tabs>
          <w:tab w:val="left" w:pos="426"/>
        </w:tabs>
        <w:kinsoku/>
        <w:overflowPunct/>
        <w:topLinePunct w:val="0"/>
        <w:autoSpaceDE/>
        <w:autoSpaceDN/>
        <w:bidi w:val="0"/>
        <w:adjustRightInd/>
        <w:snapToGrid/>
        <w:spacing w:line="360" w:lineRule="auto"/>
        <w:ind w:left="-1"/>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地点：东莞市道滘镇道厚路创新岛2号4楼招投标服务所</w:t>
      </w:r>
    </w:p>
    <w:p w14:paraId="7D285132">
      <w:pPr>
        <w:pStyle w:val="70"/>
        <w:keepNext w:val="0"/>
        <w:keepLines w:val="0"/>
        <w:pageBreakBefore w:val="0"/>
        <w:widowControl w:val="0"/>
        <w:numPr>
          <w:ilvl w:val="0"/>
          <w:numId w:val="1"/>
        </w:numPr>
        <w:tabs>
          <w:tab w:val="left" w:pos="426"/>
        </w:tabs>
        <w:kinsoku/>
        <w:overflowPunct/>
        <w:topLinePunct w:val="0"/>
        <w:autoSpaceDE/>
        <w:autoSpaceDN/>
        <w:bidi w:val="0"/>
        <w:adjustRightInd/>
        <w:snapToGrid/>
        <w:spacing w:line="360" w:lineRule="auto"/>
        <w:ind w:left="-2" w:leftChars="-1" w:firstLine="1"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公告期限</w:t>
      </w:r>
    </w:p>
    <w:p w14:paraId="0EBFD6EA">
      <w:pPr>
        <w:pStyle w:val="70"/>
        <w:tabs>
          <w:tab w:val="left" w:pos="426"/>
        </w:tabs>
        <w:spacing w:line="360" w:lineRule="auto"/>
        <w:ind w:left="420" w:firstLine="0" w:firstLineChars="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自本公告发布之日起3个工作日。</w:t>
      </w:r>
    </w:p>
    <w:p w14:paraId="70A48A46">
      <w:pPr>
        <w:pStyle w:val="70"/>
        <w:numPr>
          <w:ilvl w:val="0"/>
          <w:numId w:val="1"/>
        </w:numPr>
        <w:tabs>
          <w:tab w:val="left" w:pos="426"/>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其他补充事宜</w:t>
      </w:r>
    </w:p>
    <w:p w14:paraId="5DCFA562">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本项目采购标的所属行业为</w:t>
      </w:r>
      <w:r>
        <w:rPr>
          <w:rFonts w:hint="eastAsia" w:asciiTheme="minorEastAsia" w:hAnsiTheme="minorEastAsia" w:eastAsiaTheme="minorEastAsia"/>
          <w:bCs/>
          <w:color w:val="auto"/>
          <w:szCs w:val="21"/>
          <w:highlight w:val="none"/>
          <w:u w:val="single"/>
        </w:rPr>
        <w:t xml:space="preserve"> 租赁和商务服务业</w:t>
      </w:r>
      <w:r>
        <w:rPr>
          <w:rFonts w:asciiTheme="minorEastAsia" w:hAnsiTheme="minorEastAsia" w:eastAsiaTheme="minorEastAsia"/>
          <w:bCs/>
          <w:color w:val="auto"/>
          <w:szCs w:val="21"/>
          <w:highlight w:val="none"/>
          <w:u w:val="single"/>
        </w:rPr>
        <w:t xml:space="preserve"> </w:t>
      </w:r>
      <w:r>
        <w:rPr>
          <w:rFonts w:hint="eastAsia" w:asciiTheme="minorEastAsia" w:hAnsiTheme="minorEastAsia" w:eastAsiaTheme="minorEastAsia"/>
          <w:bCs/>
          <w:color w:val="auto"/>
          <w:szCs w:val="21"/>
          <w:highlight w:val="none"/>
        </w:rPr>
        <w:t>。</w:t>
      </w:r>
    </w:p>
    <w:p w14:paraId="428EFCED">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采购文件公示/下载媒体</w:t>
      </w:r>
    </w:p>
    <w:p w14:paraId="0289EBF7">
      <w:pPr>
        <w:pStyle w:val="70"/>
        <w:keepNext w:val="0"/>
        <w:keepLines w:val="0"/>
        <w:pageBreakBefore w:val="0"/>
        <w:widowControl w:val="0"/>
        <w:kinsoku/>
        <w:wordWrap/>
        <w:overflowPunct/>
        <w:topLinePunct w:val="0"/>
        <w:autoSpaceDE/>
        <w:autoSpaceDN/>
        <w:bidi w:val="0"/>
        <w:adjustRightInd/>
        <w:snapToGrid/>
        <w:spacing w:line="360" w:lineRule="auto"/>
        <w:ind w:left="420" w:firstLine="420" w:firstLineChars="200"/>
        <w:textAlignment w:val="auto"/>
        <w:rPr>
          <w:rFonts w:asciiTheme="minorEastAsia" w:hAnsiTheme="minorEastAsia" w:eastAsiaTheme="minorEastAsia"/>
          <w:bCs/>
          <w:color w:val="auto"/>
          <w:spacing w:val="0"/>
          <w:sz w:val="21"/>
          <w:szCs w:val="21"/>
          <w:highlight w:val="none"/>
        </w:rPr>
      </w:pPr>
      <w:r>
        <w:rPr>
          <w:rFonts w:hint="eastAsia" w:ascii="宋体" w:hAnsi="宋体"/>
          <w:color w:val="auto"/>
          <w:spacing w:val="0"/>
          <w:sz w:val="21"/>
          <w:szCs w:val="21"/>
          <w:highlight w:val="none"/>
        </w:rPr>
        <w:t>中国采购与招标网</w:t>
      </w:r>
      <w:r>
        <w:rPr>
          <w:rFonts w:ascii="宋体" w:hAnsi="宋体"/>
          <w:color w:val="auto"/>
          <w:spacing w:val="0"/>
          <w:sz w:val="21"/>
          <w:szCs w:val="21"/>
          <w:highlight w:val="none"/>
        </w:rPr>
        <w:t>（https://zbdt.chinabidding.cn/）、广东智汇城市招标采购有限公司网站(http://www.gdzhcity.com/)</w:t>
      </w:r>
    </w:p>
    <w:p w14:paraId="002E0A5F">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拟参加本项目的潜在供应商须在规定时间内按要求获取磋商文件后方可参与本项目的磋商。获取磋商文件后而不参加磋商的潜在供应商，请在开标日期三日前以书面形式通知采购代理机构。</w:t>
      </w:r>
    </w:p>
    <w:p w14:paraId="0150955E">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获取磋商文件联系人及联系方式：</w:t>
      </w:r>
      <w:r>
        <w:rPr>
          <w:rFonts w:hint="eastAsia" w:asciiTheme="minorEastAsia" w:hAnsiTheme="minorEastAsia" w:eastAsiaTheme="minorEastAsia"/>
          <w:bCs/>
          <w:color w:val="auto"/>
          <w:szCs w:val="21"/>
          <w:highlight w:val="none"/>
          <w:lang w:val="en-US" w:eastAsia="zh-CN"/>
        </w:rPr>
        <w:t>黄</w:t>
      </w:r>
      <w:r>
        <w:rPr>
          <w:rFonts w:hint="eastAsia" w:asciiTheme="minorEastAsia" w:hAnsiTheme="minorEastAsia" w:eastAsiaTheme="minorEastAsia"/>
          <w:bCs/>
          <w:color w:val="auto"/>
          <w:szCs w:val="21"/>
          <w:highlight w:val="none"/>
        </w:rPr>
        <w:t>小姐 0769</w:t>
      </w:r>
      <w:r>
        <w:rPr>
          <w:rFonts w:hint="eastAsia" w:asciiTheme="minorEastAsia" w:hAnsiTheme="minorEastAsia" w:eastAsiaTheme="minorEastAsia"/>
          <w:bCs/>
          <w:color w:val="auto"/>
          <w:szCs w:val="21"/>
          <w:highlight w:val="none"/>
          <w:lang w:val="en-US" w:eastAsia="zh-CN"/>
        </w:rPr>
        <w:t>-</w:t>
      </w:r>
      <w:r>
        <w:rPr>
          <w:rFonts w:hint="eastAsia" w:asciiTheme="minorEastAsia" w:hAnsiTheme="minorEastAsia" w:eastAsiaTheme="minorEastAsia"/>
          <w:bCs/>
          <w:color w:val="auto"/>
          <w:szCs w:val="21"/>
          <w:highlight w:val="none"/>
        </w:rPr>
        <w:t>22367009</w:t>
      </w:r>
      <w:r>
        <w:rPr>
          <w:rFonts w:asciiTheme="minorEastAsia" w:hAnsiTheme="minorEastAsia" w:eastAsiaTheme="minorEastAsia"/>
          <w:bCs/>
          <w:color w:val="auto"/>
          <w:szCs w:val="21"/>
          <w:highlight w:val="none"/>
        </w:rPr>
        <w:t xml:space="preserve"> </w:t>
      </w:r>
      <w:r>
        <w:rPr>
          <w:rFonts w:hint="eastAsia" w:asciiTheme="minorEastAsia" w:hAnsiTheme="minorEastAsia" w:eastAsiaTheme="minorEastAsia"/>
          <w:bCs/>
          <w:color w:val="auto"/>
          <w:szCs w:val="21"/>
          <w:highlight w:val="none"/>
        </w:rPr>
        <w:t>邮箱：</w:t>
      </w:r>
      <w:r>
        <w:rPr>
          <w:rFonts w:asciiTheme="minorEastAsia" w:hAnsiTheme="minorEastAsia" w:eastAsiaTheme="minorEastAsia"/>
          <w:color w:val="auto"/>
          <w:highlight w:val="none"/>
        </w:rPr>
        <w:t>zhcity_gd@163.com</w:t>
      </w:r>
      <w:r>
        <w:rPr>
          <w:rFonts w:hint="eastAsia" w:asciiTheme="minorEastAsia" w:hAnsiTheme="minorEastAsia" w:eastAsiaTheme="minorEastAsia"/>
          <w:bCs/>
          <w:color w:val="auto"/>
          <w:szCs w:val="21"/>
          <w:highlight w:val="none"/>
        </w:rPr>
        <w:t>。</w:t>
      </w:r>
    </w:p>
    <w:p w14:paraId="0B7ED9C3">
      <w:pPr>
        <w:pStyle w:val="70"/>
        <w:numPr>
          <w:ilvl w:val="0"/>
          <w:numId w:val="1"/>
        </w:numPr>
        <w:tabs>
          <w:tab w:val="left" w:pos="567"/>
        </w:tabs>
        <w:spacing w:before="156" w:beforeLines="50"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对本次采购提出询问，请按以下方式联系。</w:t>
      </w:r>
    </w:p>
    <w:p w14:paraId="1C74D448">
      <w:pPr>
        <w:pStyle w:val="70"/>
        <w:numPr>
          <w:ilvl w:val="0"/>
          <w:numId w:val="6"/>
        </w:numPr>
        <w:tabs>
          <w:tab w:val="left" w:pos="567"/>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采购人信息</w:t>
      </w:r>
    </w:p>
    <w:p w14:paraId="4900A1DC">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 xml:space="preserve">名 </w:t>
      </w:r>
      <w:r>
        <w:rPr>
          <w:rFonts w:hint="eastAsia" w:ascii="宋体" w:hAnsi="宋体"/>
          <w:bCs/>
          <w:color w:val="auto"/>
          <w:szCs w:val="21"/>
          <w:highlight w:val="none"/>
          <w:lang w:val="en-US" w:eastAsia="zh-CN"/>
        </w:rPr>
        <w:t xml:space="preserve">   </w:t>
      </w:r>
      <w:r>
        <w:rPr>
          <w:rFonts w:hint="eastAsia" w:ascii="宋体" w:hAnsi="宋体"/>
          <w:bCs/>
          <w:color w:val="auto"/>
          <w:szCs w:val="21"/>
          <w:highlight w:val="none"/>
        </w:rPr>
        <w:t>称：东莞市道滘镇蔡白股份经济联合社</w:t>
      </w:r>
    </w:p>
    <w:p w14:paraId="384E59E3">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地</w:t>
      </w:r>
      <w:r>
        <w:rPr>
          <w:rFonts w:hint="eastAsia" w:ascii="宋体" w:hAnsi="宋体"/>
          <w:bCs/>
          <w:color w:val="auto"/>
          <w:szCs w:val="21"/>
          <w:highlight w:val="none"/>
          <w:lang w:val="en-US" w:eastAsia="zh-CN"/>
        </w:rPr>
        <w:t xml:space="preserve">    </w:t>
      </w:r>
      <w:r>
        <w:rPr>
          <w:rFonts w:hint="eastAsia" w:ascii="宋体" w:hAnsi="宋体"/>
          <w:bCs/>
          <w:color w:val="auto"/>
          <w:szCs w:val="21"/>
          <w:highlight w:val="none"/>
        </w:rPr>
        <w:t>址：东莞市道滘镇蔡白村</w:t>
      </w:r>
    </w:p>
    <w:p w14:paraId="30DB3D45">
      <w:pPr>
        <w:tabs>
          <w:tab w:val="left" w:pos="567"/>
        </w:tabs>
        <w:spacing w:line="360" w:lineRule="auto"/>
        <w:ind w:left="424" w:leftChars="202"/>
        <w:rPr>
          <w:rFonts w:hint="eastAsia" w:eastAsia="宋体" w:asciiTheme="minorEastAsia" w:hAnsiTheme="minorEastAsia"/>
          <w:b/>
          <w:color w:val="auto"/>
          <w:szCs w:val="21"/>
          <w:highlight w:val="none"/>
          <w:lang w:val="en-US" w:eastAsia="zh-CN"/>
        </w:rPr>
      </w:pPr>
      <w:r>
        <w:rPr>
          <w:rFonts w:hint="eastAsia" w:ascii="宋体" w:hAnsi="宋体"/>
          <w:bCs/>
          <w:color w:val="auto"/>
          <w:szCs w:val="21"/>
          <w:highlight w:val="none"/>
        </w:rPr>
        <w:t>联系方式：</w:t>
      </w:r>
      <w:r>
        <w:rPr>
          <w:rFonts w:hint="eastAsia" w:ascii="宋体" w:hAnsi="宋体"/>
          <w:bCs/>
          <w:color w:val="auto"/>
          <w:szCs w:val="21"/>
          <w:highlight w:val="none"/>
          <w:lang w:val="en-US" w:eastAsia="zh-CN"/>
        </w:rPr>
        <w:t>0769-88338089</w:t>
      </w:r>
    </w:p>
    <w:p w14:paraId="65CA57CE">
      <w:pPr>
        <w:pStyle w:val="70"/>
        <w:numPr>
          <w:ilvl w:val="0"/>
          <w:numId w:val="6"/>
        </w:numPr>
        <w:tabs>
          <w:tab w:val="left" w:pos="567"/>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采购代理机构信息</w:t>
      </w:r>
    </w:p>
    <w:p w14:paraId="05DE4C84">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 xml:space="preserve">名 </w:t>
      </w:r>
      <w:r>
        <w:rPr>
          <w:rFonts w:hint="eastAsia" w:ascii="宋体" w:hAnsi="宋体"/>
          <w:bCs/>
          <w:color w:val="auto"/>
          <w:szCs w:val="21"/>
          <w:highlight w:val="none"/>
          <w:lang w:val="en-US" w:eastAsia="zh-CN"/>
        </w:rPr>
        <w:t xml:space="preserve">  </w:t>
      </w:r>
      <w:r>
        <w:rPr>
          <w:rFonts w:ascii="宋体" w:hAnsi="宋体"/>
          <w:bCs/>
          <w:color w:val="auto"/>
          <w:szCs w:val="21"/>
          <w:highlight w:val="none"/>
        </w:rPr>
        <w:t xml:space="preserve"> </w:t>
      </w:r>
      <w:r>
        <w:rPr>
          <w:rFonts w:hint="eastAsia" w:ascii="宋体" w:hAnsi="宋体"/>
          <w:bCs/>
          <w:color w:val="auto"/>
          <w:szCs w:val="21"/>
          <w:highlight w:val="none"/>
        </w:rPr>
        <w:t>称：广东智汇城市招标采购有限公司</w:t>
      </w:r>
    </w:p>
    <w:p w14:paraId="3C2A19C1">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地</w:t>
      </w:r>
      <w:r>
        <w:rPr>
          <w:rFonts w:hint="eastAsia" w:ascii="宋体" w:hAnsi="宋体"/>
          <w:bCs/>
          <w:color w:val="auto"/>
          <w:szCs w:val="21"/>
          <w:highlight w:val="none"/>
          <w:lang w:val="en-US" w:eastAsia="zh-CN"/>
        </w:rPr>
        <w:t xml:space="preserve">    </w:t>
      </w:r>
      <w:r>
        <w:rPr>
          <w:rFonts w:hint="eastAsia" w:ascii="宋体" w:hAnsi="宋体"/>
          <w:bCs/>
          <w:color w:val="auto"/>
          <w:szCs w:val="21"/>
          <w:highlight w:val="none"/>
        </w:rPr>
        <w:t>址：东莞市南城街道雅园产业园区路5号1栋1楼</w:t>
      </w:r>
    </w:p>
    <w:p w14:paraId="073D7775">
      <w:pPr>
        <w:tabs>
          <w:tab w:val="left" w:pos="567"/>
        </w:tabs>
        <w:spacing w:line="360" w:lineRule="auto"/>
        <w:ind w:left="424" w:leftChars="202"/>
        <w:rPr>
          <w:rFonts w:asciiTheme="minorEastAsia" w:hAnsiTheme="minorEastAsia" w:eastAsiaTheme="minorEastAsia"/>
          <w:b/>
          <w:color w:val="auto"/>
          <w:szCs w:val="21"/>
          <w:highlight w:val="none"/>
        </w:rPr>
      </w:pPr>
      <w:r>
        <w:rPr>
          <w:rFonts w:hint="eastAsia" w:ascii="宋体" w:hAnsi="宋体"/>
          <w:bCs/>
          <w:color w:val="auto"/>
          <w:szCs w:val="21"/>
          <w:highlight w:val="none"/>
        </w:rPr>
        <w:t>联系方式：</w:t>
      </w:r>
      <w:bookmarkStart w:id="6" w:name="OLE_LINK1"/>
      <w:r>
        <w:rPr>
          <w:rFonts w:hint="eastAsia" w:ascii="宋体" w:hAnsi="宋体"/>
          <w:bCs/>
          <w:color w:val="auto"/>
          <w:szCs w:val="21"/>
          <w:highlight w:val="none"/>
        </w:rPr>
        <w:t>0769</w:t>
      </w:r>
      <w:r>
        <w:rPr>
          <w:rFonts w:hint="eastAsia" w:ascii="宋体" w:hAnsi="宋体"/>
          <w:bCs/>
          <w:color w:val="auto"/>
          <w:szCs w:val="21"/>
          <w:highlight w:val="none"/>
          <w:lang w:val="en-US" w:eastAsia="zh-CN"/>
        </w:rPr>
        <w:t>-</w:t>
      </w:r>
      <w:r>
        <w:rPr>
          <w:rFonts w:hint="eastAsia" w:ascii="宋体" w:hAnsi="宋体"/>
          <w:bCs/>
          <w:color w:val="auto"/>
          <w:szCs w:val="21"/>
          <w:highlight w:val="none"/>
        </w:rPr>
        <w:t>22367009</w:t>
      </w:r>
      <w:bookmarkEnd w:id="6"/>
    </w:p>
    <w:p w14:paraId="5C1C7EC5">
      <w:pPr>
        <w:pStyle w:val="70"/>
        <w:numPr>
          <w:ilvl w:val="0"/>
          <w:numId w:val="6"/>
        </w:numPr>
        <w:tabs>
          <w:tab w:val="left" w:pos="567"/>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项目联系方式</w:t>
      </w:r>
    </w:p>
    <w:p w14:paraId="4C383F68">
      <w:pPr>
        <w:tabs>
          <w:tab w:val="left" w:pos="567"/>
        </w:tabs>
        <w:spacing w:line="360" w:lineRule="auto"/>
        <w:ind w:left="283" w:leftChars="135" w:firstLine="142" w:firstLineChars="68"/>
        <w:rPr>
          <w:rFonts w:hint="eastAsia" w:asciiTheme="minorEastAsia" w:hAnsiTheme="minorEastAsia" w:eastAsiaTheme="minorEastAsia"/>
          <w:bCs/>
          <w:color w:val="auto"/>
          <w:szCs w:val="21"/>
          <w:highlight w:val="none"/>
          <w:lang w:val="en-US" w:eastAsia="zh-CN"/>
        </w:rPr>
      </w:pPr>
      <w:r>
        <w:rPr>
          <w:rFonts w:hint="eastAsia" w:asciiTheme="minorEastAsia" w:hAnsiTheme="minorEastAsia" w:eastAsiaTheme="minorEastAsia"/>
          <w:bCs/>
          <w:color w:val="auto"/>
          <w:szCs w:val="21"/>
          <w:highlight w:val="none"/>
        </w:rPr>
        <w:t>项目联系人：</w:t>
      </w:r>
      <w:r>
        <w:rPr>
          <w:rFonts w:hint="eastAsia" w:asciiTheme="minorEastAsia" w:hAnsiTheme="minorEastAsia" w:eastAsiaTheme="minorEastAsia"/>
          <w:bCs/>
          <w:color w:val="auto"/>
          <w:szCs w:val="21"/>
          <w:highlight w:val="none"/>
          <w:lang w:val="en-US" w:eastAsia="zh-CN"/>
        </w:rPr>
        <w:t>陈子菱</w:t>
      </w:r>
    </w:p>
    <w:p w14:paraId="24E54B94">
      <w:pPr>
        <w:tabs>
          <w:tab w:val="left" w:pos="567"/>
        </w:tabs>
        <w:spacing w:line="360" w:lineRule="auto"/>
        <w:ind w:left="283" w:leftChars="135" w:firstLine="142" w:firstLineChars="68"/>
        <w:rPr>
          <w:rFonts w:asciiTheme="minorEastAsia" w:hAnsiTheme="minorEastAsia" w:eastAsiaTheme="minorEastAsia"/>
          <w:b/>
          <w:color w:val="auto"/>
          <w:szCs w:val="21"/>
          <w:highlight w:val="none"/>
        </w:rPr>
      </w:pPr>
      <w:r>
        <w:rPr>
          <w:rFonts w:hint="eastAsia" w:asciiTheme="minorEastAsia" w:hAnsiTheme="minorEastAsia" w:eastAsiaTheme="minorEastAsia"/>
          <w:bCs/>
          <w:color w:val="auto"/>
          <w:szCs w:val="21"/>
          <w:highlight w:val="none"/>
        </w:rPr>
        <w:t>电</w:t>
      </w:r>
      <w:r>
        <w:rPr>
          <w:rFonts w:hint="eastAsia" w:asciiTheme="minorEastAsia" w:hAnsiTheme="minorEastAsia" w:eastAsiaTheme="minorEastAsia"/>
          <w:bCs/>
          <w:color w:val="auto"/>
          <w:szCs w:val="21"/>
          <w:highlight w:val="none"/>
          <w:lang w:val="en-US" w:eastAsia="zh-CN"/>
        </w:rPr>
        <w:t xml:space="preserve">      </w:t>
      </w:r>
      <w:r>
        <w:rPr>
          <w:rFonts w:hint="eastAsia" w:asciiTheme="minorEastAsia" w:hAnsiTheme="minorEastAsia" w:eastAsiaTheme="minorEastAsia"/>
          <w:bCs/>
          <w:color w:val="auto"/>
          <w:szCs w:val="21"/>
          <w:highlight w:val="none"/>
        </w:rPr>
        <w:t>话：0769</w:t>
      </w:r>
      <w:r>
        <w:rPr>
          <w:rFonts w:hint="eastAsia" w:asciiTheme="minorEastAsia" w:hAnsiTheme="minorEastAsia" w:eastAsiaTheme="minorEastAsia"/>
          <w:bCs/>
          <w:color w:val="auto"/>
          <w:szCs w:val="21"/>
          <w:highlight w:val="none"/>
          <w:lang w:val="en-US" w:eastAsia="zh-CN"/>
        </w:rPr>
        <w:t>-</w:t>
      </w:r>
      <w:r>
        <w:rPr>
          <w:rFonts w:hint="eastAsia" w:asciiTheme="minorEastAsia" w:hAnsiTheme="minorEastAsia" w:eastAsiaTheme="minorEastAsia"/>
          <w:bCs/>
          <w:color w:val="auto"/>
          <w:szCs w:val="21"/>
          <w:highlight w:val="none"/>
        </w:rPr>
        <w:t>22367009</w:t>
      </w:r>
    </w:p>
    <w:p w14:paraId="0B913B98">
      <w:pPr>
        <w:tabs>
          <w:tab w:val="left" w:pos="567"/>
        </w:tabs>
        <w:spacing w:before="156" w:line="360" w:lineRule="auto"/>
        <w:rPr>
          <w:rFonts w:asciiTheme="minorEastAsia" w:hAnsiTheme="minorEastAsia" w:eastAsiaTheme="minorEastAsia"/>
          <w:b/>
          <w:color w:val="auto"/>
          <w:szCs w:val="21"/>
          <w:highlight w:val="none"/>
        </w:rPr>
      </w:pPr>
    </w:p>
    <w:p w14:paraId="5DA7ECFD">
      <w:pPr>
        <w:tabs>
          <w:tab w:val="left" w:pos="567"/>
        </w:tabs>
        <w:spacing w:before="840" w:line="360" w:lineRule="auto"/>
        <w:jc w:val="right"/>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发布人：广东智汇城市招标采购有限公司</w:t>
      </w:r>
    </w:p>
    <w:p w14:paraId="0E3B9DA6">
      <w:pPr>
        <w:keepNext w:val="0"/>
        <w:keepLines w:val="0"/>
        <w:pageBreakBefore w:val="0"/>
        <w:widowControl w:val="0"/>
        <w:tabs>
          <w:tab w:val="left" w:pos="567"/>
        </w:tabs>
        <w:kinsoku/>
        <w:wordWrap/>
        <w:overflowPunct/>
        <w:topLinePunct w:val="0"/>
        <w:autoSpaceDE/>
        <w:autoSpaceDN/>
        <w:bidi w:val="0"/>
        <w:adjustRightInd/>
        <w:snapToGrid/>
        <w:spacing w:before="156" w:line="360" w:lineRule="auto"/>
        <w:ind w:right="0"/>
        <w:jc w:val="right"/>
        <w:textAlignment w:val="auto"/>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发布时间：</w:t>
      </w:r>
      <w:r>
        <w:rPr>
          <w:rFonts w:hint="eastAsia" w:asciiTheme="minorEastAsia" w:hAnsiTheme="minorEastAsia" w:eastAsiaTheme="minorEastAsia"/>
          <w:b/>
          <w:color w:val="auto"/>
          <w:szCs w:val="21"/>
          <w:highlight w:val="none"/>
          <w:lang w:val="en-US" w:eastAsia="zh-CN"/>
        </w:rPr>
        <w:t>2025</w:t>
      </w:r>
      <w:r>
        <w:rPr>
          <w:rFonts w:hint="eastAsia" w:asciiTheme="minorEastAsia" w:hAnsiTheme="minorEastAsia" w:eastAsiaTheme="minorEastAsia"/>
          <w:b/>
          <w:color w:val="auto"/>
          <w:szCs w:val="21"/>
          <w:highlight w:val="none"/>
        </w:rPr>
        <w:t>年</w:t>
      </w:r>
      <w:r>
        <w:rPr>
          <w:rFonts w:hint="eastAsia" w:asciiTheme="minorEastAsia" w:hAnsiTheme="minorEastAsia" w:eastAsiaTheme="minorEastAsia"/>
          <w:b/>
          <w:color w:val="auto"/>
          <w:szCs w:val="21"/>
          <w:highlight w:val="none"/>
          <w:lang w:val="en-US" w:eastAsia="zh-CN"/>
        </w:rPr>
        <w:t>09</w:t>
      </w:r>
      <w:r>
        <w:rPr>
          <w:rFonts w:hint="eastAsia" w:asciiTheme="minorEastAsia" w:hAnsiTheme="minorEastAsia" w:eastAsiaTheme="minorEastAsia"/>
          <w:b/>
          <w:color w:val="auto"/>
          <w:szCs w:val="21"/>
          <w:highlight w:val="none"/>
        </w:rPr>
        <w:t>月</w:t>
      </w:r>
      <w:r>
        <w:rPr>
          <w:rFonts w:hint="eastAsia" w:asciiTheme="minorEastAsia" w:hAnsiTheme="minorEastAsia" w:eastAsiaTheme="minorEastAsia"/>
          <w:b/>
          <w:color w:val="auto"/>
          <w:szCs w:val="21"/>
          <w:highlight w:val="none"/>
          <w:lang w:val="en-US" w:eastAsia="zh-CN"/>
        </w:rPr>
        <w:t>10</w:t>
      </w:r>
      <w:r>
        <w:rPr>
          <w:rFonts w:hint="eastAsia" w:asciiTheme="minorEastAsia" w:hAnsiTheme="minorEastAsia" w:eastAsiaTheme="minorEastAsia"/>
          <w:b/>
          <w:color w:val="auto"/>
          <w:szCs w:val="21"/>
          <w:highlight w:val="none"/>
        </w:rPr>
        <w:t>日</w:t>
      </w:r>
    </w:p>
    <w:p w14:paraId="201BA6D3">
      <w:pPr>
        <w:rPr>
          <w:rFonts w:asciiTheme="minorEastAsia" w:hAnsiTheme="minorEastAsia" w:eastAsiaTheme="minorEastAsia"/>
          <w:color w:val="auto"/>
          <w:highlight w:val="none"/>
        </w:rPr>
      </w:pPr>
    </w:p>
    <w:bookmarkEnd w:id="2"/>
    <w:bookmarkEnd w:id="3"/>
    <w:p w14:paraId="2E37799C">
      <w:pPr>
        <w:pStyle w:val="2"/>
        <w:keepNext w:val="0"/>
        <w:keepLines w:val="0"/>
        <w:pageBreakBefore/>
        <w:widowControl w:val="0"/>
        <w:kinsoku/>
        <w:wordWrap/>
        <w:overflowPunct/>
        <w:topLinePunct w:val="0"/>
        <w:autoSpaceDE/>
        <w:autoSpaceDN/>
        <w:bidi w:val="0"/>
        <w:adjustRightInd/>
        <w:snapToGrid/>
        <w:spacing w:before="0" w:after="240" w:line="360" w:lineRule="auto"/>
        <w:jc w:val="center"/>
        <w:textAlignment w:val="auto"/>
        <w:rPr>
          <w:rFonts w:asciiTheme="minorEastAsia" w:hAnsiTheme="minorEastAsia" w:eastAsiaTheme="minorEastAsia" w:cstheme="minorBidi"/>
          <w:b w:val="0"/>
          <w:bCs w:val="0"/>
          <w:color w:val="auto"/>
          <w:spacing w:val="20"/>
          <w:sz w:val="32"/>
          <w:szCs w:val="32"/>
          <w:highlight w:val="none"/>
        </w:rPr>
      </w:pPr>
      <w:bookmarkStart w:id="7" w:name="_Toc90976500"/>
      <w:bookmarkStart w:id="8" w:name="_Toc170228129"/>
      <w:r>
        <w:rPr>
          <w:rFonts w:hint="eastAsia" w:asciiTheme="minorEastAsia" w:hAnsiTheme="minorEastAsia" w:eastAsiaTheme="minorEastAsia"/>
          <w:color w:val="auto"/>
          <w:spacing w:val="20"/>
          <w:sz w:val="32"/>
          <w:szCs w:val="32"/>
          <w:highlight w:val="none"/>
        </w:rPr>
        <w:t>第二章</w:t>
      </w:r>
      <w:r>
        <w:rPr>
          <w:rFonts w:asciiTheme="minorEastAsia" w:hAnsiTheme="minorEastAsia" w:eastAsiaTheme="minorEastAsia"/>
          <w:color w:val="auto"/>
          <w:spacing w:val="20"/>
          <w:sz w:val="32"/>
          <w:szCs w:val="32"/>
          <w:highlight w:val="none"/>
        </w:rPr>
        <w:t xml:space="preserve"> </w:t>
      </w:r>
      <w:r>
        <w:rPr>
          <w:rFonts w:hint="eastAsia" w:asciiTheme="minorEastAsia" w:hAnsiTheme="minorEastAsia" w:eastAsiaTheme="minorEastAsia"/>
          <w:color w:val="auto"/>
          <w:spacing w:val="20"/>
          <w:sz w:val="32"/>
          <w:szCs w:val="32"/>
          <w:highlight w:val="none"/>
        </w:rPr>
        <w:t>采购需求</w:t>
      </w:r>
      <w:bookmarkEnd w:id="7"/>
      <w:bookmarkEnd w:id="8"/>
    </w:p>
    <w:p w14:paraId="469AD730">
      <w:pPr>
        <w:snapToGrid w:val="0"/>
        <w:spacing w:line="360" w:lineRule="auto"/>
        <w:contextualSpacing/>
        <w:rPr>
          <w:rFonts w:ascii="宋体" w:hAnsi="宋体"/>
          <w:color w:val="auto"/>
          <w:szCs w:val="21"/>
          <w:highlight w:val="none"/>
        </w:rPr>
      </w:pPr>
      <w:bookmarkStart w:id="9" w:name="_Hlk90919605"/>
      <w:r>
        <w:rPr>
          <w:rFonts w:hint="eastAsia" w:ascii="宋体" w:hAnsi="宋体"/>
          <w:b/>
          <w:color w:val="auto"/>
          <w:szCs w:val="21"/>
          <w:highlight w:val="none"/>
        </w:rPr>
        <w:t>说明：</w:t>
      </w:r>
      <w:r>
        <w:rPr>
          <w:rFonts w:hint="eastAsia" w:ascii="宋体" w:hAnsi="宋体"/>
          <w:color w:val="auto"/>
          <w:szCs w:val="21"/>
          <w:highlight w:val="none"/>
        </w:rPr>
        <w:t>采购需求成交有“★”的地方均被视为重要的采购需求，供应商要特别加以注意，必须对此响应并完全满足这些要求，否则若有一项带“★”的要求未响应或不满足，将按无效响应处理。</w:t>
      </w:r>
    </w:p>
    <w:p w14:paraId="4562D4C9">
      <w:pPr>
        <w:numPr>
          <w:ilvl w:val="0"/>
          <w:numId w:val="7"/>
        </w:numPr>
        <w:snapToGrid w:val="0"/>
        <w:spacing w:line="360" w:lineRule="auto"/>
        <w:ind w:left="442" w:hanging="442"/>
        <w:contextualSpacing/>
        <w:rPr>
          <w:rFonts w:ascii="宋体" w:hAnsi="宋体"/>
          <w:b/>
          <w:color w:val="auto"/>
          <w:szCs w:val="21"/>
          <w:highlight w:val="none"/>
        </w:rPr>
      </w:pPr>
      <w:r>
        <w:rPr>
          <w:rFonts w:ascii="宋体" w:hAnsi="宋体"/>
          <w:b/>
          <w:bCs/>
          <w:color w:val="auto"/>
          <w:highlight w:val="none"/>
        </w:rPr>
        <w:t>采购标的</w:t>
      </w:r>
    </w:p>
    <w:p w14:paraId="7B89FF67">
      <w:pPr>
        <w:numPr>
          <w:ilvl w:val="0"/>
          <w:numId w:val="8"/>
        </w:numPr>
        <w:snapToGrid w:val="0"/>
        <w:spacing w:line="360" w:lineRule="auto"/>
        <w:contextualSpacing/>
        <w:rPr>
          <w:rFonts w:ascii="宋体" w:hAnsi="宋体"/>
          <w:bCs/>
          <w:color w:val="auto"/>
          <w:szCs w:val="21"/>
          <w:highlight w:val="none"/>
        </w:rPr>
      </w:pPr>
      <w:r>
        <w:rPr>
          <w:rFonts w:ascii="宋体" w:hAnsi="宋体"/>
          <w:bCs/>
          <w:color w:val="auto"/>
          <w:szCs w:val="21"/>
          <w:highlight w:val="none"/>
        </w:rPr>
        <w:t>采购标的</w:t>
      </w:r>
    </w:p>
    <w:tbl>
      <w:tblPr>
        <w:tblStyle w:val="7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3877"/>
        <w:gridCol w:w="1134"/>
        <w:gridCol w:w="1134"/>
        <w:gridCol w:w="2295"/>
      </w:tblGrid>
      <w:tr w14:paraId="64194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exact"/>
        </w:trPr>
        <w:tc>
          <w:tcPr>
            <w:tcW w:w="456" w:type="pct"/>
            <w:vAlign w:val="center"/>
          </w:tcPr>
          <w:p w14:paraId="78181132">
            <w:pPr>
              <w:spacing w:line="360" w:lineRule="auto"/>
              <w:jc w:val="center"/>
              <w:rPr>
                <w:rFonts w:ascii="宋体" w:hAnsi="宋体" w:eastAsia="宋体"/>
                <w:b/>
                <w:bCs w:val="0"/>
                <w:color w:val="auto"/>
                <w:szCs w:val="21"/>
                <w:highlight w:val="none"/>
              </w:rPr>
            </w:pPr>
            <w:r>
              <w:rPr>
                <w:rFonts w:hint="eastAsia" w:ascii="宋体" w:hAnsi="宋体" w:eastAsia="宋体"/>
                <w:b/>
                <w:bCs w:val="0"/>
                <w:color w:val="auto"/>
                <w:szCs w:val="21"/>
                <w:highlight w:val="none"/>
              </w:rPr>
              <w:t>序号</w:t>
            </w:r>
          </w:p>
        </w:tc>
        <w:tc>
          <w:tcPr>
            <w:tcW w:w="2086" w:type="pct"/>
            <w:vAlign w:val="center"/>
          </w:tcPr>
          <w:p w14:paraId="4E5891E4">
            <w:pPr>
              <w:spacing w:line="360" w:lineRule="auto"/>
              <w:jc w:val="center"/>
              <w:rPr>
                <w:rFonts w:ascii="宋体" w:hAnsi="宋体" w:eastAsia="宋体"/>
                <w:b/>
                <w:bCs w:val="0"/>
                <w:color w:val="auto"/>
                <w:szCs w:val="21"/>
                <w:highlight w:val="none"/>
              </w:rPr>
            </w:pPr>
            <w:r>
              <w:rPr>
                <w:rFonts w:hint="eastAsia" w:ascii="宋体" w:hAnsi="宋体" w:eastAsia="宋体"/>
                <w:b/>
                <w:bCs w:val="0"/>
                <w:color w:val="auto"/>
                <w:szCs w:val="21"/>
                <w:highlight w:val="none"/>
              </w:rPr>
              <w:t>标的名称</w:t>
            </w:r>
          </w:p>
        </w:tc>
        <w:tc>
          <w:tcPr>
            <w:tcW w:w="610" w:type="pct"/>
            <w:vAlign w:val="center"/>
          </w:tcPr>
          <w:p w14:paraId="36E1B2DE">
            <w:pPr>
              <w:spacing w:line="360" w:lineRule="auto"/>
              <w:jc w:val="center"/>
              <w:rPr>
                <w:rFonts w:ascii="宋体" w:hAnsi="宋体" w:eastAsia="宋体"/>
                <w:b/>
                <w:bCs w:val="0"/>
                <w:color w:val="auto"/>
                <w:szCs w:val="21"/>
                <w:highlight w:val="none"/>
              </w:rPr>
            </w:pPr>
            <w:r>
              <w:rPr>
                <w:rFonts w:hint="eastAsia" w:ascii="宋体" w:hAnsi="宋体" w:eastAsia="宋体"/>
                <w:b/>
                <w:bCs w:val="0"/>
                <w:color w:val="auto"/>
                <w:szCs w:val="21"/>
                <w:highlight w:val="none"/>
              </w:rPr>
              <w:t>数量</w:t>
            </w:r>
          </w:p>
        </w:tc>
        <w:tc>
          <w:tcPr>
            <w:tcW w:w="610" w:type="pct"/>
            <w:vAlign w:val="center"/>
          </w:tcPr>
          <w:p w14:paraId="0B97BCBA">
            <w:pPr>
              <w:spacing w:line="360" w:lineRule="auto"/>
              <w:jc w:val="center"/>
              <w:rPr>
                <w:rFonts w:ascii="宋体" w:hAnsi="宋体" w:eastAsia="宋体"/>
                <w:b/>
                <w:bCs w:val="0"/>
                <w:color w:val="auto"/>
                <w:szCs w:val="21"/>
                <w:highlight w:val="none"/>
              </w:rPr>
            </w:pPr>
            <w:r>
              <w:rPr>
                <w:rFonts w:hint="eastAsia" w:ascii="宋体" w:hAnsi="宋体" w:eastAsia="宋体"/>
                <w:b/>
                <w:bCs w:val="0"/>
                <w:color w:val="auto"/>
                <w:szCs w:val="21"/>
                <w:highlight w:val="none"/>
              </w:rPr>
              <w:t>单位</w:t>
            </w:r>
          </w:p>
        </w:tc>
        <w:tc>
          <w:tcPr>
            <w:tcW w:w="1235" w:type="pct"/>
            <w:vAlign w:val="center"/>
          </w:tcPr>
          <w:p w14:paraId="572FE963">
            <w:pPr>
              <w:spacing w:line="360" w:lineRule="auto"/>
              <w:jc w:val="center"/>
              <w:rPr>
                <w:rFonts w:ascii="宋体" w:hAnsi="宋体" w:eastAsia="宋体"/>
                <w:b/>
                <w:bCs w:val="0"/>
                <w:color w:val="auto"/>
                <w:szCs w:val="21"/>
                <w:highlight w:val="none"/>
              </w:rPr>
            </w:pPr>
            <w:r>
              <w:rPr>
                <w:rFonts w:hint="eastAsia" w:ascii="宋体" w:hAnsi="宋体" w:eastAsia="宋体"/>
                <w:b/>
                <w:bCs w:val="0"/>
                <w:color w:val="auto"/>
                <w:szCs w:val="21"/>
                <w:highlight w:val="none"/>
              </w:rPr>
              <w:t>采购标的所属行业</w:t>
            </w:r>
          </w:p>
        </w:tc>
      </w:tr>
      <w:tr w14:paraId="2F256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456" w:type="pct"/>
            <w:vAlign w:val="center"/>
          </w:tcPr>
          <w:p w14:paraId="39FF9E35">
            <w:pPr>
              <w:spacing w:line="360" w:lineRule="auto"/>
              <w:jc w:val="center"/>
              <w:rPr>
                <w:rFonts w:hint="eastAsia" w:ascii="宋体" w:hAnsi="宋体" w:eastAsia="宋体"/>
                <w:bCs/>
                <w:color w:val="auto"/>
                <w:szCs w:val="21"/>
                <w:highlight w:val="none"/>
                <w:lang w:val="en-US" w:eastAsia="zh-CN"/>
              </w:rPr>
            </w:pPr>
            <w:r>
              <w:rPr>
                <w:rFonts w:hint="eastAsia" w:ascii="宋体" w:hAnsi="宋体"/>
                <w:b/>
                <w:bCs w:val="0"/>
                <w:color w:val="auto"/>
                <w:szCs w:val="21"/>
                <w:highlight w:val="none"/>
                <w:lang w:val="en-US" w:eastAsia="zh-CN"/>
              </w:rPr>
              <w:t>1</w:t>
            </w:r>
          </w:p>
        </w:tc>
        <w:tc>
          <w:tcPr>
            <w:tcW w:w="2086" w:type="pct"/>
            <w:vAlign w:val="center"/>
          </w:tcPr>
          <w:p w14:paraId="1E6532D2">
            <w:pPr>
              <w:spacing w:line="360" w:lineRule="auto"/>
              <w:jc w:val="center"/>
              <w:rPr>
                <w:rFonts w:ascii="宋体" w:hAnsi="宋体" w:eastAsia="宋体"/>
                <w:bCs/>
                <w:color w:val="auto"/>
                <w:szCs w:val="21"/>
                <w:highlight w:val="none"/>
              </w:rPr>
            </w:pPr>
            <w:r>
              <w:rPr>
                <w:rFonts w:hint="eastAsia" w:asciiTheme="minorEastAsia" w:hAnsiTheme="minorEastAsia" w:eastAsiaTheme="minorEastAsia"/>
                <w:bCs/>
                <w:color w:val="auto"/>
                <w:szCs w:val="21"/>
                <w:highlight w:val="none"/>
                <w:lang w:val="en-US" w:eastAsia="zh-CN"/>
              </w:rPr>
              <w:t>办公</w:t>
            </w:r>
            <w:r>
              <w:rPr>
                <w:rFonts w:hint="eastAsia" w:asciiTheme="minorEastAsia" w:hAnsiTheme="minorEastAsia" w:eastAsiaTheme="minorEastAsia"/>
                <w:bCs/>
                <w:color w:val="auto"/>
                <w:szCs w:val="21"/>
                <w:highlight w:val="none"/>
              </w:rPr>
              <w:t>大楼保安服务</w:t>
            </w:r>
          </w:p>
        </w:tc>
        <w:tc>
          <w:tcPr>
            <w:tcW w:w="610" w:type="pct"/>
            <w:vAlign w:val="center"/>
          </w:tcPr>
          <w:p w14:paraId="2B5B546B">
            <w:pPr>
              <w:spacing w:line="360" w:lineRule="auto"/>
              <w:jc w:val="center"/>
              <w:rPr>
                <w:rFonts w:hint="eastAsia"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1</w:t>
            </w:r>
          </w:p>
        </w:tc>
        <w:tc>
          <w:tcPr>
            <w:tcW w:w="610" w:type="pct"/>
            <w:vAlign w:val="center"/>
          </w:tcPr>
          <w:p w14:paraId="69C25433">
            <w:pPr>
              <w:spacing w:line="360" w:lineRule="auto"/>
              <w:jc w:val="center"/>
              <w:rPr>
                <w:rFonts w:hint="eastAsia"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项</w:t>
            </w:r>
          </w:p>
        </w:tc>
        <w:tc>
          <w:tcPr>
            <w:tcW w:w="1235" w:type="pct"/>
            <w:vAlign w:val="center"/>
          </w:tcPr>
          <w:p w14:paraId="5F2525BB">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租赁和商务服务业</w:t>
            </w:r>
          </w:p>
        </w:tc>
      </w:tr>
    </w:tbl>
    <w:p w14:paraId="07792C71">
      <w:pPr>
        <w:numPr>
          <w:ilvl w:val="0"/>
          <w:numId w:val="0"/>
        </w:numPr>
        <w:snapToGrid w:val="0"/>
        <w:spacing w:line="360" w:lineRule="auto"/>
        <w:ind w:leftChars="0"/>
        <w:contextualSpacing/>
        <w:rPr>
          <w:rFonts w:ascii="宋体" w:hAnsi="宋体"/>
          <w:b/>
          <w:color w:val="auto"/>
          <w:szCs w:val="21"/>
          <w:highlight w:val="none"/>
          <w:u w:val="single"/>
        </w:rPr>
      </w:pPr>
      <w:r>
        <w:rPr>
          <w:rFonts w:hint="eastAsia" w:ascii="宋体" w:hAnsi="宋体"/>
          <w:b/>
          <w:color w:val="auto"/>
          <w:szCs w:val="21"/>
          <w:highlight w:val="none"/>
          <w:u w:val="single"/>
          <w:lang w:val="en-US" w:eastAsia="zh-CN"/>
        </w:rPr>
        <w:t>注：</w:t>
      </w:r>
      <w:r>
        <w:rPr>
          <w:rFonts w:hint="eastAsia" w:ascii="宋体" w:hAnsi="宋体"/>
          <w:b/>
          <w:color w:val="auto"/>
          <w:szCs w:val="21"/>
          <w:highlight w:val="none"/>
          <w:u w:val="single"/>
        </w:rPr>
        <w:t>★按照公安部《公安机关实施保安服务管理条例办法》第二十六条“保安服务公司派出保安员提供保安服务，保安服务合同履行地与保安服务公司所在地不在同一省、自治区、直辖市的，应当依照《条例》第二十三条的规定，在开始提供保安服务之前30个工作日内向保安服务合同履行地设区市的公安机关备案，并接受备案地公安机关监督管理。”规定，异地注册的</w:t>
      </w:r>
      <w:r>
        <w:rPr>
          <w:rFonts w:hint="eastAsia" w:ascii="宋体" w:hAnsi="宋体"/>
          <w:b/>
          <w:color w:val="auto"/>
          <w:szCs w:val="21"/>
          <w:highlight w:val="none"/>
          <w:u w:val="single"/>
          <w:lang w:val="en-US" w:eastAsia="zh-CN"/>
        </w:rPr>
        <w:t>供应商</w:t>
      </w:r>
      <w:r>
        <w:rPr>
          <w:rFonts w:hint="eastAsia" w:ascii="宋体" w:hAnsi="宋体"/>
          <w:b/>
          <w:color w:val="auto"/>
          <w:szCs w:val="21"/>
          <w:highlight w:val="none"/>
          <w:u w:val="single"/>
        </w:rPr>
        <w:t>在东莞从事保安服务的须承诺</w:t>
      </w:r>
      <w:r>
        <w:rPr>
          <w:rFonts w:hint="eastAsia" w:ascii="宋体" w:hAnsi="宋体"/>
          <w:b/>
          <w:color w:val="auto"/>
          <w:szCs w:val="21"/>
          <w:highlight w:val="none"/>
          <w:u w:val="single"/>
          <w:lang w:eastAsia="zh-CN"/>
        </w:rPr>
        <w:t>：</w:t>
      </w:r>
      <w:r>
        <w:rPr>
          <w:rFonts w:hint="eastAsia" w:ascii="宋体" w:hAnsi="宋体"/>
          <w:b/>
          <w:color w:val="auto"/>
          <w:szCs w:val="21"/>
          <w:highlight w:val="none"/>
          <w:u w:val="single"/>
        </w:rPr>
        <w:t>在开始提供保安服务之前30个工作日内在东莞市公安局进行保安服务公司跨区域经营服务备案并取得对应回执（须提供承诺函加盖</w:t>
      </w:r>
      <w:r>
        <w:rPr>
          <w:rFonts w:hint="eastAsia" w:ascii="宋体" w:hAnsi="宋体"/>
          <w:b/>
          <w:color w:val="auto"/>
          <w:szCs w:val="21"/>
          <w:highlight w:val="none"/>
          <w:u w:val="single"/>
          <w:lang w:val="en-US" w:eastAsia="zh-CN"/>
        </w:rPr>
        <w:t>供应商</w:t>
      </w:r>
      <w:r>
        <w:rPr>
          <w:rFonts w:hint="eastAsia" w:ascii="宋体" w:hAnsi="宋体"/>
          <w:b/>
          <w:color w:val="auto"/>
          <w:szCs w:val="21"/>
          <w:highlight w:val="none"/>
          <w:u w:val="single"/>
        </w:rPr>
        <w:t>公章，承诺函格式自拟）。</w:t>
      </w:r>
    </w:p>
    <w:p w14:paraId="48980B12">
      <w:pPr>
        <w:numPr>
          <w:ilvl w:val="0"/>
          <w:numId w:val="7"/>
        </w:numPr>
        <w:snapToGrid w:val="0"/>
        <w:spacing w:line="360" w:lineRule="auto"/>
        <w:ind w:left="442" w:hanging="442"/>
        <w:contextualSpacing/>
        <w:rPr>
          <w:rFonts w:ascii="宋体" w:hAnsi="宋体"/>
          <w:b/>
          <w:color w:val="auto"/>
          <w:szCs w:val="21"/>
          <w:highlight w:val="none"/>
        </w:rPr>
      </w:pPr>
      <w:r>
        <w:rPr>
          <w:rFonts w:ascii="宋体" w:hAnsi="宋体"/>
          <w:b/>
          <w:bCs/>
          <w:color w:val="auto"/>
          <w:highlight w:val="none"/>
        </w:rPr>
        <w:t>商务要求</w:t>
      </w:r>
    </w:p>
    <w:p w14:paraId="0BED9725">
      <w:pPr>
        <w:numPr>
          <w:ilvl w:val="0"/>
          <w:numId w:val="9"/>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rPr>
        <w:t>服务</w:t>
      </w:r>
      <w:r>
        <w:rPr>
          <w:rFonts w:hint="eastAsia" w:ascii="宋体" w:hAnsi="宋体"/>
          <w:iCs/>
          <w:color w:val="auto"/>
          <w:szCs w:val="21"/>
          <w:highlight w:val="none"/>
          <w:lang w:val="en-US" w:eastAsia="zh-CN"/>
        </w:rPr>
        <w:t>期：自合同签订之日起2年。（具体起止时间以合同签订内容为准）</w:t>
      </w:r>
    </w:p>
    <w:p w14:paraId="34CC259B">
      <w:pPr>
        <w:numPr>
          <w:ilvl w:val="0"/>
          <w:numId w:val="9"/>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rPr>
        <w:t>服务地点</w:t>
      </w:r>
      <w:r>
        <w:rPr>
          <w:rFonts w:hint="eastAsia" w:ascii="宋体" w:hAnsi="宋体"/>
          <w:iCs/>
          <w:color w:val="auto"/>
          <w:szCs w:val="21"/>
          <w:highlight w:val="none"/>
          <w:lang w:eastAsia="zh-CN"/>
        </w:rPr>
        <w:t>：</w:t>
      </w:r>
      <w:r>
        <w:rPr>
          <w:rFonts w:hint="eastAsia" w:ascii="宋体" w:hAnsi="宋体"/>
          <w:iCs/>
          <w:color w:val="auto"/>
          <w:szCs w:val="21"/>
          <w:highlight w:val="none"/>
          <w:lang w:val="en-US" w:eastAsia="zh-CN"/>
        </w:rPr>
        <w:t>东莞市道滘镇蔡白村村民委员会或采购人指定地点。</w:t>
      </w:r>
    </w:p>
    <w:p w14:paraId="16CB89DF">
      <w:pPr>
        <w:numPr>
          <w:ilvl w:val="0"/>
          <w:numId w:val="9"/>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rPr>
        <w:t>付款方式</w:t>
      </w:r>
      <w:r>
        <w:rPr>
          <w:rFonts w:hint="eastAsia" w:ascii="宋体" w:hAnsi="宋体"/>
          <w:iCs/>
          <w:color w:val="auto"/>
          <w:szCs w:val="21"/>
          <w:highlight w:val="none"/>
          <w:lang w:eastAsia="zh-CN"/>
        </w:rPr>
        <w:t>：</w:t>
      </w:r>
    </w:p>
    <w:p w14:paraId="5E24D8D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iCs/>
          <w:color w:val="auto"/>
          <w:szCs w:val="21"/>
          <w:highlight w:val="none"/>
          <w:lang w:val="en-US" w:eastAsia="zh-CN"/>
        </w:rPr>
      </w:pPr>
      <w:r>
        <w:rPr>
          <w:rFonts w:hint="eastAsia" w:ascii="宋体" w:hAnsi="宋体"/>
          <w:iCs/>
          <w:color w:val="auto"/>
          <w:szCs w:val="21"/>
          <w:highlight w:val="none"/>
          <w:lang w:val="en-US" w:eastAsia="zh-CN"/>
        </w:rPr>
        <w:t>成交供应商</w:t>
      </w:r>
      <w:r>
        <w:rPr>
          <w:rFonts w:hint="eastAsia" w:ascii="宋体" w:hAnsi="宋体"/>
          <w:iCs/>
          <w:color w:val="auto"/>
          <w:szCs w:val="21"/>
          <w:highlight w:val="none"/>
        </w:rPr>
        <w:t>服务每满3个月为一结算周期，每一结算周期满后</w:t>
      </w:r>
      <w:r>
        <w:rPr>
          <w:rFonts w:hint="eastAsia" w:ascii="宋体" w:hAnsi="宋体"/>
          <w:iCs/>
          <w:color w:val="auto"/>
          <w:szCs w:val="21"/>
          <w:highlight w:val="none"/>
          <w:lang w:val="en-US" w:eastAsia="zh-CN"/>
        </w:rPr>
        <w:t>10日内由成交供应商向采购人提交请款申请，采购人收到成交供应商合格请款资料后15个工作日内向成交供应商支付对应服务费。</w:t>
      </w:r>
    </w:p>
    <w:p w14:paraId="01EB53D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2" w:firstLineChars="200"/>
        <w:contextualSpacing/>
        <w:textAlignment w:val="auto"/>
        <w:rPr>
          <w:rFonts w:hint="eastAsia" w:ascii="宋体" w:hAnsi="宋体"/>
          <w:iCs/>
          <w:color w:val="auto"/>
          <w:szCs w:val="21"/>
          <w:highlight w:val="none"/>
        </w:rPr>
      </w:pPr>
      <w:r>
        <w:rPr>
          <w:rFonts w:hint="eastAsia" w:ascii="宋体" w:hAnsi="宋体"/>
          <w:b/>
          <w:bCs/>
          <w:iCs/>
          <w:color w:val="auto"/>
          <w:szCs w:val="21"/>
          <w:highlight w:val="none"/>
          <w:lang w:val="en-US" w:eastAsia="zh-CN"/>
        </w:rPr>
        <w:t>注：请款资料是指：①</w:t>
      </w:r>
      <w:r>
        <w:rPr>
          <w:rFonts w:hint="eastAsia" w:ascii="宋体" w:hAnsi="宋体"/>
          <w:b/>
          <w:bCs/>
          <w:iCs/>
          <w:color w:val="auto"/>
          <w:szCs w:val="21"/>
          <w:highlight w:val="none"/>
        </w:rPr>
        <w:t>经采购人确认的上一结算周期</w:t>
      </w:r>
      <w:r>
        <w:rPr>
          <w:rFonts w:hint="eastAsia" w:ascii="宋体" w:hAnsi="宋体"/>
          <w:b/>
          <w:bCs/>
          <w:iCs/>
          <w:color w:val="auto"/>
          <w:szCs w:val="21"/>
          <w:highlight w:val="none"/>
          <w:lang w:eastAsia="zh-CN"/>
        </w:rPr>
        <w:t>《</w:t>
      </w:r>
      <w:r>
        <w:rPr>
          <w:rFonts w:hint="eastAsia" w:ascii="宋体" w:hAnsi="宋体"/>
          <w:b/>
          <w:bCs/>
          <w:iCs/>
          <w:color w:val="auto"/>
          <w:szCs w:val="21"/>
          <w:highlight w:val="none"/>
        </w:rPr>
        <w:t>保安服务管理考核表</w:t>
      </w:r>
      <w:r>
        <w:rPr>
          <w:rFonts w:hint="eastAsia" w:ascii="宋体" w:hAnsi="宋体"/>
          <w:b/>
          <w:bCs/>
          <w:iCs/>
          <w:color w:val="auto"/>
          <w:szCs w:val="21"/>
          <w:highlight w:val="none"/>
          <w:lang w:eastAsia="zh-CN"/>
        </w:rPr>
        <w:t>》；</w:t>
      </w:r>
      <w:r>
        <w:rPr>
          <w:rFonts w:hint="eastAsia" w:ascii="宋体" w:hAnsi="宋体"/>
          <w:b/>
          <w:bCs/>
          <w:iCs/>
          <w:color w:val="auto"/>
          <w:szCs w:val="21"/>
          <w:highlight w:val="none"/>
          <w:lang w:val="en-US" w:eastAsia="zh-CN"/>
        </w:rPr>
        <w:t>②等额、合规的服务费增值税发票（发票金额须根据按考核表、合同约定扣除后的上一结算周期服务费开具）</w:t>
      </w:r>
      <w:r>
        <w:rPr>
          <w:rFonts w:hint="eastAsia" w:ascii="宋体" w:hAnsi="宋体"/>
          <w:b/>
          <w:bCs/>
          <w:iCs/>
          <w:color w:val="auto"/>
          <w:szCs w:val="21"/>
          <w:highlight w:val="none"/>
        </w:rPr>
        <w:t>。</w:t>
      </w:r>
    </w:p>
    <w:p w14:paraId="1974EC55">
      <w:pPr>
        <w:numPr>
          <w:ilvl w:val="0"/>
          <w:numId w:val="9"/>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lang w:val="en-US" w:eastAsia="zh-CN"/>
        </w:rPr>
        <w:t>报价要求：</w:t>
      </w:r>
    </w:p>
    <w:p w14:paraId="1979569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iCs/>
          <w:color w:val="auto"/>
          <w:szCs w:val="21"/>
          <w:highlight w:val="none"/>
        </w:rPr>
      </w:pPr>
      <w:r>
        <w:rPr>
          <w:rFonts w:hint="eastAsia" w:ascii="宋体" w:hAnsi="宋体"/>
          <w:iCs/>
          <w:color w:val="auto"/>
          <w:szCs w:val="21"/>
          <w:highlight w:val="none"/>
        </w:rPr>
        <w:t>本项目以人民币报价，</w:t>
      </w:r>
      <w:r>
        <w:rPr>
          <w:rFonts w:hint="eastAsia" w:ascii="宋体" w:hAnsi="宋体"/>
          <w:iCs/>
          <w:color w:val="auto"/>
          <w:szCs w:val="21"/>
          <w:highlight w:val="none"/>
          <w:lang w:val="en-US" w:eastAsia="zh-CN"/>
        </w:rPr>
        <w:t>响应</w:t>
      </w:r>
      <w:r>
        <w:rPr>
          <w:rFonts w:hint="eastAsia" w:ascii="宋体" w:hAnsi="宋体"/>
          <w:iCs/>
          <w:color w:val="auto"/>
          <w:szCs w:val="21"/>
          <w:highlight w:val="none"/>
        </w:rPr>
        <w:t>供应商报价应包含完成本</w:t>
      </w:r>
      <w:r>
        <w:rPr>
          <w:rFonts w:hint="eastAsia" w:ascii="宋体" w:hAnsi="宋体"/>
          <w:iCs/>
          <w:color w:val="auto"/>
          <w:szCs w:val="21"/>
          <w:highlight w:val="none"/>
          <w:lang w:val="en-US" w:eastAsia="zh-CN"/>
        </w:rPr>
        <w:t>项目</w:t>
      </w:r>
      <w:r>
        <w:rPr>
          <w:rFonts w:hint="eastAsia" w:ascii="宋体" w:hAnsi="宋体"/>
          <w:iCs/>
          <w:color w:val="auto"/>
          <w:szCs w:val="21"/>
          <w:highlight w:val="none"/>
        </w:rPr>
        <w:t>所有服务内容的费用，包含人工费、社保费、设备费、服装费、节假日加班费、管理费、各种税务费及合同实施过程中的应预见和不可预见费用等完成合同规定责任和义务、达到合同目的的一切费用。</w:t>
      </w:r>
    </w:p>
    <w:p w14:paraId="359B34D3">
      <w:pPr>
        <w:numPr>
          <w:ilvl w:val="0"/>
          <w:numId w:val="9"/>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lang w:val="en-US" w:eastAsia="zh-CN"/>
        </w:rPr>
        <w:t>验收方法：</w:t>
      </w:r>
    </w:p>
    <w:p w14:paraId="5E4E3AD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default" w:ascii="宋体" w:hAnsi="宋体" w:eastAsia="宋体" w:cs="宋体"/>
          <w:iCs/>
          <w:color w:val="auto"/>
          <w:szCs w:val="21"/>
          <w:highlight w:val="none"/>
          <w:lang w:val="en-US" w:eastAsia="zh-CN"/>
        </w:rPr>
      </w:pPr>
      <w:r>
        <w:rPr>
          <w:rFonts w:hint="eastAsia"/>
          <w:color w:val="auto"/>
          <w:highlight w:val="none"/>
          <w:lang w:val="en-US" w:eastAsia="zh-CN"/>
        </w:rPr>
        <w:t>成交供应商服务每</w:t>
      </w:r>
      <w:r>
        <w:rPr>
          <w:rFonts w:hint="eastAsia" w:ascii="宋体" w:hAnsi="宋体" w:eastAsia="宋体" w:cs="宋体"/>
          <w:color w:val="auto"/>
          <w:highlight w:val="none"/>
          <w:lang w:val="en-US" w:eastAsia="zh-CN"/>
        </w:rPr>
        <w:t>满1个月</w:t>
      </w:r>
      <w:r>
        <w:rPr>
          <w:rFonts w:hint="eastAsia" w:ascii="宋体" w:hAnsi="宋体" w:cs="宋体"/>
          <w:color w:val="auto"/>
          <w:highlight w:val="none"/>
          <w:lang w:val="en-US" w:eastAsia="zh-CN"/>
        </w:rPr>
        <w:t>后的7日内，由</w:t>
      </w:r>
      <w:r>
        <w:rPr>
          <w:rFonts w:hint="eastAsia" w:ascii="宋体" w:hAnsi="宋体"/>
          <w:iCs/>
          <w:color w:val="auto"/>
          <w:szCs w:val="21"/>
          <w:highlight w:val="none"/>
        </w:rPr>
        <w:t>采购人</w:t>
      </w:r>
      <w:r>
        <w:rPr>
          <w:rFonts w:hint="eastAsia" w:ascii="宋体" w:hAnsi="宋体"/>
          <w:iCs/>
          <w:color w:val="auto"/>
          <w:szCs w:val="21"/>
          <w:highlight w:val="none"/>
          <w:lang w:eastAsia="zh-CN"/>
        </w:rPr>
        <w:t>（</w:t>
      </w:r>
      <w:r>
        <w:rPr>
          <w:rFonts w:hint="eastAsia" w:ascii="宋体" w:hAnsi="宋体"/>
          <w:iCs/>
          <w:color w:val="auto"/>
          <w:szCs w:val="21"/>
          <w:highlight w:val="none"/>
        </w:rPr>
        <w:t>或采购人指定的单位</w:t>
      </w:r>
      <w:r>
        <w:rPr>
          <w:rFonts w:hint="eastAsia" w:ascii="宋体" w:hAnsi="宋体"/>
          <w:iCs/>
          <w:color w:val="auto"/>
          <w:szCs w:val="21"/>
          <w:highlight w:val="none"/>
          <w:lang w:eastAsia="zh-CN"/>
        </w:rPr>
        <w:t>）</w:t>
      </w:r>
      <w:r>
        <w:rPr>
          <w:rFonts w:hint="eastAsia" w:ascii="宋体" w:hAnsi="宋体"/>
          <w:iCs/>
          <w:color w:val="auto"/>
          <w:szCs w:val="21"/>
          <w:highlight w:val="none"/>
          <w:lang w:val="en-US" w:eastAsia="zh-CN"/>
        </w:rPr>
        <w:t>根据《</w:t>
      </w:r>
      <w:r>
        <w:rPr>
          <w:rFonts w:hint="eastAsia" w:ascii="宋体" w:hAnsi="宋体"/>
          <w:iCs/>
          <w:color w:val="auto"/>
          <w:szCs w:val="21"/>
          <w:highlight w:val="none"/>
        </w:rPr>
        <w:t>保安服务管理考核表</w:t>
      </w:r>
      <w:r>
        <w:rPr>
          <w:rFonts w:hint="eastAsia" w:ascii="宋体" w:hAnsi="宋体"/>
          <w:iCs/>
          <w:color w:val="auto"/>
          <w:szCs w:val="21"/>
          <w:highlight w:val="none"/>
          <w:lang w:val="en-US" w:eastAsia="zh-CN"/>
        </w:rPr>
        <w:t>》要求对</w:t>
      </w:r>
      <w:r>
        <w:rPr>
          <w:rFonts w:hint="eastAsia"/>
          <w:color w:val="auto"/>
          <w:highlight w:val="none"/>
          <w:lang w:val="en-US" w:eastAsia="zh-CN"/>
        </w:rPr>
        <w:t>成交供应商</w:t>
      </w:r>
      <w:r>
        <w:rPr>
          <w:color w:val="auto"/>
          <w:highlight w:val="none"/>
        </w:rPr>
        <w:t>的月度</w:t>
      </w:r>
      <w:r>
        <w:rPr>
          <w:rFonts w:hint="eastAsia"/>
          <w:color w:val="auto"/>
          <w:highlight w:val="none"/>
          <w:lang w:val="en-US" w:eastAsia="zh-CN"/>
        </w:rPr>
        <w:t>服务情况进行考核，成交供应商应当在考核开始前将上月服务过程中产生的各类资料（包括但不限于：考勤记录、工作台账、工作报告等）递交至采购人处，作为考核的重要依据。</w:t>
      </w:r>
    </w:p>
    <w:p w14:paraId="6A01B724">
      <w:pPr>
        <w:numPr>
          <w:ilvl w:val="0"/>
          <w:numId w:val="9"/>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lang w:val="en-US" w:eastAsia="zh-CN"/>
        </w:rPr>
        <w:t>分包与转包：</w:t>
      </w:r>
    </w:p>
    <w:p w14:paraId="1E46421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iCs/>
          <w:color w:val="auto"/>
          <w:szCs w:val="21"/>
          <w:highlight w:val="none"/>
        </w:rPr>
      </w:pPr>
      <w:r>
        <w:rPr>
          <w:rFonts w:hint="eastAsia" w:ascii="宋体" w:hAnsi="宋体"/>
          <w:iCs/>
          <w:color w:val="auto"/>
          <w:szCs w:val="21"/>
          <w:highlight w:val="none"/>
          <w:lang w:val="en-US" w:eastAsia="zh-CN"/>
        </w:rPr>
        <w:t>本项目禁止转包，未经采购人书面同意不得以任何理由分包。如成交供应商擅自将本合同的有关权利和义务转让给第三方，采购人有权单方解除合同并追究成交供应商违约责任，成交供应商须向采购人支付合同总金额的10%作为违约金，并赔偿由此给采购人造成的一切损失。</w:t>
      </w:r>
    </w:p>
    <w:p w14:paraId="08634CF9">
      <w:pPr>
        <w:numPr>
          <w:ilvl w:val="0"/>
          <w:numId w:val="7"/>
        </w:numPr>
        <w:snapToGrid w:val="0"/>
        <w:spacing w:line="360" w:lineRule="auto"/>
        <w:ind w:left="442" w:hanging="442"/>
        <w:contextualSpacing/>
        <w:rPr>
          <w:rFonts w:ascii="宋体" w:hAnsi="宋体"/>
          <w:b/>
          <w:color w:val="auto"/>
          <w:szCs w:val="21"/>
          <w:highlight w:val="none"/>
        </w:rPr>
      </w:pPr>
      <w:r>
        <w:rPr>
          <w:rFonts w:ascii="宋体" w:hAnsi="宋体"/>
          <w:b/>
          <w:bCs/>
          <w:color w:val="auto"/>
          <w:highlight w:val="none"/>
        </w:rPr>
        <w:t>技术要求</w:t>
      </w:r>
    </w:p>
    <w:p w14:paraId="648C984A">
      <w:pPr>
        <w:numPr>
          <w:ilvl w:val="0"/>
          <w:numId w:val="10"/>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lang w:val="en-US" w:eastAsia="zh-CN"/>
        </w:rPr>
        <w:t>服务内容</w:t>
      </w:r>
    </w:p>
    <w:p w14:paraId="7CE462FC">
      <w:pPr>
        <w:numPr>
          <w:ilvl w:val="0"/>
          <w:numId w:val="11"/>
        </w:numPr>
        <w:tabs>
          <w:tab w:val="left" w:pos="284"/>
        </w:tabs>
        <w:snapToGrid w:val="0"/>
        <w:spacing w:line="360" w:lineRule="auto"/>
        <w:ind w:left="284" w:hanging="284"/>
        <w:contextualSpacing/>
        <w:rPr>
          <w:rFonts w:hint="eastAsia" w:ascii="宋体" w:hAnsi="宋体"/>
          <w:color w:val="auto"/>
          <w:szCs w:val="21"/>
          <w:highlight w:val="none"/>
        </w:rPr>
      </w:pPr>
      <w:r>
        <w:rPr>
          <w:rFonts w:hint="eastAsia" w:ascii="宋体" w:hAnsi="宋体"/>
          <w:color w:val="auto"/>
          <w:szCs w:val="21"/>
          <w:highlight w:val="none"/>
          <w:lang w:val="en-US" w:eastAsia="zh-CN"/>
        </w:rPr>
        <w:t>成交供应商须</w:t>
      </w:r>
      <w:r>
        <w:rPr>
          <w:rFonts w:hint="eastAsia" w:ascii="宋体" w:hAnsi="宋体"/>
          <w:color w:val="auto"/>
          <w:szCs w:val="21"/>
          <w:highlight w:val="none"/>
        </w:rPr>
        <w:t>负责办公楼的门卫、办公楼巡逻、人员出入、车辆进出和停放管理，维护办公楼的秩序，保护办公楼内人员的人身、财产安全，</w:t>
      </w:r>
      <w:r>
        <w:rPr>
          <w:rFonts w:hint="eastAsia" w:ascii="宋体" w:hAnsi="宋体"/>
          <w:color w:val="auto"/>
          <w:szCs w:val="21"/>
          <w:highlight w:val="none"/>
          <w:lang w:val="en-US" w:eastAsia="zh-CN"/>
        </w:rPr>
        <w:t>做好</w:t>
      </w:r>
      <w:r>
        <w:rPr>
          <w:rFonts w:hint="eastAsia" w:ascii="宋体" w:hAnsi="宋体"/>
          <w:color w:val="auto"/>
          <w:szCs w:val="21"/>
          <w:highlight w:val="none"/>
        </w:rPr>
        <w:t>办公楼内临时性的应急处置工作，</w:t>
      </w:r>
      <w:r>
        <w:rPr>
          <w:rFonts w:hint="eastAsia" w:ascii="宋体" w:hAnsi="宋体"/>
          <w:color w:val="auto"/>
          <w:szCs w:val="21"/>
          <w:highlight w:val="none"/>
          <w:lang w:val="en-US" w:eastAsia="zh-CN"/>
        </w:rPr>
        <w:t>对</w:t>
      </w:r>
      <w:r>
        <w:rPr>
          <w:rFonts w:hint="eastAsia" w:ascii="宋体" w:hAnsi="宋体"/>
          <w:color w:val="auto"/>
          <w:szCs w:val="21"/>
          <w:highlight w:val="none"/>
        </w:rPr>
        <w:t>办公楼内消防系统及设备</w:t>
      </w:r>
      <w:r>
        <w:rPr>
          <w:rFonts w:hint="eastAsia" w:ascii="宋体" w:hAnsi="宋体"/>
          <w:color w:val="auto"/>
          <w:szCs w:val="21"/>
          <w:highlight w:val="none"/>
          <w:lang w:val="en-US" w:eastAsia="zh-CN"/>
        </w:rPr>
        <w:t>进行</w:t>
      </w:r>
      <w:r>
        <w:rPr>
          <w:rFonts w:hint="eastAsia" w:ascii="宋体" w:hAnsi="宋体"/>
          <w:color w:val="auto"/>
          <w:szCs w:val="21"/>
          <w:highlight w:val="none"/>
        </w:rPr>
        <w:t>检查</w:t>
      </w:r>
      <w:r>
        <w:rPr>
          <w:rFonts w:hint="eastAsia" w:ascii="宋体" w:hAnsi="宋体"/>
          <w:color w:val="auto"/>
          <w:szCs w:val="21"/>
          <w:highlight w:val="none"/>
          <w:lang w:val="en-US" w:eastAsia="zh-CN"/>
        </w:rPr>
        <w:t>并向采购人提交相应</w:t>
      </w:r>
      <w:r>
        <w:rPr>
          <w:rFonts w:hint="eastAsia" w:ascii="宋体" w:hAnsi="宋体"/>
          <w:color w:val="auto"/>
          <w:szCs w:val="21"/>
          <w:highlight w:val="none"/>
        </w:rPr>
        <w:t>报告，并做好办公楼的防火灾、防盗窃、防破坏、防事故、防抢劫、防诈骗、防暴恐、防爆破等安全工作，配合</w:t>
      </w:r>
      <w:r>
        <w:rPr>
          <w:rFonts w:hint="eastAsia" w:ascii="宋体" w:hAnsi="宋体"/>
          <w:color w:val="auto"/>
          <w:szCs w:val="21"/>
          <w:highlight w:val="none"/>
          <w:lang w:val="en-US" w:eastAsia="zh-CN"/>
        </w:rPr>
        <w:t>承担</w:t>
      </w:r>
      <w:r>
        <w:rPr>
          <w:rFonts w:hint="eastAsia" w:ascii="宋体" w:hAnsi="宋体"/>
          <w:color w:val="auto"/>
          <w:szCs w:val="21"/>
          <w:highlight w:val="none"/>
        </w:rPr>
        <w:t>采购人各类演练的安保工作。办公楼遭遇重大安全威胁时必须升级安保状态，</w:t>
      </w:r>
      <w:r>
        <w:rPr>
          <w:rFonts w:hint="eastAsia" w:ascii="宋体" w:hAnsi="宋体"/>
          <w:color w:val="auto"/>
          <w:szCs w:val="21"/>
          <w:highlight w:val="none"/>
          <w:lang w:val="en-US" w:eastAsia="zh-CN"/>
        </w:rPr>
        <w:t>采购人要求</w:t>
      </w:r>
      <w:r>
        <w:rPr>
          <w:rFonts w:hint="eastAsia" w:ascii="宋体" w:hAnsi="宋体"/>
          <w:color w:val="auto"/>
          <w:szCs w:val="21"/>
          <w:highlight w:val="none"/>
        </w:rPr>
        <w:t>加强安保力量时</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不得推诿。</w:t>
      </w:r>
    </w:p>
    <w:p w14:paraId="54063360">
      <w:pPr>
        <w:numPr>
          <w:ilvl w:val="0"/>
          <w:numId w:val="11"/>
        </w:numPr>
        <w:tabs>
          <w:tab w:val="left" w:pos="284"/>
        </w:tabs>
        <w:snapToGrid w:val="0"/>
        <w:spacing w:line="360" w:lineRule="auto"/>
        <w:ind w:left="284" w:hanging="284"/>
        <w:contextualSpacing/>
        <w:rPr>
          <w:rFonts w:hint="eastAsia" w:ascii="宋体" w:hAnsi="宋体"/>
          <w:color w:val="auto"/>
          <w:szCs w:val="21"/>
          <w:highlight w:val="none"/>
        </w:rPr>
      </w:pPr>
      <w:r>
        <w:rPr>
          <w:rFonts w:hint="eastAsia" w:ascii="宋体" w:hAnsi="宋体"/>
          <w:color w:val="auto"/>
          <w:szCs w:val="21"/>
          <w:highlight w:val="none"/>
        </w:rPr>
        <w:t>每天值班实行两班制（24小时值班制），</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须提供不少于4名保安</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含一名保安队长</w:t>
      </w:r>
      <w:r>
        <w:rPr>
          <w:rFonts w:hint="eastAsia" w:ascii="宋体" w:hAnsi="宋体"/>
          <w:color w:val="auto"/>
          <w:szCs w:val="21"/>
          <w:highlight w:val="none"/>
          <w:lang w:eastAsia="zh-CN"/>
        </w:rPr>
        <w:t>）</w:t>
      </w:r>
      <w:r>
        <w:rPr>
          <w:rFonts w:hint="eastAsia" w:ascii="宋体" w:hAnsi="宋体"/>
          <w:color w:val="auto"/>
          <w:szCs w:val="21"/>
          <w:highlight w:val="none"/>
        </w:rPr>
        <w:t>，每人每月休息4天，保安配置人数务必达到采购人的要求。</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须保障员工工作安全和服务质量，</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的保安人员不得连岗，需严格遵守两班轮换制度。做好交接班情况登记和巡更记录，加强重点区域巡更记录。有异常及时报告保安队长并将情况第一时间联系</w:t>
      </w:r>
      <w:r>
        <w:rPr>
          <w:rFonts w:hint="eastAsia" w:ascii="宋体" w:hAnsi="宋体"/>
          <w:color w:val="auto"/>
          <w:szCs w:val="21"/>
          <w:highlight w:val="none"/>
          <w:lang w:val="en-US" w:eastAsia="zh-CN"/>
        </w:rPr>
        <w:t>采购人</w:t>
      </w:r>
      <w:r>
        <w:rPr>
          <w:rFonts w:hint="eastAsia" w:ascii="宋体" w:hAnsi="宋体"/>
          <w:color w:val="auto"/>
          <w:szCs w:val="21"/>
          <w:highlight w:val="none"/>
        </w:rPr>
        <w:t>安保负责人。</w:t>
      </w:r>
    </w:p>
    <w:p w14:paraId="40F2239E">
      <w:pPr>
        <w:numPr>
          <w:ilvl w:val="0"/>
          <w:numId w:val="11"/>
        </w:numPr>
        <w:tabs>
          <w:tab w:val="left" w:pos="284"/>
        </w:tabs>
        <w:snapToGrid w:val="0"/>
        <w:spacing w:line="360" w:lineRule="auto"/>
        <w:ind w:left="284" w:hanging="284"/>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val="en-US" w:eastAsia="zh-CN"/>
        </w:rPr>
        <w:t>保安人员</w:t>
      </w:r>
      <w:r>
        <w:rPr>
          <w:rFonts w:hint="eastAsia" w:ascii="宋体" w:hAnsi="宋体" w:eastAsia="宋体" w:cs="Times New Roman"/>
          <w:color w:val="auto"/>
          <w:szCs w:val="21"/>
          <w:highlight w:val="none"/>
        </w:rPr>
        <w:t>每天</w:t>
      </w:r>
      <w:r>
        <w:rPr>
          <w:rFonts w:hint="eastAsia" w:ascii="宋体" w:hAnsi="宋体" w:eastAsia="宋体" w:cs="Times New Roman"/>
          <w:color w:val="auto"/>
          <w:szCs w:val="21"/>
          <w:highlight w:val="none"/>
          <w:lang w:val="en-US" w:eastAsia="zh-CN"/>
        </w:rPr>
        <w:t>需将</w:t>
      </w:r>
      <w:r>
        <w:rPr>
          <w:rFonts w:hint="eastAsia" w:ascii="宋体" w:hAnsi="宋体" w:eastAsia="宋体" w:cs="Times New Roman"/>
          <w:color w:val="auto"/>
          <w:szCs w:val="21"/>
          <w:highlight w:val="none"/>
        </w:rPr>
        <w:t>办公楼出入口附近卫生打扫干净并做好保洁，每周对保安室附近区域和监控室做好大清洁工作，保持场地干净整洁。</w:t>
      </w:r>
    </w:p>
    <w:p w14:paraId="289461AE">
      <w:pPr>
        <w:numPr>
          <w:ilvl w:val="0"/>
          <w:numId w:val="11"/>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加强办公楼的巡查机制，每两小时巡查一次并做好巡查和登记。夜间巡查做好节能工作，及时开关照明设施。采购人布置最新安保要求时</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要及时调整并执行不得推诿。</w:t>
      </w:r>
    </w:p>
    <w:p w14:paraId="5F741E96">
      <w:pPr>
        <w:numPr>
          <w:ilvl w:val="0"/>
          <w:numId w:val="10"/>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服务人员要求</w:t>
      </w:r>
    </w:p>
    <w:p w14:paraId="4902B871">
      <w:pPr>
        <w:numPr>
          <w:ilvl w:val="0"/>
          <w:numId w:val="12"/>
        </w:numPr>
        <w:tabs>
          <w:tab w:val="left" w:pos="284"/>
        </w:tabs>
        <w:snapToGrid w:val="0"/>
        <w:spacing w:line="360" w:lineRule="auto"/>
        <w:ind w:left="284" w:hanging="284"/>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保安人员素质及其工作要求</w:t>
      </w:r>
    </w:p>
    <w:p w14:paraId="54B90846">
      <w:pPr>
        <w:numPr>
          <w:ilvl w:val="0"/>
          <w:numId w:val="13"/>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年龄在18周岁至55周岁之间，男，初中以上学历</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退伍军人优先考虑。</w:t>
      </w:r>
    </w:p>
    <w:p w14:paraId="73E13706">
      <w:pPr>
        <w:numPr>
          <w:ilvl w:val="0"/>
          <w:numId w:val="13"/>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五官端正，身体健康，能吃苦耐劳、工作认真负责并服从</w:t>
      </w:r>
      <w:r>
        <w:rPr>
          <w:rFonts w:hint="eastAsia" w:ascii="宋体" w:hAnsi="宋体" w:eastAsia="宋体" w:cs="Times New Roman"/>
          <w:color w:val="auto"/>
          <w:szCs w:val="21"/>
          <w:highlight w:val="none"/>
          <w:lang w:val="en-US" w:eastAsia="zh-CN"/>
        </w:rPr>
        <w:t>成交供应商及</w:t>
      </w:r>
      <w:r>
        <w:rPr>
          <w:rFonts w:hint="eastAsia" w:ascii="宋体" w:hAnsi="宋体" w:eastAsia="宋体" w:cs="Times New Roman"/>
          <w:color w:val="auto"/>
          <w:szCs w:val="21"/>
          <w:highlight w:val="none"/>
        </w:rPr>
        <w:t>采购人的工作安排。</w:t>
      </w:r>
    </w:p>
    <w:p w14:paraId="7EC75B58">
      <w:pPr>
        <w:numPr>
          <w:ilvl w:val="0"/>
          <w:numId w:val="13"/>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思想健康，遵纪守法，作风正派，忠诚老实；思想素质高，品行端正，无任何不良社会行为与犯罪记录。</w:t>
      </w:r>
    </w:p>
    <w:p w14:paraId="00029729">
      <w:pPr>
        <w:numPr>
          <w:ilvl w:val="0"/>
          <w:numId w:val="13"/>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上班期间统一穿着保安制服，保安服由</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统一配备。</w:t>
      </w:r>
    </w:p>
    <w:p w14:paraId="4819C5CF">
      <w:pPr>
        <w:numPr>
          <w:ilvl w:val="0"/>
          <w:numId w:val="13"/>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保安专业培训合格、业务能力强，能严格执行岗位责任任务</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具有公安部门颁发的保安员证，持证上岗</w:t>
      </w:r>
      <w:r>
        <w:rPr>
          <w:rFonts w:hint="eastAsia" w:ascii="宋体" w:hAnsi="宋体" w:eastAsia="宋体" w:cs="Times New Roman"/>
          <w:color w:val="auto"/>
          <w:szCs w:val="21"/>
          <w:highlight w:val="none"/>
        </w:rPr>
        <w:t>。</w:t>
      </w:r>
    </w:p>
    <w:p w14:paraId="3536392B">
      <w:pPr>
        <w:numPr>
          <w:ilvl w:val="0"/>
          <w:numId w:val="12"/>
        </w:numPr>
        <w:tabs>
          <w:tab w:val="left" w:pos="284"/>
        </w:tabs>
        <w:snapToGrid w:val="0"/>
        <w:spacing w:line="360" w:lineRule="auto"/>
        <w:ind w:left="284" w:hanging="284"/>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保安服务工作服务具体要求</w:t>
      </w:r>
    </w:p>
    <w:p w14:paraId="43F3999C">
      <w:pPr>
        <w:numPr>
          <w:ilvl w:val="0"/>
          <w:numId w:val="14"/>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日常应加强对保安员的管理。</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根据采购人的实际配备足够的人员，根据需要设立1个保安队长驻点对保安队伍进行管理、巡视，保安队长负责和采购人负责人对接，服从采购人管理。</w:t>
      </w:r>
    </w:p>
    <w:p w14:paraId="06E611D1">
      <w:pPr>
        <w:numPr>
          <w:ilvl w:val="0"/>
          <w:numId w:val="14"/>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val="en-US" w:eastAsia="zh-CN"/>
        </w:rPr>
        <w:t>采购人</w:t>
      </w:r>
      <w:r>
        <w:rPr>
          <w:rFonts w:hint="eastAsia" w:ascii="宋体" w:hAnsi="宋体" w:eastAsia="宋体" w:cs="Times New Roman"/>
          <w:color w:val="auto"/>
          <w:szCs w:val="21"/>
          <w:highlight w:val="none"/>
        </w:rPr>
        <w:t>定期指派巡查督导对保安员进行有针对性的培训和监督，指出保安员的工作不足，落实各项整改措施。采购人对</w:t>
      </w:r>
      <w:r>
        <w:rPr>
          <w:rFonts w:hint="eastAsia" w:ascii="宋体" w:hAnsi="宋体" w:eastAsia="宋体" w:cs="Times New Roman"/>
          <w:color w:val="auto"/>
          <w:szCs w:val="21"/>
          <w:highlight w:val="none"/>
          <w:lang w:val="en-US" w:eastAsia="zh-CN"/>
        </w:rPr>
        <w:t>成交供应商服务</w:t>
      </w:r>
      <w:r>
        <w:rPr>
          <w:rFonts w:hint="eastAsia" w:ascii="宋体" w:hAnsi="宋体" w:eastAsia="宋体" w:cs="Times New Roman"/>
          <w:color w:val="auto"/>
          <w:szCs w:val="21"/>
          <w:highlight w:val="none"/>
        </w:rPr>
        <w:t>人员提出的合理化工作建议，</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应积极采纳有效建议并及时整改隐患，以保障办公楼安全。如因</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工作失职产生的采购人损失由</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承担。</w:t>
      </w:r>
    </w:p>
    <w:p w14:paraId="638035F8">
      <w:pPr>
        <w:numPr>
          <w:ilvl w:val="0"/>
          <w:numId w:val="14"/>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保安人员如有不称职行为经教育批评不改的，或经发现有违法违规或失职行为的，</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应迅速予以处理。</w:t>
      </w:r>
    </w:p>
    <w:p w14:paraId="71300AC1">
      <w:pPr>
        <w:numPr>
          <w:ilvl w:val="0"/>
          <w:numId w:val="14"/>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val="en-US" w:eastAsia="zh-CN"/>
        </w:rPr>
        <w:t>成交供应商应</w:t>
      </w:r>
      <w:r>
        <w:rPr>
          <w:rFonts w:hint="eastAsia" w:ascii="宋体" w:hAnsi="宋体" w:eastAsia="宋体" w:cs="Times New Roman"/>
          <w:color w:val="auto"/>
          <w:szCs w:val="21"/>
          <w:highlight w:val="none"/>
        </w:rPr>
        <w:t>制定可行的交通、车辆、停车场管理制度；</w:t>
      </w:r>
      <w:r>
        <w:rPr>
          <w:rFonts w:hint="eastAsia" w:ascii="宋体" w:hAnsi="宋体" w:eastAsia="宋体" w:cs="Times New Roman"/>
          <w:color w:val="auto"/>
          <w:szCs w:val="21"/>
          <w:highlight w:val="none"/>
          <w:lang w:val="en-US" w:eastAsia="zh-CN"/>
        </w:rPr>
        <w:t>保安人员确保</w:t>
      </w:r>
      <w:r>
        <w:rPr>
          <w:rFonts w:hint="eastAsia" w:ascii="宋体" w:hAnsi="宋体" w:eastAsia="宋体" w:cs="Times New Roman"/>
          <w:color w:val="auto"/>
          <w:szCs w:val="21"/>
          <w:highlight w:val="none"/>
        </w:rPr>
        <w:t>自行车、机动车等各种车辆停放有序，指引停放人员按规定存放在指定地点，车辆停放要求达到规范、整齐、美观、安全。</w:t>
      </w:r>
    </w:p>
    <w:p w14:paraId="2ABB1375">
      <w:pPr>
        <w:numPr>
          <w:ilvl w:val="0"/>
          <w:numId w:val="14"/>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保安人员言行规范，注重仪容仪表，注重礼貌用语，对进出人员及车辆要主动询问并指引规范停放，并严格执行来访出入登记制度。</w:t>
      </w:r>
    </w:p>
    <w:p w14:paraId="64D77FA2">
      <w:pPr>
        <w:numPr>
          <w:ilvl w:val="0"/>
          <w:numId w:val="14"/>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保安人员要注重保安自身形象。</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自行配备保安</w:t>
      </w:r>
      <w:r>
        <w:rPr>
          <w:rFonts w:hint="eastAsia" w:ascii="宋体" w:hAnsi="宋体" w:eastAsia="宋体" w:cs="Times New Roman"/>
          <w:color w:val="auto"/>
          <w:szCs w:val="21"/>
          <w:highlight w:val="none"/>
          <w:lang w:val="en-US" w:eastAsia="zh-CN"/>
        </w:rPr>
        <w:t>服务人员</w:t>
      </w:r>
      <w:r>
        <w:rPr>
          <w:rFonts w:hint="eastAsia" w:ascii="宋体" w:hAnsi="宋体" w:eastAsia="宋体" w:cs="Times New Roman"/>
          <w:color w:val="auto"/>
          <w:szCs w:val="21"/>
          <w:highlight w:val="none"/>
        </w:rPr>
        <w:t>必须的工作装备十件套【防暴头盔</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1顶/人</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、防护盾牌</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1副/人</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、防刺背心</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1套/人</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、防割手套</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1副/人</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、橡胶警棍</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1支/人</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、强光电筒</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1支/人</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、自卫喷雾剂</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1支/人</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、安全钢叉2套、长警棍2根和对讲机2部】</w:t>
      </w:r>
      <w:r>
        <w:rPr>
          <w:rFonts w:hint="eastAsia" w:ascii="宋体" w:hAnsi="宋体" w:eastAsia="宋体" w:cs="Times New Roman"/>
          <w:color w:val="auto"/>
          <w:szCs w:val="21"/>
          <w:highlight w:val="none"/>
          <w:lang w:val="en-US" w:eastAsia="zh-CN"/>
        </w:rPr>
        <w:t>并配备</w:t>
      </w:r>
      <w:r>
        <w:rPr>
          <w:rFonts w:hint="eastAsia" w:ascii="宋体" w:hAnsi="宋体" w:eastAsia="宋体" w:cs="Times New Roman"/>
          <w:color w:val="auto"/>
          <w:szCs w:val="21"/>
          <w:highlight w:val="none"/>
        </w:rPr>
        <w:t>相关专门摆放柜。</w:t>
      </w:r>
      <w:r>
        <w:rPr>
          <w:rFonts w:hint="eastAsia" w:ascii="宋体" w:hAnsi="宋体" w:eastAsia="宋体" w:cs="Times New Roman"/>
          <w:color w:val="auto"/>
          <w:szCs w:val="21"/>
          <w:highlight w:val="none"/>
          <w:lang w:val="en-US" w:eastAsia="zh-CN"/>
        </w:rPr>
        <w:t>成交供应商需确保</w:t>
      </w:r>
      <w:r>
        <w:rPr>
          <w:rFonts w:hint="eastAsia" w:ascii="宋体" w:hAnsi="宋体" w:eastAsia="宋体" w:cs="Times New Roman"/>
          <w:color w:val="auto"/>
          <w:szCs w:val="21"/>
          <w:highlight w:val="none"/>
        </w:rPr>
        <w:t>上述器材</w:t>
      </w:r>
      <w:r>
        <w:rPr>
          <w:rFonts w:hint="eastAsia" w:ascii="宋体" w:hAnsi="宋体" w:eastAsia="宋体" w:cs="Times New Roman"/>
          <w:color w:val="auto"/>
          <w:szCs w:val="21"/>
          <w:highlight w:val="none"/>
          <w:lang w:val="en-US" w:eastAsia="zh-CN"/>
        </w:rPr>
        <w:t>的</w:t>
      </w:r>
      <w:r>
        <w:rPr>
          <w:rFonts w:hint="eastAsia" w:ascii="宋体" w:hAnsi="宋体" w:eastAsia="宋体" w:cs="Times New Roman"/>
          <w:color w:val="auto"/>
          <w:szCs w:val="21"/>
          <w:highlight w:val="none"/>
        </w:rPr>
        <w:t>配备</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可以正常使用并在有效使用期内。</w:t>
      </w:r>
    </w:p>
    <w:p w14:paraId="1D9AA434">
      <w:pPr>
        <w:numPr>
          <w:ilvl w:val="0"/>
          <w:numId w:val="14"/>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如有保安</w:t>
      </w:r>
      <w:r>
        <w:rPr>
          <w:rFonts w:hint="eastAsia" w:ascii="宋体" w:hAnsi="宋体" w:eastAsia="宋体" w:cs="Times New Roman"/>
          <w:color w:val="auto"/>
          <w:szCs w:val="21"/>
          <w:highlight w:val="none"/>
          <w:lang w:val="en-US" w:eastAsia="zh-CN"/>
        </w:rPr>
        <w:t>人</w:t>
      </w:r>
      <w:r>
        <w:rPr>
          <w:rFonts w:hint="eastAsia" w:ascii="宋体" w:hAnsi="宋体" w:eastAsia="宋体" w:cs="Times New Roman"/>
          <w:color w:val="auto"/>
          <w:szCs w:val="21"/>
          <w:highlight w:val="none"/>
        </w:rPr>
        <w:t>员辞职、离岗或休假等</w:t>
      </w:r>
      <w:r>
        <w:rPr>
          <w:rFonts w:hint="eastAsia" w:ascii="宋体" w:hAnsi="宋体" w:eastAsia="宋体" w:cs="Times New Roman"/>
          <w:color w:val="auto"/>
          <w:szCs w:val="21"/>
          <w:highlight w:val="none"/>
          <w:lang w:val="en-US" w:eastAsia="zh-CN"/>
        </w:rPr>
        <w:t>情形</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须</w:t>
      </w:r>
      <w:r>
        <w:rPr>
          <w:rFonts w:hint="eastAsia" w:ascii="宋体" w:hAnsi="宋体" w:eastAsia="宋体" w:cs="Times New Roman"/>
          <w:color w:val="auto"/>
          <w:szCs w:val="21"/>
          <w:highlight w:val="none"/>
          <w:lang w:val="en-US" w:eastAsia="zh-CN"/>
        </w:rPr>
        <w:t>及</w:t>
      </w:r>
      <w:r>
        <w:rPr>
          <w:rFonts w:hint="eastAsia" w:ascii="宋体" w:hAnsi="宋体" w:eastAsia="宋体" w:cs="Times New Roman"/>
          <w:color w:val="auto"/>
          <w:szCs w:val="21"/>
          <w:highlight w:val="none"/>
        </w:rPr>
        <w:t>时补充同等数量、符合要求的</w:t>
      </w:r>
      <w:r>
        <w:rPr>
          <w:rFonts w:hint="eastAsia" w:ascii="宋体" w:hAnsi="宋体" w:eastAsia="宋体" w:cs="Times New Roman"/>
          <w:color w:val="auto"/>
          <w:szCs w:val="21"/>
          <w:highlight w:val="none"/>
          <w:lang w:val="en-US" w:eastAsia="zh-CN"/>
        </w:rPr>
        <w:t>保安人员</w:t>
      </w:r>
      <w:r>
        <w:rPr>
          <w:rFonts w:hint="eastAsia" w:ascii="宋体" w:hAnsi="宋体" w:eastAsia="宋体" w:cs="Times New Roman"/>
          <w:color w:val="auto"/>
          <w:szCs w:val="21"/>
          <w:highlight w:val="none"/>
        </w:rPr>
        <w:t>到采购人指定工作岗位，经采购人</w:t>
      </w:r>
      <w:r>
        <w:rPr>
          <w:rFonts w:hint="eastAsia" w:ascii="宋体" w:hAnsi="宋体" w:eastAsia="宋体" w:cs="Times New Roman"/>
          <w:color w:val="auto"/>
          <w:szCs w:val="21"/>
          <w:highlight w:val="none"/>
          <w:lang w:val="en-US" w:eastAsia="zh-CN"/>
        </w:rPr>
        <w:t>相关负责人</w:t>
      </w:r>
      <w:r>
        <w:rPr>
          <w:rFonts w:hint="eastAsia" w:ascii="宋体" w:hAnsi="宋体" w:eastAsia="宋体" w:cs="Times New Roman"/>
          <w:color w:val="auto"/>
          <w:szCs w:val="21"/>
          <w:highlight w:val="none"/>
        </w:rPr>
        <w:t>同意后做好工作交接，将相关材料做好登记并存档。</w:t>
      </w:r>
    </w:p>
    <w:p w14:paraId="70BF101A">
      <w:pPr>
        <w:numPr>
          <w:ilvl w:val="0"/>
          <w:numId w:val="14"/>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保安队伍技能培训。为确保保安队伍的工作过程中高质服务、文明执勤、以制度服人，</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需每半年对</w:t>
      </w:r>
      <w:r>
        <w:rPr>
          <w:rFonts w:hint="eastAsia" w:ascii="宋体" w:hAnsi="宋体" w:eastAsia="宋体" w:cs="Times New Roman"/>
          <w:color w:val="auto"/>
          <w:szCs w:val="21"/>
          <w:highlight w:val="none"/>
          <w:lang w:val="en-US" w:eastAsia="zh-CN"/>
        </w:rPr>
        <w:t>各</w:t>
      </w:r>
      <w:r>
        <w:rPr>
          <w:rFonts w:hint="eastAsia" w:ascii="宋体" w:hAnsi="宋体" w:eastAsia="宋体" w:cs="Times New Roman"/>
          <w:color w:val="auto"/>
          <w:szCs w:val="21"/>
          <w:highlight w:val="none"/>
        </w:rPr>
        <w:t>保安员进行全面系统的培训，内容包括新员工入职技能培训、礼仪培训</w:t>
      </w:r>
      <w:r>
        <w:rPr>
          <w:rFonts w:hint="eastAsia" w:ascii="宋体" w:hAnsi="宋体" w:eastAsia="宋体" w:cs="Times New Roman"/>
          <w:color w:val="auto"/>
          <w:szCs w:val="21"/>
          <w:highlight w:val="none"/>
          <w:lang w:val="en-US" w:eastAsia="zh-CN"/>
        </w:rPr>
        <w:t>等</w:t>
      </w:r>
      <w:r>
        <w:rPr>
          <w:rFonts w:hint="eastAsia" w:ascii="宋体" w:hAnsi="宋体" w:eastAsia="宋体" w:cs="Times New Roman"/>
          <w:color w:val="auto"/>
          <w:szCs w:val="21"/>
          <w:highlight w:val="none"/>
        </w:rPr>
        <w:t>，同时，</w:t>
      </w:r>
      <w:r>
        <w:rPr>
          <w:rFonts w:hint="eastAsia" w:ascii="宋体" w:hAnsi="宋体" w:eastAsia="宋体" w:cs="Times New Roman"/>
          <w:color w:val="auto"/>
          <w:szCs w:val="21"/>
          <w:highlight w:val="none"/>
          <w:lang w:val="en-US" w:eastAsia="zh-CN"/>
        </w:rPr>
        <w:t>成交供应商需</w:t>
      </w:r>
      <w:r>
        <w:rPr>
          <w:rFonts w:hint="eastAsia" w:ascii="宋体" w:hAnsi="宋体" w:eastAsia="宋体" w:cs="Times New Roman"/>
          <w:color w:val="auto"/>
          <w:szCs w:val="21"/>
          <w:highlight w:val="none"/>
        </w:rPr>
        <w:t>组织保安队长每月进行技能提升拓展活动，为保安队长提升管理水平、组织协解能力奠定坚实基础。通过定期和不定期的培训，使保安人员服务专业化，行为职业化，切实提升保安队伍的岗位业务技能。</w:t>
      </w:r>
      <w:r>
        <w:rPr>
          <w:rFonts w:hint="eastAsia" w:ascii="宋体" w:hAnsi="宋体" w:cs="Times New Roman"/>
          <w:color w:val="auto"/>
          <w:szCs w:val="21"/>
          <w:highlight w:val="none"/>
          <w:lang w:val="en-US" w:eastAsia="zh-CN"/>
        </w:rPr>
        <w:t>成交供应商</w:t>
      </w:r>
      <w:r>
        <w:rPr>
          <w:rFonts w:hint="eastAsia" w:ascii="宋体" w:hAnsi="宋体" w:eastAsia="宋体" w:cs="Times New Roman"/>
          <w:color w:val="auto"/>
          <w:szCs w:val="21"/>
          <w:highlight w:val="none"/>
        </w:rPr>
        <w:t>保安</w:t>
      </w:r>
      <w:r>
        <w:rPr>
          <w:rFonts w:hint="eastAsia" w:ascii="宋体" w:hAnsi="宋体" w:cs="Times New Roman"/>
          <w:color w:val="auto"/>
          <w:szCs w:val="21"/>
          <w:highlight w:val="none"/>
          <w:lang w:val="en-US" w:eastAsia="zh-CN"/>
        </w:rPr>
        <w:t>人员需</w:t>
      </w:r>
      <w:r>
        <w:rPr>
          <w:rFonts w:hint="eastAsia" w:ascii="宋体" w:hAnsi="宋体" w:eastAsia="宋体" w:cs="Times New Roman"/>
          <w:color w:val="auto"/>
          <w:szCs w:val="21"/>
          <w:highlight w:val="none"/>
        </w:rPr>
        <w:t>每周召开例会总结工作，布置周工作任务，做好相关记录。</w:t>
      </w:r>
    </w:p>
    <w:p w14:paraId="725165B4">
      <w:pPr>
        <w:numPr>
          <w:ilvl w:val="0"/>
          <w:numId w:val="14"/>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根据诚实信用原则，</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需尽忠职守完成上述服务内容，达到上述标准，采购人发现</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不符合上述标准</w:t>
      </w:r>
      <w:r>
        <w:rPr>
          <w:rFonts w:hint="eastAsia" w:ascii="宋体" w:hAnsi="宋体" w:eastAsia="宋体" w:cs="Times New Roman"/>
          <w:color w:val="auto"/>
          <w:szCs w:val="21"/>
          <w:highlight w:val="none"/>
          <w:lang w:val="en-US" w:eastAsia="zh-CN"/>
        </w:rPr>
        <w:t>有权向成交供应商提出限期整改要求</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拒不改正或整改不到位的，采购人有权单方解除合同</w:t>
      </w:r>
      <w:r>
        <w:rPr>
          <w:rFonts w:hint="eastAsia" w:ascii="宋体" w:hAnsi="宋体" w:eastAsia="宋体" w:cs="Times New Roman"/>
          <w:color w:val="auto"/>
          <w:szCs w:val="21"/>
          <w:highlight w:val="none"/>
          <w:lang w:val="en-US" w:eastAsia="zh-CN"/>
        </w:rPr>
        <w:t>并不承担任何违约责任，供应商因此给采购人造成经济损失的应当承担相应的赔偿责任</w:t>
      </w:r>
      <w:r>
        <w:rPr>
          <w:rFonts w:hint="eastAsia" w:ascii="宋体" w:hAnsi="宋体" w:eastAsia="宋体" w:cs="Times New Roman"/>
          <w:color w:val="auto"/>
          <w:szCs w:val="21"/>
          <w:highlight w:val="none"/>
        </w:rPr>
        <w:t>。</w:t>
      </w:r>
    </w:p>
    <w:p w14:paraId="37B7A367">
      <w:pPr>
        <w:numPr>
          <w:ilvl w:val="0"/>
          <w:numId w:val="10"/>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rPr>
        <w:t>其他要求</w:t>
      </w:r>
    </w:p>
    <w:p w14:paraId="2799C6B2">
      <w:pPr>
        <w:numPr>
          <w:ilvl w:val="0"/>
          <w:numId w:val="15"/>
        </w:numPr>
        <w:tabs>
          <w:tab w:val="left" w:pos="284"/>
        </w:tabs>
        <w:snapToGrid w:val="0"/>
        <w:spacing w:line="360" w:lineRule="auto"/>
        <w:ind w:left="284" w:hanging="284"/>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服务期间，所有保安人员应服从采购人与</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的管理，采购人有权要求更换不听指挥、不服从安排等不利于</w:t>
      </w:r>
      <w:r>
        <w:rPr>
          <w:rFonts w:hint="eastAsia" w:ascii="宋体" w:hAnsi="宋体" w:eastAsia="宋体" w:cs="Times New Roman"/>
          <w:color w:val="auto"/>
          <w:szCs w:val="21"/>
          <w:highlight w:val="none"/>
          <w:lang w:eastAsia="zh-CN"/>
        </w:rPr>
        <w:t>办公楼</w:t>
      </w:r>
      <w:r>
        <w:rPr>
          <w:rFonts w:hint="eastAsia" w:ascii="宋体" w:hAnsi="宋体" w:eastAsia="宋体" w:cs="Times New Roman"/>
          <w:color w:val="auto"/>
          <w:szCs w:val="21"/>
          <w:highlight w:val="none"/>
        </w:rPr>
        <w:t>安全管理的保安人员，</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应在3个工作日内予以更换。如</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推诿或拖延在规定时间内未完成更换的，每发生一次，采购人</w:t>
      </w:r>
      <w:r>
        <w:rPr>
          <w:rFonts w:hint="eastAsia" w:ascii="宋体" w:hAnsi="宋体" w:eastAsia="宋体" w:cs="Times New Roman"/>
          <w:color w:val="auto"/>
          <w:szCs w:val="21"/>
          <w:highlight w:val="none"/>
          <w:lang w:val="en-US" w:eastAsia="zh-CN"/>
        </w:rPr>
        <w:t>有权从未支付的服务费用中扣除</w:t>
      </w:r>
      <w:r>
        <w:rPr>
          <w:rFonts w:hint="eastAsia" w:ascii="宋体" w:hAnsi="宋体" w:eastAsia="宋体" w:cs="Times New Roman"/>
          <w:color w:val="auto"/>
          <w:szCs w:val="21"/>
          <w:highlight w:val="none"/>
        </w:rPr>
        <w:t>违约金壹仟元（</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1000元/次）。</w:t>
      </w:r>
    </w:p>
    <w:p w14:paraId="3B834B89">
      <w:pPr>
        <w:numPr>
          <w:ilvl w:val="0"/>
          <w:numId w:val="15"/>
        </w:numPr>
        <w:tabs>
          <w:tab w:val="left" w:pos="284"/>
        </w:tabs>
        <w:snapToGrid w:val="0"/>
        <w:spacing w:line="360" w:lineRule="auto"/>
        <w:ind w:left="284" w:hanging="284"/>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必须承诺服务期间，保安人员服从采购人的安排及管理，</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更换保安人员必须事先获得采购人同意。</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未经同意擅自更换保安人员的，采购人有权拒绝并停止支付相应费用。</w:t>
      </w:r>
    </w:p>
    <w:p w14:paraId="4A2C88BE">
      <w:pPr>
        <w:numPr>
          <w:ilvl w:val="0"/>
          <w:numId w:val="15"/>
        </w:numPr>
        <w:tabs>
          <w:tab w:val="left" w:pos="284"/>
        </w:tabs>
        <w:snapToGrid w:val="0"/>
        <w:spacing w:line="360" w:lineRule="auto"/>
        <w:ind w:left="284" w:hanging="284"/>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保安人员遵守采购人有关规章制度和管理规定，如有违反或损害采购人利益的，采购人有</w:t>
      </w:r>
      <w:r>
        <w:rPr>
          <w:rFonts w:hint="eastAsia" w:ascii="宋体" w:hAnsi="宋体" w:eastAsia="宋体" w:cs="Times New Roman"/>
          <w:color w:val="auto"/>
          <w:szCs w:val="21"/>
          <w:highlight w:val="none"/>
          <w:lang w:val="en-US" w:eastAsia="zh-CN"/>
        </w:rPr>
        <w:t>权要求成交供应商在3个工作日内予以更换</w:t>
      </w:r>
      <w:r>
        <w:rPr>
          <w:rFonts w:hint="eastAsia" w:ascii="宋体" w:hAnsi="宋体" w:eastAsia="宋体" w:cs="Times New Roman"/>
          <w:color w:val="auto"/>
          <w:szCs w:val="21"/>
          <w:highlight w:val="none"/>
        </w:rPr>
        <w:t>。</w:t>
      </w:r>
    </w:p>
    <w:p w14:paraId="72BEC27D">
      <w:pPr>
        <w:numPr>
          <w:ilvl w:val="0"/>
          <w:numId w:val="15"/>
        </w:numPr>
        <w:tabs>
          <w:tab w:val="left" w:pos="284"/>
        </w:tabs>
        <w:snapToGrid w:val="0"/>
        <w:spacing w:line="360" w:lineRule="auto"/>
        <w:ind w:left="284" w:hanging="284"/>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全部保安人员，须符合东莞市政府用工标准要求。保安人员基本工资不得低于同期东莞市主管部门规定的最低人工工资标准。</w:t>
      </w:r>
    </w:p>
    <w:p w14:paraId="2726E40C">
      <w:pPr>
        <w:numPr>
          <w:ilvl w:val="0"/>
          <w:numId w:val="15"/>
        </w:numPr>
        <w:tabs>
          <w:tab w:val="left" w:pos="284"/>
        </w:tabs>
        <w:snapToGrid w:val="0"/>
        <w:spacing w:line="360" w:lineRule="auto"/>
        <w:ind w:left="284" w:hanging="284"/>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自合同签订之日起，若有采购人</w:t>
      </w:r>
      <w:r>
        <w:rPr>
          <w:rFonts w:hint="eastAsia" w:ascii="宋体" w:hAnsi="宋体" w:eastAsia="宋体" w:cs="Times New Roman"/>
          <w:color w:val="auto"/>
          <w:szCs w:val="21"/>
          <w:highlight w:val="none"/>
          <w:lang w:val="en-US" w:eastAsia="zh-CN"/>
        </w:rPr>
        <w:t>工作人员</w:t>
      </w:r>
      <w:r>
        <w:rPr>
          <w:rFonts w:hint="eastAsia" w:ascii="宋体" w:hAnsi="宋体" w:eastAsia="宋体" w:cs="Times New Roman"/>
          <w:color w:val="auto"/>
          <w:szCs w:val="21"/>
          <w:highlight w:val="none"/>
        </w:rPr>
        <w:t>对</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的保安服务进行投诉的，经核查属实，</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拒不整改或整改不到位的，采购人有权单方面终止与</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的采购合同</w:t>
      </w:r>
      <w:r>
        <w:rPr>
          <w:rFonts w:hint="eastAsia" w:ascii="宋体" w:hAnsi="宋体" w:eastAsia="宋体" w:cs="Times New Roman"/>
          <w:color w:val="auto"/>
          <w:szCs w:val="21"/>
          <w:highlight w:val="none"/>
          <w:lang w:val="en-US" w:eastAsia="zh-CN"/>
        </w:rPr>
        <w:t>并不承担任何违约责任，供应商因此给采购人造成经济损失的应当承担相应的赔偿责任</w:t>
      </w:r>
      <w:r>
        <w:rPr>
          <w:rFonts w:hint="eastAsia" w:ascii="宋体" w:hAnsi="宋体" w:eastAsia="宋体" w:cs="Times New Roman"/>
          <w:color w:val="auto"/>
          <w:szCs w:val="21"/>
          <w:highlight w:val="none"/>
        </w:rPr>
        <w:t>。</w:t>
      </w:r>
    </w:p>
    <w:p w14:paraId="6931B9FF">
      <w:pPr>
        <w:numPr>
          <w:ilvl w:val="0"/>
          <w:numId w:val="15"/>
        </w:numPr>
        <w:tabs>
          <w:tab w:val="left" w:pos="284"/>
        </w:tabs>
        <w:snapToGrid w:val="0"/>
        <w:spacing w:line="360" w:lineRule="auto"/>
        <w:ind w:left="284" w:hanging="284"/>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如因</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派遣的保安人员原因（包括盗窃、故意毁损等）导致采购人资产、权益受到损害的，当事保安及</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应当承担相应的法律责任和赔偿责任。</w:t>
      </w:r>
    </w:p>
    <w:p w14:paraId="0C475657">
      <w:pPr>
        <w:numPr>
          <w:ilvl w:val="0"/>
          <w:numId w:val="15"/>
        </w:numPr>
        <w:tabs>
          <w:tab w:val="left" w:pos="284"/>
        </w:tabs>
        <w:snapToGrid w:val="0"/>
        <w:spacing w:line="360" w:lineRule="auto"/>
        <w:ind w:left="284" w:hanging="284"/>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严肃工作纪律，明确岗位职责。在工作期间，</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人员未按岗位职责操作，造成自身受伤或者在突发事件处理不当产生的损失由</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承担。</w:t>
      </w:r>
    </w:p>
    <w:p w14:paraId="3F822C61">
      <w:pPr>
        <w:numPr>
          <w:ilvl w:val="0"/>
          <w:numId w:val="15"/>
        </w:numPr>
        <w:tabs>
          <w:tab w:val="left" w:pos="284"/>
        </w:tabs>
        <w:snapToGrid w:val="0"/>
        <w:spacing w:line="360" w:lineRule="auto"/>
        <w:ind w:left="284" w:hanging="284"/>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保安人员进行服务期间的过失或故意行为，造成采购人经济损失的，由</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负责赔偿。</w:t>
      </w:r>
    </w:p>
    <w:p w14:paraId="7CE25B53">
      <w:pPr>
        <w:numPr>
          <w:ilvl w:val="0"/>
          <w:numId w:val="15"/>
        </w:numPr>
        <w:tabs>
          <w:tab w:val="left" w:pos="284"/>
        </w:tabs>
        <w:snapToGrid w:val="0"/>
        <w:spacing w:line="360" w:lineRule="auto"/>
        <w:ind w:left="284" w:hanging="284"/>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保安人员的劳动关系隶属</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负责保安人员的工资、节假日和超时加班补助费、社会保险等。如发生劳动纠纷，由</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负责解决，与采购人无关，如因此造成采购人损失或不良影响的应当给采购人赔偿相应的损失，采购人有权解除合同</w:t>
      </w:r>
      <w:r>
        <w:rPr>
          <w:rFonts w:hint="eastAsia" w:ascii="宋体" w:hAnsi="宋体" w:eastAsia="宋体" w:cs="Times New Roman"/>
          <w:color w:val="auto"/>
          <w:szCs w:val="21"/>
          <w:highlight w:val="none"/>
          <w:lang w:val="en-US" w:eastAsia="zh-CN"/>
        </w:rPr>
        <w:t>并不承担任何违约责任</w:t>
      </w:r>
      <w:r>
        <w:rPr>
          <w:rFonts w:hint="eastAsia" w:ascii="宋体" w:hAnsi="宋体" w:eastAsia="宋体" w:cs="Times New Roman"/>
          <w:color w:val="auto"/>
          <w:szCs w:val="21"/>
          <w:highlight w:val="none"/>
        </w:rPr>
        <w:t>。</w:t>
      </w:r>
    </w:p>
    <w:p w14:paraId="215DA1E5">
      <w:pPr>
        <w:numPr>
          <w:ilvl w:val="0"/>
          <w:numId w:val="15"/>
        </w:numPr>
        <w:tabs>
          <w:tab w:val="left" w:pos="284"/>
        </w:tabs>
        <w:snapToGrid w:val="0"/>
        <w:spacing w:line="360" w:lineRule="auto"/>
        <w:ind w:left="284" w:hanging="284"/>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负责</w:t>
      </w:r>
      <w:r>
        <w:rPr>
          <w:rFonts w:hint="eastAsia" w:ascii="宋体" w:hAnsi="宋体" w:eastAsia="宋体" w:cs="Times New Roman"/>
          <w:color w:val="auto"/>
          <w:szCs w:val="21"/>
          <w:highlight w:val="none"/>
          <w:lang w:val="en-US" w:eastAsia="zh-CN"/>
        </w:rPr>
        <w:t>为</w:t>
      </w:r>
      <w:r>
        <w:rPr>
          <w:rFonts w:hint="eastAsia" w:ascii="宋体" w:hAnsi="宋体" w:eastAsia="宋体" w:cs="Times New Roman"/>
          <w:color w:val="auto"/>
          <w:szCs w:val="21"/>
          <w:highlight w:val="none"/>
        </w:rPr>
        <w:t>本项目保安人员购买因意外身故或伤残和因意外事故住院治疗保险，并负责办理一切保险赔偿手续。保安人员在服务期间的一切费用支出由</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负责。</w:t>
      </w:r>
    </w:p>
    <w:p w14:paraId="49F485BC">
      <w:pPr>
        <w:numPr>
          <w:ilvl w:val="0"/>
          <w:numId w:val="15"/>
        </w:numPr>
        <w:tabs>
          <w:tab w:val="left" w:pos="284"/>
        </w:tabs>
        <w:snapToGrid w:val="0"/>
        <w:spacing w:line="360" w:lineRule="auto"/>
        <w:ind w:left="284" w:hanging="284"/>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val="en-US" w:eastAsia="zh-CN"/>
        </w:rPr>
        <w:t>成交供应商应</w:t>
      </w:r>
      <w:r>
        <w:rPr>
          <w:rFonts w:hint="eastAsia" w:ascii="宋体" w:hAnsi="宋体" w:eastAsia="宋体" w:cs="Times New Roman"/>
          <w:color w:val="auto"/>
          <w:szCs w:val="21"/>
          <w:highlight w:val="none"/>
        </w:rPr>
        <w:t>针对台风、暴雨等天气影响，重大接待任务，重大节假日或活动，突发事件的处理等特殊情况制定应急处置方案，包括传达机制、就近服务区域人员和设备调配、责任分工等。</w:t>
      </w:r>
    </w:p>
    <w:p w14:paraId="62340B9D">
      <w:pPr>
        <w:numPr>
          <w:ilvl w:val="0"/>
          <w:numId w:val="10"/>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rPr>
        <w:t>保安服务管理考核表</w:t>
      </w:r>
    </w:p>
    <w:tbl>
      <w:tblPr>
        <w:tblStyle w:val="22"/>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22"/>
        <w:gridCol w:w="696"/>
        <w:gridCol w:w="5160"/>
        <w:gridCol w:w="2067"/>
        <w:gridCol w:w="481"/>
      </w:tblGrid>
      <w:tr w14:paraId="0A9538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trPr>
        <w:tc>
          <w:tcPr>
            <w:tcW w:w="722" w:type="dxa"/>
            <w:tcBorders>
              <w:tl2br w:val="nil"/>
              <w:tr2bl w:val="nil"/>
            </w:tcBorders>
            <w:noWrap w:val="0"/>
            <w:tcMar>
              <w:top w:w="0" w:type="dxa"/>
              <w:left w:w="105" w:type="dxa"/>
              <w:bottom w:w="0" w:type="dxa"/>
              <w:right w:w="105" w:type="dxa"/>
            </w:tcMar>
            <w:vAlign w:val="center"/>
          </w:tcPr>
          <w:p w14:paraId="3A9CCE8D">
            <w:pPr>
              <w:pStyle w:val="7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项目</w:t>
            </w:r>
          </w:p>
        </w:tc>
        <w:tc>
          <w:tcPr>
            <w:tcW w:w="696" w:type="dxa"/>
            <w:tcBorders>
              <w:tl2br w:val="nil"/>
              <w:tr2bl w:val="nil"/>
            </w:tcBorders>
            <w:noWrap w:val="0"/>
            <w:tcMar>
              <w:top w:w="0" w:type="dxa"/>
              <w:left w:w="105" w:type="dxa"/>
              <w:bottom w:w="0" w:type="dxa"/>
              <w:right w:w="105" w:type="dxa"/>
            </w:tcMar>
            <w:vAlign w:val="center"/>
          </w:tcPr>
          <w:p w14:paraId="0FF2B6AC">
            <w:pPr>
              <w:pStyle w:val="7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分值</w:t>
            </w:r>
          </w:p>
        </w:tc>
        <w:tc>
          <w:tcPr>
            <w:tcW w:w="5160" w:type="dxa"/>
            <w:tcBorders>
              <w:tl2br w:val="nil"/>
              <w:tr2bl w:val="nil"/>
            </w:tcBorders>
            <w:noWrap w:val="0"/>
            <w:tcMar>
              <w:top w:w="0" w:type="dxa"/>
              <w:left w:w="105" w:type="dxa"/>
              <w:bottom w:w="0" w:type="dxa"/>
              <w:right w:w="105" w:type="dxa"/>
            </w:tcMar>
            <w:vAlign w:val="center"/>
          </w:tcPr>
          <w:p w14:paraId="1107CF83">
            <w:pPr>
              <w:pStyle w:val="7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检查项目</w:t>
            </w:r>
          </w:p>
        </w:tc>
        <w:tc>
          <w:tcPr>
            <w:tcW w:w="2067" w:type="dxa"/>
            <w:tcBorders>
              <w:tl2br w:val="nil"/>
              <w:tr2bl w:val="nil"/>
            </w:tcBorders>
            <w:noWrap w:val="0"/>
            <w:tcMar>
              <w:top w:w="0" w:type="dxa"/>
              <w:left w:w="105" w:type="dxa"/>
              <w:bottom w:w="0" w:type="dxa"/>
              <w:right w:w="105" w:type="dxa"/>
            </w:tcMar>
            <w:vAlign w:val="center"/>
          </w:tcPr>
          <w:p w14:paraId="3F2663E1">
            <w:pPr>
              <w:pStyle w:val="7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扣分标准</w:t>
            </w:r>
          </w:p>
        </w:tc>
        <w:tc>
          <w:tcPr>
            <w:tcW w:w="481" w:type="dxa"/>
            <w:tcBorders>
              <w:tl2br w:val="nil"/>
              <w:tr2bl w:val="nil"/>
            </w:tcBorders>
            <w:noWrap w:val="0"/>
            <w:tcMar>
              <w:top w:w="0" w:type="dxa"/>
              <w:left w:w="105" w:type="dxa"/>
              <w:bottom w:w="0" w:type="dxa"/>
              <w:right w:w="105" w:type="dxa"/>
            </w:tcMar>
            <w:vAlign w:val="center"/>
          </w:tcPr>
          <w:p w14:paraId="6E25A030">
            <w:pPr>
              <w:pStyle w:val="74"/>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得分</w:t>
            </w:r>
          </w:p>
        </w:tc>
      </w:tr>
      <w:tr w14:paraId="16703F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2" w:type="dxa"/>
            <w:vMerge w:val="restart"/>
            <w:tcBorders>
              <w:tl2br w:val="nil"/>
              <w:tr2bl w:val="nil"/>
            </w:tcBorders>
            <w:noWrap w:val="0"/>
            <w:tcMar>
              <w:top w:w="0" w:type="dxa"/>
              <w:left w:w="105" w:type="dxa"/>
              <w:bottom w:w="0" w:type="dxa"/>
              <w:right w:w="105" w:type="dxa"/>
            </w:tcMar>
            <w:vAlign w:val="center"/>
          </w:tcPr>
          <w:p w14:paraId="6AE080F9">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保安</w:t>
            </w:r>
          </w:p>
        </w:tc>
        <w:tc>
          <w:tcPr>
            <w:tcW w:w="696" w:type="dxa"/>
            <w:vMerge w:val="restart"/>
            <w:tcBorders>
              <w:tl2br w:val="nil"/>
              <w:tr2bl w:val="nil"/>
            </w:tcBorders>
            <w:noWrap w:val="0"/>
            <w:tcMar>
              <w:top w:w="0" w:type="dxa"/>
              <w:left w:w="105" w:type="dxa"/>
              <w:bottom w:w="0" w:type="dxa"/>
              <w:right w:w="105" w:type="dxa"/>
            </w:tcMar>
            <w:vAlign w:val="center"/>
          </w:tcPr>
          <w:p w14:paraId="0D1972EF">
            <w:pPr>
              <w:pStyle w:val="7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90分</w:t>
            </w:r>
          </w:p>
        </w:tc>
        <w:tc>
          <w:tcPr>
            <w:tcW w:w="5160" w:type="dxa"/>
            <w:tcBorders>
              <w:tl2br w:val="nil"/>
              <w:tr2bl w:val="nil"/>
            </w:tcBorders>
            <w:noWrap w:val="0"/>
            <w:tcMar>
              <w:top w:w="0" w:type="dxa"/>
              <w:left w:w="105" w:type="dxa"/>
              <w:bottom w:w="0" w:type="dxa"/>
              <w:right w:w="105" w:type="dxa"/>
            </w:tcMar>
            <w:vAlign w:val="center"/>
          </w:tcPr>
          <w:p w14:paraId="6C9E41F9">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1.对一般外来访问、办事人员，建立询问登记制度，尤其对施工人员的办证登记。</w:t>
            </w:r>
          </w:p>
        </w:tc>
        <w:tc>
          <w:tcPr>
            <w:tcW w:w="2067" w:type="dxa"/>
            <w:tcBorders>
              <w:tl2br w:val="nil"/>
              <w:tr2bl w:val="nil"/>
            </w:tcBorders>
            <w:noWrap w:val="0"/>
            <w:tcMar>
              <w:top w:w="0" w:type="dxa"/>
              <w:left w:w="105" w:type="dxa"/>
              <w:bottom w:w="0" w:type="dxa"/>
              <w:right w:w="105" w:type="dxa"/>
            </w:tcMar>
            <w:vAlign w:val="center"/>
          </w:tcPr>
          <w:p w14:paraId="26EC97C5">
            <w:pPr>
              <w:pStyle w:val="7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每违规一次扣5分</w:t>
            </w:r>
          </w:p>
        </w:tc>
        <w:tc>
          <w:tcPr>
            <w:tcW w:w="481" w:type="dxa"/>
            <w:tcBorders>
              <w:tl2br w:val="nil"/>
              <w:tr2bl w:val="nil"/>
            </w:tcBorders>
            <w:noWrap w:val="0"/>
            <w:tcMar>
              <w:top w:w="0" w:type="dxa"/>
              <w:left w:w="105" w:type="dxa"/>
              <w:bottom w:w="0" w:type="dxa"/>
              <w:right w:w="105" w:type="dxa"/>
            </w:tcMar>
            <w:vAlign w:val="center"/>
          </w:tcPr>
          <w:p w14:paraId="6B60673F">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p>
        </w:tc>
      </w:tr>
      <w:tr w14:paraId="74519F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2" w:type="dxa"/>
            <w:vMerge w:val="continue"/>
            <w:tcBorders>
              <w:tl2br w:val="nil"/>
              <w:tr2bl w:val="nil"/>
            </w:tcBorders>
            <w:noWrap w:val="0"/>
            <w:vAlign w:val="center"/>
          </w:tcPr>
          <w:p w14:paraId="70FA9397">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696" w:type="dxa"/>
            <w:vMerge w:val="continue"/>
            <w:tcBorders>
              <w:tl2br w:val="nil"/>
              <w:tr2bl w:val="nil"/>
            </w:tcBorders>
            <w:noWrap w:val="0"/>
            <w:vAlign w:val="center"/>
          </w:tcPr>
          <w:p w14:paraId="636AB413">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5160" w:type="dxa"/>
            <w:tcBorders>
              <w:tl2br w:val="nil"/>
              <w:tr2bl w:val="nil"/>
            </w:tcBorders>
            <w:noWrap w:val="0"/>
            <w:tcMar>
              <w:top w:w="0" w:type="dxa"/>
              <w:left w:w="105" w:type="dxa"/>
              <w:bottom w:w="0" w:type="dxa"/>
              <w:right w:w="105" w:type="dxa"/>
            </w:tcMar>
            <w:vAlign w:val="center"/>
          </w:tcPr>
          <w:p w14:paraId="0955CDFD">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2.交通、车辆、停车场要有明显的停车管理制度，对生活区自行车停放要规范，集中管理。</w:t>
            </w:r>
          </w:p>
        </w:tc>
        <w:tc>
          <w:tcPr>
            <w:tcW w:w="2067" w:type="dxa"/>
            <w:tcBorders>
              <w:tl2br w:val="nil"/>
              <w:tr2bl w:val="nil"/>
            </w:tcBorders>
            <w:noWrap w:val="0"/>
            <w:tcMar>
              <w:top w:w="0" w:type="dxa"/>
              <w:left w:w="105" w:type="dxa"/>
              <w:bottom w:w="0" w:type="dxa"/>
              <w:right w:w="105" w:type="dxa"/>
            </w:tcMar>
            <w:vAlign w:val="center"/>
          </w:tcPr>
          <w:p w14:paraId="08D5F682">
            <w:pPr>
              <w:pStyle w:val="7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每违规一次扣5分</w:t>
            </w:r>
          </w:p>
        </w:tc>
        <w:tc>
          <w:tcPr>
            <w:tcW w:w="481" w:type="dxa"/>
            <w:tcBorders>
              <w:tl2br w:val="nil"/>
              <w:tr2bl w:val="nil"/>
            </w:tcBorders>
            <w:noWrap w:val="0"/>
            <w:tcMar>
              <w:top w:w="0" w:type="dxa"/>
              <w:left w:w="105" w:type="dxa"/>
              <w:bottom w:w="0" w:type="dxa"/>
              <w:right w:w="105" w:type="dxa"/>
            </w:tcMar>
            <w:vAlign w:val="center"/>
          </w:tcPr>
          <w:p w14:paraId="1D585B5E">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p>
        </w:tc>
      </w:tr>
      <w:tr w14:paraId="65F980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2" w:type="dxa"/>
            <w:vMerge w:val="continue"/>
            <w:tcBorders>
              <w:tl2br w:val="nil"/>
              <w:tr2bl w:val="nil"/>
            </w:tcBorders>
            <w:noWrap w:val="0"/>
            <w:vAlign w:val="center"/>
          </w:tcPr>
          <w:p w14:paraId="350E2DB5">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696" w:type="dxa"/>
            <w:vMerge w:val="continue"/>
            <w:tcBorders>
              <w:tl2br w:val="nil"/>
              <w:tr2bl w:val="nil"/>
            </w:tcBorders>
            <w:noWrap w:val="0"/>
            <w:vAlign w:val="center"/>
          </w:tcPr>
          <w:p w14:paraId="7FFE58EC">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5160" w:type="dxa"/>
            <w:tcBorders>
              <w:tl2br w:val="nil"/>
              <w:tr2bl w:val="nil"/>
            </w:tcBorders>
            <w:noWrap w:val="0"/>
            <w:tcMar>
              <w:top w:w="0" w:type="dxa"/>
              <w:left w:w="105" w:type="dxa"/>
              <w:bottom w:w="0" w:type="dxa"/>
              <w:right w:w="105" w:type="dxa"/>
            </w:tcMar>
            <w:vAlign w:val="center"/>
          </w:tcPr>
          <w:p w14:paraId="67E2C6C3">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3.要控制噪音，制止喧闹现象，无闲杂人员随意流动。尤其对装修施工的监督，装修单元内配备灭火器、乱接电、未办相关手续，未按要求施工的；施工时间为上班时间，下班时间施工人员不得在</w:t>
            </w:r>
            <w:r>
              <w:rPr>
                <w:rFonts w:hint="eastAsia" w:ascii="宋体" w:hAnsi="宋体" w:eastAsia="宋体" w:cs="宋体"/>
                <w:color w:val="auto"/>
                <w:sz w:val="21"/>
                <w:szCs w:val="21"/>
                <w:highlight w:val="none"/>
                <w:lang w:eastAsia="zh-CN"/>
              </w:rPr>
              <w:t>办公楼</w:t>
            </w:r>
            <w:r>
              <w:rPr>
                <w:rFonts w:hint="eastAsia" w:ascii="宋体" w:hAnsi="宋体" w:eastAsia="宋体" w:cs="宋体"/>
                <w:color w:val="auto"/>
                <w:sz w:val="21"/>
                <w:szCs w:val="21"/>
                <w:highlight w:val="none"/>
              </w:rPr>
              <w:t>内停留；特殊施工情况时，需经</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shd w:val="clear" w:color="auto" w:fill="FFFFFF"/>
              </w:rPr>
              <w:t>同意</w:t>
            </w:r>
            <w:r>
              <w:rPr>
                <w:rFonts w:hint="eastAsia" w:ascii="宋体" w:hAnsi="宋体" w:eastAsia="宋体" w:cs="宋体"/>
                <w:color w:val="auto"/>
                <w:sz w:val="21"/>
                <w:szCs w:val="21"/>
                <w:highlight w:val="none"/>
              </w:rPr>
              <w:t>。</w:t>
            </w:r>
          </w:p>
        </w:tc>
        <w:tc>
          <w:tcPr>
            <w:tcW w:w="2067" w:type="dxa"/>
            <w:tcBorders>
              <w:tl2br w:val="nil"/>
              <w:tr2bl w:val="nil"/>
            </w:tcBorders>
            <w:noWrap w:val="0"/>
            <w:tcMar>
              <w:top w:w="0" w:type="dxa"/>
              <w:left w:w="105" w:type="dxa"/>
              <w:bottom w:w="0" w:type="dxa"/>
              <w:right w:w="105" w:type="dxa"/>
            </w:tcMar>
            <w:vAlign w:val="center"/>
          </w:tcPr>
          <w:p w14:paraId="60C7E0B4">
            <w:pPr>
              <w:pStyle w:val="7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每违规一次扣5分</w:t>
            </w:r>
          </w:p>
        </w:tc>
        <w:tc>
          <w:tcPr>
            <w:tcW w:w="481" w:type="dxa"/>
            <w:tcBorders>
              <w:tl2br w:val="nil"/>
              <w:tr2bl w:val="nil"/>
            </w:tcBorders>
            <w:noWrap w:val="0"/>
            <w:tcMar>
              <w:top w:w="0" w:type="dxa"/>
              <w:left w:w="105" w:type="dxa"/>
              <w:bottom w:w="0" w:type="dxa"/>
              <w:right w:w="105" w:type="dxa"/>
            </w:tcMar>
            <w:vAlign w:val="center"/>
          </w:tcPr>
          <w:p w14:paraId="1EB1E7C8">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p>
        </w:tc>
      </w:tr>
      <w:tr w14:paraId="11DC2C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2" w:type="dxa"/>
            <w:vMerge w:val="continue"/>
            <w:tcBorders>
              <w:tl2br w:val="nil"/>
              <w:tr2bl w:val="nil"/>
            </w:tcBorders>
            <w:noWrap w:val="0"/>
            <w:vAlign w:val="center"/>
          </w:tcPr>
          <w:p w14:paraId="1F401838">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696" w:type="dxa"/>
            <w:vMerge w:val="continue"/>
            <w:tcBorders>
              <w:tl2br w:val="nil"/>
              <w:tr2bl w:val="nil"/>
            </w:tcBorders>
            <w:noWrap w:val="0"/>
            <w:vAlign w:val="center"/>
          </w:tcPr>
          <w:p w14:paraId="5E3D7A5C">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5160" w:type="dxa"/>
            <w:tcBorders>
              <w:tl2br w:val="nil"/>
              <w:tr2bl w:val="nil"/>
            </w:tcBorders>
            <w:noWrap w:val="0"/>
            <w:tcMar>
              <w:top w:w="0" w:type="dxa"/>
              <w:left w:w="105" w:type="dxa"/>
              <w:bottom w:w="0" w:type="dxa"/>
              <w:right w:w="105" w:type="dxa"/>
            </w:tcMar>
            <w:vAlign w:val="center"/>
          </w:tcPr>
          <w:p w14:paraId="56323E85">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4.重要出入口24小时值班、24小时监控。办公区域做到24小时有安全护卫人员巡查，并且要有巡查点检记录。</w:t>
            </w:r>
          </w:p>
        </w:tc>
        <w:tc>
          <w:tcPr>
            <w:tcW w:w="2067" w:type="dxa"/>
            <w:tcBorders>
              <w:tl2br w:val="nil"/>
              <w:tr2bl w:val="nil"/>
            </w:tcBorders>
            <w:noWrap w:val="0"/>
            <w:tcMar>
              <w:top w:w="0" w:type="dxa"/>
              <w:left w:w="105" w:type="dxa"/>
              <w:bottom w:w="0" w:type="dxa"/>
              <w:right w:w="105" w:type="dxa"/>
            </w:tcMar>
            <w:vAlign w:val="center"/>
          </w:tcPr>
          <w:p w14:paraId="701F00F1">
            <w:pPr>
              <w:pStyle w:val="7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每违规一次扣5分</w:t>
            </w:r>
          </w:p>
        </w:tc>
        <w:tc>
          <w:tcPr>
            <w:tcW w:w="481" w:type="dxa"/>
            <w:tcBorders>
              <w:tl2br w:val="nil"/>
              <w:tr2bl w:val="nil"/>
            </w:tcBorders>
            <w:noWrap w:val="0"/>
            <w:tcMar>
              <w:top w:w="0" w:type="dxa"/>
              <w:left w:w="105" w:type="dxa"/>
              <w:bottom w:w="0" w:type="dxa"/>
              <w:right w:w="105" w:type="dxa"/>
            </w:tcMar>
            <w:vAlign w:val="center"/>
          </w:tcPr>
          <w:p w14:paraId="6B5CA1E6">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p>
        </w:tc>
      </w:tr>
      <w:tr w14:paraId="116B43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2" w:type="dxa"/>
            <w:vMerge w:val="continue"/>
            <w:tcBorders>
              <w:tl2br w:val="nil"/>
              <w:tr2bl w:val="nil"/>
            </w:tcBorders>
            <w:noWrap w:val="0"/>
            <w:vAlign w:val="center"/>
          </w:tcPr>
          <w:p w14:paraId="052B4629">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696" w:type="dxa"/>
            <w:vMerge w:val="continue"/>
            <w:tcBorders>
              <w:tl2br w:val="nil"/>
              <w:tr2bl w:val="nil"/>
            </w:tcBorders>
            <w:noWrap w:val="0"/>
            <w:vAlign w:val="center"/>
          </w:tcPr>
          <w:p w14:paraId="60143CC0">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5160" w:type="dxa"/>
            <w:tcBorders>
              <w:tl2br w:val="nil"/>
              <w:tr2bl w:val="nil"/>
            </w:tcBorders>
            <w:noWrap w:val="0"/>
            <w:tcMar>
              <w:top w:w="0" w:type="dxa"/>
              <w:left w:w="105" w:type="dxa"/>
              <w:bottom w:w="0" w:type="dxa"/>
              <w:right w:w="105" w:type="dxa"/>
            </w:tcMar>
            <w:vAlign w:val="center"/>
          </w:tcPr>
          <w:p w14:paraId="7C697175">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5.负责好防盗、防火工作，确保无重大火灾、刑事和交通事故发生。要有消防检查记录备查；需有消防组织架构及管理责任制，建立义务消防队伍，定期进行消防法规、消防知识技能培训，</w:t>
            </w:r>
            <w:r>
              <w:rPr>
                <w:rFonts w:hint="eastAsia" w:ascii="宋体" w:hAnsi="宋体" w:eastAsia="宋体" w:cs="宋体"/>
                <w:color w:val="auto"/>
                <w:sz w:val="21"/>
                <w:szCs w:val="21"/>
                <w:highlight w:val="none"/>
                <w:lang w:eastAsia="zh-CN"/>
              </w:rPr>
              <w:t>服务人员</w:t>
            </w:r>
            <w:r>
              <w:rPr>
                <w:rFonts w:hint="eastAsia" w:ascii="宋体" w:hAnsi="宋体" w:eastAsia="宋体" w:cs="宋体"/>
                <w:color w:val="auto"/>
                <w:sz w:val="21"/>
                <w:szCs w:val="21"/>
                <w:highlight w:val="none"/>
              </w:rPr>
              <w:t>会使用消防器材，消防演习必须有记录并留存；确保消防控制中心系统配备齐全，完好，可随时启用；消防栓系统标识清楚，部件齐全，消防泵可随时启用。</w:t>
            </w:r>
          </w:p>
        </w:tc>
        <w:tc>
          <w:tcPr>
            <w:tcW w:w="2067" w:type="dxa"/>
            <w:tcBorders>
              <w:tl2br w:val="nil"/>
              <w:tr2bl w:val="nil"/>
            </w:tcBorders>
            <w:noWrap w:val="0"/>
            <w:tcMar>
              <w:top w:w="0" w:type="dxa"/>
              <w:left w:w="105" w:type="dxa"/>
              <w:bottom w:w="0" w:type="dxa"/>
              <w:right w:w="105" w:type="dxa"/>
            </w:tcMar>
            <w:vAlign w:val="center"/>
          </w:tcPr>
          <w:p w14:paraId="1C3681F6">
            <w:pPr>
              <w:pStyle w:val="7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每违规一次扣10分</w:t>
            </w:r>
          </w:p>
        </w:tc>
        <w:tc>
          <w:tcPr>
            <w:tcW w:w="481" w:type="dxa"/>
            <w:tcBorders>
              <w:tl2br w:val="nil"/>
              <w:tr2bl w:val="nil"/>
            </w:tcBorders>
            <w:noWrap w:val="0"/>
            <w:tcMar>
              <w:top w:w="0" w:type="dxa"/>
              <w:left w:w="105" w:type="dxa"/>
              <w:bottom w:w="0" w:type="dxa"/>
              <w:right w:w="105" w:type="dxa"/>
            </w:tcMar>
            <w:vAlign w:val="center"/>
          </w:tcPr>
          <w:p w14:paraId="2D3F66F1">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p>
        </w:tc>
      </w:tr>
      <w:tr w14:paraId="05203E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2" w:type="dxa"/>
            <w:vMerge w:val="continue"/>
            <w:tcBorders>
              <w:tl2br w:val="nil"/>
              <w:tr2bl w:val="nil"/>
            </w:tcBorders>
            <w:noWrap w:val="0"/>
            <w:vAlign w:val="center"/>
          </w:tcPr>
          <w:p w14:paraId="2F07D869">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696" w:type="dxa"/>
            <w:vMerge w:val="continue"/>
            <w:tcBorders>
              <w:tl2br w:val="nil"/>
              <w:tr2bl w:val="nil"/>
            </w:tcBorders>
            <w:noWrap w:val="0"/>
            <w:vAlign w:val="center"/>
          </w:tcPr>
          <w:p w14:paraId="76E570B6">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5160" w:type="dxa"/>
            <w:tcBorders>
              <w:tl2br w:val="nil"/>
              <w:tr2bl w:val="nil"/>
            </w:tcBorders>
            <w:noWrap w:val="0"/>
            <w:tcMar>
              <w:top w:w="0" w:type="dxa"/>
              <w:left w:w="105" w:type="dxa"/>
              <w:bottom w:w="0" w:type="dxa"/>
              <w:right w:w="105" w:type="dxa"/>
            </w:tcMar>
            <w:vAlign w:val="center"/>
          </w:tcPr>
          <w:p w14:paraId="693359DB">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6.对突发事件有应急处理计划和措施，必要时及时报警并告知相关责任人，防止事态进一步恶化，协助保护现场。突发应急预案必须在明显处悬挂。</w:t>
            </w:r>
          </w:p>
        </w:tc>
        <w:tc>
          <w:tcPr>
            <w:tcW w:w="2067" w:type="dxa"/>
            <w:tcBorders>
              <w:tl2br w:val="nil"/>
              <w:tr2bl w:val="nil"/>
            </w:tcBorders>
            <w:noWrap w:val="0"/>
            <w:tcMar>
              <w:top w:w="0" w:type="dxa"/>
              <w:left w:w="105" w:type="dxa"/>
              <w:bottom w:w="0" w:type="dxa"/>
              <w:right w:w="105" w:type="dxa"/>
            </w:tcMar>
            <w:vAlign w:val="center"/>
          </w:tcPr>
          <w:p w14:paraId="2F1957DD">
            <w:pPr>
              <w:pStyle w:val="7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每违规一次扣6分</w:t>
            </w:r>
          </w:p>
        </w:tc>
        <w:tc>
          <w:tcPr>
            <w:tcW w:w="481" w:type="dxa"/>
            <w:tcBorders>
              <w:tl2br w:val="nil"/>
              <w:tr2bl w:val="nil"/>
            </w:tcBorders>
            <w:noWrap w:val="0"/>
            <w:tcMar>
              <w:top w:w="0" w:type="dxa"/>
              <w:left w:w="105" w:type="dxa"/>
              <w:bottom w:w="0" w:type="dxa"/>
              <w:right w:w="105" w:type="dxa"/>
            </w:tcMar>
            <w:vAlign w:val="center"/>
          </w:tcPr>
          <w:p w14:paraId="55FAA850">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p>
        </w:tc>
      </w:tr>
      <w:tr w14:paraId="5CAFE2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2" w:type="dxa"/>
            <w:vMerge w:val="continue"/>
            <w:tcBorders>
              <w:tl2br w:val="nil"/>
              <w:tr2bl w:val="nil"/>
            </w:tcBorders>
            <w:noWrap w:val="0"/>
            <w:vAlign w:val="center"/>
          </w:tcPr>
          <w:p w14:paraId="1BA7045D">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696" w:type="dxa"/>
            <w:vMerge w:val="continue"/>
            <w:tcBorders>
              <w:tl2br w:val="nil"/>
              <w:tr2bl w:val="nil"/>
            </w:tcBorders>
            <w:noWrap w:val="0"/>
            <w:vAlign w:val="center"/>
          </w:tcPr>
          <w:p w14:paraId="4CE1C5C3">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5160" w:type="dxa"/>
            <w:tcBorders>
              <w:tl2br w:val="nil"/>
              <w:tr2bl w:val="nil"/>
            </w:tcBorders>
            <w:noWrap w:val="0"/>
            <w:tcMar>
              <w:top w:w="0" w:type="dxa"/>
              <w:left w:w="105" w:type="dxa"/>
              <w:bottom w:w="0" w:type="dxa"/>
              <w:right w:w="105" w:type="dxa"/>
            </w:tcMar>
            <w:vAlign w:val="center"/>
          </w:tcPr>
          <w:p w14:paraId="05F89A68">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7.保安人员熟悉岗位流程、熟悉周边巡查重点、清楚监控范围；熟练使用安防系统及技巧；岗位职责清晰、巡查要求明确。</w:t>
            </w:r>
          </w:p>
        </w:tc>
        <w:tc>
          <w:tcPr>
            <w:tcW w:w="2067" w:type="dxa"/>
            <w:tcBorders>
              <w:tl2br w:val="nil"/>
              <w:tr2bl w:val="nil"/>
            </w:tcBorders>
            <w:noWrap w:val="0"/>
            <w:tcMar>
              <w:top w:w="0" w:type="dxa"/>
              <w:left w:w="105" w:type="dxa"/>
              <w:bottom w:w="0" w:type="dxa"/>
              <w:right w:w="105" w:type="dxa"/>
            </w:tcMar>
            <w:vAlign w:val="center"/>
          </w:tcPr>
          <w:p w14:paraId="11FB9C7C">
            <w:pPr>
              <w:pStyle w:val="7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每违规一次扣6分</w:t>
            </w:r>
          </w:p>
        </w:tc>
        <w:tc>
          <w:tcPr>
            <w:tcW w:w="481" w:type="dxa"/>
            <w:tcBorders>
              <w:tl2br w:val="nil"/>
              <w:tr2bl w:val="nil"/>
            </w:tcBorders>
            <w:noWrap w:val="0"/>
            <w:tcMar>
              <w:top w:w="0" w:type="dxa"/>
              <w:left w:w="105" w:type="dxa"/>
              <w:bottom w:w="0" w:type="dxa"/>
              <w:right w:w="105" w:type="dxa"/>
            </w:tcMar>
            <w:vAlign w:val="center"/>
          </w:tcPr>
          <w:p w14:paraId="7311EDBD">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p>
        </w:tc>
      </w:tr>
      <w:tr w14:paraId="64E370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2" w:type="dxa"/>
            <w:vMerge w:val="continue"/>
            <w:tcBorders>
              <w:tl2br w:val="nil"/>
              <w:tr2bl w:val="nil"/>
            </w:tcBorders>
            <w:noWrap w:val="0"/>
            <w:vAlign w:val="center"/>
          </w:tcPr>
          <w:p w14:paraId="58A61794">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696" w:type="dxa"/>
            <w:vMerge w:val="continue"/>
            <w:tcBorders>
              <w:tl2br w:val="nil"/>
              <w:tr2bl w:val="nil"/>
            </w:tcBorders>
            <w:noWrap w:val="0"/>
            <w:vAlign w:val="center"/>
          </w:tcPr>
          <w:p w14:paraId="0EAE2346">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5160" w:type="dxa"/>
            <w:tcBorders>
              <w:tl2br w:val="nil"/>
              <w:tr2bl w:val="nil"/>
            </w:tcBorders>
            <w:noWrap w:val="0"/>
            <w:tcMar>
              <w:top w:w="0" w:type="dxa"/>
              <w:left w:w="105" w:type="dxa"/>
              <w:bottom w:w="0" w:type="dxa"/>
              <w:right w:w="105" w:type="dxa"/>
            </w:tcMar>
            <w:vAlign w:val="center"/>
          </w:tcPr>
          <w:p w14:paraId="659979EE">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8.监控室有进行巡查记录。</w:t>
            </w:r>
          </w:p>
        </w:tc>
        <w:tc>
          <w:tcPr>
            <w:tcW w:w="2067" w:type="dxa"/>
            <w:tcBorders>
              <w:tl2br w:val="nil"/>
              <w:tr2bl w:val="nil"/>
            </w:tcBorders>
            <w:noWrap w:val="0"/>
            <w:tcMar>
              <w:top w:w="0" w:type="dxa"/>
              <w:left w:w="105" w:type="dxa"/>
              <w:bottom w:w="0" w:type="dxa"/>
              <w:right w:w="105" w:type="dxa"/>
            </w:tcMar>
            <w:vAlign w:val="center"/>
          </w:tcPr>
          <w:p w14:paraId="15BD9897">
            <w:pPr>
              <w:pStyle w:val="7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每违规一次扣6分</w:t>
            </w:r>
          </w:p>
        </w:tc>
        <w:tc>
          <w:tcPr>
            <w:tcW w:w="481" w:type="dxa"/>
            <w:tcBorders>
              <w:tl2br w:val="nil"/>
              <w:tr2bl w:val="nil"/>
            </w:tcBorders>
            <w:noWrap w:val="0"/>
            <w:tcMar>
              <w:top w:w="0" w:type="dxa"/>
              <w:left w:w="105" w:type="dxa"/>
              <w:bottom w:w="0" w:type="dxa"/>
              <w:right w:w="105" w:type="dxa"/>
            </w:tcMar>
            <w:vAlign w:val="center"/>
          </w:tcPr>
          <w:p w14:paraId="08F86C95">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p>
        </w:tc>
      </w:tr>
      <w:tr w14:paraId="7326C3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2" w:type="dxa"/>
            <w:vMerge w:val="continue"/>
            <w:tcBorders>
              <w:tl2br w:val="nil"/>
              <w:tr2bl w:val="nil"/>
            </w:tcBorders>
            <w:noWrap w:val="0"/>
            <w:vAlign w:val="center"/>
          </w:tcPr>
          <w:p w14:paraId="36585494">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696" w:type="dxa"/>
            <w:vMerge w:val="continue"/>
            <w:tcBorders>
              <w:tl2br w:val="nil"/>
              <w:tr2bl w:val="nil"/>
            </w:tcBorders>
            <w:noWrap w:val="0"/>
            <w:vAlign w:val="center"/>
          </w:tcPr>
          <w:p w14:paraId="782F8B62">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5160" w:type="dxa"/>
            <w:tcBorders>
              <w:tl2br w:val="nil"/>
              <w:tr2bl w:val="nil"/>
            </w:tcBorders>
            <w:noWrap w:val="0"/>
            <w:tcMar>
              <w:top w:w="0" w:type="dxa"/>
              <w:left w:w="105" w:type="dxa"/>
              <w:bottom w:w="0" w:type="dxa"/>
              <w:right w:w="105" w:type="dxa"/>
            </w:tcMar>
            <w:vAlign w:val="center"/>
          </w:tcPr>
          <w:p w14:paraId="1D15B6D3">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9.保安人员能自觉遵守各项规章制度，服从上级的指令，工作纪律严明，严守工作岗位；</w:t>
            </w:r>
          </w:p>
        </w:tc>
        <w:tc>
          <w:tcPr>
            <w:tcW w:w="2067" w:type="dxa"/>
            <w:tcBorders>
              <w:tl2br w:val="nil"/>
              <w:tr2bl w:val="nil"/>
            </w:tcBorders>
            <w:noWrap w:val="0"/>
            <w:tcMar>
              <w:top w:w="0" w:type="dxa"/>
              <w:left w:w="105" w:type="dxa"/>
              <w:bottom w:w="0" w:type="dxa"/>
              <w:right w:w="105" w:type="dxa"/>
            </w:tcMar>
            <w:vAlign w:val="center"/>
          </w:tcPr>
          <w:p w14:paraId="798C83A3">
            <w:pPr>
              <w:pStyle w:val="7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每违规一次扣6分</w:t>
            </w:r>
          </w:p>
        </w:tc>
        <w:tc>
          <w:tcPr>
            <w:tcW w:w="481" w:type="dxa"/>
            <w:tcBorders>
              <w:tl2br w:val="nil"/>
              <w:tr2bl w:val="nil"/>
            </w:tcBorders>
            <w:noWrap w:val="0"/>
            <w:tcMar>
              <w:top w:w="0" w:type="dxa"/>
              <w:left w:w="105" w:type="dxa"/>
              <w:bottom w:w="0" w:type="dxa"/>
              <w:right w:w="105" w:type="dxa"/>
            </w:tcMar>
            <w:vAlign w:val="center"/>
          </w:tcPr>
          <w:p w14:paraId="4A4BBC9C">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p>
        </w:tc>
      </w:tr>
      <w:tr w14:paraId="42567B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2" w:type="dxa"/>
            <w:vMerge w:val="continue"/>
            <w:tcBorders>
              <w:tl2br w:val="nil"/>
              <w:tr2bl w:val="nil"/>
            </w:tcBorders>
            <w:noWrap w:val="0"/>
            <w:vAlign w:val="center"/>
          </w:tcPr>
          <w:p w14:paraId="52BD156D">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696" w:type="dxa"/>
            <w:vMerge w:val="continue"/>
            <w:tcBorders>
              <w:tl2br w:val="nil"/>
              <w:tr2bl w:val="nil"/>
            </w:tcBorders>
            <w:noWrap w:val="0"/>
            <w:vAlign w:val="center"/>
          </w:tcPr>
          <w:p w14:paraId="23F2EC96">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5160" w:type="dxa"/>
            <w:tcBorders>
              <w:tl2br w:val="nil"/>
              <w:tr2bl w:val="nil"/>
            </w:tcBorders>
            <w:noWrap w:val="0"/>
            <w:tcMar>
              <w:top w:w="0" w:type="dxa"/>
              <w:left w:w="105" w:type="dxa"/>
              <w:bottom w:w="0" w:type="dxa"/>
              <w:right w:w="105" w:type="dxa"/>
            </w:tcMar>
            <w:vAlign w:val="center"/>
          </w:tcPr>
          <w:p w14:paraId="477665B6">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10.保安人员服装统一、整齐，佩戴统一标识；保安指挥停车等手势规范。</w:t>
            </w:r>
          </w:p>
        </w:tc>
        <w:tc>
          <w:tcPr>
            <w:tcW w:w="2067" w:type="dxa"/>
            <w:tcBorders>
              <w:tl2br w:val="nil"/>
              <w:tr2bl w:val="nil"/>
            </w:tcBorders>
            <w:noWrap w:val="0"/>
            <w:tcMar>
              <w:top w:w="0" w:type="dxa"/>
              <w:left w:w="105" w:type="dxa"/>
              <w:bottom w:w="0" w:type="dxa"/>
              <w:right w:w="105" w:type="dxa"/>
            </w:tcMar>
            <w:vAlign w:val="center"/>
          </w:tcPr>
          <w:p w14:paraId="721F4576">
            <w:pPr>
              <w:pStyle w:val="7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每违规一次扣6分</w:t>
            </w:r>
          </w:p>
        </w:tc>
        <w:tc>
          <w:tcPr>
            <w:tcW w:w="481" w:type="dxa"/>
            <w:tcBorders>
              <w:tl2br w:val="nil"/>
              <w:tr2bl w:val="nil"/>
            </w:tcBorders>
            <w:noWrap w:val="0"/>
            <w:tcMar>
              <w:top w:w="0" w:type="dxa"/>
              <w:left w:w="105" w:type="dxa"/>
              <w:bottom w:w="0" w:type="dxa"/>
              <w:right w:w="105" w:type="dxa"/>
            </w:tcMar>
            <w:vAlign w:val="center"/>
          </w:tcPr>
          <w:p w14:paraId="361D00F5">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p>
        </w:tc>
      </w:tr>
      <w:tr w14:paraId="679271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2" w:type="dxa"/>
            <w:vMerge w:val="continue"/>
            <w:tcBorders>
              <w:tl2br w:val="nil"/>
              <w:tr2bl w:val="nil"/>
            </w:tcBorders>
            <w:noWrap w:val="0"/>
            <w:vAlign w:val="center"/>
          </w:tcPr>
          <w:p w14:paraId="09BA16AD">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696" w:type="dxa"/>
            <w:vMerge w:val="continue"/>
            <w:tcBorders>
              <w:tl2br w:val="nil"/>
              <w:tr2bl w:val="nil"/>
            </w:tcBorders>
            <w:noWrap w:val="0"/>
            <w:vAlign w:val="center"/>
          </w:tcPr>
          <w:p w14:paraId="09560062">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5160" w:type="dxa"/>
            <w:tcBorders>
              <w:tl2br w:val="nil"/>
              <w:tr2bl w:val="nil"/>
            </w:tcBorders>
            <w:noWrap w:val="0"/>
            <w:tcMar>
              <w:top w:w="0" w:type="dxa"/>
              <w:left w:w="105" w:type="dxa"/>
              <w:bottom w:w="0" w:type="dxa"/>
              <w:right w:w="105" w:type="dxa"/>
            </w:tcMar>
            <w:vAlign w:val="center"/>
          </w:tcPr>
          <w:p w14:paraId="3339C390">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11.规范服务管理制度，保安队长监督检查日常保安工作，每天有值班、巡查记录，有班前班后的准备和交接工作记录，有员工的考勤、检查纪录，各项工作记录完备详细。</w:t>
            </w:r>
          </w:p>
        </w:tc>
        <w:tc>
          <w:tcPr>
            <w:tcW w:w="2067" w:type="dxa"/>
            <w:tcBorders>
              <w:tl2br w:val="nil"/>
              <w:tr2bl w:val="nil"/>
            </w:tcBorders>
            <w:noWrap w:val="0"/>
            <w:tcMar>
              <w:top w:w="0" w:type="dxa"/>
              <w:left w:w="105" w:type="dxa"/>
              <w:bottom w:w="0" w:type="dxa"/>
              <w:right w:w="105" w:type="dxa"/>
            </w:tcMar>
            <w:vAlign w:val="center"/>
          </w:tcPr>
          <w:p w14:paraId="44542C84">
            <w:pPr>
              <w:pStyle w:val="7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每违规一次扣6分</w:t>
            </w:r>
          </w:p>
        </w:tc>
        <w:tc>
          <w:tcPr>
            <w:tcW w:w="481" w:type="dxa"/>
            <w:tcBorders>
              <w:tl2br w:val="nil"/>
              <w:tr2bl w:val="nil"/>
            </w:tcBorders>
            <w:noWrap w:val="0"/>
            <w:tcMar>
              <w:top w:w="0" w:type="dxa"/>
              <w:left w:w="105" w:type="dxa"/>
              <w:bottom w:w="0" w:type="dxa"/>
              <w:right w:w="105" w:type="dxa"/>
            </w:tcMar>
            <w:vAlign w:val="center"/>
          </w:tcPr>
          <w:p w14:paraId="6E380E7B">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p>
        </w:tc>
      </w:tr>
      <w:tr w14:paraId="241DBC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2" w:type="dxa"/>
            <w:vMerge w:val="continue"/>
            <w:tcBorders>
              <w:tl2br w:val="nil"/>
              <w:tr2bl w:val="nil"/>
            </w:tcBorders>
            <w:noWrap w:val="0"/>
            <w:vAlign w:val="center"/>
          </w:tcPr>
          <w:p w14:paraId="41A83861">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696" w:type="dxa"/>
            <w:vMerge w:val="continue"/>
            <w:tcBorders>
              <w:tl2br w:val="nil"/>
              <w:tr2bl w:val="nil"/>
            </w:tcBorders>
            <w:noWrap w:val="0"/>
            <w:vAlign w:val="center"/>
          </w:tcPr>
          <w:p w14:paraId="6F708D81">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5160" w:type="dxa"/>
            <w:tcBorders>
              <w:tl2br w:val="nil"/>
              <w:tr2bl w:val="nil"/>
            </w:tcBorders>
            <w:noWrap w:val="0"/>
            <w:tcMar>
              <w:top w:w="0" w:type="dxa"/>
              <w:left w:w="105" w:type="dxa"/>
              <w:bottom w:w="0" w:type="dxa"/>
              <w:right w:w="105" w:type="dxa"/>
            </w:tcMar>
            <w:vAlign w:val="center"/>
          </w:tcPr>
          <w:p w14:paraId="1327215B">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12.责任区域内无重大刑事案件和资产（井盖、消防设施、设备、公用设施）丢失案件、交通事故、恶性案件发生率为0，一般性治安案件有效控制。</w:t>
            </w:r>
          </w:p>
        </w:tc>
        <w:tc>
          <w:tcPr>
            <w:tcW w:w="2067" w:type="dxa"/>
            <w:tcBorders>
              <w:tl2br w:val="nil"/>
              <w:tr2bl w:val="nil"/>
            </w:tcBorders>
            <w:noWrap w:val="0"/>
            <w:tcMar>
              <w:top w:w="0" w:type="dxa"/>
              <w:left w:w="105" w:type="dxa"/>
              <w:bottom w:w="0" w:type="dxa"/>
              <w:right w:w="105" w:type="dxa"/>
            </w:tcMar>
            <w:vAlign w:val="center"/>
          </w:tcPr>
          <w:p w14:paraId="0C2A654E">
            <w:pPr>
              <w:pStyle w:val="7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每违规一次扣6分</w:t>
            </w:r>
          </w:p>
        </w:tc>
        <w:tc>
          <w:tcPr>
            <w:tcW w:w="481" w:type="dxa"/>
            <w:tcBorders>
              <w:tl2br w:val="nil"/>
              <w:tr2bl w:val="nil"/>
            </w:tcBorders>
            <w:noWrap w:val="0"/>
            <w:tcMar>
              <w:top w:w="0" w:type="dxa"/>
              <w:left w:w="105" w:type="dxa"/>
              <w:bottom w:w="0" w:type="dxa"/>
              <w:right w:w="105" w:type="dxa"/>
            </w:tcMar>
            <w:vAlign w:val="center"/>
          </w:tcPr>
          <w:p w14:paraId="0B1C6C88">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p>
        </w:tc>
      </w:tr>
      <w:tr w14:paraId="189470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2" w:type="dxa"/>
            <w:vMerge w:val="continue"/>
            <w:tcBorders>
              <w:tl2br w:val="nil"/>
              <w:tr2bl w:val="nil"/>
            </w:tcBorders>
            <w:noWrap w:val="0"/>
            <w:vAlign w:val="center"/>
          </w:tcPr>
          <w:p w14:paraId="6CF92C9F">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696" w:type="dxa"/>
            <w:vMerge w:val="continue"/>
            <w:tcBorders>
              <w:tl2br w:val="nil"/>
              <w:tr2bl w:val="nil"/>
            </w:tcBorders>
            <w:noWrap w:val="0"/>
            <w:vAlign w:val="center"/>
          </w:tcPr>
          <w:p w14:paraId="6B18F9F4">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5160" w:type="dxa"/>
            <w:tcBorders>
              <w:tl2br w:val="nil"/>
              <w:tr2bl w:val="nil"/>
            </w:tcBorders>
            <w:noWrap w:val="0"/>
            <w:tcMar>
              <w:top w:w="0" w:type="dxa"/>
              <w:left w:w="105" w:type="dxa"/>
              <w:bottom w:w="0" w:type="dxa"/>
              <w:right w:w="105" w:type="dxa"/>
            </w:tcMar>
            <w:vAlign w:val="center"/>
          </w:tcPr>
          <w:p w14:paraId="7D78AFF5">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13.有突发应急处理方案，反应快捷，对区域内公共设施巡逻、防盗及时，没有监守自盗现象。</w:t>
            </w:r>
          </w:p>
        </w:tc>
        <w:tc>
          <w:tcPr>
            <w:tcW w:w="2067" w:type="dxa"/>
            <w:tcBorders>
              <w:tl2br w:val="nil"/>
              <w:tr2bl w:val="nil"/>
            </w:tcBorders>
            <w:noWrap w:val="0"/>
            <w:tcMar>
              <w:top w:w="0" w:type="dxa"/>
              <w:left w:w="105" w:type="dxa"/>
              <w:bottom w:w="0" w:type="dxa"/>
              <w:right w:w="105" w:type="dxa"/>
            </w:tcMar>
            <w:vAlign w:val="center"/>
          </w:tcPr>
          <w:p w14:paraId="34C3DA30">
            <w:pPr>
              <w:pStyle w:val="7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每违规一次扣6分</w:t>
            </w:r>
          </w:p>
        </w:tc>
        <w:tc>
          <w:tcPr>
            <w:tcW w:w="481" w:type="dxa"/>
            <w:tcBorders>
              <w:tl2br w:val="nil"/>
              <w:tr2bl w:val="nil"/>
            </w:tcBorders>
            <w:noWrap w:val="0"/>
            <w:tcMar>
              <w:top w:w="0" w:type="dxa"/>
              <w:left w:w="105" w:type="dxa"/>
              <w:bottom w:w="0" w:type="dxa"/>
              <w:right w:w="105" w:type="dxa"/>
            </w:tcMar>
            <w:vAlign w:val="center"/>
          </w:tcPr>
          <w:p w14:paraId="43A0F4F2">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p>
        </w:tc>
      </w:tr>
      <w:tr w14:paraId="3FC58C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2" w:type="dxa"/>
            <w:vMerge w:val="continue"/>
            <w:tcBorders>
              <w:tl2br w:val="nil"/>
              <w:tr2bl w:val="nil"/>
            </w:tcBorders>
            <w:noWrap w:val="0"/>
            <w:vAlign w:val="center"/>
          </w:tcPr>
          <w:p w14:paraId="368D76B5">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696" w:type="dxa"/>
            <w:vMerge w:val="continue"/>
            <w:tcBorders>
              <w:tl2br w:val="nil"/>
              <w:tr2bl w:val="nil"/>
            </w:tcBorders>
            <w:noWrap w:val="0"/>
            <w:vAlign w:val="center"/>
          </w:tcPr>
          <w:p w14:paraId="13A163BB">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5160" w:type="dxa"/>
            <w:tcBorders>
              <w:tl2br w:val="nil"/>
              <w:tr2bl w:val="nil"/>
            </w:tcBorders>
            <w:noWrap w:val="0"/>
            <w:tcMar>
              <w:top w:w="0" w:type="dxa"/>
              <w:left w:w="105" w:type="dxa"/>
              <w:bottom w:w="0" w:type="dxa"/>
              <w:right w:w="105" w:type="dxa"/>
            </w:tcMar>
            <w:vAlign w:val="center"/>
          </w:tcPr>
          <w:p w14:paraId="117621B2">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14.保安人员培训到位，熟悉岗位事务，对应急流程熟悉。</w:t>
            </w:r>
          </w:p>
        </w:tc>
        <w:tc>
          <w:tcPr>
            <w:tcW w:w="2067" w:type="dxa"/>
            <w:tcBorders>
              <w:tl2br w:val="nil"/>
              <w:tr2bl w:val="nil"/>
            </w:tcBorders>
            <w:noWrap w:val="0"/>
            <w:tcMar>
              <w:top w:w="0" w:type="dxa"/>
              <w:left w:w="105" w:type="dxa"/>
              <w:bottom w:w="0" w:type="dxa"/>
              <w:right w:w="105" w:type="dxa"/>
            </w:tcMar>
            <w:vAlign w:val="center"/>
          </w:tcPr>
          <w:p w14:paraId="2B88343A">
            <w:pPr>
              <w:pStyle w:val="7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每违规一次扣6分</w:t>
            </w:r>
          </w:p>
        </w:tc>
        <w:tc>
          <w:tcPr>
            <w:tcW w:w="481" w:type="dxa"/>
            <w:tcBorders>
              <w:tl2br w:val="nil"/>
              <w:tr2bl w:val="nil"/>
            </w:tcBorders>
            <w:noWrap w:val="0"/>
            <w:tcMar>
              <w:top w:w="0" w:type="dxa"/>
              <w:left w:w="105" w:type="dxa"/>
              <w:bottom w:w="0" w:type="dxa"/>
              <w:right w:w="105" w:type="dxa"/>
            </w:tcMar>
            <w:vAlign w:val="center"/>
          </w:tcPr>
          <w:p w14:paraId="1756CEF5">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p>
        </w:tc>
      </w:tr>
      <w:tr w14:paraId="5B9EEB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2" w:type="dxa"/>
            <w:vMerge w:val="continue"/>
            <w:tcBorders>
              <w:tl2br w:val="nil"/>
              <w:tr2bl w:val="nil"/>
            </w:tcBorders>
            <w:noWrap w:val="0"/>
            <w:vAlign w:val="center"/>
          </w:tcPr>
          <w:p w14:paraId="25A5EF77">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696" w:type="dxa"/>
            <w:vMerge w:val="continue"/>
            <w:tcBorders>
              <w:tl2br w:val="nil"/>
              <w:tr2bl w:val="nil"/>
            </w:tcBorders>
            <w:noWrap w:val="0"/>
            <w:vAlign w:val="center"/>
          </w:tcPr>
          <w:p w14:paraId="54D23647">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1"/>
                <w:szCs w:val="21"/>
                <w:highlight w:val="none"/>
              </w:rPr>
            </w:pPr>
          </w:p>
        </w:tc>
        <w:tc>
          <w:tcPr>
            <w:tcW w:w="5160" w:type="dxa"/>
            <w:tcBorders>
              <w:tl2br w:val="nil"/>
              <w:tr2bl w:val="nil"/>
            </w:tcBorders>
            <w:noWrap w:val="0"/>
            <w:tcMar>
              <w:top w:w="0" w:type="dxa"/>
              <w:left w:w="105" w:type="dxa"/>
              <w:bottom w:w="0" w:type="dxa"/>
              <w:right w:w="105" w:type="dxa"/>
            </w:tcMar>
            <w:vAlign w:val="center"/>
          </w:tcPr>
          <w:p w14:paraId="674171D2">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15.人员编制按合同编制，不得缺编。</w:t>
            </w:r>
          </w:p>
        </w:tc>
        <w:tc>
          <w:tcPr>
            <w:tcW w:w="2067" w:type="dxa"/>
            <w:tcBorders>
              <w:tl2br w:val="nil"/>
              <w:tr2bl w:val="nil"/>
            </w:tcBorders>
            <w:noWrap w:val="0"/>
            <w:tcMar>
              <w:top w:w="0" w:type="dxa"/>
              <w:left w:w="105" w:type="dxa"/>
              <w:bottom w:w="0" w:type="dxa"/>
              <w:right w:w="105" w:type="dxa"/>
            </w:tcMar>
            <w:vAlign w:val="center"/>
          </w:tcPr>
          <w:p w14:paraId="66A815B5">
            <w:pPr>
              <w:pStyle w:val="7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每缺1人扣6分</w:t>
            </w:r>
          </w:p>
        </w:tc>
        <w:tc>
          <w:tcPr>
            <w:tcW w:w="481" w:type="dxa"/>
            <w:tcBorders>
              <w:tl2br w:val="nil"/>
              <w:tr2bl w:val="nil"/>
            </w:tcBorders>
            <w:noWrap w:val="0"/>
            <w:tcMar>
              <w:top w:w="0" w:type="dxa"/>
              <w:left w:w="105" w:type="dxa"/>
              <w:bottom w:w="0" w:type="dxa"/>
              <w:right w:w="105" w:type="dxa"/>
            </w:tcMar>
            <w:vAlign w:val="center"/>
          </w:tcPr>
          <w:p w14:paraId="3B4E9ED7">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p>
        </w:tc>
      </w:tr>
      <w:tr w14:paraId="0AFD56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trPr>
        <w:tc>
          <w:tcPr>
            <w:tcW w:w="9126" w:type="dxa"/>
            <w:gridSpan w:val="5"/>
            <w:tcBorders>
              <w:tl2br w:val="nil"/>
              <w:tr2bl w:val="nil"/>
            </w:tcBorders>
            <w:noWrap w:val="0"/>
            <w:tcMar>
              <w:top w:w="0" w:type="dxa"/>
              <w:left w:w="105" w:type="dxa"/>
              <w:bottom w:w="0" w:type="dxa"/>
              <w:right w:w="105" w:type="dxa"/>
            </w:tcMar>
            <w:vAlign w:val="center"/>
          </w:tcPr>
          <w:p w14:paraId="61ADE0F6">
            <w:pPr>
              <w:pStyle w:val="74"/>
              <w:keepNext w:val="0"/>
              <w:keepLines w:val="0"/>
              <w:pageBreakBefore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上述1-15项满分为90分，单项内容多次违规可重复扣分，直至90分扣完为止。</w:t>
            </w:r>
          </w:p>
        </w:tc>
      </w:tr>
      <w:tr w14:paraId="770018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trPr>
        <w:tc>
          <w:tcPr>
            <w:tcW w:w="722" w:type="dxa"/>
            <w:tcBorders>
              <w:tl2br w:val="nil"/>
              <w:tr2bl w:val="nil"/>
            </w:tcBorders>
            <w:noWrap w:val="0"/>
            <w:tcMar>
              <w:top w:w="0" w:type="dxa"/>
              <w:left w:w="105" w:type="dxa"/>
              <w:bottom w:w="0" w:type="dxa"/>
              <w:right w:w="105" w:type="dxa"/>
            </w:tcMar>
            <w:vAlign w:val="center"/>
          </w:tcPr>
          <w:p w14:paraId="7AEFF443">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其他</w:t>
            </w:r>
          </w:p>
        </w:tc>
        <w:tc>
          <w:tcPr>
            <w:tcW w:w="696" w:type="dxa"/>
            <w:tcBorders>
              <w:tl2br w:val="nil"/>
              <w:tr2bl w:val="nil"/>
            </w:tcBorders>
            <w:noWrap w:val="0"/>
            <w:tcMar>
              <w:top w:w="0" w:type="dxa"/>
              <w:left w:w="105" w:type="dxa"/>
              <w:bottom w:w="0" w:type="dxa"/>
              <w:right w:w="105" w:type="dxa"/>
            </w:tcMar>
            <w:vAlign w:val="center"/>
          </w:tcPr>
          <w:p w14:paraId="6841002C">
            <w:pPr>
              <w:pStyle w:val="7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10分</w:t>
            </w:r>
          </w:p>
        </w:tc>
        <w:tc>
          <w:tcPr>
            <w:tcW w:w="5160" w:type="dxa"/>
            <w:tcBorders>
              <w:tl2br w:val="nil"/>
              <w:tr2bl w:val="nil"/>
            </w:tcBorders>
            <w:noWrap w:val="0"/>
            <w:tcMar>
              <w:top w:w="0" w:type="dxa"/>
              <w:left w:w="105" w:type="dxa"/>
              <w:bottom w:w="0" w:type="dxa"/>
              <w:right w:w="105" w:type="dxa"/>
            </w:tcMar>
            <w:vAlign w:val="center"/>
          </w:tcPr>
          <w:p w14:paraId="75DAF2D7">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服务期间内，</w:t>
            </w:r>
            <w:r>
              <w:rPr>
                <w:rFonts w:hint="eastAsia" w:ascii="宋体" w:hAnsi="宋体" w:eastAsia="宋体" w:cs="宋体"/>
                <w:color w:val="auto"/>
                <w:sz w:val="21"/>
                <w:szCs w:val="21"/>
                <w:highlight w:val="none"/>
                <w:lang w:val="en-US" w:eastAsia="zh-CN"/>
              </w:rPr>
              <w:t>成交供应商</w:t>
            </w:r>
            <w:r>
              <w:rPr>
                <w:rFonts w:hint="eastAsia" w:ascii="宋体" w:hAnsi="宋体" w:eastAsia="宋体" w:cs="宋体"/>
                <w:color w:val="auto"/>
                <w:sz w:val="21"/>
                <w:szCs w:val="21"/>
                <w:highlight w:val="none"/>
              </w:rPr>
              <w:t>须按时足额发放人员工资。</w:t>
            </w:r>
          </w:p>
        </w:tc>
        <w:tc>
          <w:tcPr>
            <w:tcW w:w="2067" w:type="dxa"/>
            <w:tcBorders>
              <w:tl2br w:val="nil"/>
              <w:tr2bl w:val="nil"/>
            </w:tcBorders>
            <w:noWrap w:val="0"/>
            <w:tcMar>
              <w:top w:w="0" w:type="dxa"/>
              <w:left w:w="105" w:type="dxa"/>
              <w:bottom w:w="0" w:type="dxa"/>
              <w:right w:w="105" w:type="dxa"/>
            </w:tcMar>
            <w:vAlign w:val="center"/>
          </w:tcPr>
          <w:p w14:paraId="5B534341">
            <w:pPr>
              <w:pStyle w:val="7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每违规一次扣10分</w:t>
            </w:r>
          </w:p>
        </w:tc>
        <w:tc>
          <w:tcPr>
            <w:tcW w:w="481" w:type="dxa"/>
            <w:tcBorders>
              <w:tl2br w:val="nil"/>
              <w:tr2bl w:val="nil"/>
            </w:tcBorders>
            <w:noWrap w:val="0"/>
            <w:tcMar>
              <w:top w:w="0" w:type="dxa"/>
              <w:left w:w="105" w:type="dxa"/>
              <w:bottom w:w="0" w:type="dxa"/>
              <w:right w:w="105" w:type="dxa"/>
            </w:tcMar>
            <w:vAlign w:val="center"/>
          </w:tcPr>
          <w:p w14:paraId="476357DE">
            <w:pPr>
              <w:pStyle w:val="74"/>
              <w:keepNext w:val="0"/>
              <w:keepLines w:val="0"/>
              <w:pageBreakBefore w:val="0"/>
              <w:kinsoku/>
              <w:wordWrap/>
              <w:overflowPunct/>
              <w:topLinePunct w:val="0"/>
              <w:autoSpaceDE/>
              <w:autoSpaceDN/>
              <w:bidi w:val="0"/>
              <w:adjustRightInd/>
              <w:snapToGrid/>
              <w:jc w:val="both"/>
              <w:textAlignment w:val="auto"/>
              <w:rPr>
                <w:rFonts w:hint="eastAsia" w:ascii="宋体" w:hAnsi="宋体" w:eastAsia="宋体" w:cs="宋体"/>
                <w:color w:val="auto"/>
                <w:sz w:val="21"/>
                <w:szCs w:val="21"/>
                <w:highlight w:val="none"/>
              </w:rPr>
            </w:pPr>
          </w:p>
        </w:tc>
      </w:tr>
    </w:tbl>
    <w:p w14:paraId="7C420C99">
      <w:pPr>
        <w:numPr>
          <w:ilvl w:val="0"/>
          <w:numId w:val="0"/>
        </w:numPr>
        <w:tabs>
          <w:tab w:val="left" w:pos="284"/>
        </w:tabs>
        <w:snapToGrid w:val="0"/>
        <w:spacing w:line="360" w:lineRule="auto"/>
        <w:ind w:leftChars="0"/>
        <w:contextualSpacing/>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注：</w:t>
      </w:r>
    </w:p>
    <w:p w14:paraId="1CEC362F">
      <w:pPr>
        <w:numPr>
          <w:ilvl w:val="0"/>
          <w:numId w:val="0"/>
        </w:numPr>
        <w:tabs>
          <w:tab w:val="left" w:pos="284"/>
        </w:tabs>
        <w:snapToGrid w:val="0"/>
        <w:spacing w:line="360" w:lineRule="auto"/>
        <w:ind w:left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val="en-US" w:eastAsia="zh-CN"/>
        </w:rPr>
        <w:t>1、每1结算周期内综合考核得分取周期内3个月得分的平均值，计算结果四舍五入保留2位小数</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综合考核得分</w:t>
      </w:r>
      <w:r>
        <w:rPr>
          <w:rFonts w:hint="eastAsia" w:ascii="宋体" w:hAnsi="宋体" w:eastAsia="宋体" w:cs="Times New Roman"/>
          <w:color w:val="auto"/>
          <w:szCs w:val="21"/>
          <w:highlight w:val="none"/>
        </w:rPr>
        <w:t>80分（含）或以上的，采购人全额支付当月</w:t>
      </w:r>
      <w:r>
        <w:rPr>
          <w:rFonts w:hint="eastAsia" w:ascii="宋体" w:hAnsi="宋体" w:eastAsia="宋体" w:cs="Times New Roman"/>
          <w:color w:val="auto"/>
          <w:szCs w:val="21"/>
          <w:highlight w:val="none"/>
          <w:lang w:val="en-US" w:eastAsia="zh-CN"/>
        </w:rPr>
        <w:t>服务</w:t>
      </w:r>
      <w:r>
        <w:rPr>
          <w:rFonts w:hint="eastAsia" w:ascii="宋体" w:hAnsi="宋体" w:eastAsia="宋体" w:cs="Times New Roman"/>
          <w:color w:val="auto"/>
          <w:szCs w:val="21"/>
          <w:highlight w:val="none"/>
        </w:rPr>
        <w:t>费；</w:t>
      </w:r>
      <w:r>
        <w:rPr>
          <w:rFonts w:hint="eastAsia" w:ascii="宋体" w:hAnsi="宋体" w:eastAsia="宋体" w:cs="Times New Roman"/>
          <w:color w:val="auto"/>
          <w:szCs w:val="21"/>
          <w:highlight w:val="none"/>
          <w:lang w:val="en-US" w:eastAsia="zh-CN"/>
        </w:rPr>
        <w:t>综合考核得分</w:t>
      </w:r>
      <w:r>
        <w:rPr>
          <w:rFonts w:hint="eastAsia" w:ascii="宋体" w:hAnsi="宋体" w:eastAsia="宋体" w:cs="Times New Roman"/>
          <w:color w:val="auto"/>
          <w:szCs w:val="21"/>
          <w:highlight w:val="none"/>
        </w:rPr>
        <w:t>70分（含）至80分（不含）的，采购人扣除当月服务费的</w:t>
      </w:r>
      <w:r>
        <w:rPr>
          <w:rFonts w:hint="eastAsia" w:ascii="宋体" w:hAnsi="宋体" w:eastAsia="宋体" w:cs="Times New Roman"/>
          <w:color w:val="auto"/>
          <w:szCs w:val="21"/>
          <w:highlight w:val="none"/>
          <w:lang w:val="en-US" w:eastAsia="zh-CN"/>
        </w:rPr>
        <w:t>5</w:t>
      </w:r>
      <w:r>
        <w:rPr>
          <w:rFonts w:hint="eastAsia" w:ascii="宋体" w:hAnsi="宋体" w:eastAsia="宋体" w:cs="Times New Roman"/>
          <w:color w:val="auto"/>
          <w:szCs w:val="21"/>
          <w:highlight w:val="none"/>
        </w:rPr>
        <w:t>%；考核分值60分（含）至70分（不含）的，采购人扣除当月服务费的</w:t>
      </w:r>
      <w:r>
        <w:rPr>
          <w:rFonts w:hint="eastAsia" w:ascii="宋体" w:hAnsi="宋体" w:eastAsia="宋体" w:cs="Times New Roman"/>
          <w:color w:val="auto"/>
          <w:szCs w:val="21"/>
          <w:highlight w:val="none"/>
          <w:lang w:val="en-US" w:eastAsia="zh-CN"/>
        </w:rPr>
        <w:t>1</w:t>
      </w:r>
      <w:r>
        <w:rPr>
          <w:rFonts w:hint="eastAsia" w:ascii="宋体" w:hAnsi="宋体" w:eastAsia="宋体" w:cs="Times New Roman"/>
          <w:color w:val="auto"/>
          <w:szCs w:val="21"/>
          <w:highlight w:val="none"/>
        </w:rPr>
        <w:t>0%；60分（不含）以下的为不合格，</w:t>
      </w:r>
      <w:r>
        <w:rPr>
          <w:rFonts w:hint="eastAsia" w:ascii="宋体" w:hAnsi="宋体" w:eastAsia="宋体" w:cs="Times New Roman"/>
          <w:color w:val="auto"/>
          <w:szCs w:val="21"/>
          <w:highlight w:val="none"/>
          <w:lang w:val="en-US" w:eastAsia="zh-CN"/>
        </w:rPr>
        <w:t>采购人</w:t>
      </w:r>
      <w:r>
        <w:rPr>
          <w:rFonts w:hint="eastAsia" w:ascii="宋体" w:hAnsi="宋体" w:eastAsia="宋体" w:cs="Times New Roman"/>
          <w:color w:val="auto"/>
          <w:szCs w:val="21"/>
          <w:highlight w:val="none"/>
        </w:rPr>
        <w:t>扣除当月服务费的</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0%；</w:t>
      </w:r>
    </w:p>
    <w:p w14:paraId="11A8F3C2">
      <w:pPr>
        <w:numPr>
          <w:ilvl w:val="0"/>
          <w:numId w:val="0"/>
        </w:numPr>
        <w:tabs>
          <w:tab w:val="left" w:pos="284"/>
        </w:tabs>
        <w:snapToGrid w:val="0"/>
        <w:spacing w:line="360" w:lineRule="auto"/>
        <w:ind w:leftChars="0"/>
        <w:contextualSpacing/>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服务期间</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连续2个</w:t>
      </w:r>
      <w:r>
        <w:rPr>
          <w:rFonts w:hint="eastAsia" w:ascii="宋体" w:hAnsi="宋体" w:eastAsia="宋体" w:cs="Times New Roman"/>
          <w:color w:val="auto"/>
          <w:szCs w:val="21"/>
          <w:highlight w:val="none"/>
          <w:lang w:val="en-US" w:eastAsia="zh-CN"/>
        </w:rPr>
        <w:t>月</w:t>
      </w:r>
      <w:r>
        <w:rPr>
          <w:rFonts w:hint="eastAsia" w:ascii="宋体" w:hAnsi="宋体" w:eastAsia="宋体" w:cs="Times New Roman"/>
          <w:color w:val="auto"/>
          <w:szCs w:val="21"/>
          <w:highlight w:val="none"/>
        </w:rPr>
        <w:t>考核不合格或单个合同年内累计</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个</w:t>
      </w:r>
      <w:r>
        <w:rPr>
          <w:rFonts w:hint="eastAsia" w:ascii="宋体" w:hAnsi="宋体" w:eastAsia="宋体" w:cs="Times New Roman"/>
          <w:color w:val="auto"/>
          <w:szCs w:val="21"/>
          <w:highlight w:val="none"/>
          <w:lang w:val="en-US" w:eastAsia="zh-CN"/>
        </w:rPr>
        <w:t>结算周期</w:t>
      </w:r>
      <w:r>
        <w:rPr>
          <w:rFonts w:hint="eastAsia" w:ascii="宋体" w:hAnsi="宋体" w:eastAsia="宋体" w:cs="Times New Roman"/>
          <w:color w:val="auto"/>
          <w:szCs w:val="21"/>
          <w:highlight w:val="none"/>
        </w:rPr>
        <w:t>考核不合格的，</w:t>
      </w:r>
      <w:r>
        <w:rPr>
          <w:rFonts w:hint="eastAsia" w:ascii="宋体" w:hAnsi="宋体" w:eastAsia="宋体" w:cs="Times New Roman"/>
          <w:color w:val="auto"/>
          <w:szCs w:val="21"/>
          <w:highlight w:val="none"/>
          <w:lang w:val="en-US" w:eastAsia="zh-CN"/>
        </w:rPr>
        <w:t>成交供应商应向采购人支付合同总金额的20%作为违约金，同时</w:t>
      </w:r>
      <w:r>
        <w:rPr>
          <w:rFonts w:hint="eastAsia" w:ascii="宋体" w:hAnsi="宋体" w:eastAsia="宋体" w:cs="Times New Roman"/>
          <w:color w:val="auto"/>
          <w:szCs w:val="21"/>
          <w:highlight w:val="none"/>
        </w:rPr>
        <w:t>采购人有权单方面终止合同</w:t>
      </w:r>
      <w:r>
        <w:rPr>
          <w:rFonts w:hint="eastAsia" w:ascii="宋体" w:hAnsi="宋体" w:eastAsia="宋体" w:cs="Times New Roman"/>
          <w:color w:val="auto"/>
          <w:szCs w:val="21"/>
          <w:highlight w:val="none"/>
          <w:lang w:eastAsia="zh-CN"/>
        </w:rPr>
        <w:t>；</w:t>
      </w:r>
    </w:p>
    <w:p w14:paraId="77E67D2A">
      <w:pPr>
        <w:numPr>
          <w:ilvl w:val="0"/>
          <w:numId w:val="0"/>
        </w:numPr>
        <w:tabs>
          <w:tab w:val="left" w:pos="284"/>
        </w:tabs>
        <w:snapToGrid w:val="0"/>
        <w:spacing w:line="360" w:lineRule="auto"/>
        <w:ind w:leftChars="0"/>
        <w:contextualSpacing/>
        <w:rPr>
          <w:rFonts w:hint="default"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3、结算周期内如未出现磋商文件或项目合同约定的其他违约扣款情形，按上述“1”计算应付服务费金额，如出现违约扣款情形，则先扣除相应违约款项后再按上述“1”计算应付服务费金额。</w:t>
      </w:r>
    </w:p>
    <w:bookmarkEnd w:id="9"/>
    <w:p w14:paraId="18D3AD8F">
      <w:pPr>
        <w:pStyle w:val="2"/>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bookmarkStart w:id="10" w:name="_Toc170228130"/>
      <w:r>
        <w:rPr>
          <w:rFonts w:hint="eastAsia" w:asciiTheme="minorEastAsia" w:hAnsiTheme="minorEastAsia" w:eastAsiaTheme="minorEastAsia"/>
          <w:color w:val="auto"/>
          <w:spacing w:val="20"/>
          <w:sz w:val="32"/>
          <w:szCs w:val="32"/>
          <w:highlight w:val="none"/>
        </w:rPr>
        <w:t>第三章 磋商须知</w:t>
      </w:r>
      <w:bookmarkEnd w:id="10"/>
    </w:p>
    <w:p w14:paraId="54AB2138">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0D5CA1D9">
      <w:pPr>
        <w:pStyle w:val="70"/>
        <w:widowControl/>
        <w:numPr>
          <w:ilvl w:val="0"/>
          <w:numId w:val="16"/>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名词解释</w:t>
      </w:r>
    </w:p>
    <w:p w14:paraId="35B9BC5A">
      <w:pPr>
        <w:pStyle w:val="70"/>
        <w:widowControl/>
        <w:numPr>
          <w:ilvl w:val="0"/>
          <w:numId w:val="17"/>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采购代理机构：是负责整个采购活动的组织，依法负责编制和发布磋商文件，对磋商文件拥有最终的解释权，不以任何身份出任磋商小组成员。</w:t>
      </w:r>
    </w:p>
    <w:p w14:paraId="317B9D37">
      <w:pPr>
        <w:pStyle w:val="70"/>
        <w:widowControl/>
        <w:numPr>
          <w:ilvl w:val="0"/>
          <w:numId w:val="17"/>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采购人：是采购活动当事人之一，负责项目的整体规划、技术方案可行性设计论证与实施，作为合同采购方（用户）的主体承担质疑回复、履行合同、验收与评价等义务。</w:t>
      </w:r>
    </w:p>
    <w:p w14:paraId="6E4B1C9F">
      <w:pPr>
        <w:pStyle w:val="70"/>
        <w:widowControl/>
        <w:numPr>
          <w:ilvl w:val="0"/>
          <w:numId w:val="17"/>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供应商：是指向采购人提供货物、工程或者服务的法人、其他组织或者自然人</w:t>
      </w:r>
      <w:r>
        <w:rPr>
          <w:rFonts w:ascii="宋体" w:hAnsi="宋体"/>
          <w:color w:val="auto"/>
          <w:kern w:val="0"/>
          <w:szCs w:val="21"/>
          <w:highlight w:val="none"/>
          <w:lang w:eastAsia="zh-Hans"/>
        </w:rPr>
        <w:t>。</w:t>
      </w:r>
    </w:p>
    <w:p w14:paraId="5295F134">
      <w:pPr>
        <w:pStyle w:val="70"/>
        <w:widowControl/>
        <w:numPr>
          <w:ilvl w:val="0"/>
          <w:numId w:val="17"/>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磋商小组</w:t>
      </w:r>
      <w:r>
        <w:rPr>
          <w:rFonts w:hint="eastAsia" w:ascii="宋体" w:hAnsi="宋体"/>
          <w:color w:val="auto"/>
          <w:kern w:val="0"/>
          <w:szCs w:val="21"/>
          <w:highlight w:val="none"/>
          <w:lang w:eastAsia="zh-Hans"/>
        </w:rPr>
        <w:t>：</w:t>
      </w:r>
      <w:r>
        <w:rPr>
          <w:rFonts w:ascii="宋体" w:hAnsi="宋体"/>
          <w:color w:val="auto"/>
          <w:kern w:val="0"/>
          <w:szCs w:val="21"/>
          <w:highlight w:val="none"/>
          <w:lang w:eastAsia="zh-Hans"/>
        </w:rPr>
        <w:t>是指</w:t>
      </w:r>
      <w:r>
        <w:rPr>
          <w:rFonts w:hint="eastAsia" w:ascii="宋体" w:hAnsi="宋体"/>
          <w:color w:val="auto"/>
          <w:kern w:val="0"/>
          <w:szCs w:val="21"/>
          <w:highlight w:val="none"/>
          <w:lang w:val="en-US" w:eastAsia="zh-CN"/>
        </w:rPr>
        <w:t>参考</w:t>
      </w:r>
      <w:r>
        <w:rPr>
          <w:rFonts w:ascii="宋体" w:hAnsi="宋体"/>
          <w:color w:val="auto"/>
          <w:kern w:val="0"/>
          <w:szCs w:val="21"/>
          <w:highlight w:val="none"/>
          <w:lang w:eastAsia="zh-Hans"/>
        </w:rPr>
        <w:t>《中华人民共和国政府采购法》等法律法规规定，由采购人代表和有关专家组成以确定成交供应商或者推荐成交候选供应商的临时组织。</w:t>
      </w:r>
    </w:p>
    <w:p w14:paraId="5D533207">
      <w:pPr>
        <w:pStyle w:val="70"/>
        <w:widowControl/>
        <w:numPr>
          <w:ilvl w:val="0"/>
          <w:numId w:val="17"/>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w:t>
      </w:r>
      <w:r>
        <w:rPr>
          <w:rFonts w:hint="eastAsia" w:ascii="宋体" w:hAnsi="宋体"/>
          <w:color w:val="auto"/>
          <w:kern w:val="0"/>
          <w:szCs w:val="21"/>
          <w:highlight w:val="none"/>
          <w:lang w:eastAsia="zh-Hans"/>
        </w:rPr>
        <w:t>：</w:t>
      </w:r>
      <w:r>
        <w:rPr>
          <w:rFonts w:ascii="宋体" w:hAnsi="宋体"/>
          <w:color w:val="auto"/>
          <w:kern w:val="0"/>
          <w:szCs w:val="21"/>
          <w:highlight w:val="none"/>
          <w:lang w:eastAsia="zh-Hans"/>
        </w:rPr>
        <w:t>是指经磋商小组评审确定的对磋商文件做出实质性响应，经采购人按照规定在磋商小组推荐的成交候选供应商中确定的或磋商小组受采购人委托直接确认的供应商。</w:t>
      </w:r>
    </w:p>
    <w:p w14:paraId="6450A404">
      <w:pPr>
        <w:pStyle w:val="70"/>
        <w:widowControl/>
        <w:numPr>
          <w:ilvl w:val="0"/>
          <w:numId w:val="17"/>
        </w:numPr>
        <w:snapToGrid w:val="0"/>
        <w:spacing w:line="360" w:lineRule="auto"/>
        <w:ind w:left="284" w:hanging="284" w:firstLineChars="0"/>
        <w:contextualSpacing/>
        <w:jc w:val="left"/>
        <w:rPr>
          <w:rFonts w:ascii="宋体" w:hAnsi="宋体"/>
          <w:color w:val="auto"/>
          <w:kern w:val="0"/>
          <w:szCs w:val="21"/>
          <w:highlight w:val="none"/>
        </w:rPr>
      </w:pPr>
      <w:r>
        <w:rPr>
          <w:rFonts w:ascii="宋体" w:hAnsi="宋体"/>
          <w:color w:val="auto"/>
          <w:kern w:val="0"/>
          <w:szCs w:val="21"/>
          <w:highlight w:val="none"/>
          <w:lang w:eastAsia="zh-Hans"/>
        </w:rPr>
        <w:t>磋商文件：是指包括磋商公告和磋商文件及其补充、变更和澄清等一系列文件。</w:t>
      </w:r>
    </w:p>
    <w:p w14:paraId="21F46671">
      <w:pPr>
        <w:pStyle w:val="70"/>
        <w:widowControl/>
        <w:numPr>
          <w:ilvl w:val="0"/>
          <w:numId w:val="16"/>
        </w:numPr>
        <w:snapToGrid w:val="0"/>
        <w:spacing w:before="156" w:beforeLines="50" w:line="360" w:lineRule="auto"/>
        <w:ind w:left="442" w:hanging="442" w:firstLineChars="0"/>
        <w:contextualSpacing/>
        <w:jc w:val="left"/>
        <w:outlineLvl w:val="3"/>
        <w:rPr>
          <w:rFonts w:ascii="宋体" w:hAnsi="宋体"/>
          <w:b/>
          <w:color w:val="auto"/>
          <w:kern w:val="0"/>
          <w:szCs w:val="21"/>
          <w:highlight w:val="none"/>
        </w:rPr>
      </w:pPr>
      <w:r>
        <w:rPr>
          <w:rFonts w:ascii="宋体" w:hAnsi="宋体"/>
          <w:b/>
          <w:color w:val="auto"/>
          <w:kern w:val="0"/>
          <w:szCs w:val="21"/>
          <w:highlight w:val="none"/>
          <w:lang w:eastAsia="zh-Hans"/>
        </w:rPr>
        <w:t>须知前附表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52FB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A5827CC">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本表与</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对应章节的内容若不一致，以本表为准。</w:t>
            </w:r>
          </w:p>
        </w:tc>
      </w:tr>
      <w:tr w14:paraId="15D5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BD477AE">
            <w:pPr>
              <w:widowControl/>
              <w:snapToGrid w:val="0"/>
              <w:spacing w:line="400" w:lineRule="exact"/>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序号</w:t>
            </w:r>
          </w:p>
        </w:tc>
        <w:tc>
          <w:tcPr>
            <w:tcW w:w="997" w:type="pct"/>
            <w:vAlign w:val="center"/>
          </w:tcPr>
          <w:p w14:paraId="410015B1">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条款名称</w:t>
            </w:r>
          </w:p>
        </w:tc>
        <w:tc>
          <w:tcPr>
            <w:tcW w:w="3619" w:type="pct"/>
            <w:vAlign w:val="center"/>
          </w:tcPr>
          <w:p w14:paraId="3B4D0C14">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内容及要求</w:t>
            </w:r>
          </w:p>
        </w:tc>
      </w:tr>
      <w:tr w14:paraId="0546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266A2D">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w:t>
            </w:r>
          </w:p>
        </w:tc>
        <w:tc>
          <w:tcPr>
            <w:tcW w:w="997" w:type="pct"/>
            <w:vAlign w:val="center"/>
          </w:tcPr>
          <w:p w14:paraId="29C41EE9">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lang w:eastAsia="zh-Hans"/>
              </w:rPr>
              <w:t>项目属性</w:t>
            </w:r>
          </w:p>
        </w:tc>
        <w:tc>
          <w:tcPr>
            <w:tcW w:w="3619" w:type="pct"/>
            <w:vAlign w:val="center"/>
          </w:tcPr>
          <w:p w14:paraId="63E28CF6">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服务</w:t>
            </w:r>
          </w:p>
        </w:tc>
      </w:tr>
      <w:tr w14:paraId="3A4B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0CEFB51">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2</w:t>
            </w:r>
          </w:p>
        </w:tc>
        <w:tc>
          <w:tcPr>
            <w:tcW w:w="997" w:type="pct"/>
            <w:vAlign w:val="center"/>
          </w:tcPr>
          <w:p w14:paraId="1F8C0022">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资金属性</w:t>
            </w:r>
          </w:p>
        </w:tc>
        <w:tc>
          <w:tcPr>
            <w:tcW w:w="3619" w:type="pct"/>
            <w:vAlign w:val="center"/>
          </w:tcPr>
          <w:p w14:paraId="58EDEA8C">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lang w:val="en-US" w:eastAsia="zh-CN"/>
              </w:rPr>
              <w:t>自筹</w:t>
            </w:r>
            <w:r>
              <w:rPr>
                <w:rFonts w:hint="eastAsia" w:ascii="宋体" w:hAnsi="宋体"/>
                <w:color w:val="auto"/>
                <w:kern w:val="0"/>
                <w:szCs w:val="21"/>
                <w:highlight w:val="none"/>
              </w:rPr>
              <w:t>资金</w:t>
            </w:r>
          </w:p>
        </w:tc>
      </w:tr>
      <w:tr w14:paraId="5CDB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4" w:type="pct"/>
            <w:vAlign w:val="center"/>
          </w:tcPr>
          <w:p w14:paraId="0DAFED9D">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3</w:t>
            </w:r>
          </w:p>
        </w:tc>
        <w:tc>
          <w:tcPr>
            <w:tcW w:w="997" w:type="pct"/>
            <w:vAlign w:val="center"/>
          </w:tcPr>
          <w:p w14:paraId="313B5828">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评</w:t>
            </w:r>
            <w:r>
              <w:rPr>
                <w:rFonts w:hint="eastAsia" w:ascii="宋体" w:hAnsi="宋体"/>
                <w:color w:val="auto"/>
                <w:kern w:val="0"/>
                <w:szCs w:val="21"/>
                <w:highlight w:val="none"/>
                <w:lang w:eastAsia="zh-Hans"/>
              </w:rPr>
              <w:t>审</w:t>
            </w:r>
            <w:r>
              <w:rPr>
                <w:rFonts w:ascii="宋体" w:hAnsi="宋体"/>
                <w:color w:val="auto"/>
                <w:kern w:val="0"/>
                <w:szCs w:val="21"/>
                <w:highlight w:val="none"/>
                <w:lang w:eastAsia="zh-Hans"/>
              </w:rPr>
              <w:t>办法</w:t>
            </w:r>
          </w:p>
        </w:tc>
        <w:tc>
          <w:tcPr>
            <w:tcW w:w="3619" w:type="pct"/>
            <w:vAlign w:val="center"/>
          </w:tcPr>
          <w:p w14:paraId="4CB1D23E">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综合评分法</w:t>
            </w:r>
          </w:p>
        </w:tc>
      </w:tr>
      <w:tr w14:paraId="4491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08A1BA">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4</w:t>
            </w:r>
          </w:p>
        </w:tc>
        <w:tc>
          <w:tcPr>
            <w:tcW w:w="997" w:type="pct"/>
            <w:vAlign w:val="center"/>
          </w:tcPr>
          <w:p w14:paraId="45315A86">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现场踏勘</w:t>
            </w:r>
          </w:p>
        </w:tc>
        <w:tc>
          <w:tcPr>
            <w:tcW w:w="3619" w:type="pct"/>
            <w:vAlign w:val="center"/>
          </w:tcPr>
          <w:p w14:paraId="116AAD8F">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否</w:t>
            </w:r>
          </w:p>
        </w:tc>
      </w:tr>
      <w:tr w14:paraId="5FDB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B25BF47">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5</w:t>
            </w:r>
          </w:p>
        </w:tc>
        <w:tc>
          <w:tcPr>
            <w:tcW w:w="997" w:type="pct"/>
            <w:vAlign w:val="center"/>
          </w:tcPr>
          <w:p w14:paraId="4227C97B">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有效期</w:t>
            </w:r>
          </w:p>
        </w:tc>
        <w:tc>
          <w:tcPr>
            <w:tcW w:w="3619" w:type="pct"/>
            <w:vAlign w:val="center"/>
          </w:tcPr>
          <w:p w14:paraId="0B69407D">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从提交响应文件的截止之日起90日历天</w:t>
            </w:r>
            <w:r>
              <w:rPr>
                <w:rFonts w:hint="eastAsia" w:ascii="宋体" w:hAnsi="宋体"/>
                <w:color w:val="auto"/>
                <w:kern w:val="0"/>
                <w:szCs w:val="21"/>
                <w:highlight w:val="none"/>
                <w:lang w:eastAsia="zh-Hans"/>
              </w:rPr>
              <w:t>。</w:t>
            </w:r>
          </w:p>
        </w:tc>
      </w:tr>
      <w:tr w14:paraId="4459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ADC601D">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6</w:t>
            </w:r>
          </w:p>
        </w:tc>
        <w:tc>
          <w:tcPr>
            <w:tcW w:w="997" w:type="pct"/>
            <w:vAlign w:val="center"/>
          </w:tcPr>
          <w:p w14:paraId="435FEBF0">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保证金</w:t>
            </w:r>
          </w:p>
        </w:tc>
        <w:tc>
          <w:tcPr>
            <w:tcW w:w="3619" w:type="pct"/>
            <w:vAlign w:val="center"/>
          </w:tcPr>
          <w:p w14:paraId="51EB20E4">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lang w:val="en-US" w:eastAsia="zh-CN"/>
              </w:rPr>
              <w:t>不收取</w:t>
            </w:r>
            <w:r>
              <w:rPr>
                <w:rFonts w:ascii="宋体" w:hAnsi="宋体"/>
                <w:color w:val="auto"/>
                <w:kern w:val="0"/>
                <w:szCs w:val="21"/>
                <w:highlight w:val="none"/>
                <w:lang w:eastAsia="zh-Hans"/>
              </w:rPr>
              <w:t>。</w:t>
            </w:r>
          </w:p>
        </w:tc>
      </w:tr>
      <w:tr w14:paraId="57B3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9BDF75">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7</w:t>
            </w:r>
          </w:p>
        </w:tc>
        <w:tc>
          <w:tcPr>
            <w:tcW w:w="997" w:type="pct"/>
            <w:vAlign w:val="center"/>
          </w:tcPr>
          <w:p w14:paraId="7CD85AC6">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文件要求</w:t>
            </w:r>
          </w:p>
        </w:tc>
        <w:tc>
          <w:tcPr>
            <w:tcW w:w="3619" w:type="pct"/>
            <w:vAlign w:val="center"/>
          </w:tcPr>
          <w:p w14:paraId="131F64E1">
            <w:pPr>
              <w:widowControl/>
              <w:snapToGrid w:val="0"/>
              <w:spacing w:line="400" w:lineRule="exact"/>
              <w:contextualSpacing/>
              <w:rPr>
                <w:rFonts w:ascii="宋体" w:hAnsi="宋体"/>
                <w:color w:val="auto"/>
                <w:kern w:val="0"/>
                <w:szCs w:val="21"/>
                <w:highlight w:val="none"/>
                <w:lang w:eastAsia="zh-Hans"/>
              </w:rPr>
            </w:pPr>
            <w:r>
              <w:rPr>
                <w:rFonts w:ascii="宋体" w:hAnsi="宋体"/>
                <w:b/>
                <w:color w:val="auto"/>
                <w:kern w:val="0"/>
                <w:szCs w:val="21"/>
                <w:highlight w:val="none"/>
                <w:lang w:eastAsia="zh-Hans"/>
              </w:rPr>
              <w:t>一、电子</w:t>
            </w:r>
            <w:r>
              <w:rPr>
                <w:rFonts w:hint="eastAsia" w:ascii="宋体" w:hAnsi="宋体"/>
                <w:b/>
                <w:color w:val="auto"/>
                <w:kern w:val="0"/>
                <w:szCs w:val="21"/>
                <w:highlight w:val="none"/>
                <w:lang w:eastAsia="zh-Hans"/>
              </w:rPr>
              <w:t>响应</w:t>
            </w:r>
            <w:r>
              <w:rPr>
                <w:rFonts w:ascii="宋体" w:hAnsi="宋体"/>
                <w:b/>
                <w:color w:val="auto"/>
                <w:kern w:val="0"/>
                <w:szCs w:val="21"/>
                <w:highlight w:val="none"/>
                <w:lang w:eastAsia="zh-Hans"/>
              </w:rPr>
              <w:t>文件：</w:t>
            </w:r>
          </w:p>
          <w:p w14:paraId="366DC476">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lang w:eastAsia="zh-Hans"/>
              </w:rPr>
              <w:t>电</w:t>
            </w:r>
            <w:r>
              <w:rPr>
                <w:rFonts w:hint="eastAsia" w:ascii="宋体" w:hAnsi="宋体"/>
                <w:color w:val="auto"/>
                <w:kern w:val="0"/>
                <w:szCs w:val="21"/>
                <w:highlight w:val="none"/>
                <w:lang w:eastAsia="zh-Hans"/>
              </w:rPr>
              <w:t>子响应</w:t>
            </w:r>
            <w:r>
              <w:rPr>
                <w:rFonts w:ascii="宋体" w:hAnsi="宋体"/>
                <w:color w:val="auto"/>
                <w:kern w:val="0"/>
                <w:szCs w:val="21"/>
                <w:highlight w:val="none"/>
                <w:lang w:eastAsia="zh-Hans"/>
              </w:rPr>
              <w:t>文件U盘(或光盘)</w:t>
            </w:r>
            <w:r>
              <w:rPr>
                <w:rFonts w:hint="eastAsia" w:ascii="宋体" w:hAnsi="宋体"/>
                <w:color w:val="auto"/>
                <w:kern w:val="0"/>
                <w:szCs w:val="21"/>
                <w:highlight w:val="none"/>
              </w:rPr>
              <w:t>1</w:t>
            </w:r>
            <w:r>
              <w:rPr>
                <w:rFonts w:ascii="宋体" w:hAnsi="宋体"/>
                <w:color w:val="auto"/>
                <w:kern w:val="0"/>
                <w:szCs w:val="21"/>
                <w:highlight w:val="none"/>
                <w:lang w:eastAsia="zh-Hans"/>
              </w:rPr>
              <w:t>份</w:t>
            </w:r>
            <w:r>
              <w:rPr>
                <w:rFonts w:hint="eastAsia" w:ascii="宋体" w:hAnsi="宋体"/>
                <w:color w:val="auto"/>
                <w:kern w:val="0"/>
                <w:szCs w:val="21"/>
                <w:highlight w:val="none"/>
                <w:lang w:eastAsia="zh-Hans"/>
              </w:rPr>
              <w:t>。</w:t>
            </w:r>
          </w:p>
          <w:p w14:paraId="2C16A99A">
            <w:pPr>
              <w:widowControl/>
              <w:snapToGrid w:val="0"/>
              <w:spacing w:line="400" w:lineRule="exact"/>
              <w:contextualSpacing/>
              <w:rPr>
                <w:rFonts w:ascii="宋体" w:hAnsi="宋体"/>
                <w:color w:val="auto"/>
                <w:kern w:val="0"/>
                <w:szCs w:val="21"/>
                <w:highlight w:val="none"/>
              </w:rPr>
            </w:pPr>
            <w:r>
              <w:rPr>
                <w:rFonts w:ascii="宋体" w:hAnsi="宋体"/>
                <w:b/>
                <w:color w:val="auto"/>
                <w:kern w:val="0"/>
                <w:szCs w:val="21"/>
                <w:highlight w:val="none"/>
                <w:lang w:eastAsia="zh-Hans"/>
              </w:rPr>
              <w:t>二、</w:t>
            </w:r>
            <w:r>
              <w:rPr>
                <w:rFonts w:hint="eastAsia" w:ascii="宋体" w:hAnsi="宋体"/>
                <w:b/>
                <w:color w:val="auto"/>
                <w:kern w:val="0"/>
                <w:szCs w:val="21"/>
                <w:highlight w:val="none"/>
                <w:lang w:eastAsia="zh-Hans"/>
              </w:rPr>
              <w:t>响应</w:t>
            </w:r>
            <w:r>
              <w:rPr>
                <w:rFonts w:ascii="宋体" w:hAnsi="宋体"/>
                <w:b/>
                <w:color w:val="auto"/>
                <w:kern w:val="0"/>
                <w:szCs w:val="21"/>
                <w:highlight w:val="none"/>
                <w:lang w:eastAsia="zh-Hans"/>
              </w:rPr>
              <w:t>文件：</w:t>
            </w:r>
          </w:p>
          <w:p w14:paraId="7C753E67">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文件正本</w:t>
            </w:r>
            <w:r>
              <w:rPr>
                <w:rFonts w:hint="eastAsia" w:ascii="宋体" w:hAnsi="宋体"/>
                <w:color w:val="auto"/>
                <w:kern w:val="0"/>
                <w:szCs w:val="21"/>
                <w:highlight w:val="none"/>
              </w:rPr>
              <w:t>1</w:t>
            </w:r>
            <w:r>
              <w:rPr>
                <w:rFonts w:ascii="宋体" w:hAnsi="宋体"/>
                <w:color w:val="auto"/>
                <w:kern w:val="0"/>
                <w:szCs w:val="21"/>
                <w:highlight w:val="none"/>
                <w:lang w:eastAsia="zh-Hans"/>
              </w:rPr>
              <w:t>份，</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文件副本</w:t>
            </w:r>
            <w:r>
              <w:rPr>
                <w:rFonts w:hint="eastAsia" w:ascii="宋体" w:hAnsi="宋体"/>
                <w:color w:val="auto"/>
                <w:kern w:val="0"/>
                <w:szCs w:val="21"/>
                <w:highlight w:val="none"/>
              </w:rPr>
              <w:t>3</w:t>
            </w:r>
            <w:r>
              <w:rPr>
                <w:rFonts w:ascii="宋体" w:hAnsi="宋体"/>
                <w:color w:val="auto"/>
                <w:kern w:val="0"/>
                <w:szCs w:val="21"/>
                <w:highlight w:val="none"/>
                <w:lang w:eastAsia="zh-Hans"/>
              </w:rPr>
              <w:t>份。</w:t>
            </w:r>
          </w:p>
          <w:p w14:paraId="13C06A1E">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lang w:eastAsia="zh-Hans"/>
              </w:rPr>
              <w:t>（递交的</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文件需密封完好，</w:t>
            </w:r>
            <w:r>
              <w:rPr>
                <w:rFonts w:hint="eastAsia" w:ascii="宋体" w:hAnsi="宋体"/>
                <w:color w:val="auto"/>
                <w:kern w:val="0"/>
                <w:szCs w:val="21"/>
                <w:highlight w:val="none"/>
                <w:lang w:eastAsia="zh-Hans"/>
              </w:rPr>
              <w:t>每套响应文件须清楚地标明“正本”或“副本”。若副本与正本不符，以正本为准。</w:t>
            </w:r>
            <w:r>
              <w:rPr>
                <w:rFonts w:ascii="宋体" w:hAnsi="宋体"/>
                <w:color w:val="auto"/>
                <w:kern w:val="0"/>
                <w:szCs w:val="21"/>
                <w:highlight w:val="none"/>
                <w:lang w:eastAsia="zh-Hans"/>
              </w:rPr>
              <w:t>）</w:t>
            </w:r>
          </w:p>
        </w:tc>
      </w:tr>
      <w:tr w14:paraId="6403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54BEF1">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8</w:t>
            </w:r>
          </w:p>
        </w:tc>
        <w:tc>
          <w:tcPr>
            <w:tcW w:w="997" w:type="pct"/>
            <w:vAlign w:val="center"/>
          </w:tcPr>
          <w:p w14:paraId="1C2DF29A">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候选供应商推荐家数</w:t>
            </w:r>
          </w:p>
        </w:tc>
        <w:tc>
          <w:tcPr>
            <w:tcW w:w="3619" w:type="pct"/>
            <w:vAlign w:val="center"/>
          </w:tcPr>
          <w:p w14:paraId="29C0C9A0">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rPr>
              <w:t>3</w:t>
            </w:r>
            <w:r>
              <w:rPr>
                <w:rFonts w:ascii="宋体" w:hAnsi="宋体"/>
                <w:color w:val="auto"/>
                <w:kern w:val="0"/>
                <w:szCs w:val="21"/>
                <w:highlight w:val="none"/>
                <w:lang w:eastAsia="zh-Hans"/>
              </w:rPr>
              <w:t>家</w:t>
            </w:r>
          </w:p>
        </w:tc>
      </w:tr>
      <w:tr w14:paraId="637C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F88315A">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9</w:t>
            </w:r>
          </w:p>
        </w:tc>
        <w:tc>
          <w:tcPr>
            <w:tcW w:w="997" w:type="pct"/>
            <w:vAlign w:val="center"/>
          </w:tcPr>
          <w:p w14:paraId="26DA4434">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成交供应商数量</w:t>
            </w:r>
          </w:p>
        </w:tc>
        <w:tc>
          <w:tcPr>
            <w:tcW w:w="3619" w:type="pct"/>
            <w:vAlign w:val="center"/>
          </w:tcPr>
          <w:p w14:paraId="1E775822">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1家</w:t>
            </w:r>
          </w:p>
        </w:tc>
      </w:tr>
      <w:tr w14:paraId="6216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465CF793">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10</w:t>
            </w:r>
          </w:p>
        </w:tc>
        <w:tc>
          <w:tcPr>
            <w:tcW w:w="997" w:type="pct"/>
            <w:vAlign w:val="center"/>
          </w:tcPr>
          <w:p w14:paraId="77928DA1">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有效供应商家数</w:t>
            </w:r>
          </w:p>
        </w:tc>
        <w:tc>
          <w:tcPr>
            <w:tcW w:w="3619" w:type="pct"/>
            <w:vAlign w:val="center"/>
          </w:tcPr>
          <w:p w14:paraId="4C50416A">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3家</w:t>
            </w:r>
          </w:p>
          <w:p w14:paraId="3DEA56F3">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此人数约定了开启与评审过程中的最低有效供应商家数，当家数不足时项目将不得开启、不得评审或直接终止采购。</w:t>
            </w:r>
          </w:p>
        </w:tc>
      </w:tr>
      <w:tr w14:paraId="0FA3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652C41">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11</w:t>
            </w:r>
          </w:p>
        </w:tc>
        <w:tc>
          <w:tcPr>
            <w:tcW w:w="997" w:type="pct"/>
            <w:vAlign w:val="center"/>
          </w:tcPr>
          <w:p w14:paraId="085F7BDB">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供应商确定方式</w:t>
            </w:r>
          </w:p>
        </w:tc>
        <w:tc>
          <w:tcPr>
            <w:tcW w:w="3619" w:type="pct"/>
            <w:vAlign w:val="center"/>
          </w:tcPr>
          <w:p w14:paraId="521F238D">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采购人按照评审报告中推荐的成交候选人确定成交人</w:t>
            </w:r>
          </w:p>
        </w:tc>
      </w:tr>
      <w:tr w14:paraId="3DB2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F30CFF">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12</w:t>
            </w:r>
          </w:p>
        </w:tc>
        <w:tc>
          <w:tcPr>
            <w:tcW w:w="997" w:type="pct"/>
            <w:vAlign w:val="center"/>
          </w:tcPr>
          <w:p w14:paraId="4B465B2B">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代理服务费</w:t>
            </w:r>
          </w:p>
        </w:tc>
        <w:tc>
          <w:tcPr>
            <w:tcW w:w="3619" w:type="pct"/>
            <w:vAlign w:val="center"/>
          </w:tcPr>
          <w:p w14:paraId="652453DD">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收取。采购机构代理服务收费标准：</w:t>
            </w:r>
            <w:r>
              <w:rPr>
                <w:rFonts w:hint="eastAsia" w:ascii="宋体" w:hAnsi="宋体"/>
                <w:color w:val="auto"/>
                <w:kern w:val="0"/>
                <w:szCs w:val="21"/>
                <w:highlight w:val="none"/>
                <w:lang w:eastAsia="zh-Hans"/>
              </w:rPr>
              <w:t>以中标(成交)金额作为采购代理服务费的计算基数，采用差额定率累进法计算，具体计算费率按规定标准“服务类”收取代理服务费。100万元以下，1.5%;100~500万元，0.8%;500~1000万元，0.45%;1000~5000万元，0.25%;5000万元~1亿元，0.1%;1~5亿元，0.05%;5~10亿元，0.035%;10~50亿元，0.008%;50~100亿元，0.006%;100亿以上，0.004%。</w:t>
            </w:r>
          </w:p>
        </w:tc>
      </w:tr>
      <w:tr w14:paraId="417F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9FE4B24">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13</w:t>
            </w:r>
          </w:p>
        </w:tc>
        <w:tc>
          <w:tcPr>
            <w:tcW w:w="997" w:type="pct"/>
            <w:vAlign w:val="center"/>
          </w:tcPr>
          <w:p w14:paraId="2B959E10">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代理服务费收取方式</w:t>
            </w:r>
          </w:p>
        </w:tc>
        <w:tc>
          <w:tcPr>
            <w:tcW w:w="3619" w:type="pct"/>
            <w:vAlign w:val="center"/>
          </w:tcPr>
          <w:p w14:paraId="25DD9A90">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向</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供应商收取</w:t>
            </w:r>
          </w:p>
        </w:tc>
      </w:tr>
      <w:tr w14:paraId="57586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2E80AFAF">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14</w:t>
            </w:r>
          </w:p>
        </w:tc>
        <w:tc>
          <w:tcPr>
            <w:tcW w:w="997" w:type="pct"/>
            <w:vAlign w:val="center"/>
          </w:tcPr>
          <w:p w14:paraId="19E08F0A">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履约担保</w:t>
            </w:r>
          </w:p>
        </w:tc>
        <w:tc>
          <w:tcPr>
            <w:tcW w:w="3619" w:type="pct"/>
            <w:vAlign w:val="center"/>
          </w:tcPr>
          <w:p w14:paraId="56DC2A87">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szCs w:val="21"/>
                <w:highlight w:val="none"/>
                <w:lang w:val="en-US" w:eastAsia="zh-CN"/>
              </w:rPr>
              <w:t>不收取</w:t>
            </w:r>
            <w:r>
              <w:rPr>
                <w:rFonts w:ascii="宋体" w:hAnsi="宋体"/>
                <w:color w:val="auto"/>
                <w:szCs w:val="21"/>
                <w:highlight w:val="none"/>
                <w:lang w:val="zh-CN"/>
              </w:rPr>
              <w:t>。</w:t>
            </w:r>
          </w:p>
        </w:tc>
      </w:tr>
    </w:tbl>
    <w:p w14:paraId="00DD2CF4">
      <w:pPr>
        <w:pStyle w:val="70"/>
        <w:widowControl/>
        <w:numPr>
          <w:ilvl w:val="0"/>
          <w:numId w:val="16"/>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说明</w:t>
      </w:r>
    </w:p>
    <w:p w14:paraId="40124942">
      <w:pPr>
        <w:pStyle w:val="70"/>
        <w:widowControl/>
        <w:numPr>
          <w:ilvl w:val="3"/>
          <w:numId w:val="18"/>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总则</w:t>
      </w:r>
    </w:p>
    <w:p w14:paraId="189140CC">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本磋商文件</w:t>
      </w:r>
      <w:r>
        <w:rPr>
          <w:rFonts w:hint="eastAsia" w:ascii="宋体" w:hAnsi="宋体"/>
          <w:color w:val="auto"/>
          <w:kern w:val="0"/>
          <w:szCs w:val="21"/>
          <w:highlight w:val="none"/>
          <w:lang w:eastAsia="zh-Hans"/>
        </w:rPr>
        <w:t>参考</w:t>
      </w:r>
      <w:r>
        <w:rPr>
          <w:rFonts w:ascii="宋体" w:hAnsi="宋体"/>
          <w:color w:val="auto"/>
          <w:kern w:val="0"/>
          <w:szCs w:val="21"/>
          <w:highlight w:val="none"/>
          <w:lang w:eastAsia="zh-Hans"/>
        </w:rPr>
        <w:t>《中华人民共和国政府采购法》、《中华人民共和国政府采购法实施条例》（国务院令第658号）和《政府采购竞争性磋商采购方式管理暂行办法》（财库〔2014〕214号）</w:t>
      </w:r>
      <w:r>
        <w:rPr>
          <w:rFonts w:hint="eastAsia" w:ascii="宋体" w:hAnsi="宋体"/>
          <w:color w:val="auto"/>
          <w:kern w:val="0"/>
          <w:szCs w:val="21"/>
          <w:highlight w:val="none"/>
          <w:lang w:eastAsia="zh-Hans"/>
        </w:rPr>
        <w:t>等</w:t>
      </w:r>
      <w:r>
        <w:rPr>
          <w:rFonts w:ascii="宋体" w:hAnsi="宋体"/>
          <w:color w:val="auto"/>
          <w:kern w:val="0"/>
          <w:szCs w:val="21"/>
          <w:highlight w:val="none"/>
          <w:lang w:eastAsia="zh-Hans"/>
        </w:rPr>
        <w:t>有关法律、法规、规章制度编制。</w:t>
      </w:r>
    </w:p>
    <w:p w14:paraId="176F8C8E">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2D6FF123">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本次竞争性磋商项目，是以磋商公告的方式邀请非特定的供应商参加磋商。</w:t>
      </w:r>
    </w:p>
    <w:p w14:paraId="3A82A57B">
      <w:pPr>
        <w:pStyle w:val="70"/>
        <w:widowControl/>
        <w:numPr>
          <w:ilvl w:val="3"/>
          <w:numId w:val="18"/>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适用范围</w:t>
      </w:r>
    </w:p>
    <w:p w14:paraId="41132A63">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本磋商文件仅适用于本次磋商公告中所涉及的项目和内容。</w:t>
      </w:r>
    </w:p>
    <w:p w14:paraId="174DF57A">
      <w:pPr>
        <w:pStyle w:val="70"/>
        <w:widowControl/>
        <w:numPr>
          <w:ilvl w:val="3"/>
          <w:numId w:val="18"/>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进口产品</w:t>
      </w:r>
    </w:p>
    <w:p w14:paraId="24CF172C">
      <w:pPr>
        <w:widowControl/>
        <w:snapToGrid w:val="0"/>
        <w:spacing w:line="360" w:lineRule="auto"/>
        <w:ind w:firstLine="424" w:firstLineChars="202"/>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若本项目允许采购进口产品，供应商应保证所投产品可履行合法报通关手续进入中国关境内。</w:t>
      </w:r>
    </w:p>
    <w:p w14:paraId="37B8C242">
      <w:pPr>
        <w:widowControl/>
        <w:snapToGrid w:val="0"/>
        <w:spacing w:line="360" w:lineRule="auto"/>
        <w:ind w:firstLine="424" w:firstLineChars="202"/>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若本项目不允许采购进口产品，如供应商所投产品为进口产品，其响应将被认定为响应无效。</w:t>
      </w:r>
    </w:p>
    <w:p w14:paraId="46013E8F">
      <w:pPr>
        <w:pStyle w:val="70"/>
        <w:widowControl/>
        <w:numPr>
          <w:ilvl w:val="3"/>
          <w:numId w:val="18"/>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磋商费用</w:t>
      </w:r>
    </w:p>
    <w:p w14:paraId="38C9D2F6">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不论磋商结果如何，供应商应承担所有与准备和参加磋商有关的费用。采购代理机构和采购人均无义务和责任承担相关费用。</w:t>
      </w:r>
    </w:p>
    <w:p w14:paraId="31AEE722">
      <w:pPr>
        <w:pStyle w:val="70"/>
        <w:widowControl/>
        <w:numPr>
          <w:ilvl w:val="3"/>
          <w:numId w:val="18"/>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以联合体形式磋商的，应符合以下规定：</w:t>
      </w:r>
    </w:p>
    <w:p w14:paraId="30891E70">
      <w:pPr>
        <w:pStyle w:val="70"/>
        <w:widowControl/>
        <w:numPr>
          <w:ilvl w:val="0"/>
          <w:numId w:val="1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联合体各方均应当满足《中华人民共和国政府采购法》第二十二条规定的条件，并在响应文件中提供联合体各方的相关证明材料。</w:t>
      </w:r>
    </w:p>
    <w:p w14:paraId="3827E80A">
      <w:pPr>
        <w:pStyle w:val="70"/>
        <w:widowControl/>
        <w:numPr>
          <w:ilvl w:val="0"/>
          <w:numId w:val="1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pPr>
        <w:pStyle w:val="70"/>
        <w:widowControl/>
        <w:numPr>
          <w:ilvl w:val="0"/>
          <w:numId w:val="1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对于需交响应保证金的，以牵头方名义缴纳。</w:t>
      </w:r>
    </w:p>
    <w:p w14:paraId="71C6890E">
      <w:pPr>
        <w:pStyle w:val="70"/>
        <w:widowControl/>
        <w:numPr>
          <w:ilvl w:val="0"/>
          <w:numId w:val="1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联合体成员存在不良信用记录的，视同联合体存在不良信用记录。</w:t>
      </w:r>
    </w:p>
    <w:p w14:paraId="7FF8EBC4">
      <w:pPr>
        <w:pStyle w:val="70"/>
        <w:widowControl/>
        <w:numPr>
          <w:ilvl w:val="0"/>
          <w:numId w:val="1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pPr>
        <w:pStyle w:val="70"/>
        <w:widowControl/>
        <w:numPr>
          <w:ilvl w:val="0"/>
          <w:numId w:val="1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联合体各方应当共同与采购人签订采购合同，就合同约定的事项对采购人承担连带责任。</w:t>
      </w:r>
    </w:p>
    <w:p w14:paraId="7CDB9083">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6.关联企业响应说明</w:t>
      </w:r>
    </w:p>
    <w:p w14:paraId="18027132">
      <w:pPr>
        <w:pStyle w:val="70"/>
        <w:widowControl/>
        <w:numPr>
          <w:ilvl w:val="0"/>
          <w:numId w:val="20"/>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C866E2F">
      <w:pPr>
        <w:pStyle w:val="70"/>
        <w:widowControl/>
        <w:numPr>
          <w:ilvl w:val="0"/>
          <w:numId w:val="20"/>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2C3DFA4F">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7.关于中小微企业响应</w:t>
      </w:r>
    </w:p>
    <w:p w14:paraId="2105E785">
      <w:pPr>
        <w:pStyle w:val="70"/>
        <w:widowControl/>
        <w:numPr>
          <w:ilvl w:val="0"/>
          <w:numId w:val="2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6ECFF586">
      <w:pPr>
        <w:pStyle w:val="70"/>
        <w:widowControl/>
        <w:numPr>
          <w:ilvl w:val="0"/>
          <w:numId w:val="21"/>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val="en-US" w:eastAsia="zh-CN"/>
        </w:rPr>
        <w:t>参考</w:t>
      </w:r>
      <w:r>
        <w:rPr>
          <w:rFonts w:ascii="宋体" w:hAnsi="宋体"/>
          <w:color w:val="auto"/>
          <w:kern w:val="0"/>
          <w:szCs w:val="21"/>
          <w:highlight w:val="none"/>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532E9721">
      <w:pPr>
        <w:pStyle w:val="70"/>
        <w:widowControl/>
        <w:numPr>
          <w:ilvl w:val="0"/>
          <w:numId w:val="21"/>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val="en-US" w:eastAsia="zh-CN"/>
        </w:rPr>
        <w:t>参考</w:t>
      </w:r>
      <w:r>
        <w:rPr>
          <w:rFonts w:ascii="宋体" w:hAnsi="宋体"/>
          <w:color w:val="auto"/>
          <w:kern w:val="0"/>
          <w:szCs w:val="21"/>
          <w:highlight w:val="none"/>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3D68AD59">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8.纪律与保密事项</w:t>
      </w:r>
    </w:p>
    <w:p w14:paraId="73CEF96F">
      <w:pPr>
        <w:pStyle w:val="70"/>
        <w:widowControl/>
        <w:numPr>
          <w:ilvl w:val="0"/>
          <w:numId w:val="2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664409D0">
      <w:pPr>
        <w:pStyle w:val="70"/>
        <w:widowControl/>
        <w:numPr>
          <w:ilvl w:val="0"/>
          <w:numId w:val="2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供应商不得与采购人就响应价格、响应方案等实质性内容进行磋商，也不得私下接触磋商小组成员。</w:t>
      </w:r>
    </w:p>
    <w:p w14:paraId="4CE4A82A">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9.语言文字以及度量衡单位</w:t>
      </w:r>
    </w:p>
    <w:p w14:paraId="7B14278D">
      <w:pPr>
        <w:pStyle w:val="70"/>
        <w:widowControl/>
        <w:numPr>
          <w:ilvl w:val="0"/>
          <w:numId w:val="2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pPr>
        <w:pStyle w:val="70"/>
        <w:widowControl/>
        <w:numPr>
          <w:ilvl w:val="0"/>
          <w:numId w:val="2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除非磋商文件的技术规格中另有规定，供应商在响应文件中及其与采购人和采购代理机构的所有往来文件中的计量单位均应采用中华人民共和国法定计量单位。</w:t>
      </w:r>
    </w:p>
    <w:p w14:paraId="2043CE99">
      <w:pPr>
        <w:pStyle w:val="70"/>
        <w:widowControl/>
        <w:numPr>
          <w:ilvl w:val="0"/>
          <w:numId w:val="2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供应商所提供的货物和服务均应以人民币报价，货币单位：元。</w:t>
      </w:r>
    </w:p>
    <w:p w14:paraId="64597615">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10. 现场踏勘（如有）</w:t>
      </w:r>
    </w:p>
    <w:p w14:paraId="5713EDCD">
      <w:pPr>
        <w:pStyle w:val="70"/>
        <w:widowControl/>
        <w:numPr>
          <w:ilvl w:val="0"/>
          <w:numId w:val="2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磋商文件规定组织踏勘现场的，采购人按磋商文件规定的时间、地点组织供应商踏勘项目现场。</w:t>
      </w:r>
    </w:p>
    <w:p w14:paraId="3296BA13">
      <w:pPr>
        <w:pStyle w:val="70"/>
        <w:widowControl/>
        <w:numPr>
          <w:ilvl w:val="0"/>
          <w:numId w:val="2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供应商自行承担踏勘现场发生的责任、风险和自身费用。</w:t>
      </w:r>
    </w:p>
    <w:p w14:paraId="5B6D3441">
      <w:pPr>
        <w:pStyle w:val="70"/>
        <w:widowControl/>
        <w:numPr>
          <w:ilvl w:val="0"/>
          <w:numId w:val="2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采购人在踏勘现场中介绍的资料和数据等，不构成对磋商文件的修改或不作为供应商编制响应文件的依据。</w:t>
      </w:r>
    </w:p>
    <w:p w14:paraId="077A9B27">
      <w:pPr>
        <w:pStyle w:val="70"/>
        <w:widowControl/>
        <w:numPr>
          <w:ilvl w:val="0"/>
          <w:numId w:val="16"/>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磋商文件的澄清和修改</w:t>
      </w:r>
    </w:p>
    <w:p w14:paraId="059ECC1D">
      <w:pPr>
        <w:pStyle w:val="70"/>
        <w:widowControl/>
        <w:numPr>
          <w:ilvl w:val="0"/>
          <w:numId w:val="2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pPr>
        <w:pStyle w:val="70"/>
        <w:widowControl/>
        <w:numPr>
          <w:ilvl w:val="0"/>
          <w:numId w:val="2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7F42A17C">
      <w:pPr>
        <w:pStyle w:val="70"/>
        <w:widowControl/>
        <w:numPr>
          <w:ilvl w:val="0"/>
          <w:numId w:val="2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3A39FCD2">
      <w:pPr>
        <w:pStyle w:val="70"/>
        <w:widowControl/>
        <w:numPr>
          <w:ilvl w:val="0"/>
          <w:numId w:val="16"/>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响应要求</w:t>
      </w:r>
    </w:p>
    <w:p w14:paraId="215666C0">
      <w:pPr>
        <w:pStyle w:val="70"/>
        <w:widowControl/>
        <w:numPr>
          <w:ilvl w:val="0"/>
          <w:numId w:val="26"/>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响应文件的制作</w:t>
      </w:r>
    </w:p>
    <w:p w14:paraId="4CCA673A">
      <w:pPr>
        <w:pStyle w:val="70"/>
        <w:widowControl/>
        <w:numPr>
          <w:ilvl w:val="0"/>
          <w:numId w:val="2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供应商应按照“第二章采购需求”的需求内容、责任范围以及合同条款进行报价。并按“首次报价表”和“分项报价表</w:t>
      </w:r>
      <w:r>
        <w:rPr>
          <w:rFonts w:hint="eastAsia" w:ascii="宋体" w:hAnsi="宋体"/>
          <w:color w:val="auto"/>
          <w:kern w:val="0"/>
          <w:szCs w:val="21"/>
          <w:highlight w:val="none"/>
          <w:lang w:eastAsia="zh-CN"/>
        </w:rPr>
        <w:t>（</w:t>
      </w:r>
      <w:r>
        <w:rPr>
          <w:rFonts w:hint="eastAsia" w:ascii="宋体" w:hAnsi="宋体"/>
          <w:color w:val="auto"/>
          <w:kern w:val="0"/>
          <w:szCs w:val="21"/>
          <w:highlight w:val="none"/>
          <w:lang w:val="en-US" w:eastAsia="zh-CN"/>
        </w:rPr>
        <w:t>如适用</w:t>
      </w:r>
      <w:r>
        <w:rPr>
          <w:rFonts w:hint="eastAsia" w:ascii="宋体" w:hAnsi="宋体"/>
          <w:color w:val="auto"/>
          <w:kern w:val="0"/>
          <w:szCs w:val="21"/>
          <w:highlight w:val="none"/>
          <w:lang w:eastAsia="zh-CN"/>
        </w:rPr>
        <w:t>）</w:t>
      </w:r>
      <w:r>
        <w:rPr>
          <w:rFonts w:ascii="宋体" w:hAnsi="宋体"/>
          <w:color w:val="auto"/>
          <w:kern w:val="0"/>
          <w:szCs w:val="21"/>
          <w:highlight w:val="none"/>
          <w:lang w:eastAsia="zh-Hans"/>
        </w:rPr>
        <w:t>”规定的格式报出总价和分项价格。磋商总价中不得包含磋商文件要求以外的内容，否则，在评审时不予核减。</w:t>
      </w:r>
    </w:p>
    <w:p w14:paraId="0BE6FCCE">
      <w:pPr>
        <w:pStyle w:val="70"/>
        <w:widowControl/>
        <w:numPr>
          <w:ilvl w:val="0"/>
          <w:numId w:val="2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磋商报价包括本项目采购需求和投入使用的所有费用，包括但不限于主件、标准附件、备品备件、施工、服务、专用工具、安装、调试、检验、培训、运输、保险、税款等。</w:t>
      </w:r>
    </w:p>
    <w:p w14:paraId="533722C1">
      <w:pPr>
        <w:pStyle w:val="70"/>
        <w:widowControl/>
        <w:numPr>
          <w:ilvl w:val="0"/>
          <w:numId w:val="2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磋商报价不得有选择性报价和附有条件的报价，否则将导致响应无效。</w:t>
      </w:r>
    </w:p>
    <w:p w14:paraId="2AAD5990">
      <w:pPr>
        <w:pStyle w:val="70"/>
        <w:widowControl/>
        <w:numPr>
          <w:ilvl w:val="0"/>
          <w:numId w:val="2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如有对多个采购包响应的，要对每个采购包独立制作电子响应文件。</w:t>
      </w:r>
    </w:p>
    <w:p w14:paraId="0E273CF8">
      <w:pPr>
        <w:pStyle w:val="70"/>
        <w:widowControl/>
        <w:numPr>
          <w:ilvl w:val="0"/>
          <w:numId w:val="2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供应商不得将同一个项目或同一个采购包的内容拆开响应，否则其报价将被视为非实质性响应。</w:t>
      </w:r>
    </w:p>
    <w:p w14:paraId="57462301">
      <w:pPr>
        <w:pStyle w:val="70"/>
        <w:widowControl/>
        <w:numPr>
          <w:ilvl w:val="0"/>
          <w:numId w:val="2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供应商须对磋商文件的对应要求给予唯一的实质性响应，否则将视为不响应。</w:t>
      </w:r>
    </w:p>
    <w:p w14:paraId="68B87D3F">
      <w:pPr>
        <w:pStyle w:val="70"/>
        <w:widowControl/>
        <w:numPr>
          <w:ilvl w:val="0"/>
          <w:numId w:val="2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磋商文件中，凡标有“</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的地方均为实质性响应条款，供应商若有一项带“</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的条款未响应或不满足，将按无效响应处理。</w:t>
      </w:r>
    </w:p>
    <w:p w14:paraId="6F07C3D3">
      <w:pPr>
        <w:pStyle w:val="70"/>
        <w:widowControl/>
        <w:numPr>
          <w:ilvl w:val="0"/>
          <w:numId w:val="2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0EC0835C">
      <w:pPr>
        <w:pStyle w:val="70"/>
        <w:widowControl/>
        <w:numPr>
          <w:ilvl w:val="0"/>
          <w:numId w:val="2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402B995C">
      <w:pPr>
        <w:pStyle w:val="70"/>
        <w:widowControl/>
        <w:numPr>
          <w:ilvl w:val="0"/>
          <w:numId w:val="27"/>
        </w:numPr>
        <w:snapToGrid w:val="0"/>
        <w:spacing w:after="312" w:afterLines="100" w:line="360" w:lineRule="auto"/>
        <w:ind w:left="442" w:hanging="442"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w:t>
      </w:r>
      <w:r>
        <w:rPr>
          <w:rFonts w:hint="eastAsia" w:ascii="宋体" w:hAnsi="宋体"/>
          <w:color w:val="auto"/>
          <w:kern w:val="0"/>
          <w:szCs w:val="21"/>
          <w:highlight w:val="none"/>
          <w:lang w:eastAsia="zh-Hans"/>
        </w:rPr>
        <w:t>并书面报告监督管理部门</w:t>
      </w:r>
      <w:r>
        <w:rPr>
          <w:rFonts w:ascii="宋体" w:hAnsi="宋体"/>
          <w:color w:val="auto"/>
          <w:kern w:val="0"/>
          <w:szCs w:val="21"/>
          <w:highlight w:val="none"/>
          <w:lang w:eastAsia="zh-Hans"/>
        </w:rPr>
        <w:t>。</w:t>
      </w:r>
    </w:p>
    <w:p w14:paraId="3B2AA416">
      <w:pPr>
        <w:pStyle w:val="70"/>
        <w:widowControl/>
        <w:numPr>
          <w:ilvl w:val="0"/>
          <w:numId w:val="26"/>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bookmarkStart w:id="11" w:name="_Toc410736154"/>
      <w:bookmarkStart w:id="12" w:name="_Toc410738954"/>
      <w:bookmarkStart w:id="13" w:name="_Toc416770231"/>
      <w:bookmarkStart w:id="14" w:name="_Toc416771341"/>
      <w:r>
        <w:rPr>
          <w:rFonts w:hint="eastAsia" w:asciiTheme="minorEastAsia" w:hAnsiTheme="minorEastAsia" w:eastAsiaTheme="minorEastAsia"/>
          <w:b/>
          <w:bCs/>
          <w:color w:val="auto"/>
          <w:highlight w:val="none"/>
        </w:rPr>
        <w:t>响应文件的式样和签署</w:t>
      </w:r>
      <w:bookmarkEnd w:id="11"/>
      <w:bookmarkEnd w:id="12"/>
      <w:bookmarkEnd w:id="13"/>
      <w:bookmarkEnd w:id="14"/>
    </w:p>
    <w:p w14:paraId="6DE5B1BD">
      <w:pPr>
        <w:pStyle w:val="70"/>
        <w:numPr>
          <w:ilvl w:val="0"/>
          <w:numId w:val="28"/>
        </w:numPr>
        <w:tabs>
          <w:tab w:val="left" w:pos="567"/>
          <w:tab w:val="left" w:pos="851"/>
        </w:tabs>
        <w:autoSpaceDE w:val="0"/>
        <w:autoSpaceDN w:val="0"/>
        <w:spacing w:line="360" w:lineRule="auto"/>
        <w:ind w:left="567" w:hanging="567" w:firstLineChars="0"/>
        <w:jc w:val="left"/>
        <w:rPr>
          <w:rFonts w:ascii="宋体" w:hAnsi="宋体"/>
          <w:color w:val="auto"/>
          <w:highlight w:val="none"/>
        </w:rPr>
      </w:pPr>
      <w:r>
        <w:rPr>
          <w:rFonts w:hint="eastAsia" w:ascii="宋体" w:hAnsi="宋体"/>
          <w:bCs/>
          <w:color w:val="auto"/>
          <w:szCs w:val="21"/>
          <w:highlight w:val="none"/>
        </w:rPr>
        <w:t>响应文件的式样：供应商应准备一份响应文件正本、电子响应文件和</w:t>
      </w:r>
      <w:r>
        <w:rPr>
          <w:rFonts w:hint="eastAsia" w:ascii="宋体" w:hAnsi="宋体"/>
          <w:b/>
          <w:bCs/>
          <w:color w:val="auto"/>
          <w:szCs w:val="21"/>
          <w:highlight w:val="none"/>
          <w:u w:val="single"/>
          <w:lang w:eastAsia="zh-CN"/>
        </w:rPr>
        <w:t>《</w:t>
      </w:r>
      <w:r>
        <w:rPr>
          <w:rFonts w:hint="eastAsia" w:ascii="宋体" w:hAnsi="宋体"/>
          <w:b/>
          <w:bCs/>
          <w:color w:val="auto"/>
          <w:szCs w:val="21"/>
          <w:highlight w:val="none"/>
          <w:u w:val="single"/>
        </w:rPr>
        <w:t>须知前附表</w:t>
      </w:r>
      <w:r>
        <w:rPr>
          <w:rFonts w:hint="eastAsia" w:ascii="宋体" w:hAnsi="宋体"/>
          <w:b/>
          <w:bCs/>
          <w:color w:val="auto"/>
          <w:szCs w:val="21"/>
          <w:highlight w:val="none"/>
          <w:u w:val="single"/>
          <w:lang w:eastAsia="zh-CN"/>
        </w:rPr>
        <w:t>》</w:t>
      </w:r>
      <w:r>
        <w:rPr>
          <w:rFonts w:hint="eastAsia" w:ascii="宋体" w:hAnsi="宋体"/>
          <w:bCs/>
          <w:color w:val="auto"/>
          <w:szCs w:val="21"/>
          <w:highlight w:val="none"/>
        </w:rPr>
        <w:t>中规定数目的副本，响应文件的副本可采用正本的复印件。每套响应文件须清楚地标明“正本”或“副本”。若副本与正本不符，以正本为准。</w:t>
      </w:r>
    </w:p>
    <w:p w14:paraId="1FE08005">
      <w:pPr>
        <w:pStyle w:val="70"/>
        <w:numPr>
          <w:ilvl w:val="0"/>
          <w:numId w:val="28"/>
        </w:numPr>
        <w:tabs>
          <w:tab w:val="left" w:pos="567"/>
          <w:tab w:val="left" w:pos="851"/>
        </w:tabs>
        <w:autoSpaceDE w:val="0"/>
        <w:autoSpaceDN w:val="0"/>
        <w:spacing w:line="360" w:lineRule="auto"/>
        <w:ind w:left="567" w:hanging="567" w:firstLineChars="0"/>
        <w:jc w:val="left"/>
        <w:rPr>
          <w:rFonts w:ascii="宋体" w:hAnsi="宋体" w:cs="宋体"/>
          <w:color w:val="auto"/>
          <w:highlight w:val="none"/>
          <w:lang w:eastAsia="zh-TW"/>
        </w:rPr>
      </w:pPr>
      <w:r>
        <w:rPr>
          <w:rFonts w:hint="eastAsia" w:ascii="宋体" w:hAnsi="宋体" w:cs="宋体"/>
          <w:color w:val="auto"/>
          <w:highlight w:val="none"/>
          <w:lang w:eastAsia="zh-TW"/>
        </w:rPr>
        <w:t>响应文件</w:t>
      </w:r>
      <w:r>
        <w:rPr>
          <w:rFonts w:hint="eastAsia" w:ascii="宋体" w:hAnsi="宋体" w:cs="宋体"/>
          <w:color w:val="auto"/>
          <w:highlight w:val="none"/>
        </w:rPr>
        <w:t>的签署</w:t>
      </w:r>
    </w:p>
    <w:p w14:paraId="029C0A13">
      <w:pPr>
        <w:pStyle w:val="70"/>
        <w:numPr>
          <w:ilvl w:val="0"/>
          <w:numId w:val="29"/>
        </w:numPr>
        <w:tabs>
          <w:tab w:val="left" w:pos="360"/>
          <w:tab w:val="left" w:pos="567"/>
          <w:tab w:val="left" w:pos="851"/>
        </w:tabs>
        <w:autoSpaceDE w:val="0"/>
        <w:autoSpaceDN w:val="0"/>
        <w:spacing w:line="360" w:lineRule="auto"/>
        <w:ind w:left="567" w:hanging="567" w:firstLineChars="0"/>
        <w:rPr>
          <w:rFonts w:ascii="宋体" w:hAnsi="宋体" w:cs="宋体"/>
          <w:color w:val="auto"/>
          <w:highlight w:val="none"/>
          <w:lang w:eastAsia="zh-TW"/>
        </w:rPr>
      </w:pPr>
      <w:r>
        <w:rPr>
          <w:rFonts w:hint="eastAsia" w:ascii="宋体" w:hAnsi="宋体"/>
          <w:bCs/>
          <w:color w:val="auto"/>
          <w:szCs w:val="21"/>
          <w:highlight w:val="none"/>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pPr>
        <w:pStyle w:val="70"/>
        <w:numPr>
          <w:ilvl w:val="0"/>
          <w:numId w:val="29"/>
        </w:numPr>
        <w:tabs>
          <w:tab w:val="left" w:pos="360"/>
          <w:tab w:val="left" w:pos="567"/>
          <w:tab w:val="left" w:pos="851"/>
        </w:tabs>
        <w:autoSpaceDE w:val="0"/>
        <w:autoSpaceDN w:val="0"/>
        <w:spacing w:line="360" w:lineRule="auto"/>
        <w:ind w:left="567" w:hanging="567" w:firstLineChars="0"/>
        <w:rPr>
          <w:rFonts w:ascii="宋体" w:hAnsi="宋体" w:cs="宋体"/>
          <w:color w:val="auto"/>
          <w:highlight w:val="none"/>
        </w:rPr>
      </w:pPr>
      <w:r>
        <w:rPr>
          <w:rFonts w:hint="eastAsia" w:ascii="宋体" w:hAnsi="宋体"/>
          <w:bCs/>
          <w:color w:val="auto"/>
          <w:szCs w:val="21"/>
          <w:highlight w:val="none"/>
        </w:rPr>
        <w:t>响应文件中的任何重要的插字、涂改和增删，必须由法定代表人或经其正式授权的代表在旁边签署。</w:t>
      </w:r>
    </w:p>
    <w:p w14:paraId="7477B086">
      <w:pPr>
        <w:pStyle w:val="70"/>
        <w:numPr>
          <w:ilvl w:val="0"/>
          <w:numId w:val="28"/>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color w:val="auto"/>
          <w:highlight w:val="none"/>
        </w:rPr>
      </w:pPr>
      <w:r>
        <w:rPr>
          <w:rFonts w:hint="eastAsia" w:ascii="宋体" w:hAnsi="宋体"/>
          <w:bCs/>
          <w:color w:val="auto"/>
          <w:szCs w:val="21"/>
          <w:highlight w:val="none"/>
        </w:rPr>
        <w:t>响应文件的“正本”及所有“副本”的封面及骑缝均须加盖供应商公章。</w:t>
      </w:r>
    </w:p>
    <w:p w14:paraId="2EBBE8B6">
      <w:pPr>
        <w:pStyle w:val="70"/>
        <w:widowControl/>
        <w:numPr>
          <w:ilvl w:val="0"/>
          <w:numId w:val="26"/>
        </w:numPr>
        <w:snapToGrid w:val="0"/>
        <w:spacing w:before="156" w:beforeLines="50" w:line="360" w:lineRule="auto"/>
        <w:ind w:left="442" w:hanging="442" w:firstLineChars="0"/>
        <w:contextualSpacing/>
        <w:jc w:val="left"/>
        <w:outlineLvl w:val="3"/>
        <w:rPr>
          <w:rFonts w:asciiTheme="minorEastAsia" w:hAnsiTheme="minorEastAsia" w:eastAsiaTheme="minorEastAsia"/>
          <w:b/>
          <w:color w:val="auto"/>
          <w:highlight w:val="none"/>
        </w:rPr>
      </w:pPr>
      <w:bookmarkStart w:id="15" w:name="_Toc410738955"/>
      <w:bookmarkStart w:id="16" w:name="_Toc502738627"/>
      <w:bookmarkStart w:id="17" w:name="_Toc410736155"/>
      <w:bookmarkStart w:id="18" w:name="_Toc416771342"/>
      <w:bookmarkStart w:id="19" w:name="_Toc416770232"/>
      <w:r>
        <w:rPr>
          <w:rFonts w:hint="eastAsia" w:asciiTheme="minorEastAsia" w:hAnsiTheme="minorEastAsia" w:eastAsiaTheme="minorEastAsia"/>
          <w:b/>
          <w:bCs/>
          <w:color w:val="auto"/>
          <w:highlight w:val="none"/>
        </w:rPr>
        <w:t>响应文件的递交</w:t>
      </w:r>
      <w:bookmarkEnd w:id="15"/>
      <w:bookmarkEnd w:id="16"/>
      <w:bookmarkEnd w:id="17"/>
      <w:bookmarkEnd w:id="18"/>
      <w:bookmarkEnd w:id="19"/>
    </w:p>
    <w:p w14:paraId="79DB5479">
      <w:pPr>
        <w:pStyle w:val="70"/>
        <w:numPr>
          <w:ilvl w:val="0"/>
          <w:numId w:val="30"/>
        </w:numPr>
        <w:tabs>
          <w:tab w:val="left" w:pos="360"/>
          <w:tab w:val="left" w:pos="709"/>
        </w:tabs>
        <w:autoSpaceDE w:val="0"/>
        <w:autoSpaceDN w:val="0"/>
        <w:spacing w:line="360" w:lineRule="auto"/>
        <w:ind w:hanging="704" w:firstLineChars="0"/>
        <w:rPr>
          <w:rFonts w:asciiTheme="minorEastAsia" w:hAnsiTheme="minorEastAsia" w:eastAsiaTheme="minorEastAsia"/>
          <w:b/>
          <w:bCs/>
          <w:color w:val="auto"/>
          <w:highlight w:val="none"/>
        </w:rPr>
      </w:pPr>
      <w:bookmarkStart w:id="20" w:name="_Toc410738956"/>
      <w:bookmarkStart w:id="21" w:name="_Toc416771343"/>
      <w:bookmarkStart w:id="22" w:name="_Toc410736156"/>
      <w:bookmarkStart w:id="23" w:name="_Toc416770233"/>
      <w:r>
        <w:rPr>
          <w:rFonts w:hint="eastAsia" w:asciiTheme="minorEastAsia" w:hAnsiTheme="minorEastAsia" w:eastAsiaTheme="minorEastAsia"/>
          <w:b/>
          <w:bCs/>
          <w:color w:val="auto"/>
          <w:highlight w:val="none"/>
        </w:rPr>
        <w:t>响应文件的密封和标记</w:t>
      </w:r>
      <w:bookmarkEnd w:id="20"/>
      <w:bookmarkEnd w:id="21"/>
      <w:bookmarkEnd w:id="22"/>
      <w:bookmarkEnd w:id="23"/>
    </w:p>
    <w:p w14:paraId="6E44954C">
      <w:pPr>
        <w:pStyle w:val="70"/>
        <w:numPr>
          <w:ilvl w:val="0"/>
          <w:numId w:val="31"/>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供应商应当对响应文件进行装订（所有文件均不允许采用活动夹方式装订），如供应商对磋商文件多个包组进行参加磋商的，其响应文件的编制应按每个包的要求分别装订和封装。</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2480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582081D0">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序号</w:t>
            </w:r>
          </w:p>
        </w:tc>
        <w:tc>
          <w:tcPr>
            <w:tcW w:w="1412" w:type="pct"/>
            <w:vAlign w:val="center"/>
          </w:tcPr>
          <w:p w14:paraId="7220F67B">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文件名称</w:t>
            </w:r>
          </w:p>
        </w:tc>
        <w:tc>
          <w:tcPr>
            <w:tcW w:w="927" w:type="pct"/>
            <w:vAlign w:val="center"/>
          </w:tcPr>
          <w:p w14:paraId="759CB86D">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装订</w:t>
            </w:r>
          </w:p>
        </w:tc>
        <w:tc>
          <w:tcPr>
            <w:tcW w:w="2264" w:type="pct"/>
            <w:vAlign w:val="center"/>
          </w:tcPr>
          <w:p w14:paraId="185C3598">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包装</w:t>
            </w:r>
          </w:p>
        </w:tc>
      </w:tr>
      <w:tr w14:paraId="50A8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7D95C054">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1</w:t>
            </w:r>
          </w:p>
        </w:tc>
        <w:tc>
          <w:tcPr>
            <w:tcW w:w="1412" w:type="pct"/>
          </w:tcPr>
          <w:p w14:paraId="75004794">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响应文件</w:t>
            </w:r>
          </w:p>
        </w:tc>
        <w:tc>
          <w:tcPr>
            <w:tcW w:w="927" w:type="pct"/>
          </w:tcPr>
          <w:p w14:paraId="26C6FCB7">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每份独立装订</w:t>
            </w:r>
          </w:p>
        </w:tc>
        <w:tc>
          <w:tcPr>
            <w:tcW w:w="2264" w:type="pct"/>
          </w:tcPr>
          <w:p w14:paraId="3AD9CD60">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正本、副本、电子响应文件一起密封包装</w:t>
            </w:r>
          </w:p>
        </w:tc>
      </w:tr>
    </w:tbl>
    <w:p w14:paraId="474D36EC">
      <w:pPr>
        <w:pStyle w:val="70"/>
        <w:numPr>
          <w:ilvl w:val="0"/>
          <w:numId w:val="31"/>
        </w:numPr>
        <w:tabs>
          <w:tab w:val="left" w:pos="360"/>
          <w:tab w:val="left" w:pos="567"/>
        </w:tabs>
        <w:autoSpaceDE w:val="0"/>
        <w:autoSpaceDN w:val="0"/>
        <w:spacing w:line="360" w:lineRule="auto"/>
        <w:ind w:left="567" w:hanging="567" w:firstLineChars="0"/>
        <w:jc w:val="left"/>
        <w:rPr>
          <w:rFonts w:ascii="宋体" w:hAnsi="宋体"/>
          <w:bCs/>
          <w:color w:val="auto"/>
          <w:szCs w:val="21"/>
          <w:highlight w:val="none"/>
        </w:rPr>
      </w:pPr>
      <w:r>
        <w:rPr>
          <w:rFonts w:hint="eastAsia" w:ascii="宋体" w:hAnsi="宋体"/>
          <w:bCs/>
          <w:color w:val="auto"/>
          <w:szCs w:val="21"/>
          <w:highlight w:val="none"/>
        </w:rPr>
        <w:t>电子响应文件</w:t>
      </w:r>
      <w:bookmarkStart w:id="24" w:name="_Hlk86740118"/>
      <w:r>
        <w:rPr>
          <w:rFonts w:hint="eastAsia" w:ascii="宋体" w:hAnsi="宋体"/>
          <w:bCs/>
          <w:color w:val="auto"/>
          <w:szCs w:val="21"/>
          <w:highlight w:val="none"/>
        </w:rPr>
        <w:t>须同时提交以下文件</w:t>
      </w:r>
      <w:bookmarkEnd w:id="24"/>
      <w:r>
        <w:rPr>
          <w:rFonts w:hint="eastAsia" w:ascii="宋体" w:hAnsi="宋体"/>
          <w:bCs/>
          <w:color w:val="auto"/>
          <w:szCs w:val="21"/>
          <w:highlight w:val="none"/>
        </w:rPr>
        <w:t>：</w:t>
      </w:r>
      <w:bookmarkStart w:id="25" w:name="_Hlk86740096"/>
      <w:r>
        <w:rPr>
          <w:rFonts w:hint="eastAsia" w:ascii="宋体" w:hAnsi="宋体"/>
          <w:bCs/>
          <w:color w:val="auto"/>
          <w:szCs w:val="21"/>
          <w:highlight w:val="none"/>
        </w:rPr>
        <w:t>①可编辑的WORD或 EXCEL 格式文件。②按磋商文件要求签署、盖章后的正本响应文件扫描成PDF格式文件。</w:t>
      </w:r>
      <w:r>
        <w:rPr>
          <w:rFonts w:ascii="宋体" w:hAnsi="宋体"/>
          <w:bCs/>
          <w:color w:val="auto"/>
          <w:szCs w:val="21"/>
          <w:highlight w:val="none"/>
        </w:rPr>
        <w:t>电子文件</w:t>
      </w:r>
      <w:r>
        <w:rPr>
          <w:rFonts w:hint="eastAsia" w:ascii="宋体" w:hAnsi="宋体"/>
          <w:bCs/>
          <w:color w:val="auto"/>
          <w:szCs w:val="21"/>
          <w:highlight w:val="none"/>
        </w:rPr>
        <w:t>由</w:t>
      </w:r>
      <w:r>
        <w:rPr>
          <w:rFonts w:ascii="宋体" w:hAnsi="宋体"/>
          <w:bCs/>
          <w:color w:val="auto"/>
          <w:szCs w:val="21"/>
          <w:highlight w:val="none"/>
        </w:rPr>
        <w:t>CD-R光盘</w:t>
      </w:r>
      <w:r>
        <w:rPr>
          <w:rFonts w:hint="eastAsia" w:ascii="宋体" w:hAnsi="宋体"/>
          <w:bCs/>
          <w:color w:val="auto"/>
          <w:szCs w:val="21"/>
          <w:highlight w:val="none"/>
        </w:rPr>
        <w:t>或U盘</w:t>
      </w:r>
      <w:r>
        <w:rPr>
          <w:rFonts w:ascii="宋体" w:hAnsi="宋体"/>
          <w:bCs/>
          <w:color w:val="auto"/>
          <w:szCs w:val="21"/>
          <w:highlight w:val="none"/>
        </w:rPr>
        <w:t>储存</w:t>
      </w:r>
      <w:bookmarkEnd w:id="25"/>
      <w:r>
        <w:rPr>
          <w:rFonts w:hint="eastAsia" w:ascii="宋体" w:hAnsi="宋体"/>
          <w:bCs/>
          <w:color w:val="auto"/>
          <w:szCs w:val="21"/>
          <w:highlight w:val="none"/>
        </w:rPr>
        <w:t>。</w:t>
      </w:r>
    </w:p>
    <w:p w14:paraId="7840E142">
      <w:pPr>
        <w:pStyle w:val="70"/>
        <w:numPr>
          <w:ilvl w:val="0"/>
          <w:numId w:val="31"/>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color w:val="auto"/>
          <w:highlight w:val="none"/>
        </w:rPr>
      </w:pPr>
      <w:bookmarkStart w:id="26" w:name="_Hlk90987241"/>
      <w:r>
        <w:rPr>
          <w:rFonts w:hint="eastAsia" w:ascii="宋体" w:hAnsi="宋体"/>
          <w:bCs/>
          <w:color w:val="auto"/>
          <w:szCs w:val="21"/>
          <w:highlight w:val="none"/>
        </w:rPr>
        <w:t>供应商应将响应文件（含正、副本）、电子响应文件一起密封包装一起密封包装，且在信封上标明“响应文件</w:t>
      </w:r>
      <w:r>
        <w:rPr>
          <w:rFonts w:ascii="宋体" w:hAnsi="宋体"/>
          <w:bCs/>
          <w:color w:val="auto"/>
          <w:szCs w:val="21"/>
          <w:highlight w:val="none"/>
        </w:rPr>
        <w:t>”</w:t>
      </w:r>
      <w:r>
        <w:rPr>
          <w:rFonts w:hint="eastAsia" w:ascii="宋体" w:hAnsi="宋体"/>
          <w:bCs/>
          <w:color w:val="auto"/>
          <w:szCs w:val="21"/>
          <w:highlight w:val="none"/>
        </w:rPr>
        <w:t>的字</w:t>
      </w:r>
      <w:r>
        <w:rPr>
          <w:rFonts w:hint="eastAsia" w:asciiTheme="minorEastAsia" w:hAnsiTheme="minorEastAsia" w:eastAsiaTheme="minorEastAsia"/>
          <w:bCs/>
          <w:color w:val="auto"/>
          <w:szCs w:val="21"/>
          <w:highlight w:val="none"/>
        </w:rPr>
        <w:t>样。</w:t>
      </w:r>
    </w:p>
    <w:bookmarkEnd w:id="26"/>
    <w:p w14:paraId="6C0EA5E6">
      <w:pPr>
        <w:pStyle w:val="70"/>
        <w:widowControl/>
        <w:numPr>
          <w:ilvl w:val="0"/>
          <w:numId w:val="26"/>
        </w:numPr>
        <w:snapToGrid w:val="0"/>
        <w:spacing w:before="156" w:beforeLines="50" w:line="360" w:lineRule="auto"/>
        <w:ind w:left="442" w:hanging="442" w:firstLineChars="0"/>
        <w:contextualSpacing/>
        <w:jc w:val="left"/>
        <w:outlineLvl w:val="3"/>
        <w:rPr>
          <w:rFonts w:asciiTheme="minorEastAsia" w:hAnsiTheme="minorEastAsia" w:eastAsiaTheme="minorEastAsia"/>
          <w:b/>
          <w:bCs/>
          <w:color w:val="auto"/>
          <w:highlight w:val="none"/>
        </w:rPr>
      </w:pPr>
      <w:bookmarkStart w:id="27" w:name="_Toc410738957"/>
      <w:bookmarkStart w:id="28" w:name="_Toc416771344"/>
      <w:bookmarkStart w:id="29" w:name="_Toc416770234"/>
      <w:bookmarkStart w:id="30" w:name="_Toc410736157"/>
      <w:r>
        <w:rPr>
          <w:rFonts w:hint="eastAsia" w:asciiTheme="minorEastAsia" w:hAnsiTheme="minorEastAsia" w:eastAsiaTheme="minorEastAsia"/>
          <w:b/>
          <w:bCs/>
          <w:color w:val="auto"/>
          <w:highlight w:val="none"/>
        </w:rPr>
        <w:t>响应文件包装密封</w:t>
      </w:r>
    </w:p>
    <w:p w14:paraId="08FF4B64">
      <w:pPr>
        <w:pStyle w:val="70"/>
        <w:numPr>
          <w:ilvl w:val="0"/>
          <w:numId w:val="32"/>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供应商应将响应文件密封包装；</w:t>
      </w:r>
    </w:p>
    <w:p w14:paraId="44FBDEEB">
      <w:pPr>
        <w:pStyle w:val="70"/>
        <w:numPr>
          <w:ilvl w:val="0"/>
          <w:numId w:val="32"/>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不足以造成响应文件可从外包装内散出而导致响应文件泄密的，不认定为响应文件未密封。</w:t>
      </w:r>
    </w:p>
    <w:p w14:paraId="0DA3C1EE">
      <w:pPr>
        <w:pStyle w:val="70"/>
        <w:numPr>
          <w:ilvl w:val="0"/>
          <w:numId w:val="32"/>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包装封套均应注明：</w:t>
      </w:r>
    </w:p>
    <w:p w14:paraId="5E5371CB">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收件人名称：</w:t>
      </w:r>
      <w:r>
        <w:rPr>
          <w:rFonts w:hint="eastAsia" w:ascii="宋体" w:hAnsi="宋体"/>
          <w:bCs/>
          <w:color w:val="auto"/>
          <w:highlight w:val="none"/>
          <w:u w:val="single"/>
        </w:rPr>
        <w:t xml:space="preserve">广东智汇城市招标采购有限公司   </w:t>
      </w:r>
    </w:p>
    <w:p w14:paraId="42416AA3">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供应商名称：</w:t>
      </w:r>
      <w:r>
        <w:rPr>
          <w:rFonts w:hint="eastAsia" w:ascii="宋体" w:hAnsi="宋体"/>
          <w:bCs/>
          <w:color w:val="auto"/>
          <w:highlight w:val="none"/>
          <w:u w:val="single"/>
        </w:rPr>
        <w:t xml:space="preserve">                               </w:t>
      </w:r>
    </w:p>
    <w:p w14:paraId="62A4CCA6">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项目名称：</w:t>
      </w:r>
      <w:r>
        <w:rPr>
          <w:rFonts w:hint="eastAsia" w:ascii="宋体" w:hAnsi="宋体"/>
          <w:bCs/>
          <w:color w:val="auto"/>
          <w:highlight w:val="none"/>
          <w:u w:val="single"/>
        </w:rPr>
        <w:t xml:space="preserve">      </w:t>
      </w:r>
      <w:r>
        <w:rPr>
          <w:rFonts w:hint="eastAsia" w:ascii="宋体" w:hAnsi="宋体"/>
          <w:b/>
          <w:bCs w:val="0"/>
          <w:color w:val="auto"/>
          <w:highlight w:val="none"/>
          <w:u w:val="single"/>
        </w:rPr>
        <w:t>（详见</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磋商邀请</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w:t>
      </w:r>
      <w:r>
        <w:rPr>
          <w:rFonts w:hint="eastAsia" w:ascii="宋体" w:hAnsi="宋体"/>
          <w:bCs/>
          <w:color w:val="auto"/>
          <w:highlight w:val="none"/>
          <w:u w:val="single"/>
        </w:rPr>
        <w:t xml:space="preserve">       </w:t>
      </w:r>
    </w:p>
    <w:p w14:paraId="674BE98C">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项目编号：</w:t>
      </w:r>
      <w:r>
        <w:rPr>
          <w:rFonts w:hint="eastAsia" w:ascii="宋体" w:hAnsi="宋体"/>
          <w:bCs/>
          <w:color w:val="auto"/>
          <w:highlight w:val="none"/>
          <w:u w:val="single"/>
        </w:rPr>
        <w:t xml:space="preserve">      </w:t>
      </w:r>
      <w:r>
        <w:rPr>
          <w:rFonts w:hint="eastAsia" w:ascii="宋体" w:hAnsi="宋体"/>
          <w:b/>
          <w:bCs w:val="0"/>
          <w:color w:val="auto"/>
          <w:highlight w:val="none"/>
          <w:u w:val="single"/>
        </w:rPr>
        <w:t>（详见</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磋商邀请</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w:t>
      </w:r>
      <w:r>
        <w:rPr>
          <w:rFonts w:hint="eastAsia" w:ascii="宋体" w:hAnsi="宋体"/>
          <w:bCs/>
          <w:color w:val="auto"/>
          <w:highlight w:val="none"/>
          <w:u w:val="single"/>
        </w:rPr>
        <w:t xml:space="preserve">       </w:t>
      </w:r>
    </w:p>
    <w:p w14:paraId="664B999E">
      <w:pPr>
        <w:autoSpaceDE w:val="0"/>
        <w:autoSpaceDN w:val="0"/>
        <w:spacing w:line="360" w:lineRule="auto"/>
        <w:ind w:firstLine="424" w:firstLineChars="202"/>
        <w:jc w:val="left"/>
        <w:rPr>
          <w:rFonts w:asciiTheme="minorEastAsia" w:hAnsiTheme="minorEastAsia" w:eastAsiaTheme="minorEastAsia"/>
          <w:bCs/>
          <w:color w:val="auto"/>
          <w:highlight w:val="none"/>
        </w:rPr>
      </w:pPr>
      <w:r>
        <w:rPr>
          <w:rFonts w:hint="eastAsia" w:ascii="宋体" w:hAnsi="宋体"/>
          <w:bCs/>
          <w:color w:val="auto"/>
          <w:highlight w:val="none"/>
        </w:rPr>
        <w:t>注明：“</w:t>
      </w:r>
      <w:r>
        <w:rPr>
          <w:rFonts w:hint="eastAsia" w:ascii="宋体" w:hAnsi="宋体"/>
          <w:bCs/>
          <w:color w:val="auto"/>
          <w:highlight w:val="none"/>
          <w:u w:val="single"/>
        </w:rPr>
        <w:t xml:space="preserve">于  年  月  日北京时间  ： </w:t>
      </w:r>
      <w:r>
        <w:rPr>
          <w:rFonts w:ascii="宋体" w:hAnsi="宋体"/>
          <w:bCs/>
          <w:color w:val="auto"/>
          <w:highlight w:val="none"/>
          <w:u w:val="single"/>
        </w:rPr>
        <w:t xml:space="preserve"> </w:t>
      </w:r>
      <w:r>
        <w:rPr>
          <w:rFonts w:hint="eastAsia" w:ascii="宋体" w:hAnsi="宋体"/>
          <w:b/>
          <w:bCs w:val="0"/>
          <w:color w:val="auto"/>
          <w:highlight w:val="none"/>
          <w:u w:val="single"/>
        </w:rPr>
        <w:t>（详见</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磋商邀请</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w:t>
      </w:r>
      <w:r>
        <w:rPr>
          <w:rFonts w:hint="eastAsia" w:ascii="宋体" w:hAnsi="宋体"/>
          <w:bCs/>
          <w:color w:val="auto"/>
          <w:highlight w:val="none"/>
        </w:rPr>
        <w:t>之前不得启封”的字样。</w:t>
      </w:r>
    </w:p>
    <w:p w14:paraId="7D51229A">
      <w:pPr>
        <w:pStyle w:val="70"/>
        <w:numPr>
          <w:ilvl w:val="0"/>
          <w:numId w:val="32"/>
        </w:numPr>
        <w:tabs>
          <w:tab w:val="left" w:pos="360"/>
        </w:tabs>
        <w:autoSpaceDE w:val="0"/>
        <w:autoSpaceDN w:val="0"/>
        <w:spacing w:line="360" w:lineRule="auto"/>
        <w:ind w:left="567" w:hanging="567" w:firstLineChars="0"/>
        <w:jc w:val="left"/>
        <w:rPr>
          <w:rFonts w:asciiTheme="minorEastAsia" w:hAnsiTheme="minorEastAsia" w:eastAsiaTheme="minorEastAsia"/>
          <w:b/>
          <w:bCs/>
          <w:color w:val="auto"/>
          <w:highlight w:val="none"/>
        </w:rPr>
      </w:pPr>
      <w:r>
        <w:rPr>
          <w:rFonts w:hint="eastAsia" w:asciiTheme="minorEastAsia" w:hAnsiTheme="minorEastAsia" w:eastAsiaTheme="minorEastAsia"/>
          <w:bCs/>
          <w:color w:val="auto"/>
          <w:spacing w:val="-4"/>
          <w:szCs w:val="21"/>
          <w:highlight w:val="none"/>
        </w:rPr>
        <w:t>如果未按本须知上款要求加写标记和密封，采购代理机构对误投或提前启封概不负责。</w:t>
      </w:r>
    </w:p>
    <w:p w14:paraId="2CA976D7">
      <w:pPr>
        <w:pStyle w:val="70"/>
        <w:widowControl/>
        <w:numPr>
          <w:ilvl w:val="0"/>
          <w:numId w:val="26"/>
        </w:numPr>
        <w:snapToGrid w:val="0"/>
        <w:spacing w:before="312" w:beforeLines="100" w:line="360" w:lineRule="auto"/>
        <w:ind w:left="442" w:hanging="442" w:firstLineChars="0"/>
        <w:contextualSpacing/>
        <w:jc w:val="left"/>
        <w:outlineLvl w:val="3"/>
        <w:rPr>
          <w:rFonts w:asciiTheme="minorEastAsia" w:hAnsiTheme="minorEastAsia" w:eastAsiaTheme="minorEastAsia"/>
          <w:b/>
          <w:bCs/>
          <w:color w:val="auto"/>
          <w:highlight w:val="none"/>
        </w:rPr>
      </w:pPr>
      <w:r>
        <w:rPr>
          <w:rFonts w:hint="eastAsia" w:asciiTheme="minorEastAsia" w:hAnsiTheme="minorEastAsia" w:eastAsiaTheme="minorEastAsia"/>
          <w:b/>
          <w:bCs/>
          <w:color w:val="auto"/>
          <w:highlight w:val="none"/>
        </w:rPr>
        <w:t>响应文件递交截止期</w:t>
      </w:r>
      <w:bookmarkEnd w:id="27"/>
      <w:bookmarkEnd w:id="28"/>
      <w:bookmarkEnd w:id="29"/>
      <w:bookmarkEnd w:id="30"/>
    </w:p>
    <w:p w14:paraId="7C40EA8C">
      <w:pPr>
        <w:pStyle w:val="70"/>
        <w:numPr>
          <w:ilvl w:val="0"/>
          <w:numId w:val="33"/>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供应商应在不迟于</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磋商邀请</w:t>
      </w:r>
      <w:r>
        <w:rPr>
          <w:rFonts w:hint="eastAsia" w:ascii="宋体" w:hAnsi="宋体"/>
          <w:b/>
          <w:bCs w:val="0"/>
          <w:color w:val="auto"/>
          <w:highlight w:val="none"/>
          <w:u w:val="single"/>
          <w:lang w:eastAsia="zh-CN"/>
        </w:rPr>
        <w:t>》</w:t>
      </w:r>
      <w:r>
        <w:rPr>
          <w:rFonts w:hint="eastAsia" w:asciiTheme="minorEastAsia" w:hAnsiTheme="minorEastAsia" w:eastAsiaTheme="minorEastAsia"/>
          <w:bCs/>
          <w:color w:val="auto"/>
          <w:szCs w:val="21"/>
          <w:highlight w:val="none"/>
        </w:rPr>
        <w:t>中规定的截止日期和时间将响应文件递交至采购代理机构，递交地点应是</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磋商邀请</w:t>
      </w:r>
      <w:r>
        <w:rPr>
          <w:rFonts w:hint="eastAsia" w:ascii="宋体" w:hAnsi="宋体"/>
          <w:b/>
          <w:bCs w:val="0"/>
          <w:color w:val="auto"/>
          <w:highlight w:val="none"/>
          <w:u w:val="single"/>
          <w:lang w:eastAsia="zh-CN"/>
        </w:rPr>
        <w:t>》</w:t>
      </w:r>
      <w:r>
        <w:rPr>
          <w:rFonts w:hint="eastAsia" w:asciiTheme="minorEastAsia" w:hAnsiTheme="minorEastAsia" w:eastAsiaTheme="minorEastAsia"/>
          <w:bCs/>
          <w:color w:val="auto"/>
          <w:szCs w:val="21"/>
          <w:highlight w:val="none"/>
        </w:rPr>
        <w:t>中指明的地址。</w:t>
      </w:r>
    </w:p>
    <w:p w14:paraId="6172F1E5">
      <w:pPr>
        <w:pStyle w:val="70"/>
        <w:numPr>
          <w:ilvl w:val="0"/>
          <w:numId w:val="33"/>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11B6D3E8">
      <w:pPr>
        <w:pStyle w:val="70"/>
        <w:numPr>
          <w:ilvl w:val="0"/>
          <w:numId w:val="33"/>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采购代理机构将拒绝在规定的磋商截止期后收到的任何响应文件。</w:t>
      </w:r>
    </w:p>
    <w:p w14:paraId="4974A3AF">
      <w:pPr>
        <w:pStyle w:val="70"/>
        <w:widowControl/>
        <w:numPr>
          <w:ilvl w:val="0"/>
          <w:numId w:val="26"/>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Theme="minorEastAsia" w:hAnsiTheme="minorEastAsia" w:eastAsiaTheme="minorEastAsia"/>
          <w:b/>
          <w:bCs/>
          <w:color w:val="auto"/>
          <w:highlight w:val="none"/>
        </w:rPr>
        <w:t>响应文件的修改、撤回与撤销</w:t>
      </w:r>
    </w:p>
    <w:p w14:paraId="1AB85116">
      <w:pPr>
        <w:pStyle w:val="70"/>
        <w:widowControl/>
        <w:numPr>
          <w:ilvl w:val="0"/>
          <w:numId w:val="34"/>
        </w:numPr>
        <w:snapToGrid w:val="0"/>
        <w:spacing w:line="360" w:lineRule="auto"/>
        <w:ind w:left="426" w:hanging="426"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在提交响应文件截止时间前，供应商可以修改或撤回响应文件，并于提交响应文件截止时间前将修改后重新提供响应文件，到达响应文件提交截止时间后，将不允许修改或撤回。</w:t>
      </w:r>
    </w:p>
    <w:p w14:paraId="2C0B6AAC">
      <w:pPr>
        <w:pStyle w:val="70"/>
        <w:widowControl/>
        <w:numPr>
          <w:ilvl w:val="0"/>
          <w:numId w:val="34"/>
        </w:numPr>
        <w:snapToGrid w:val="0"/>
        <w:spacing w:line="360" w:lineRule="auto"/>
        <w:ind w:left="426" w:hanging="426"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在提交响应文件截止时间后，供应商不得补充、修改和更换响应文件。</w:t>
      </w:r>
    </w:p>
    <w:p w14:paraId="56E49514">
      <w:pPr>
        <w:pStyle w:val="70"/>
        <w:widowControl/>
        <w:numPr>
          <w:ilvl w:val="0"/>
          <w:numId w:val="26"/>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响应保证金</w:t>
      </w:r>
      <w:r>
        <w:rPr>
          <w:rFonts w:hint="eastAsia" w:ascii="宋体" w:hAnsi="宋体"/>
          <w:b/>
          <w:color w:val="auto"/>
          <w:kern w:val="0"/>
          <w:szCs w:val="21"/>
          <w:highlight w:val="none"/>
          <w:lang w:eastAsia="zh-CN"/>
        </w:rPr>
        <w:t>（</w:t>
      </w:r>
      <w:r>
        <w:rPr>
          <w:rFonts w:hint="eastAsia" w:ascii="宋体" w:hAnsi="宋体"/>
          <w:b/>
          <w:color w:val="auto"/>
          <w:kern w:val="0"/>
          <w:szCs w:val="21"/>
          <w:highlight w:val="none"/>
          <w:lang w:val="en-US" w:eastAsia="zh-CN"/>
        </w:rPr>
        <w:t>本项目不适用</w:t>
      </w:r>
      <w:r>
        <w:rPr>
          <w:rFonts w:hint="eastAsia" w:ascii="宋体" w:hAnsi="宋体"/>
          <w:b/>
          <w:color w:val="auto"/>
          <w:kern w:val="0"/>
          <w:szCs w:val="21"/>
          <w:highlight w:val="none"/>
          <w:lang w:eastAsia="zh-CN"/>
        </w:rPr>
        <w:t>）</w:t>
      </w:r>
    </w:p>
    <w:p w14:paraId="1A37F3D0">
      <w:pPr>
        <w:pStyle w:val="70"/>
        <w:widowControl/>
        <w:numPr>
          <w:ilvl w:val="0"/>
          <w:numId w:val="3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响应保证金的缴纳</w:t>
      </w:r>
    </w:p>
    <w:p w14:paraId="6F913A57">
      <w:pPr>
        <w:pStyle w:val="70"/>
        <w:widowControl/>
        <w:numPr>
          <w:ilvl w:val="0"/>
          <w:numId w:val="36"/>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供应商在提交响应文件的同时，应按</w:t>
      </w:r>
      <w:r>
        <w:rPr>
          <w:rFonts w:hint="eastAsia" w:ascii="宋体" w:hAnsi="宋体"/>
          <w:b/>
          <w:bCs/>
          <w:color w:val="auto"/>
          <w:szCs w:val="21"/>
          <w:highlight w:val="none"/>
          <w:u w:val="single"/>
          <w:lang w:eastAsia="zh-CN"/>
        </w:rPr>
        <w:t>《</w:t>
      </w:r>
      <w:r>
        <w:rPr>
          <w:rFonts w:hint="eastAsia" w:ascii="宋体" w:hAnsi="宋体"/>
          <w:b/>
          <w:bCs/>
          <w:color w:val="auto"/>
          <w:szCs w:val="21"/>
          <w:highlight w:val="none"/>
          <w:u w:val="single"/>
        </w:rPr>
        <w:t>须知前附表</w:t>
      </w:r>
      <w:r>
        <w:rPr>
          <w:rFonts w:hint="eastAsia" w:ascii="宋体" w:hAnsi="宋体"/>
          <w:b/>
          <w:bCs/>
          <w:color w:val="auto"/>
          <w:szCs w:val="21"/>
          <w:highlight w:val="none"/>
          <w:u w:val="single"/>
          <w:lang w:eastAsia="zh-CN"/>
        </w:rPr>
        <w:t>》</w:t>
      </w:r>
      <w:r>
        <w:rPr>
          <w:rFonts w:ascii="宋体" w:hAnsi="宋体"/>
          <w:color w:val="auto"/>
          <w:kern w:val="0"/>
          <w:szCs w:val="21"/>
          <w:highlight w:val="none"/>
          <w:lang w:eastAsia="zh-Hans"/>
        </w:rPr>
        <w:t>规定的金额和缴纳要求缴纳响应保证金，并作为其响应文件的组成部分。</w:t>
      </w:r>
    </w:p>
    <w:p w14:paraId="2DF501F8">
      <w:pPr>
        <w:pStyle w:val="70"/>
        <w:widowControl/>
        <w:numPr>
          <w:ilvl w:val="0"/>
          <w:numId w:val="36"/>
        </w:numPr>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lang w:eastAsia="zh-Hans"/>
        </w:rPr>
        <w:t>如采用转账、支票、本票、汇票形式提交的，响应保证金从供应商基本账户递交。请各供应商在响应文件递交截止时间前按</w:t>
      </w:r>
      <w:r>
        <w:rPr>
          <w:rFonts w:hint="eastAsia" w:ascii="宋体" w:hAnsi="宋体"/>
          <w:b/>
          <w:bCs/>
          <w:color w:val="auto"/>
          <w:szCs w:val="21"/>
          <w:highlight w:val="none"/>
          <w:u w:val="single"/>
          <w:lang w:eastAsia="zh-CN"/>
        </w:rPr>
        <w:t>《</w:t>
      </w:r>
      <w:r>
        <w:rPr>
          <w:rFonts w:hint="eastAsia" w:ascii="宋体" w:hAnsi="宋体"/>
          <w:b/>
          <w:bCs/>
          <w:color w:val="auto"/>
          <w:szCs w:val="21"/>
          <w:highlight w:val="none"/>
          <w:u w:val="single"/>
        </w:rPr>
        <w:t>须知前附表</w:t>
      </w:r>
      <w:r>
        <w:rPr>
          <w:rFonts w:hint="eastAsia" w:ascii="宋体" w:hAnsi="宋体"/>
          <w:b/>
          <w:bCs/>
          <w:color w:val="auto"/>
          <w:szCs w:val="21"/>
          <w:highlight w:val="none"/>
          <w:u w:val="single"/>
          <w:lang w:eastAsia="zh-CN"/>
        </w:rPr>
        <w:t>》</w:t>
      </w:r>
      <w:r>
        <w:rPr>
          <w:rFonts w:hint="eastAsia" w:ascii="宋体" w:hAnsi="宋体"/>
          <w:color w:val="auto"/>
          <w:kern w:val="0"/>
          <w:szCs w:val="21"/>
          <w:highlight w:val="none"/>
          <w:lang w:eastAsia="zh-Hans"/>
        </w:rPr>
        <w:t>规定的金额递交至采购代理机构，到账情况以开标时采购代理机构查询的信息为准。</w:t>
      </w:r>
    </w:p>
    <w:p w14:paraId="67E0E52B">
      <w:pPr>
        <w:pStyle w:val="70"/>
        <w:widowControl/>
        <w:numPr>
          <w:ilvl w:val="0"/>
          <w:numId w:val="36"/>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如采用金融机构、专业担保机构开具的响应保函等形式提交响应保证金的，响应保函须开具给采购人，并与响应文件一同递交。</w:t>
      </w:r>
    </w:p>
    <w:p w14:paraId="4B04A81C">
      <w:pPr>
        <w:pStyle w:val="70"/>
        <w:widowControl/>
        <w:numPr>
          <w:ilvl w:val="0"/>
          <w:numId w:val="35"/>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响应保证金的退还：</w:t>
      </w:r>
    </w:p>
    <w:p w14:paraId="0CB22074">
      <w:pPr>
        <w:pStyle w:val="70"/>
        <w:widowControl/>
        <w:numPr>
          <w:ilvl w:val="0"/>
          <w:numId w:val="37"/>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供应商在递交响应文件截止时间前放弃响应的，自所投采购包结果公告发出后5个工作日内退还。</w:t>
      </w:r>
    </w:p>
    <w:p w14:paraId="2893B34C">
      <w:pPr>
        <w:pStyle w:val="70"/>
        <w:widowControl/>
        <w:numPr>
          <w:ilvl w:val="0"/>
          <w:numId w:val="37"/>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未成交的供应商保证金，在成交供应商发出后5个工作日内原额退还。</w:t>
      </w:r>
    </w:p>
    <w:p w14:paraId="45522414">
      <w:pPr>
        <w:pStyle w:val="70"/>
        <w:widowControl/>
        <w:numPr>
          <w:ilvl w:val="0"/>
          <w:numId w:val="37"/>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成交供应商的响应保证金,在成交供应商与采购人签订采购合同后5个工作日内原额退还。</w:t>
      </w:r>
    </w:p>
    <w:p w14:paraId="7B3EF951">
      <w:pPr>
        <w:widowControl/>
        <w:snapToGrid w:val="0"/>
        <w:spacing w:line="360" w:lineRule="auto"/>
        <w:ind w:firstLine="567" w:firstLineChars="27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备注：但因供应商自身原因导致无法及时退还的除外。</w:t>
      </w:r>
    </w:p>
    <w:p w14:paraId="39EF8167">
      <w:pPr>
        <w:pStyle w:val="70"/>
        <w:widowControl/>
        <w:numPr>
          <w:ilvl w:val="0"/>
          <w:numId w:val="35"/>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有下列情形之一的，响应保证金将不予退还：</w:t>
      </w:r>
    </w:p>
    <w:p w14:paraId="34441254">
      <w:pPr>
        <w:pStyle w:val="70"/>
        <w:widowControl/>
        <w:numPr>
          <w:ilvl w:val="0"/>
          <w:numId w:val="38"/>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提供虚假材料谋取成交的；</w:t>
      </w:r>
    </w:p>
    <w:p w14:paraId="327FE60D">
      <w:pPr>
        <w:pStyle w:val="70"/>
        <w:widowControl/>
        <w:numPr>
          <w:ilvl w:val="0"/>
          <w:numId w:val="38"/>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供应商在磋商文件规定的响应有效期内撤销其响应；</w:t>
      </w:r>
    </w:p>
    <w:p w14:paraId="6FA949C6">
      <w:pPr>
        <w:pStyle w:val="70"/>
        <w:widowControl/>
        <w:numPr>
          <w:ilvl w:val="0"/>
          <w:numId w:val="38"/>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成交后，无正当理由放弃成交资格；</w:t>
      </w:r>
    </w:p>
    <w:p w14:paraId="4C8034F4">
      <w:pPr>
        <w:pStyle w:val="70"/>
        <w:widowControl/>
        <w:numPr>
          <w:ilvl w:val="0"/>
          <w:numId w:val="38"/>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成交后，无正当理由不与采购人签订合同；</w:t>
      </w:r>
    </w:p>
    <w:p w14:paraId="6D7C5093">
      <w:pPr>
        <w:pStyle w:val="70"/>
        <w:widowControl/>
        <w:numPr>
          <w:ilvl w:val="0"/>
          <w:numId w:val="38"/>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法律法规和磋商文件规定的其他情形。</w:t>
      </w:r>
    </w:p>
    <w:p w14:paraId="552C12BC">
      <w:pPr>
        <w:pStyle w:val="70"/>
        <w:widowControl/>
        <w:numPr>
          <w:ilvl w:val="0"/>
          <w:numId w:val="26"/>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响应有效期</w:t>
      </w:r>
    </w:p>
    <w:p w14:paraId="16B611C3">
      <w:pPr>
        <w:pStyle w:val="70"/>
        <w:widowControl/>
        <w:numPr>
          <w:ilvl w:val="0"/>
          <w:numId w:val="3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pPr>
        <w:pStyle w:val="70"/>
        <w:widowControl/>
        <w:numPr>
          <w:ilvl w:val="0"/>
          <w:numId w:val="3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pPr>
        <w:pStyle w:val="70"/>
        <w:widowControl/>
        <w:numPr>
          <w:ilvl w:val="0"/>
          <w:numId w:val="26"/>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样品（演示）</w:t>
      </w:r>
    </w:p>
    <w:p w14:paraId="0774E2AA">
      <w:pPr>
        <w:pStyle w:val="70"/>
        <w:widowControl/>
        <w:numPr>
          <w:ilvl w:val="0"/>
          <w:numId w:val="40"/>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磋商文件规定供应商提交样品的，样品属于响应文件的组成部分。样品的生产、运输、安装、保全等一切费用由供应商自理。</w:t>
      </w:r>
    </w:p>
    <w:p w14:paraId="2A285552">
      <w:pPr>
        <w:pStyle w:val="70"/>
        <w:widowControl/>
        <w:numPr>
          <w:ilvl w:val="0"/>
          <w:numId w:val="40"/>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递交响应文件截止时间前，供应商应将样品送达至指定地点。若需要现场演示的，供应商应提前做好演示准备（包括演示设备）。</w:t>
      </w:r>
    </w:p>
    <w:p w14:paraId="685E0227">
      <w:pPr>
        <w:pStyle w:val="70"/>
        <w:widowControl/>
        <w:numPr>
          <w:ilvl w:val="0"/>
          <w:numId w:val="40"/>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pPr>
        <w:pStyle w:val="70"/>
        <w:widowControl/>
        <w:numPr>
          <w:ilvl w:val="0"/>
          <w:numId w:val="26"/>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除磋商文件另有规定外，有下列情形之一的，响应无效：</w:t>
      </w:r>
    </w:p>
    <w:p w14:paraId="131C65E5">
      <w:pPr>
        <w:pStyle w:val="70"/>
        <w:widowControl/>
        <w:numPr>
          <w:ilvl w:val="0"/>
          <w:numId w:val="4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响应文件未按照磋商文件要求签署、盖章；</w:t>
      </w:r>
    </w:p>
    <w:p w14:paraId="437DC40E">
      <w:pPr>
        <w:pStyle w:val="70"/>
        <w:widowControl/>
        <w:numPr>
          <w:ilvl w:val="0"/>
          <w:numId w:val="4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不符合磋商文件中规定的资格要求；</w:t>
      </w:r>
    </w:p>
    <w:p w14:paraId="4AD719F6">
      <w:pPr>
        <w:pStyle w:val="70"/>
        <w:widowControl/>
        <w:numPr>
          <w:ilvl w:val="0"/>
          <w:numId w:val="4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磋商报价超过磋商文件中规定的预算金额或最高限价；</w:t>
      </w:r>
    </w:p>
    <w:p w14:paraId="390BDA25">
      <w:pPr>
        <w:pStyle w:val="70"/>
        <w:widowControl/>
        <w:numPr>
          <w:ilvl w:val="0"/>
          <w:numId w:val="4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响应文件含有采购人不能接受的附加条件；</w:t>
      </w:r>
    </w:p>
    <w:p w14:paraId="16BC86E0">
      <w:pPr>
        <w:pStyle w:val="70"/>
        <w:widowControl/>
        <w:numPr>
          <w:ilvl w:val="0"/>
          <w:numId w:val="4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有关法律、法规和规章及磋商文件规定的其他无效情形。</w:t>
      </w:r>
    </w:p>
    <w:p w14:paraId="598EF326">
      <w:pPr>
        <w:pStyle w:val="70"/>
        <w:widowControl/>
        <w:numPr>
          <w:ilvl w:val="0"/>
          <w:numId w:val="16"/>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磋商、评审和结果确定</w:t>
      </w:r>
    </w:p>
    <w:p w14:paraId="5C12E659">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1.响应文件的开启</w:t>
      </w:r>
    </w:p>
    <w:p w14:paraId="0C46F2A3">
      <w:pPr>
        <w:pStyle w:val="70"/>
        <w:widowControl/>
        <w:numPr>
          <w:ilvl w:val="0"/>
          <w:numId w:val="42"/>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采购代理机构按</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磋商邀请</w:t>
      </w:r>
      <w:r>
        <w:rPr>
          <w:rFonts w:hint="eastAsia" w:ascii="宋体" w:hAnsi="宋体"/>
          <w:b/>
          <w:bCs w:val="0"/>
          <w:color w:val="auto"/>
          <w:highlight w:val="none"/>
          <w:u w:val="single"/>
          <w:lang w:eastAsia="zh-CN"/>
        </w:rPr>
        <w:t>》</w:t>
      </w:r>
      <w:r>
        <w:rPr>
          <w:rFonts w:hint="eastAsia" w:ascii="宋体" w:hAnsi="宋体"/>
          <w:color w:val="auto"/>
          <w:kern w:val="0"/>
          <w:szCs w:val="21"/>
          <w:highlight w:val="none"/>
          <w:lang w:eastAsia="zh-Hans"/>
        </w:rPr>
        <w:t>中规定的日期、时间和地点组织公开开启。开启时邀请所有供应商代表参加。参加开启的法定代表人或其授权代表携带有效身份证签名报到以证明其出席。</w:t>
      </w:r>
    </w:p>
    <w:p w14:paraId="13217637">
      <w:pPr>
        <w:pStyle w:val="70"/>
        <w:widowControl/>
        <w:numPr>
          <w:ilvl w:val="0"/>
          <w:numId w:val="42"/>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响应文件递交截止时间后，由全体供应商对全部响应文件的密封情况进行检查。</w:t>
      </w:r>
    </w:p>
    <w:p w14:paraId="05C0C7AB">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2.评审（详见第四章）</w:t>
      </w:r>
    </w:p>
    <w:p w14:paraId="4FB89AA0">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3.成交</w:t>
      </w:r>
    </w:p>
    <w:p w14:paraId="7810CC1B">
      <w:pPr>
        <w:pStyle w:val="70"/>
        <w:widowControl/>
        <w:numPr>
          <w:ilvl w:val="0"/>
          <w:numId w:val="4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成交结果公告：</w:t>
      </w:r>
    </w:p>
    <w:p w14:paraId="37731BCC">
      <w:pPr>
        <w:pStyle w:val="70"/>
        <w:widowControl/>
        <w:numPr>
          <w:ilvl w:val="0"/>
          <w:numId w:val="44"/>
        </w:numPr>
        <w:tabs>
          <w:tab w:val="left" w:pos="567"/>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成交供应商确定之日起2个工作日内，采购人或采购代理机构将在</w:t>
      </w:r>
      <w:r>
        <w:rPr>
          <w:rFonts w:hint="eastAsia" w:ascii="宋体" w:hAnsi="宋体"/>
          <w:color w:val="auto"/>
          <w:kern w:val="0"/>
          <w:szCs w:val="21"/>
          <w:highlight w:val="none"/>
          <w:lang w:eastAsia="zh-Hans"/>
        </w:rPr>
        <w:t>指定媒体</w:t>
      </w:r>
      <w:r>
        <w:rPr>
          <w:rFonts w:ascii="宋体" w:hAnsi="宋体"/>
          <w:color w:val="auto"/>
          <w:kern w:val="0"/>
          <w:szCs w:val="21"/>
          <w:highlight w:val="none"/>
          <w:lang w:eastAsia="zh-Hans"/>
        </w:rPr>
        <w:t>上以公告的形式发布成交结果，结果公告的公告期限为 1 个工作日。结果公告同时作为采购代理机构通知除成交供应商外的其他供应商没有成交的书面形式，采购代理机构不再以其它方式另行通知。</w:t>
      </w:r>
    </w:p>
    <w:p w14:paraId="55FE41D7">
      <w:pPr>
        <w:pStyle w:val="70"/>
        <w:widowControl/>
        <w:numPr>
          <w:ilvl w:val="0"/>
          <w:numId w:val="4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成交通知书：</w:t>
      </w:r>
    </w:p>
    <w:p w14:paraId="1630C20E">
      <w:pPr>
        <w:pStyle w:val="70"/>
        <w:widowControl/>
        <w:numPr>
          <w:ilvl w:val="0"/>
          <w:numId w:val="45"/>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成交通知书发出后，采购人不得违法改变成交结果，成交供应商不得放弃成交。成交供应商放弃成交的，应当依法承担相应的法律责任。</w:t>
      </w:r>
    </w:p>
    <w:p w14:paraId="20479A09">
      <w:pPr>
        <w:pStyle w:val="70"/>
        <w:widowControl/>
        <w:numPr>
          <w:ilvl w:val="0"/>
          <w:numId w:val="16"/>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询问、质疑与投诉</w:t>
      </w:r>
    </w:p>
    <w:p w14:paraId="75ED075C">
      <w:pPr>
        <w:pStyle w:val="70"/>
        <w:widowControl/>
        <w:numPr>
          <w:ilvl w:val="3"/>
          <w:numId w:val="46"/>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询问</w:t>
      </w:r>
    </w:p>
    <w:p w14:paraId="21404830">
      <w:pPr>
        <w:pStyle w:val="70"/>
        <w:numPr>
          <w:ilvl w:val="0"/>
          <w:numId w:val="47"/>
        </w:numPr>
        <w:snapToGrid w:val="0"/>
        <w:spacing w:line="360" w:lineRule="auto"/>
        <w:ind w:left="442" w:hanging="442" w:firstLineChars="0"/>
        <w:contextualSpacing/>
        <w:rPr>
          <w:rFonts w:ascii="宋体" w:hAnsi="宋体"/>
          <w:color w:val="auto"/>
          <w:highlight w:val="none"/>
        </w:rPr>
      </w:pPr>
      <w:r>
        <w:rPr>
          <w:rFonts w:ascii="宋体" w:hAnsi="宋体"/>
          <w:color w:val="auto"/>
          <w:highlight w:val="none"/>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磋商邀请</w:t>
      </w:r>
      <w:r>
        <w:rPr>
          <w:rFonts w:hint="eastAsia" w:ascii="宋体" w:hAnsi="宋体"/>
          <w:b/>
          <w:bCs w:val="0"/>
          <w:color w:val="auto"/>
          <w:highlight w:val="none"/>
          <w:u w:val="single"/>
          <w:lang w:eastAsia="zh-CN"/>
        </w:rPr>
        <w:t>》</w:t>
      </w:r>
      <w:r>
        <w:rPr>
          <w:rFonts w:ascii="宋体" w:hAnsi="宋体"/>
          <w:color w:val="auto"/>
          <w:highlight w:val="none"/>
        </w:rPr>
        <w:t>中“采购人、采购代理机构的名称、地址和联系方式”。</w:t>
      </w:r>
    </w:p>
    <w:p w14:paraId="3A1E2557">
      <w:pPr>
        <w:pStyle w:val="70"/>
        <w:widowControl/>
        <w:numPr>
          <w:ilvl w:val="3"/>
          <w:numId w:val="46"/>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质疑</w:t>
      </w:r>
    </w:p>
    <w:p w14:paraId="318B5485">
      <w:pPr>
        <w:pStyle w:val="70"/>
        <w:widowControl/>
        <w:numPr>
          <w:ilvl w:val="0"/>
          <w:numId w:val="48"/>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pPr>
        <w:pStyle w:val="70"/>
        <w:widowControl/>
        <w:numPr>
          <w:ilvl w:val="0"/>
          <w:numId w:val="49"/>
        </w:numPr>
        <w:tabs>
          <w:tab w:val="left" w:pos="709"/>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对磋商文件提出质疑的，为获取磋商文件之日或者磋商文件公告期限届满之日；</w:t>
      </w:r>
    </w:p>
    <w:p w14:paraId="3C491FFB">
      <w:pPr>
        <w:pStyle w:val="70"/>
        <w:widowControl/>
        <w:numPr>
          <w:ilvl w:val="0"/>
          <w:numId w:val="49"/>
        </w:numPr>
        <w:tabs>
          <w:tab w:val="left" w:pos="709"/>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对采购过程提出质疑的，为各采购程序环节结束之日；</w:t>
      </w:r>
    </w:p>
    <w:p w14:paraId="1D214208">
      <w:pPr>
        <w:pStyle w:val="70"/>
        <w:widowControl/>
        <w:numPr>
          <w:ilvl w:val="0"/>
          <w:numId w:val="49"/>
        </w:numPr>
        <w:tabs>
          <w:tab w:val="left" w:pos="709"/>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对成交结果提出质疑的，为成交结果公告期限届满之日。</w:t>
      </w:r>
    </w:p>
    <w:p w14:paraId="1FEEF524">
      <w:pPr>
        <w:pStyle w:val="70"/>
        <w:widowControl/>
        <w:numPr>
          <w:ilvl w:val="0"/>
          <w:numId w:val="48"/>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质疑函应当包括下列主要内容：</w:t>
      </w:r>
    </w:p>
    <w:p w14:paraId="2D3F1D74">
      <w:pPr>
        <w:pStyle w:val="70"/>
        <w:widowControl/>
        <w:numPr>
          <w:ilvl w:val="0"/>
          <w:numId w:val="50"/>
        </w:numPr>
        <w:tabs>
          <w:tab w:val="left" w:pos="284"/>
          <w:tab w:val="left" w:pos="567"/>
        </w:tabs>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质疑供应商和相关供应商的名称、地址、邮编、联系人及联系电话等；</w:t>
      </w:r>
    </w:p>
    <w:p w14:paraId="6959A788">
      <w:pPr>
        <w:pStyle w:val="70"/>
        <w:widowControl/>
        <w:numPr>
          <w:ilvl w:val="0"/>
          <w:numId w:val="50"/>
        </w:numPr>
        <w:tabs>
          <w:tab w:val="left" w:pos="284"/>
          <w:tab w:val="left" w:pos="567"/>
        </w:tabs>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质疑项目名称及编号、具体明确的质疑事项和与质疑事项相关的请求；</w:t>
      </w:r>
    </w:p>
    <w:p w14:paraId="0849DB73">
      <w:pPr>
        <w:pStyle w:val="70"/>
        <w:widowControl/>
        <w:numPr>
          <w:ilvl w:val="0"/>
          <w:numId w:val="50"/>
        </w:numPr>
        <w:tabs>
          <w:tab w:val="left" w:pos="284"/>
          <w:tab w:val="left" w:pos="567"/>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认为磋商文件、采购过程和成交结果使自己的合法权益受到损害的法律依据、事实依据、相关证明材料及证据来源；</w:t>
      </w:r>
    </w:p>
    <w:p w14:paraId="67E9F5EA">
      <w:pPr>
        <w:pStyle w:val="70"/>
        <w:widowControl/>
        <w:numPr>
          <w:ilvl w:val="0"/>
          <w:numId w:val="50"/>
        </w:numPr>
        <w:tabs>
          <w:tab w:val="left" w:pos="284"/>
          <w:tab w:val="left" w:pos="567"/>
        </w:tabs>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提出质疑的日期。</w:t>
      </w:r>
    </w:p>
    <w:p w14:paraId="158C0CD1">
      <w:pPr>
        <w:pStyle w:val="70"/>
        <w:widowControl/>
        <w:numPr>
          <w:ilvl w:val="0"/>
          <w:numId w:val="48"/>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质疑函应当署名。质疑供应商为自然人的，应当由本人签字；质疑供应商为法人或者其他组织的，应当由法定代表人、主要负责人，或者其授权代表签字或者盖章，并加盖公章。</w:t>
      </w:r>
    </w:p>
    <w:p w14:paraId="38D47C9A">
      <w:pPr>
        <w:pStyle w:val="70"/>
        <w:widowControl/>
        <w:numPr>
          <w:ilvl w:val="0"/>
          <w:numId w:val="48"/>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以联合体形式参加采购活动的，其质疑应当由联合体成员委托主体提出。</w:t>
      </w:r>
    </w:p>
    <w:p w14:paraId="4ABCEF25">
      <w:pPr>
        <w:pStyle w:val="70"/>
        <w:widowControl/>
        <w:numPr>
          <w:ilvl w:val="0"/>
          <w:numId w:val="48"/>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14:paraId="4D2F380E">
      <w:pPr>
        <w:pStyle w:val="70"/>
        <w:widowControl/>
        <w:numPr>
          <w:ilvl w:val="0"/>
          <w:numId w:val="48"/>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质疑联系方式如下：</w:t>
      </w:r>
    </w:p>
    <w:p w14:paraId="27865438">
      <w:pPr>
        <w:widowControl/>
        <w:snapToGrid w:val="0"/>
        <w:spacing w:line="360" w:lineRule="auto"/>
        <w:ind w:firstLine="480"/>
        <w:contextualSpacing/>
        <w:jc w:val="left"/>
        <w:rPr>
          <w:rFonts w:hint="eastAsia" w:ascii="宋体" w:hAnsi="宋体" w:eastAsia="宋体"/>
          <w:color w:val="auto"/>
          <w:kern w:val="0"/>
          <w:szCs w:val="21"/>
          <w:highlight w:val="none"/>
          <w:lang w:val="en-US" w:eastAsia="zh-CN"/>
        </w:rPr>
      </w:pPr>
      <w:r>
        <w:rPr>
          <w:rFonts w:ascii="宋体" w:hAnsi="宋体"/>
          <w:color w:val="auto"/>
          <w:kern w:val="0"/>
          <w:szCs w:val="21"/>
          <w:highlight w:val="none"/>
          <w:lang w:eastAsia="zh-Hans"/>
        </w:rPr>
        <w:t>质疑联系人：</w:t>
      </w:r>
      <w:r>
        <w:rPr>
          <w:rFonts w:hint="eastAsia" w:ascii="宋体" w:hAnsi="宋体"/>
          <w:color w:val="auto"/>
          <w:kern w:val="0"/>
          <w:szCs w:val="21"/>
          <w:highlight w:val="none"/>
          <w:lang w:val="en-US" w:eastAsia="zh-CN"/>
        </w:rPr>
        <w:t>陈子菱</w:t>
      </w:r>
    </w:p>
    <w:p w14:paraId="6759A7BB">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电话：</w:t>
      </w:r>
      <w:r>
        <w:rPr>
          <w:rFonts w:hint="eastAsia" w:ascii="宋体" w:hAnsi="宋体" w:eastAsia="宋体" w:cs="Times New Roman"/>
          <w:color w:val="auto"/>
          <w:sz w:val="21"/>
          <w:szCs w:val="21"/>
          <w:highlight w:val="none"/>
        </w:rPr>
        <w:t>0769</w:t>
      </w:r>
      <w:r>
        <w:rPr>
          <w:rFonts w:hint="eastAsia" w:ascii="宋体" w:hAnsi="宋体" w:eastAsia="宋体" w:cs="Times New Roman"/>
          <w:color w:val="auto"/>
          <w:sz w:val="21"/>
          <w:szCs w:val="21"/>
          <w:highlight w:val="none"/>
          <w:lang w:val="en-US" w:eastAsia="zh-CN"/>
        </w:rPr>
        <w:t>-</w:t>
      </w:r>
      <w:r>
        <w:rPr>
          <w:rFonts w:hint="eastAsia" w:ascii="宋体" w:hAnsi="宋体" w:eastAsia="宋体" w:cs="Times New Roman"/>
          <w:color w:val="auto"/>
          <w:sz w:val="21"/>
          <w:szCs w:val="21"/>
          <w:highlight w:val="none"/>
        </w:rPr>
        <w:t>22367009</w:t>
      </w:r>
    </w:p>
    <w:p w14:paraId="7584A465">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传真：/</w:t>
      </w:r>
    </w:p>
    <w:p w14:paraId="7CA3B35E">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邮箱：</w:t>
      </w:r>
      <w:r>
        <w:rPr>
          <w:rFonts w:ascii="宋体" w:hAnsi="宋体" w:eastAsia="宋体" w:cs="Times New Roman"/>
          <w:color w:val="auto"/>
          <w:sz w:val="21"/>
          <w:szCs w:val="21"/>
          <w:highlight w:val="none"/>
        </w:rPr>
        <w:t>zhcity_gd@163.com</w:t>
      </w:r>
    </w:p>
    <w:p w14:paraId="2F2526F1">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eastAsia="宋体" w:cs="Times New Roman"/>
          <w:color w:val="auto"/>
          <w:sz w:val="21"/>
          <w:szCs w:val="21"/>
          <w:highlight w:val="none"/>
        </w:rPr>
        <w:t>东莞市南城街道雅园产业园区路5号1栋1楼</w:t>
      </w:r>
    </w:p>
    <w:p w14:paraId="3F53C6E4">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邮编：523000</w:t>
      </w:r>
    </w:p>
    <w:p w14:paraId="0C01DC6B">
      <w:pPr>
        <w:pStyle w:val="70"/>
        <w:widowControl/>
        <w:numPr>
          <w:ilvl w:val="3"/>
          <w:numId w:val="46"/>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投诉</w:t>
      </w:r>
    </w:p>
    <w:p w14:paraId="78F2BD11">
      <w:pPr>
        <w:widowControl/>
        <w:snapToGrid w:val="0"/>
        <w:spacing w:line="360" w:lineRule="auto"/>
        <w:ind w:firstLine="480"/>
        <w:contextualSpacing/>
        <w:jc w:val="left"/>
        <w:rPr>
          <w:rFonts w:ascii="宋体" w:hAnsi="宋体"/>
          <w:color w:val="auto"/>
          <w:kern w:val="0"/>
          <w:szCs w:val="21"/>
          <w:highlight w:val="none"/>
        </w:rPr>
      </w:pPr>
      <w:r>
        <w:rPr>
          <w:rFonts w:ascii="宋体" w:hAnsi="宋体"/>
          <w:color w:val="auto"/>
          <w:kern w:val="0"/>
          <w:szCs w:val="21"/>
          <w:highlight w:val="none"/>
          <w:lang w:eastAsia="zh-Hans"/>
        </w:rPr>
        <w:t>质疑人对采购人或采购代理机构的质疑答复不满意或在规定时间内未得到答复的，可以在答复期满后15个工作日内，向本项目监督管理部门提起投诉。</w:t>
      </w:r>
    </w:p>
    <w:p w14:paraId="4C767DFE">
      <w:pPr>
        <w:pStyle w:val="70"/>
        <w:widowControl/>
        <w:numPr>
          <w:ilvl w:val="0"/>
          <w:numId w:val="16"/>
        </w:numPr>
        <w:snapToGrid w:val="0"/>
        <w:spacing w:before="156" w:beforeLines="50" w:line="360" w:lineRule="auto"/>
        <w:ind w:left="442" w:hanging="442"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lang w:eastAsia="zh-Hans"/>
        </w:rPr>
        <w:t>履约担保</w:t>
      </w:r>
      <w:r>
        <w:rPr>
          <w:rFonts w:hint="eastAsia" w:ascii="宋体" w:hAnsi="宋体"/>
          <w:b/>
          <w:color w:val="auto"/>
          <w:kern w:val="0"/>
          <w:szCs w:val="21"/>
          <w:highlight w:val="none"/>
          <w:lang w:eastAsia="zh-CN"/>
        </w:rPr>
        <w:t>（</w:t>
      </w:r>
      <w:r>
        <w:rPr>
          <w:rFonts w:hint="eastAsia" w:ascii="宋体" w:hAnsi="宋体"/>
          <w:b/>
          <w:color w:val="auto"/>
          <w:kern w:val="0"/>
          <w:szCs w:val="21"/>
          <w:highlight w:val="none"/>
          <w:lang w:val="en-US" w:eastAsia="zh-CN"/>
        </w:rPr>
        <w:t>本项目不适用</w:t>
      </w:r>
      <w:r>
        <w:rPr>
          <w:rFonts w:hint="eastAsia" w:ascii="宋体" w:hAnsi="宋体"/>
          <w:b/>
          <w:color w:val="auto"/>
          <w:kern w:val="0"/>
          <w:szCs w:val="21"/>
          <w:highlight w:val="none"/>
          <w:lang w:eastAsia="zh-CN"/>
        </w:rPr>
        <w:t>）</w:t>
      </w:r>
    </w:p>
    <w:p w14:paraId="6F5129F0">
      <w:pPr>
        <w:widowControl/>
        <w:numPr>
          <w:ilvl w:val="0"/>
          <w:numId w:val="51"/>
        </w:numPr>
        <w:snapToGrid w:val="0"/>
        <w:spacing w:line="360" w:lineRule="auto"/>
        <w:ind w:left="442" w:hanging="442"/>
        <w:contextualSpacing/>
        <w:jc w:val="left"/>
        <w:outlineLvl w:val="3"/>
        <w:rPr>
          <w:rFonts w:ascii="宋体" w:hAnsi="宋体"/>
          <w:color w:val="auto"/>
          <w:kern w:val="0"/>
          <w:szCs w:val="21"/>
          <w:highlight w:val="none"/>
        </w:rPr>
      </w:pPr>
      <w:r>
        <w:rPr>
          <w:rFonts w:hint="eastAsia" w:ascii="宋体" w:hAnsi="宋体"/>
          <w:color w:val="auto"/>
          <w:kern w:val="0"/>
          <w:szCs w:val="21"/>
          <w:highlight w:val="none"/>
        </w:rPr>
        <w:t>成交</w:t>
      </w:r>
      <w:r>
        <w:rPr>
          <w:rFonts w:ascii="宋体" w:hAnsi="宋体"/>
          <w:color w:val="auto"/>
          <w:kern w:val="0"/>
          <w:szCs w:val="21"/>
          <w:highlight w:val="none"/>
        </w:rPr>
        <w:t>供应商应按</w:t>
      </w:r>
      <w:r>
        <w:rPr>
          <w:rFonts w:hint="eastAsia" w:ascii="宋体" w:hAnsi="宋体"/>
          <w:b/>
          <w:bCs/>
          <w:color w:val="auto"/>
          <w:szCs w:val="21"/>
          <w:highlight w:val="none"/>
          <w:u w:val="single"/>
          <w:lang w:eastAsia="zh-CN"/>
        </w:rPr>
        <w:t>《</w:t>
      </w:r>
      <w:r>
        <w:rPr>
          <w:rFonts w:hint="eastAsia" w:ascii="宋体" w:hAnsi="宋体"/>
          <w:b/>
          <w:bCs/>
          <w:color w:val="auto"/>
          <w:szCs w:val="21"/>
          <w:highlight w:val="none"/>
          <w:u w:val="single"/>
        </w:rPr>
        <w:t>须知前附表</w:t>
      </w:r>
      <w:r>
        <w:rPr>
          <w:rFonts w:hint="eastAsia" w:ascii="宋体" w:hAnsi="宋体"/>
          <w:b/>
          <w:bCs/>
          <w:color w:val="auto"/>
          <w:szCs w:val="21"/>
          <w:highlight w:val="none"/>
          <w:u w:val="single"/>
          <w:lang w:eastAsia="zh-CN"/>
        </w:rPr>
        <w:t>》</w:t>
      </w:r>
      <w:r>
        <w:rPr>
          <w:rFonts w:ascii="宋体" w:hAnsi="宋体"/>
          <w:color w:val="auto"/>
          <w:kern w:val="0"/>
          <w:szCs w:val="21"/>
          <w:highlight w:val="none"/>
        </w:rPr>
        <w:t>要求向采购人缴纳履约担保（如采用保函形式，格式详见</w:t>
      </w:r>
      <w:r>
        <w:rPr>
          <w:rFonts w:hint="eastAsia" w:ascii="宋体" w:hAnsi="宋体"/>
          <w:color w:val="auto"/>
          <w:kern w:val="0"/>
          <w:szCs w:val="21"/>
          <w:highlight w:val="none"/>
        </w:rPr>
        <w:t>磋商</w:t>
      </w:r>
      <w:r>
        <w:rPr>
          <w:rFonts w:ascii="宋体" w:hAnsi="宋体"/>
          <w:color w:val="auto"/>
          <w:kern w:val="0"/>
          <w:szCs w:val="21"/>
          <w:highlight w:val="none"/>
        </w:rPr>
        <w:t>文件第</w:t>
      </w:r>
      <w:r>
        <w:rPr>
          <w:rFonts w:hint="eastAsia" w:ascii="宋体" w:hAnsi="宋体"/>
          <w:color w:val="auto"/>
          <w:kern w:val="0"/>
          <w:szCs w:val="21"/>
          <w:highlight w:val="none"/>
        </w:rPr>
        <w:t>六</w:t>
      </w:r>
      <w:r>
        <w:rPr>
          <w:rFonts w:ascii="宋体" w:hAnsi="宋体"/>
          <w:color w:val="auto"/>
          <w:kern w:val="0"/>
          <w:szCs w:val="21"/>
          <w:highlight w:val="none"/>
        </w:rPr>
        <w:t>章</w:t>
      </w:r>
      <w:r>
        <w:rPr>
          <w:rFonts w:hint="eastAsia" w:ascii="宋体" w:hAnsi="宋体"/>
          <w:color w:val="auto"/>
          <w:kern w:val="0"/>
          <w:szCs w:val="21"/>
          <w:highlight w:val="none"/>
        </w:rPr>
        <w:t>响应</w:t>
      </w:r>
      <w:r>
        <w:rPr>
          <w:rFonts w:ascii="宋体" w:hAnsi="宋体"/>
          <w:color w:val="auto"/>
          <w:kern w:val="0"/>
          <w:szCs w:val="21"/>
          <w:highlight w:val="none"/>
        </w:rPr>
        <w:t>文件格式</w:t>
      </w:r>
      <w:r>
        <w:rPr>
          <w:rFonts w:hint="eastAsia" w:ascii="宋体" w:hAnsi="宋体"/>
          <w:color w:val="auto"/>
          <w:kern w:val="0"/>
          <w:szCs w:val="21"/>
          <w:highlight w:val="none"/>
        </w:rPr>
        <w:t>-履约担保</w:t>
      </w:r>
      <w:r>
        <w:rPr>
          <w:rFonts w:ascii="宋体" w:hAnsi="宋体"/>
          <w:color w:val="auto"/>
          <w:kern w:val="0"/>
          <w:szCs w:val="21"/>
          <w:highlight w:val="none"/>
        </w:rPr>
        <w:t>）。履约担保可以采用银行转账或</w:t>
      </w:r>
      <w:r>
        <w:rPr>
          <w:rFonts w:hint="eastAsia" w:ascii="宋体" w:hAnsi="宋体"/>
          <w:color w:val="auto"/>
          <w:kern w:val="0"/>
          <w:szCs w:val="21"/>
          <w:highlight w:val="none"/>
        </w:rPr>
        <w:t>支票、汇票、本票或者金融机构、担保机构出具的保函等非现金形式提交。</w:t>
      </w:r>
    </w:p>
    <w:p w14:paraId="624202A6">
      <w:pPr>
        <w:widowControl/>
        <w:numPr>
          <w:ilvl w:val="0"/>
          <w:numId w:val="51"/>
        </w:numPr>
        <w:snapToGrid w:val="0"/>
        <w:spacing w:line="360" w:lineRule="auto"/>
        <w:ind w:left="442" w:hanging="442"/>
        <w:contextualSpacing/>
        <w:jc w:val="left"/>
        <w:outlineLvl w:val="3"/>
        <w:rPr>
          <w:rFonts w:ascii="宋体" w:hAnsi="宋体"/>
          <w:color w:val="auto"/>
          <w:kern w:val="0"/>
          <w:szCs w:val="21"/>
          <w:highlight w:val="none"/>
        </w:rPr>
      </w:pPr>
      <w:r>
        <w:rPr>
          <w:rFonts w:ascii="宋体" w:hAnsi="宋体"/>
          <w:color w:val="auto"/>
          <w:kern w:val="0"/>
          <w:szCs w:val="21"/>
          <w:highlight w:val="none"/>
        </w:rPr>
        <w:t>在整个项目验收合格后，</w:t>
      </w:r>
      <w:r>
        <w:rPr>
          <w:rFonts w:hint="eastAsia" w:ascii="宋体" w:hAnsi="宋体"/>
          <w:color w:val="auto"/>
          <w:kern w:val="0"/>
          <w:szCs w:val="21"/>
          <w:highlight w:val="none"/>
        </w:rPr>
        <w:t>成交供应商</w:t>
      </w:r>
      <w:r>
        <w:rPr>
          <w:rFonts w:ascii="宋体" w:hAnsi="宋体"/>
          <w:color w:val="auto"/>
          <w:kern w:val="0"/>
          <w:szCs w:val="21"/>
          <w:highlight w:val="none"/>
        </w:rPr>
        <w:t>向采购人提交退回履约保证金的申请，采购人办理履约保证金退还手续，将履约保证金退回原</w:t>
      </w:r>
      <w:r>
        <w:rPr>
          <w:rFonts w:hint="eastAsia" w:ascii="宋体" w:hAnsi="宋体"/>
          <w:color w:val="auto"/>
          <w:kern w:val="0"/>
          <w:szCs w:val="21"/>
          <w:highlight w:val="none"/>
        </w:rPr>
        <w:t>成交供应商</w:t>
      </w:r>
      <w:r>
        <w:rPr>
          <w:rFonts w:ascii="宋体" w:hAnsi="宋体"/>
          <w:color w:val="auto"/>
          <w:kern w:val="0"/>
          <w:szCs w:val="21"/>
          <w:highlight w:val="none"/>
        </w:rPr>
        <w:t>的汇入账户。</w:t>
      </w:r>
    </w:p>
    <w:p w14:paraId="134C3C46">
      <w:pPr>
        <w:pStyle w:val="70"/>
        <w:widowControl/>
        <w:numPr>
          <w:ilvl w:val="0"/>
          <w:numId w:val="16"/>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合同签订和履行</w:t>
      </w:r>
    </w:p>
    <w:p w14:paraId="6EB11016">
      <w:pPr>
        <w:pStyle w:val="70"/>
        <w:widowControl/>
        <w:numPr>
          <w:ilvl w:val="3"/>
          <w:numId w:val="52"/>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合同签订</w:t>
      </w:r>
    </w:p>
    <w:p w14:paraId="011B753D">
      <w:pPr>
        <w:pStyle w:val="70"/>
        <w:widowControl/>
        <w:numPr>
          <w:ilvl w:val="0"/>
          <w:numId w:val="5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采购人应当自《成交通知书》发出之日起三十日内，按照磋商文件和成交供应商响应文件的约定，与成交供应商签订合同。所签订的合同不得对磋商文件和成交供应商响应文件作实质性修改。</w:t>
      </w:r>
    </w:p>
    <w:p w14:paraId="0B7C003E">
      <w:pPr>
        <w:pStyle w:val="70"/>
        <w:widowControl/>
        <w:numPr>
          <w:ilvl w:val="0"/>
          <w:numId w:val="5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采购人不得提出试用合格等任何不合理的要求作为签订合同的条件，且不得与成交供应商私下订立背离合同实质性内容的协议。</w:t>
      </w:r>
    </w:p>
    <w:p w14:paraId="2F22112F">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2.合同的履行</w:t>
      </w:r>
    </w:p>
    <w:p w14:paraId="394AA1BD">
      <w:pPr>
        <w:pStyle w:val="70"/>
        <w:widowControl/>
        <w:numPr>
          <w:ilvl w:val="0"/>
          <w:numId w:val="54"/>
        </w:numPr>
        <w:snapToGrid w:val="0"/>
        <w:spacing w:line="360" w:lineRule="auto"/>
        <w:ind w:left="442" w:hanging="442"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76596B07">
      <w:pPr>
        <w:pStyle w:val="70"/>
        <w:numPr>
          <w:ilvl w:val="0"/>
          <w:numId w:val="54"/>
        </w:numPr>
        <w:snapToGrid w:val="0"/>
        <w:spacing w:line="360" w:lineRule="auto"/>
        <w:ind w:left="442" w:hanging="442" w:firstLineChars="0"/>
        <w:contextualSpacing/>
        <w:rPr>
          <w:b/>
          <w:color w:val="auto"/>
          <w:sz w:val="24"/>
          <w:highlight w:val="none"/>
          <w:lang w:eastAsia="zh-CN"/>
        </w:rPr>
      </w:pPr>
      <w:r>
        <w:rPr>
          <w:rFonts w:ascii="宋体" w:hAnsi="宋体"/>
          <w:color w:val="auto"/>
          <w:kern w:val="0"/>
          <w:szCs w:val="21"/>
          <w:highlight w:val="none"/>
          <w:lang w:eastAsia="zh-Hans"/>
        </w:rPr>
        <w:t>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color w:val="auto"/>
          <w:kern w:val="0"/>
          <w:szCs w:val="21"/>
          <w:highlight w:val="none"/>
          <w:lang w:eastAsia="zh-Hans"/>
        </w:rPr>
        <w:t>签订补充合同的必须按规定备案。</w:t>
      </w:r>
    </w:p>
    <w:p w14:paraId="53E0CCEE">
      <w:pPr>
        <w:pStyle w:val="2"/>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bookmarkStart w:id="31" w:name="_Toc405313955"/>
      <w:bookmarkStart w:id="32" w:name="_Toc521951135"/>
      <w:bookmarkStart w:id="33" w:name="_Toc391627751"/>
      <w:bookmarkStart w:id="34" w:name="_Toc170228131"/>
      <w:r>
        <w:rPr>
          <w:rFonts w:hint="eastAsia" w:asciiTheme="minorEastAsia" w:hAnsiTheme="minorEastAsia" w:eastAsiaTheme="minorEastAsia"/>
          <w:color w:val="auto"/>
          <w:spacing w:val="20"/>
          <w:sz w:val="32"/>
          <w:szCs w:val="32"/>
          <w:highlight w:val="none"/>
        </w:rPr>
        <w:t>第</w:t>
      </w:r>
      <w:bookmarkEnd w:id="31"/>
      <w:bookmarkEnd w:id="32"/>
      <w:bookmarkEnd w:id="33"/>
      <w:bookmarkStart w:id="35" w:name="_Hlk46687785"/>
      <w:r>
        <w:rPr>
          <w:rFonts w:hint="eastAsia" w:asciiTheme="minorEastAsia" w:hAnsiTheme="minorEastAsia" w:eastAsiaTheme="minorEastAsia"/>
          <w:color w:val="auto"/>
          <w:spacing w:val="20"/>
          <w:sz w:val="32"/>
          <w:szCs w:val="32"/>
          <w:highlight w:val="none"/>
        </w:rPr>
        <w:t>四章 评审</w:t>
      </w:r>
      <w:bookmarkEnd w:id="34"/>
    </w:p>
    <w:bookmarkEnd w:id="35"/>
    <w:p w14:paraId="722297AE">
      <w:pPr>
        <w:pStyle w:val="70"/>
        <w:numPr>
          <w:ilvl w:val="0"/>
          <w:numId w:val="55"/>
        </w:numPr>
        <w:snapToGrid w:val="0"/>
        <w:spacing w:line="360" w:lineRule="auto"/>
        <w:ind w:left="442" w:hanging="442" w:firstLineChars="0"/>
        <w:contextualSpacing/>
        <w:rPr>
          <w:b/>
          <w:bCs/>
          <w:color w:val="auto"/>
          <w:highlight w:val="none"/>
        </w:rPr>
      </w:pPr>
      <w:r>
        <w:rPr>
          <w:b/>
          <w:bCs/>
          <w:color w:val="auto"/>
          <w:highlight w:val="none"/>
        </w:rPr>
        <w:t>评审要求</w:t>
      </w:r>
    </w:p>
    <w:p w14:paraId="3421EA85">
      <w:pPr>
        <w:pStyle w:val="74"/>
        <w:numPr>
          <w:ilvl w:val="3"/>
          <w:numId w:val="56"/>
        </w:numPr>
        <w:snapToGrid w:val="0"/>
        <w:spacing w:line="360" w:lineRule="auto"/>
        <w:ind w:left="284" w:hanging="284"/>
        <w:contextualSpacing/>
        <w:outlineLvl w:val="3"/>
        <w:rPr>
          <w:rFonts w:hint="default" w:asciiTheme="minorEastAsia" w:hAnsiTheme="minorEastAsia"/>
          <w:color w:val="auto"/>
          <w:sz w:val="21"/>
          <w:szCs w:val="21"/>
          <w:highlight w:val="none"/>
        </w:rPr>
      </w:pPr>
      <w:r>
        <w:rPr>
          <w:rFonts w:asciiTheme="minorEastAsia" w:hAnsiTheme="minorEastAsia"/>
          <w:b/>
          <w:color w:val="auto"/>
          <w:sz w:val="21"/>
          <w:szCs w:val="21"/>
          <w:highlight w:val="none"/>
        </w:rPr>
        <w:t>评审方法</w:t>
      </w:r>
    </w:p>
    <w:p w14:paraId="142EB0FC">
      <w:pPr>
        <w:pStyle w:val="74"/>
        <w:snapToGrid w:val="0"/>
        <w:spacing w:line="360" w:lineRule="auto"/>
        <w:ind w:firstLine="420" w:firstLineChars="200"/>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综合评分法,是指响应文件满足磋商文件全部实质性要求，且按照评审因素的量化指标评审得分最高的供应商为成交候选人的评标方法。（最低报价不是成交的唯一依据。）</w:t>
      </w:r>
    </w:p>
    <w:p w14:paraId="5E485DA8">
      <w:pPr>
        <w:pStyle w:val="74"/>
        <w:numPr>
          <w:ilvl w:val="3"/>
          <w:numId w:val="56"/>
        </w:numPr>
        <w:snapToGrid w:val="0"/>
        <w:spacing w:line="360" w:lineRule="auto"/>
        <w:ind w:left="284" w:hanging="284"/>
        <w:contextualSpacing/>
        <w:outlineLvl w:val="3"/>
        <w:rPr>
          <w:rFonts w:hint="default"/>
          <w:color w:val="auto"/>
          <w:highlight w:val="none"/>
        </w:rPr>
      </w:pPr>
      <w:r>
        <w:rPr>
          <w:rFonts w:asciiTheme="minorEastAsia" w:hAnsiTheme="minorEastAsia"/>
          <w:b/>
          <w:color w:val="auto"/>
          <w:sz w:val="21"/>
          <w:szCs w:val="21"/>
          <w:highlight w:val="none"/>
        </w:rPr>
        <w:t>评审原则</w:t>
      </w:r>
    </w:p>
    <w:p w14:paraId="193DD305">
      <w:pPr>
        <w:pStyle w:val="74"/>
        <w:numPr>
          <w:ilvl w:val="0"/>
          <w:numId w:val="57"/>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评审活动遵循公平、公正、科学和择优的原则，以磋商文件和响应文件为评审的基本依据，并按照磋商文件规定的评审方法和评审标准进行评审。</w:t>
      </w:r>
    </w:p>
    <w:p w14:paraId="73D52A40">
      <w:pPr>
        <w:pStyle w:val="74"/>
        <w:numPr>
          <w:ilvl w:val="0"/>
          <w:numId w:val="57"/>
        </w:numPr>
        <w:snapToGrid w:val="0"/>
        <w:spacing w:line="360" w:lineRule="auto"/>
        <w:contextualSpacing/>
        <w:rPr>
          <w:rFonts w:hint="default"/>
          <w:color w:val="auto"/>
          <w:highlight w:val="none"/>
        </w:rPr>
      </w:pPr>
      <w:r>
        <w:rPr>
          <w:rFonts w:ascii="宋体" w:hAnsi="宋体" w:eastAsia="宋体"/>
          <w:color w:val="auto"/>
          <w:sz w:val="21"/>
          <w:szCs w:val="21"/>
          <w:highlight w:val="none"/>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3C2C55F">
      <w:pPr>
        <w:pStyle w:val="74"/>
        <w:numPr>
          <w:ilvl w:val="3"/>
          <w:numId w:val="56"/>
        </w:numPr>
        <w:snapToGrid w:val="0"/>
        <w:spacing w:line="360" w:lineRule="auto"/>
        <w:ind w:left="284" w:hanging="284"/>
        <w:contextualSpacing/>
        <w:outlineLvl w:val="3"/>
        <w:rPr>
          <w:rFonts w:hint="default" w:ascii="宋体" w:hAnsi="宋体" w:eastAsia="宋体"/>
          <w:color w:val="auto"/>
          <w:highlight w:val="none"/>
        </w:rPr>
      </w:pPr>
      <w:r>
        <w:rPr>
          <w:rFonts w:ascii="宋体" w:hAnsi="宋体" w:eastAsia="宋体"/>
          <w:b/>
          <w:color w:val="auto"/>
          <w:sz w:val="21"/>
          <w:szCs w:val="21"/>
          <w:highlight w:val="none"/>
        </w:rPr>
        <w:t>磋商小组</w:t>
      </w:r>
    </w:p>
    <w:p w14:paraId="721AAB8B">
      <w:pPr>
        <w:pStyle w:val="74"/>
        <w:numPr>
          <w:ilvl w:val="0"/>
          <w:numId w:val="58"/>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磋商小组由采购人代表和评审专家组成，成员人数应当为3人及以上单数，其中技术、经济等方面的评审专家不得少于成员总数的三分之二。</w:t>
      </w:r>
    </w:p>
    <w:p w14:paraId="0433F221">
      <w:pPr>
        <w:pStyle w:val="74"/>
        <w:numPr>
          <w:ilvl w:val="0"/>
          <w:numId w:val="58"/>
        </w:numPr>
        <w:snapToGrid w:val="0"/>
        <w:spacing w:line="360" w:lineRule="auto"/>
        <w:ind w:left="442" w:hanging="442"/>
        <w:contextualSpacing/>
        <w:rPr>
          <w:rFonts w:hint="default" w:asciiTheme="minorEastAsia" w:hAnsiTheme="minorEastAsia"/>
          <w:bCs/>
          <w:color w:val="auto"/>
          <w:sz w:val="21"/>
          <w:szCs w:val="21"/>
          <w:highlight w:val="none"/>
        </w:rPr>
      </w:pPr>
      <w:r>
        <w:rPr>
          <w:rFonts w:cs="宋体" w:asciiTheme="minorEastAsia" w:hAnsiTheme="minorEastAsia"/>
          <w:color w:val="auto"/>
          <w:sz w:val="21"/>
          <w:szCs w:val="21"/>
          <w:highlight w:val="none"/>
          <w:lang w:eastAsia="zh-TW"/>
        </w:rPr>
        <w:t>磋商小组成员名单在</w:t>
      </w:r>
      <w:r>
        <w:rPr>
          <w:rFonts w:cs="宋体" w:asciiTheme="minorEastAsia" w:hAnsiTheme="minorEastAsia"/>
          <w:color w:val="auto"/>
          <w:sz w:val="21"/>
          <w:szCs w:val="21"/>
          <w:highlight w:val="none"/>
        </w:rPr>
        <w:t>成交结果</w:t>
      </w:r>
      <w:r>
        <w:rPr>
          <w:rFonts w:cs="宋体" w:asciiTheme="minorEastAsia" w:hAnsiTheme="minorEastAsia"/>
          <w:color w:val="auto"/>
          <w:sz w:val="21"/>
          <w:szCs w:val="21"/>
          <w:highlight w:val="none"/>
          <w:lang w:eastAsia="zh-TW"/>
        </w:rPr>
        <w:t>公告前应当保密。</w:t>
      </w:r>
      <w:r>
        <w:rPr>
          <w:rFonts w:asciiTheme="minorEastAsia" w:hAnsiTheme="minorEastAsia"/>
          <w:bCs/>
          <w:color w:val="auto"/>
          <w:sz w:val="21"/>
          <w:szCs w:val="21"/>
          <w:highlight w:val="none"/>
        </w:rPr>
        <w:t>评审专家有下列情形之一的，受到邀请应主动提出回避，采购当事人也可以要求该评审专家回避：</w:t>
      </w:r>
    </w:p>
    <w:p w14:paraId="57DC8E90">
      <w:pPr>
        <w:pStyle w:val="32"/>
        <w:numPr>
          <w:ilvl w:val="2"/>
          <w:numId w:val="59"/>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参加采购活动前</w:t>
      </w:r>
      <w:r>
        <w:rPr>
          <w:rFonts w:cs="宋体" w:asciiTheme="minorEastAsia" w:hAnsiTheme="minorEastAsia" w:eastAsiaTheme="minorEastAsia"/>
          <w:color w:val="auto"/>
          <w:szCs w:val="21"/>
          <w:highlight w:val="none"/>
          <w:lang w:eastAsia="zh-TW"/>
        </w:rPr>
        <w:t>3年内与供应商存在劳动关系</w:t>
      </w:r>
      <w:r>
        <w:rPr>
          <w:rFonts w:hint="eastAsia" w:cs="宋体" w:asciiTheme="minorEastAsia" w:hAnsiTheme="minorEastAsia" w:eastAsiaTheme="minorEastAsia"/>
          <w:color w:val="auto"/>
          <w:szCs w:val="21"/>
          <w:highlight w:val="none"/>
          <w:lang w:eastAsia="zh-TW"/>
        </w:rPr>
        <w:t>；</w:t>
      </w:r>
    </w:p>
    <w:p w14:paraId="43561B74">
      <w:pPr>
        <w:pStyle w:val="32"/>
        <w:numPr>
          <w:ilvl w:val="2"/>
          <w:numId w:val="59"/>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参加采购活动前</w:t>
      </w:r>
      <w:r>
        <w:rPr>
          <w:rFonts w:cs="宋体" w:asciiTheme="minorEastAsia" w:hAnsiTheme="minorEastAsia" w:eastAsiaTheme="minorEastAsia"/>
          <w:color w:val="auto"/>
          <w:szCs w:val="21"/>
          <w:highlight w:val="none"/>
          <w:lang w:eastAsia="zh-TW"/>
        </w:rPr>
        <w:t>3年内担任供应商的董事、监事；</w:t>
      </w:r>
    </w:p>
    <w:p w14:paraId="5968159E">
      <w:pPr>
        <w:pStyle w:val="32"/>
        <w:numPr>
          <w:ilvl w:val="2"/>
          <w:numId w:val="59"/>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参加采购活动前</w:t>
      </w:r>
      <w:r>
        <w:rPr>
          <w:rFonts w:asciiTheme="minorEastAsia" w:hAnsiTheme="minorEastAsia" w:eastAsiaTheme="minorEastAsia"/>
          <w:bCs/>
          <w:color w:val="auto"/>
          <w:szCs w:val="21"/>
          <w:highlight w:val="none"/>
        </w:rPr>
        <w:t>3年内是供应商的控股股东或者实际控制人</w:t>
      </w:r>
      <w:r>
        <w:rPr>
          <w:rFonts w:hint="eastAsia" w:asciiTheme="minorEastAsia" w:hAnsiTheme="minorEastAsia" w:eastAsiaTheme="minorEastAsia"/>
          <w:bCs/>
          <w:color w:val="auto"/>
          <w:szCs w:val="21"/>
          <w:highlight w:val="none"/>
        </w:rPr>
        <w:t>；</w:t>
      </w:r>
    </w:p>
    <w:p w14:paraId="09123E7F">
      <w:pPr>
        <w:pStyle w:val="32"/>
        <w:numPr>
          <w:ilvl w:val="2"/>
          <w:numId w:val="59"/>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与供应商的法定代表人或者负责人有夫妻、直系血亲、三代以内旁系血亲或者近姻亲关系</w:t>
      </w:r>
      <w:r>
        <w:rPr>
          <w:rFonts w:hint="eastAsia" w:asciiTheme="minorEastAsia" w:hAnsiTheme="minorEastAsia" w:eastAsiaTheme="minorEastAsia"/>
          <w:bCs/>
          <w:color w:val="auto"/>
          <w:spacing w:val="-4"/>
          <w:szCs w:val="21"/>
          <w:highlight w:val="none"/>
        </w:rPr>
        <w:t>；</w:t>
      </w:r>
    </w:p>
    <w:p w14:paraId="1BF4376D">
      <w:pPr>
        <w:pStyle w:val="32"/>
        <w:numPr>
          <w:ilvl w:val="2"/>
          <w:numId w:val="59"/>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与供应商有其他可能影响采购活动公平、公正进行的关系。</w:t>
      </w:r>
    </w:p>
    <w:p w14:paraId="02FF074D">
      <w:pPr>
        <w:pStyle w:val="74"/>
        <w:numPr>
          <w:ilvl w:val="0"/>
          <w:numId w:val="58"/>
        </w:numPr>
        <w:snapToGrid w:val="0"/>
        <w:spacing w:line="360" w:lineRule="auto"/>
        <w:ind w:left="442" w:hanging="442"/>
        <w:contextualSpacing/>
        <w:rPr>
          <w:rFonts w:hint="default" w:asciiTheme="minorEastAsia" w:hAnsiTheme="minorEastAsia"/>
          <w:bCs/>
          <w:color w:val="auto"/>
          <w:sz w:val="21"/>
          <w:szCs w:val="21"/>
          <w:highlight w:val="none"/>
        </w:rPr>
      </w:pPr>
      <w:r>
        <w:rPr>
          <w:rFonts w:asciiTheme="minorEastAsia" w:hAnsiTheme="minorEastAsia"/>
          <w:bCs/>
          <w:color w:val="auto"/>
          <w:sz w:val="21"/>
          <w:szCs w:val="21"/>
          <w:highlight w:val="none"/>
        </w:rPr>
        <w:t>磋商小组成员和参与评审的有关工作人员不得透露对响应文件的评审和比较、成交候选人的推荐情况以及与评审有关的其他情况。</w:t>
      </w:r>
    </w:p>
    <w:p w14:paraId="0CC7B904">
      <w:pPr>
        <w:pStyle w:val="74"/>
        <w:numPr>
          <w:ilvl w:val="0"/>
          <w:numId w:val="58"/>
        </w:numPr>
        <w:snapToGrid w:val="0"/>
        <w:spacing w:line="360" w:lineRule="auto"/>
        <w:ind w:left="442" w:hanging="442"/>
        <w:contextualSpacing/>
        <w:rPr>
          <w:rFonts w:hint="default" w:asciiTheme="minorEastAsia" w:hAnsiTheme="minorEastAsia"/>
          <w:bCs/>
          <w:color w:val="auto"/>
          <w:sz w:val="21"/>
          <w:szCs w:val="21"/>
          <w:highlight w:val="none"/>
        </w:rPr>
      </w:pPr>
      <w:r>
        <w:rPr>
          <w:rFonts w:asciiTheme="minorEastAsia" w:hAnsiTheme="minorEastAsia"/>
          <w:bCs/>
          <w:color w:val="auto"/>
          <w:sz w:val="21"/>
          <w:szCs w:val="21"/>
          <w:highlight w:val="none"/>
        </w:rPr>
        <w:t>磋商小组负责具体评审事务，并独立履行下列职责：</w:t>
      </w:r>
    </w:p>
    <w:p w14:paraId="65119017">
      <w:pPr>
        <w:pStyle w:val="32"/>
        <w:widowControl/>
        <w:numPr>
          <w:ilvl w:val="2"/>
          <w:numId w:val="60"/>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审查、评价响应文件是否符合磋商文件的商务、技术等实质性要求；</w:t>
      </w:r>
    </w:p>
    <w:p w14:paraId="6DD1B7AE">
      <w:pPr>
        <w:pStyle w:val="32"/>
        <w:widowControl/>
        <w:numPr>
          <w:ilvl w:val="2"/>
          <w:numId w:val="60"/>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要求供应商对响应文件有关事项作出澄清或者说明；</w:t>
      </w:r>
    </w:p>
    <w:p w14:paraId="2180905D">
      <w:pPr>
        <w:pStyle w:val="32"/>
        <w:widowControl/>
        <w:numPr>
          <w:ilvl w:val="2"/>
          <w:numId w:val="60"/>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对响应文件进行比较和评价；</w:t>
      </w:r>
    </w:p>
    <w:p w14:paraId="5C2F06E4">
      <w:pPr>
        <w:pStyle w:val="32"/>
        <w:widowControl/>
        <w:numPr>
          <w:ilvl w:val="2"/>
          <w:numId w:val="60"/>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确定</w:t>
      </w:r>
      <w:r>
        <w:rPr>
          <w:rFonts w:hint="eastAsia" w:cs="宋体" w:asciiTheme="minorEastAsia" w:hAnsiTheme="minorEastAsia" w:eastAsiaTheme="minorEastAsia"/>
          <w:color w:val="auto"/>
          <w:szCs w:val="21"/>
          <w:highlight w:val="none"/>
        </w:rPr>
        <w:t>成交</w:t>
      </w:r>
      <w:r>
        <w:rPr>
          <w:rFonts w:hint="eastAsia" w:cs="宋体" w:asciiTheme="minorEastAsia" w:hAnsiTheme="minorEastAsia" w:eastAsiaTheme="minorEastAsia"/>
          <w:color w:val="auto"/>
          <w:szCs w:val="21"/>
          <w:highlight w:val="none"/>
          <w:lang w:eastAsia="zh-TW"/>
        </w:rPr>
        <w:t>候选人名单，以及根据采购人委托直接确定成交人；</w:t>
      </w:r>
    </w:p>
    <w:p w14:paraId="13284122">
      <w:pPr>
        <w:pStyle w:val="32"/>
        <w:widowControl/>
        <w:numPr>
          <w:ilvl w:val="2"/>
          <w:numId w:val="60"/>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向采购人、采购代理机构或者有关部门报告</w:t>
      </w:r>
      <w:r>
        <w:rPr>
          <w:rFonts w:hint="eastAsia" w:cs="宋体" w:asciiTheme="minorEastAsia" w:hAnsiTheme="minorEastAsia" w:eastAsiaTheme="minorEastAsia"/>
          <w:color w:val="auto"/>
          <w:szCs w:val="21"/>
          <w:highlight w:val="none"/>
        </w:rPr>
        <w:t>评审</w:t>
      </w:r>
      <w:r>
        <w:rPr>
          <w:rFonts w:hint="eastAsia" w:cs="宋体" w:asciiTheme="minorEastAsia" w:hAnsiTheme="minorEastAsia" w:eastAsiaTheme="minorEastAsia"/>
          <w:color w:val="auto"/>
          <w:szCs w:val="21"/>
          <w:highlight w:val="none"/>
          <w:lang w:eastAsia="zh-TW"/>
        </w:rPr>
        <w:t>中发现的违法行为。</w:t>
      </w:r>
    </w:p>
    <w:p w14:paraId="7E53A50A">
      <w:pPr>
        <w:pStyle w:val="74"/>
        <w:numPr>
          <w:ilvl w:val="0"/>
          <w:numId w:val="58"/>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pPr>
        <w:pStyle w:val="74"/>
        <w:numPr>
          <w:ilvl w:val="0"/>
          <w:numId w:val="58"/>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pPr>
        <w:pStyle w:val="74"/>
        <w:numPr>
          <w:ilvl w:val="0"/>
          <w:numId w:val="58"/>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1D6E8B6E">
      <w:pPr>
        <w:pStyle w:val="74"/>
        <w:numPr>
          <w:ilvl w:val="0"/>
          <w:numId w:val="58"/>
        </w:numPr>
        <w:snapToGrid w:val="0"/>
        <w:spacing w:line="360" w:lineRule="auto"/>
        <w:ind w:left="442" w:hanging="442"/>
        <w:contextualSpacing/>
        <w:rPr>
          <w:rFonts w:hint="default"/>
          <w:color w:val="auto"/>
          <w:highlight w:val="none"/>
        </w:rPr>
      </w:pPr>
      <w:r>
        <w:rPr>
          <w:rFonts w:ascii="宋体" w:hAnsi="宋体" w:eastAsia="宋体"/>
          <w:color w:val="auto"/>
          <w:sz w:val="21"/>
          <w:szCs w:val="21"/>
          <w:highlight w:val="none"/>
        </w:rPr>
        <w:t>参与评审工作的所有人员必须</w:t>
      </w:r>
      <w:r>
        <w:rPr>
          <w:rFonts w:hint="eastAsia" w:ascii="宋体" w:hAnsi="宋体" w:eastAsia="宋体"/>
          <w:color w:val="auto"/>
          <w:sz w:val="21"/>
          <w:szCs w:val="21"/>
          <w:highlight w:val="none"/>
          <w:lang w:val="en-US" w:eastAsia="zh-CN"/>
        </w:rPr>
        <w:t>参照</w:t>
      </w:r>
      <w:r>
        <w:rPr>
          <w:rFonts w:ascii="宋体" w:hAnsi="宋体" w:eastAsia="宋体"/>
          <w:color w:val="auto"/>
          <w:sz w:val="21"/>
          <w:szCs w:val="21"/>
          <w:highlight w:val="none"/>
        </w:rPr>
        <w:t>《中华人民共和国政府采购法》、《中华人民共和国政府采购法实施条例》、《政府采购竞争性磋商采购方式管理暂行办法》及相关法律、法规的规定</w:t>
      </w:r>
      <w:r>
        <w:rPr>
          <w:rFonts w:hint="eastAsia" w:ascii="宋体" w:hAnsi="宋体" w:eastAsia="宋体"/>
          <w:color w:val="auto"/>
          <w:sz w:val="21"/>
          <w:szCs w:val="21"/>
          <w:highlight w:val="none"/>
          <w:lang w:val="en-US" w:eastAsia="zh-CN"/>
        </w:rPr>
        <w:t>执行</w:t>
      </w:r>
      <w:r>
        <w:rPr>
          <w:rFonts w:ascii="宋体" w:hAnsi="宋体" w:eastAsia="宋体"/>
          <w:color w:val="auto"/>
          <w:sz w:val="21"/>
          <w:szCs w:val="21"/>
          <w:highlight w:val="none"/>
        </w:rPr>
        <w:t>，以确保评审的公平、公正。</w:t>
      </w:r>
    </w:p>
    <w:p w14:paraId="34E7B1E2">
      <w:pPr>
        <w:pStyle w:val="74"/>
        <w:numPr>
          <w:ilvl w:val="3"/>
          <w:numId w:val="56"/>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有下列情形之一的，视为供应商串通响应，其响应无效</w:t>
      </w:r>
    </w:p>
    <w:p w14:paraId="30F57AA5">
      <w:pPr>
        <w:pStyle w:val="70"/>
        <w:numPr>
          <w:ilvl w:val="0"/>
          <w:numId w:val="61"/>
        </w:numPr>
        <w:snapToGrid w:val="0"/>
        <w:spacing w:line="360" w:lineRule="auto"/>
        <w:ind w:firstLineChars="0"/>
        <w:contextualSpacing/>
        <w:rPr>
          <w:color w:val="auto"/>
          <w:highlight w:val="none"/>
        </w:rPr>
      </w:pPr>
      <w:r>
        <w:rPr>
          <w:color w:val="auto"/>
          <w:highlight w:val="none"/>
        </w:rPr>
        <w:t>不同供应商的响应文件由同一单位或者个人编制；</w:t>
      </w:r>
    </w:p>
    <w:p w14:paraId="11BC39C9">
      <w:pPr>
        <w:pStyle w:val="70"/>
        <w:numPr>
          <w:ilvl w:val="0"/>
          <w:numId w:val="61"/>
        </w:numPr>
        <w:snapToGrid w:val="0"/>
        <w:spacing w:line="360" w:lineRule="auto"/>
        <w:ind w:firstLineChars="0"/>
        <w:contextualSpacing/>
        <w:rPr>
          <w:color w:val="auto"/>
          <w:highlight w:val="none"/>
        </w:rPr>
      </w:pPr>
      <w:r>
        <w:rPr>
          <w:color w:val="auto"/>
          <w:highlight w:val="none"/>
        </w:rPr>
        <w:t>不同供应商委托同一单位或者个人办理响应事宜；</w:t>
      </w:r>
    </w:p>
    <w:p w14:paraId="7D018D1D">
      <w:pPr>
        <w:pStyle w:val="70"/>
        <w:numPr>
          <w:ilvl w:val="0"/>
          <w:numId w:val="61"/>
        </w:numPr>
        <w:snapToGrid w:val="0"/>
        <w:spacing w:line="360" w:lineRule="auto"/>
        <w:ind w:firstLineChars="0"/>
        <w:contextualSpacing/>
        <w:rPr>
          <w:color w:val="auto"/>
          <w:highlight w:val="none"/>
        </w:rPr>
      </w:pPr>
      <w:r>
        <w:rPr>
          <w:color w:val="auto"/>
          <w:highlight w:val="none"/>
        </w:rPr>
        <w:t>不同供应商的响应文件载明的项目管理成员或者联系人员为同一人；</w:t>
      </w:r>
    </w:p>
    <w:p w14:paraId="3F8F7B1C">
      <w:pPr>
        <w:pStyle w:val="70"/>
        <w:numPr>
          <w:ilvl w:val="0"/>
          <w:numId w:val="61"/>
        </w:numPr>
        <w:snapToGrid w:val="0"/>
        <w:spacing w:line="360" w:lineRule="auto"/>
        <w:ind w:firstLineChars="0"/>
        <w:contextualSpacing/>
        <w:rPr>
          <w:color w:val="auto"/>
          <w:highlight w:val="none"/>
        </w:rPr>
      </w:pPr>
      <w:r>
        <w:rPr>
          <w:color w:val="auto"/>
          <w:highlight w:val="none"/>
        </w:rPr>
        <w:t>不同供应商的响应文件异常一致或者响应报价呈规律性差异；</w:t>
      </w:r>
    </w:p>
    <w:p w14:paraId="7E72B876">
      <w:pPr>
        <w:pStyle w:val="70"/>
        <w:numPr>
          <w:ilvl w:val="0"/>
          <w:numId w:val="61"/>
        </w:numPr>
        <w:snapToGrid w:val="0"/>
        <w:spacing w:line="360" w:lineRule="auto"/>
        <w:ind w:firstLineChars="0"/>
        <w:contextualSpacing/>
        <w:rPr>
          <w:color w:val="auto"/>
          <w:highlight w:val="none"/>
        </w:rPr>
      </w:pPr>
      <w:r>
        <w:rPr>
          <w:color w:val="auto"/>
          <w:highlight w:val="none"/>
        </w:rPr>
        <w:t>不同供应商的响应文件相互混装；</w:t>
      </w:r>
    </w:p>
    <w:p w14:paraId="121B7829">
      <w:pPr>
        <w:pStyle w:val="70"/>
        <w:numPr>
          <w:ilvl w:val="0"/>
          <w:numId w:val="61"/>
        </w:numPr>
        <w:snapToGrid w:val="0"/>
        <w:spacing w:line="360" w:lineRule="auto"/>
        <w:ind w:firstLineChars="0"/>
        <w:contextualSpacing/>
        <w:rPr>
          <w:color w:val="auto"/>
          <w:highlight w:val="none"/>
        </w:rPr>
      </w:pPr>
      <w:r>
        <w:rPr>
          <w:color w:val="auto"/>
          <w:highlight w:val="none"/>
        </w:rPr>
        <w:t>不同供应商的响应保证金支付款为从同一单位或个人的账户转出。</w:t>
      </w:r>
    </w:p>
    <w:p w14:paraId="42DD88F2">
      <w:pPr>
        <w:pStyle w:val="74"/>
        <w:numPr>
          <w:ilvl w:val="3"/>
          <w:numId w:val="56"/>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有下列情形之一的，属于恶意串通响应：</w:t>
      </w:r>
    </w:p>
    <w:p w14:paraId="47DB93C4">
      <w:pPr>
        <w:pStyle w:val="70"/>
        <w:numPr>
          <w:ilvl w:val="0"/>
          <w:numId w:val="62"/>
        </w:numPr>
        <w:snapToGrid w:val="0"/>
        <w:spacing w:line="360" w:lineRule="auto"/>
        <w:ind w:left="442" w:hanging="442" w:firstLineChars="0"/>
        <w:contextualSpacing/>
        <w:rPr>
          <w:color w:val="auto"/>
          <w:highlight w:val="none"/>
        </w:rPr>
      </w:pPr>
      <w:r>
        <w:rPr>
          <w:color w:val="auto"/>
          <w:highlight w:val="none"/>
        </w:rPr>
        <w:t>供应商直接或者间接从采购人或者采购代理机构处获得其他供应商的相关情况并修改其响应文件；</w:t>
      </w:r>
    </w:p>
    <w:p w14:paraId="4DC0969A">
      <w:pPr>
        <w:pStyle w:val="70"/>
        <w:numPr>
          <w:ilvl w:val="0"/>
          <w:numId w:val="62"/>
        </w:numPr>
        <w:snapToGrid w:val="0"/>
        <w:spacing w:line="360" w:lineRule="auto"/>
        <w:ind w:left="442" w:hanging="442" w:firstLineChars="0"/>
        <w:contextualSpacing/>
        <w:rPr>
          <w:color w:val="auto"/>
          <w:highlight w:val="none"/>
        </w:rPr>
      </w:pPr>
      <w:r>
        <w:rPr>
          <w:color w:val="auto"/>
          <w:highlight w:val="none"/>
        </w:rPr>
        <w:t>供应商按照采购人或者采购代理机构的授意撤换、修改响应文件；</w:t>
      </w:r>
    </w:p>
    <w:p w14:paraId="705E67F6">
      <w:pPr>
        <w:pStyle w:val="70"/>
        <w:numPr>
          <w:ilvl w:val="0"/>
          <w:numId w:val="62"/>
        </w:numPr>
        <w:snapToGrid w:val="0"/>
        <w:spacing w:line="360" w:lineRule="auto"/>
        <w:ind w:left="442" w:hanging="442" w:firstLineChars="0"/>
        <w:contextualSpacing/>
        <w:rPr>
          <w:color w:val="auto"/>
          <w:highlight w:val="none"/>
        </w:rPr>
      </w:pPr>
      <w:r>
        <w:rPr>
          <w:color w:val="auto"/>
          <w:highlight w:val="none"/>
        </w:rPr>
        <w:t>供应商之间协商报价、技术方案等响应文件的实质性内容；</w:t>
      </w:r>
    </w:p>
    <w:p w14:paraId="70C73649">
      <w:pPr>
        <w:pStyle w:val="70"/>
        <w:numPr>
          <w:ilvl w:val="0"/>
          <w:numId w:val="62"/>
        </w:numPr>
        <w:snapToGrid w:val="0"/>
        <w:spacing w:line="360" w:lineRule="auto"/>
        <w:ind w:left="442" w:hanging="442" w:firstLineChars="0"/>
        <w:contextualSpacing/>
        <w:rPr>
          <w:color w:val="auto"/>
          <w:highlight w:val="none"/>
        </w:rPr>
      </w:pPr>
      <w:r>
        <w:rPr>
          <w:color w:val="auto"/>
          <w:highlight w:val="none"/>
        </w:rPr>
        <w:t>属于同一集团、协会、商会等组织成员的供应商按照该组织要求协同参加采购活动；</w:t>
      </w:r>
    </w:p>
    <w:p w14:paraId="257A7A58">
      <w:pPr>
        <w:pStyle w:val="70"/>
        <w:numPr>
          <w:ilvl w:val="0"/>
          <w:numId w:val="62"/>
        </w:numPr>
        <w:snapToGrid w:val="0"/>
        <w:spacing w:line="360" w:lineRule="auto"/>
        <w:ind w:left="442" w:hanging="442" w:firstLineChars="0"/>
        <w:contextualSpacing/>
        <w:rPr>
          <w:color w:val="auto"/>
          <w:highlight w:val="none"/>
        </w:rPr>
      </w:pPr>
      <w:r>
        <w:rPr>
          <w:color w:val="auto"/>
          <w:highlight w:val="none"/>
        </w:rPr>
        <w:t>供应商之间事先约定由某一特定供应商成交；</w:t>
      </w:r>
    </w:p>
    <w:p w14:paraId="66B44421">
      <w:pPr>
        <w:pStyle w:val="70"/>
        <w:numPr>
          <w:ilvl w:val="0"/>
          <w:numId w:val="62"/>
        </w:numPr>
        <w:snapToGrid w:val="0"/>
        <w:spacing w:line="360" w:lineRule="auto"/>
        <w:ind w:left="442" w:hanging="442" w:firstLineChars="0"/>
        <w:contextualSpacing/>
        <w:rPr>
          <w:color w:val="auto"/>
          <w:highlight w:val="none"/>
        </w:rPr>
      </w:pPr>
      <w:r>
        <w:rPr>
          <w:color w:val="auto"/>
          <w:highlight w:val="none"/>
        </w:rPr>
        <w:t>供应商之间商定部分供应商放弃参加采购活动或者放弃成交；</w:t>
      </w:r>
    </w:p>
    <w:p w14:paraId="2CA68EBD">
      <w:pPr>
        <w:pStyle w:val="70"/>
        <w:numPr>
          <w:ilvl w:val="0"/>
          <w:numId w:val="62"/>
        </w:numPr>
        <w:snapToGrid w:val="0"/>
        <w:spacing w:line="360" w:lineRule="auto"/>
        <w:ind w:left="442" w:hanging="442" w:firstLineChars="0"/>
        <w:contextualSpacing/>
        <w:rPr>
          <w:color w:val="auto"/>
          <w:highlight w:val="none"/>
        </w:rPr>
      </w:pPr>
      <w:r>
        <w:rPr>
          <w:color w:val="auto"/>
          <w:highlight w:val="none"/>
        </w:rPr>
        <w:t>供应商与采购人或者采购代理机构之间、供应商相互之间，为谋求特定供应商成交或者排斥其他供应商的其他串通行为。</w:t>
      </w:r>
    </w:p>
    <w:p w14:paraId="0CBEBFF4">
      <w:pPr>
        <w:pStyle w:val="74"/>
        <w:numPr>
          <w:ilvl w:val="3"/>
          <w:numId w:val="56"/>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其他响应无效的情形</w:t>
      </w:r>
    </w:p>
    <w:p w14:paraId="0CD6BE93">
      <w:pPr>
        <w:snapToGrid w:val="0"/>
        <w:spacing w:line="360" w:lineRule="auto"/>
        <w:ind w:firstLine="420" w:firstLineChars="200"/>
        <w:contextualSpacing/>
        <w:rPr>
          <w:color w:val="auto"/>
          <w:highlight w:val="none"/>
        </w:rPr>
      </w:pPr>
      <w:r>
        <w:rPr>
          <w:rFonts w:hint="eastAsia"/>
          <w:color w:val="auto"/>
          <w:highlight w:val="none"/>
        </w:rPr>
        <w:t>详见资格性审查、符合性审查和磋商文件其他响应无效条款。</w:t>
      </w:r>
    </w:p>
    <w:p w14:paraId="2559B318">
      <w:pPr>
        <w:pStyle w:val="74"/>
        <w:numPr>
          <w:ilvl w:val="3"/>
          <w:numId w:val="56"/>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终止竞争性磋商采购活动的情形</w:t>
      </w:r>
    </w:p>
    <w:p w14:paraId="7D386134">
      <w:pPr>
        <w:pStyle w:val="70"/>
        <w:numPr>
          <w:ilvl w:val="0"/>
          <w:numId w:val="63"/>
        </w:numPr>
        <w:snapToGrid w:val="0"/>
        <w:spacing w:line="360" w:lineRule="auto"/>
        <w:ind w:firstLineChars="0"/>
        <w:contextualSpacing/>
        <w:rPr>
          <w:rFonts w:ascii="宋体" w:hAnsi="宋体"/>
          <w:color w:val="auto"/>
          <w:highlight w:val="none"/>
        </w:rPr>
      </w:pPr>
      <w:r>
        <w:rPr>
          <w:rFonts w:hint="eastAsia" w:ascii="宋体" w:hAnsi="宋体"/>
          <w:color w:val="auto"/>
          <w:highlight w:val="none"/>
        </w:rPr>
        <w:t>出现下列情形之一的，采购人或者采购代理机构应当终止竞争性磋商采购活动，发布项目终止公告并说明原因，重新开展采购活动：</w:t>
      </w:r>
    </w:p>
    <w:p w14:paraId="76F5FEA6">
      <w:pPr>
        <w:pStyle w:val="70"/>
        <w:numPr>
          <w:ilvl w:val="0"/>
          <w:numId w:val="64"/>
        </w:numPr>
        <w:snapToGrid w:val="0"/>
        <w:spacing w:line="360" w:lineRule="auto"/>
        <w:ind w:left="567" w:hanging="567" w:firstLineChars="0"/>
        <w:contextualSpacing/>
        <w:rPr>
          <w:rFonts w:ascii="宋体" w:hAnsi="宋体"/>
          <w:color w:val="auto"/>
          <w:highlight w:val="none"/>
        </w:rPr>
      </w:pPr>
      <w:r>
        <w:rPr>
          <w:rFonts w:ascii="宋体" w:hAnsi="宋体"/>
          <w:color w:val="auto"/>
          <w:highlight w:val="none"/>
        </w:rPr>
        <w:t>因情况变化，不再符合规定的竞争性磋商采购方式适用情形的；</w:t>
      </w:r>
    </w:p>
    <w:p w14:paraId="563722C2">
      <w:pPr>
        <w:pStyle w:val="70"/>
        <w:numPr>
          <w:ilvl w:val="0"/>
          <w:numId w:val="64"/>
        </w:numPr>
        <w:snapToGrid w:val="0"/>
        <w:spacing w:line="360" w:lineRule="auto"/>
        <w:ind w:left="567" w:hanging="567" w:firstLineChars="0"/>
        <w:contextualSpacing/>
        <w:rPr>
          <w:rFonts w:ascii="宋体" w:hAnsi="宋体"/>
          <w:color w:val="auto"/>
          <w:highlight w:val="none"/>
        </w:rPr>
      </w:pPr>
      <w:r>
        <w:rPr>
          <w:rFonts w:ascii="宋体" w:hAnsi="宋体"/>
          <w:color w:val="auto"/>
          <w:highlight w:val="none"/>
        </w:rPr>
        <w:t>出现影响采购公正的违法、违规行为的；</w:t>
      </w:r>
    </w:p>
    <w:p w14:paraId="21079763">
      <w:pPr>
        <w:pStyle w:val="70"/>
        <w:numPr>
          <w:ilvl w:val="0"/>
          <w:numId w:val="64"/>
        </w:numPr>
        <w:snapToGrid w:val="0"/>
        <w:spacing w:line="360" w:lineRule="auto"/>
        <w:ind w:left="567" w:hanging="567" w:firstLineChars="0"/>
        <w:contextualSpacing/>
        <w:rPr>
          <w:color w:val="auto"/>
          <w:highlight w:val="none"/>
        </w:rPr>
      </w:pPr>
      <w:r>
        <w:rPr>
          <w:rFonts w:ascii="宋体" w:hAnsi="宋体"/>
          <w:color w:val="auto"/>
          <w:highlight w:val="none"/>
        </w:rPr>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w:t>
      </w:r>
      <w:r>
        <w:rPr>
          <w:rFonts w:hint="eastAsia" w:ascii="宋体" w:hAnsi="宋体"/>
          <w:color w:val="auto"/>
          <w:highlight w:val="none"/>
        </w:rPr>
        <w:t>（或最高限价）</w:t>
      </w:r>
      <w:r>
        <w:rPr>
          <w:rFonts w:ascii="宋体" w:hAnsi="宋体"/>
          <w:color w:val="auto"/>
          <w:highlight w:val="none"/>
        </w:rPr>
        <w:t>的供应商不足3家的；</w:t>
      </w:r>
    </w:p>
    <w:p w14:paraId="79CFF447">
      <w:pPr>
        <w:pStyle w:val="70"/>
        <w:numPr>
          <w:ilvl w:val="0"/>
          <w:numId w:val="64"/>
        </w:numPr>
        <w:snapToGrid w:val="0"/>
        <w:spacing w:line="360" w:lineRule="auto"/>
        <w:ind w:left="567" w:hanging="567" w:firstLineChars="0"/>
        <w:contextualSpacing/>
        <w:rPr>
          <w:color w:val="auto"/>
          <w:highlight w:val="none"/>
        </w:rPr>
      </w:pPr>
      <w:r>
        <w:rPr>
          <w:color w:val="auto"/>
          <w:highlight w:val="none"/>
        </w:rPr>
        <w:t>法律、法规以及磋商文件规定其他情形。</w:t>
      </w:r>
    </w:p>
    <w:p w14:paraId="39DB4BE4">
      <w:pPr>
        <w:pStyle w:val="74"/>
        <w:numPr>
          <w:ilvl w:val="3"/>
          <w:numId w:val="56"/>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确定成交供应商</w:t>
      </w:r>
    </w:p>
    <w:p w14:paraId="2CFB4CA9">
      <w:pPr>
        <w:snapToGrid w:val="0"/>
        <w:spacing w:line="360" w:lineRule="auto"/>
        <w:ind w:firstLine="420" w:firstLineChars="200"/>
        <w:contextualSpacing/>
        <w:rPr>
          <w:color w:val="auto"/>
          <w:highlight w:val="none"/>
        </w:rPr>
      </w:pPr>
      <w:r>
        <w:rPr>
          <w:rFonts w:hint="eastAsia"/>
          <w:color w:val="auto"/>
          <w:highlight w:val="none"/>
        </w:rPr>
        <w:t>磋商小组按照磋商文件确定的评审方法、步骤、标准，对响应文件进行评审。评审结束后，对供应商的评审名次进行排序，确定成交供应商或者推荐成交候选供应商。</w:t>
      </w:r>
    </w:p>
    <w:p w14:paraId="3FB8B946">
      <w:pPr>
        <w:pStyle w:val="74"/>
        <w:numPr>
          <w:ilvl w:val="3"/>
          <w:numId w:val="56"/>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价格修正</w:t>
      </w:r>
    </w:p>
    <w:p w14:paraId="2CA89004">
      <w:pPr>
        <w:pStyle w:val="70"/>
        <w:numPr>
          <w:ilvl w:val="0"/>
          <w:numId w:val="65"/>
        </w:numPr>
        <w:snapToGrid w:val="0"/>
        <w:spacing w:line="360" w:lineRule="auto"/>
        <w:ind w:firstLineChars="0"/>
        <w:contextualSpacing/>
        <w:rPr>
          <w:color w:val="auto"/>
          <w:highlight w:val="none"/>
        </w:rPr>
      </w:pPr>
      <w:r>
        <w:rPr>
          <w:rFonts w:hint="eastAsia"/>
          <w:color w:val="auto"/>
          <w:highlight w:val="none"/>
        </w:rPr>
        <w:t>对报价的计算错误按以下原则修正：</w:t>
      </w:r>
    </w:p>
    <w:p w14:paraId="03CEC0A6">
      <w:pPr>
        <w:pStyle w:val="70"/>
        <w:numPr>
          <w:ilvl w:val="0"/>
          <w:numId w:val="66"/>
        </w:numPr>
        <w:snapToGrid w:val="0"/>
        <w:spacing w:line="360" w:lineRule="auto"/>
        <w:ind w:left="709" w:hanging="709" w:firstLineChars="0"/>
        <w:contextualSpacing/>
        <w:rPr>
          <w:color w:val="auto"/>
          <w:highlight w:val="none"/>
        </w:rPr>
      </w:pPr>
      <w:r>
        <w:rPr>
          <w:color w:val="auto"/>
          <w:highlight w:val="none"/>
        </w:rPr>
        <w:t>响应文件中首次报价表（报价表）内容与响应文件中相应内容不一致的，以首次报价表（报价表）为准；</w:t>
      </w:r>
    </w:p>
    <w:p w14:paraId="6EB8FA87">
      <w:pPr>
        <w:pStyle w:val="70"/>
        <w:numPr>
          <w:ilvl w:val="0"/>
          <w:numId w:val="66"/>
        </w:numPr>
        <w:snapToGrid w:val="0"/>
        <w:spacing w:line="360" w:lineRule="auto"/>
        <w:ind w:left="709" w:hanging="709" w:firstLineChars="0"/>
        <w:contextualSpacing/>
        <w:rPr>
          <w:color w:val="auto"/>
          <w:highlight w:val="none"/>
        </w:rPr>
      </w:pPr>
      <w:r>
        <w:rPr>
          <w:color w:val="auto"/>
          <w:highlight w:val="none"/>
        </w:rPr>
        <w:t>大写金额和小写金额不一致的，以大写金额为准；</w:t>
      </w:r>
    </w:p>
    <w:p w14:paraId="7ED2C147">
      <w:pPr>
        <w:pStyle w:val="70"/>
        <w:numPr>
          <w:ilvl w:val="0"/>
          <w:numId w:val="66"/>
        </w:numPr>
        <w:snapToGrid w:val="0"/>
        <w:spacing w:line="360" w:lineRule="auto"/>
        <w:ind w:left="709" w:hanging="709" w:firstLineChars="0"/>
        <w:contextualSpacing/>
        <w:rPr>
          <w:color w:val="auto"/>
          <w:highlight w:val="none"/>
        </w:rPr>
      </w:pPr>
      <w:r>
        <w:rPr>
          <w:color w:val="auto"/>
          <w:highlight w:val="none"/>
        </w:rPr>
        <w:t>单价金额小数点或者百分比有明显错位的，以首次报价表的总价为准，并修改单价；</w:t>
      </w:r>
    </w:p>
    <w:p w14:paraId="54E8A67B">
      <w:pPr>
        <w:pStyle w:val="70"/>
        <w:numPr>
          <w:ilvl w:val="0"/>
          <w:numId w:val="66"/>
        </w:numPr>
        <w:snapToGrid w:val="0"/>
        <w:spacing w:line="360" w:lineRule="auto"/>
        <w:ind w:left="709" w:hanging="709" w:firstLineChars="0"/>
        <w:contextualSpacing/>
        <w:rPr>
          <w:color w:val="auto"/>
          <w:highlight w:val="none"/>
        </w:rPr>
      </w:pPr>
      <w:r>
        <w:rPr>
          <w:color w:val="auto"/>
          <w:highlight w:val="none"/>
        </w:rPr>
        <w:t>总价金额与按单价汇总金额不一致的，以单价金额计算结果为准。但是单价金额计算结果超过预算价的，对其按无效响应处理；</w:t>
      </w:r>
    </w:p>
    <w:p w14:paraId="602752B4">
      <w:pPr>
        <w:snapToGrid w:val="0"/>
        <w:spacing w:line="360" w:lineRule="auto"/>
        <w:contextualSpacing/>
        <w:rPr>
          <w:color w:val="auto"/>
          <w:highlight w:val="none"/>
        </w:rPr>
      </w:pPr>
      <w:r>
        <w:rPr>
          <w:rFonts w:hint="eastAsia"/>
          <w:color w:val="auto"/>
          <w:highlight w:val="none"/>
        </w:rPr>
        <w:t>注：同时出现2种以上不一致的，按照前款规定的顺序修正。修正后的报价应当采用书面形式，并加盖公章，或者由法定代表人或其授权的代表签字，经供应商确认后产生约束力，供应商不确认的，其响应无效。</w:t>
      </w:r>
    </w:p>
    <w:p w14:paraId="2B065D54">
      <w:pPr>
        <w:pStyle w:val="70"/>
        <w:numPr>
          <w:ilvl w:val="0"/>
          <w:numId w:val="55"/>
        </w:numPr>
        <w:snapToGrid w:val="0"/>
        <w:spacing w:line="360" w:lineRule="auto"/>
        <w:ind w:left="442" w:hanging="442" w:firstLineChars="0"/>
        <w:contextualSpacing/>
        <w:rPr>
          <w:rFonts w:asciiTheme="minorEastAsia" w:hAnsiTheme="minorEastAsia"/>
          <w:b/>
          <w:bCs/>
          <w:color w:val="auto"/>
          <w:szCs w:val="21"/>
          <w:highlight w:val="none"/>
        </w:rPr>
      </w:pPr>
      <w:r>
        <w:rPr>
          <w:rFonts w:hint="eastAsia"/>
          <w:b/>
          <w:bCs/>
          <w:color w:val="auto"/>
          <w:highlight w:val="none"/>
          <w:lang w:val="en-US" w:eastAsia="zh-CN"/>
        </w:rPr>
        <w:t>价格评审</w:t>
      </w:r>
    </w:p>
    <w:p w14:paraId="04093809">
      <w:pPr>
        <w:keepNext w:val="0"/>
        <w:keepLines w:val="0"/>
        <w:pageBreakBefore w:val="0"/>
        <w:widowControl w:val="0"/>
        <w:numPr>
          <w:ilvl w:val="1"/>
          <w:numId w:val="67"/>
        </w:numPr>
        <w:kinsoku/>
        <w:wordWrap/>
        <w:overflowPunct/>
        <w:topLinePunct w:val="0"/>
        <w:autoSpaceDE/>
        <w:autoSpaceDN/>
        <w:bidi w:val="0"/>
        <w:adjustRightInd/>
        <w:snapToGrid w:val="0"/>
        <w:spacing w:line="360" w:lineRule="auto"/>
        <w:textAlignment w:val="auto"/>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价格分应当采用低价优先法计算，即满足磋商文件要求且最后报价最低的供应商的价格为磋商基准价，其价格分为满分。其他供应商的价格分统一按照下列公式计算：</w:t>
      </w:r>
    </w:p>
    <w:p w14:paraId="70B76BA3">
      <w:pPr>
        <w:pStyle w:val="32"/>
        <w:keepNext w:val="0"/>
        <w:keepLines w:val="0"/>
        <w:pageBreakBefore w:val="0"/>
        <w:widowControl w:val="0"/>
        <w:kinsoku/>
        <w:wordWrap/>
        <w:overflowPunct/>
        <w:topLinePunct w:val="0"/>
        <w:autoSpaceDE/>
        <w:autoSpaceDN/>
        <w:bidi w:val="0"/>
        <w:adjustRightInd/>
        <w:snapToGrid w:val="0"/>
        <w:spacing w:line="360" w:lineRule="auto"/>
        <w:ind w:firstLineChars="0"/>
        <w:jc w:val="left"/>
        <w:textAlignment w:val="auto"/>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磋商报价得分</w:t>
      </w:r>
      <w:r>
        <w:rPr>
          <w:rFonts w:asciiTheme="minorEastAsia" w:hAnsiTheme="minorEastAsia" w:eastAsiaTheme="minorEastAsia"/>
          <w:bCs/>
          <w:color w:val="auto"/>
          <w:szCs w:val="21"/>
          <w:highlight w:val="none"/>
        </w:rPr>
        <w:t>=(</w:t>
      </w:r>
      <w:r>
        <w:rPr>
          <w:rFonts w:hint="eastAsia" w:asciiTheme="minorEastAsia" w:hAnsiTheme="minorEastAsia" w:eastAsiaTheme="minorEastAsia"/>
          <w:bCs/>
          <w:color w:val="auto"/>
          <w:szCs w:val="21"/>
          <w:highlight w:val="none"/>
        </w:rPr>
        <w:t>磋商</w:t>
      </w:r>
      <w:r>
        <w:rPr>
          <w:rFonts w:asciiTheme="minorEastAsia" w:hAnsiTheme="minorEastAsia" w:eastAsiaTheme="minorEastAsia"/>
          <w:bCs/>
          <w:color w:val="auto"/>
          <w:szCs w:val="21"/>
          <w:highlight w:val="none"/>
        </w:rPr>
        <w:t>基准价／</w:t>
      </w:r>
      <w:r>
        <w:rPr>
          <w:rFonts w:hint="eastAsia" w:asciiTheme="minorEastAsia" w:hAnsiTheme="minorEastAsia" w:eastAsiaTheme="minorEastAsia"/>
          <w:bCs/>
          <w:color w:val="auto"/>
          <w:szCs w:val="21"/>
          <w:highlight w:val="none"/>
        </w:rPr>
        <w:t>最后磋商报价</w:t>
      </w:r>
      <w:r>
        <w:rPr>
          <w:rFonts w:asciiTheme="minorEastAsia" w:hAnsiTheme="minorEastAsia" w:eastAsiaTheme="minorEastAsia"/>
          <w:bCs/>
          <w:color w:val="auto"/>
          <w:szCs w:val="21"/>
          <w:highlight w:val="none"/>
        </w:rPr>
        <w:t>)×</w:t>
      </w:r>
      <w:r>
        <w:rPr>
          <w:rFonts w:hint="eastAsia" w:asciiTheme="minorEastAsia" w:hAnsiTheme="minorEastAsia" w:eastAsiaTheme="minorEastAsia"/>
          <w:bCs/>
          <w:color w:val="auto"/>
          <w:szCs w:val="21"/>
          <w:highlight w:val="none"/>
        </w:rPr>
        <w:t>价格权值×</w:t>
      </w:r>
      <w:r>
        <w:rPr>
          <w:rFonts w:hint="eastAsia" w:asciiTheme="minorEastAsia" w:hAnsiTheme="minorEastAsia" w:eastAsiaTheme="minorEastAsia"/>
          <w:color w:val="auto"/>
          <w:highlight w:val="none"/>
        </w:rPr>
        <w:t>100</w:t>
      </w:r>
    </w:p>
    <w:p w14:paraId="47A93929">
      <w:pPr>
        <w:pStyle w:val="32"/>
        <w:keepNext w:val="0"/>
        <w:keepLines w:val="0"/>
        <w:pageBreakBefore w:val="0"/>
        <w:widowControl w:val="0"/>
        <w:kinsoku/>
        <w:wordWrap/>
        <w:overflowPunct/>
        <w:topLinePunct w:val="0"/>
        <w:autoSpaceDE/>
        <w:autoSpaceDN/>
        <w:bidi w:val="0"/>
        <w:adjustRightInd/>
        <w:snapToGrid w:val="0"/>
        <w:spacing w:line="360" w:lineRule="auto"/>
        <w:ind w:left="-2" w:leftChars="-1" w:firstLine="0" w:firstLineChars="0"/>
        <w:jc w:val="left"/>
        <w:textAlignment w:val="auto"/>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注：因落实采购政策进行价格调整的，以调整后的价格计算磋商</w:t>
      </w:r>
      <w:r>
        <w:rPr>
          <w:rFonts w:asciiTheme="minorEastAsia" w:hAnsiTheme="minorEastAsia" w:eastAsiaTheme="minorEastAsia"/>
          <w:bCs/>
          <w:color w:val="auto"/>
          <w:szCs w:val="21"/>
          <w:highlight w:val="none"/>
        </w:rPr>
        <w:t>基准价</w:t>
      </w:r>
      <w:r>
        <w:rPr>
          <w:rFonts w:hint="eastAsia" w:asciiTheme="minorEastAsia" w:hAnsiTheme="minorEastAsia" w:eastAsiaTheme="minorEastAsia"/>
          <w:bCs/>
          <w:color w:val="auto"/>
          <w:szCs w:val="21"/>
          <w:highlight w:val="none"/>
        </w:rPr>
        <w:t>和最后磋商报价。</w:t>
      </w:r>
    </w:p>
    <w:p w14:paraId="4202B7EE">
      <w:pPr>
        <w:keepNext w:val="0"/>
        <w:keepLines w:val="0"/>
        <w:pageBreakBefore w:val="0"/>
        <w:widowControl w:val="0"/>
        <w:numPr>
          <w:ilvl w:val="1"/>
          <w:numId w:val="67"/>
        </w:numPr>
        <w:kinsoku/>
        <w:wordWrap/>
        <w:overflowPunct/>
        <w:topLinePunct w:val="0"/>
        <w:autoSpaceDE/>
        <w:autoSpaceDN/>
        <w:bidi w:val="0"/>
        <w:adjustRightInd/>
        <w:snapToGrid w:val="0"/>
        <w:spacing w:line="360" w:lineRule="auto"/>
        <w:textAlignment w:val="auto"/>
        <w:rPr>
          <w:rFonts w:asciiTheme="minorEastAsia" w:hAnsiTheme="minorEastAsia" w:eastAsiaTheme="minorEastAsia"/>
          <w:b/>
          <w:bCs/>
          <w:color w:val="auto"/>
          <w:szCs w:val="21"/>
          <w:highlight w:val="none"/>
        </w:rPr>
      </w:pPr>
      <w:r>
        <w:rPr>
          <w:rFonts w:hint="eastAsia" w:asciiTheme="minorEastAsia" w:hAnsiTheme="minorEastAsia" w:eastAsiaTheme="minorEastAsia"/>
          <w:b/>
          <w:bCs/>
          <w:color w:val="auto"/>
          <w:szCs w:val="21"/>
          <w:highlight w:val="none"/>
        </w:rPr>
        <w:t>商务技术及价格评分权值分配</w:t>
      </w:r>
    </w:p>
    <w:tbl>
      <w:tblPr>
        <w:tblStyle w:val="22"/>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12"/>
        <w:gridCol w:w="2011"/>
        <w:gridCol w:w="2010"/>
        <w:gridCol w:w="2010"/>
        <w:gridCol w:w="1450"/>
      </w:tblGrid>
      <w:tr w14:paraId="70A1A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7D56FDB9">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评分项目</w:t>
            </w:r>
          </w:p>
        </w:tc>
        <w:tc>
          <w:tcPr>
            <w:tcW w:w="1082" w:type="pct"/>
            <w:vAlign w:val="center"/>
          </w:tcPr>
          <w:p w14:paraId="0D50A15D">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价格部分</w:t>
            </w:r>
          </w:p>
        </w:tc>
        <w:tc>
          <w:tcPr>
            <w:tcW w:w="1081" w:type="pct"/>
            <w:vAlign w:val="center"/>
          </w:tcPr>
          <w:p w14:paraId="694B29B3">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商务部分</w:t>
            </w:r>
          </w:p>
        </w:tc>
        <w:tc>
          <w:tcPr>
            <w:tcW w:w="1081" w:type="pct"/>
            <w:vAlign w:val="center"/>
          </w:tcPr>
          <w:p w14:paraId="038BABB8">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技术部分</w:t>
            </w:r>
          </w:p>
        </w:tc>
        <w:tc>
          <w:tcPr>
            <w:tcW w:w="780" w:type="pct"/>
            <w:vAlign w:val="center"/>
          </w:tcPr>
          <w:p w14:paraId="204776B5">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合计</w:t>
            </w:r>
          </w:p>
        </w:tc>
      </w:tr>
      <w:tr w14:paraId="5FE55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05AE9AE5">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权值</w:t>
            </w:r>
          </w:p>
        </w:tc>
        <w:tc>
          <w:tcPr>
            <w:tcW w:w="1082" w:type="pct"/>
            <w:vAlign w:val="center"/>
          </w:tcPr>
          <w:p w14:paraId="1678F552">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10</w:t>
            </w:r>
            <w:r>
              <w:rPr>
                <w:rFonts w:hint="eastAsia" w:asciiTheme="minorEastAsia" w:hAnsiTheme="minorEastAsia" w:eastAsiaTheme="minorEastAsia"/>
                <w:color w:val="auto"/>
                <w:highlight w:val="none"/>
              </w:rPr>
              <w:t>%</w:t>
            </w:r>
          </w:p>
        </w:tc>
        <w:tc>
          <w:tcPr>
            <w:tcW w:w="1081" w:type="pct"/>
            <w:vAlign w:val="center"/>
          </w:tcPr>
          <w:p w14:paraId="3968121F">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30</w:t>
            </w:r>
            <w:r>
              <w:rPr>
                <w:rFonts w:hint="eastAsia" w:asciiTheme="minorEastAsia" w:hAnsiTheme="minorEastAsia" w:eastAsiaTheme="minorEastAsia"/>
                <w:color w:val="auto"/>
                <w:highlight w:val="none"/>
              </w:rPr>
              <w:t>%</w:t>
            </w:r>
          </w:p>
        </w:tc>
        <w:tc>
          <w:tcPr>
            <w:tcW w:w="1081" w:type="pct"/>
            <w:vAlign w:val="center"/>
          </w:tcPr>
          <w:p w14:paraId="688C061A">
            <w:pPr>
              <w:jc w:val="center"/>
              <w:rPr>
                <w:rFonts w:asciiTheme="minorEastAsia" w:hAnsiTheme="minorEastAsia" w:eastAsiaTheme="minorEastAsia"/>
                <w:i/>
                <w:color w:val="auto"/>
                <w:highlight w:val="none"/>
              </w:rPr>
            </w:pPr>
            <w:r>
              <w:rPr>
                <w:rFonts w:hint="eastAsia" w:asciiTheme="minorEastAsia" w:hAnsiTheme="minorEastAsia" w:eastAsiaTheme="minorEastAsia"/>
                <w:color w:val="auto"/>
                <w:highlight w:val="none"/>
                <w:lang w:val="en-US" w:eastAsia="zh-CN"/>
              </w:rPr>
              <w:t>60</w:t>
            </w:r>
            <w:r>
              <w:rPr>
                <w:rFonts w:hint="eastAsia" w:asciiTheme="minorEastAsia" w:hAnsiTheme="minorEastAsia" w:eastAsiaTheme="minorEastAsia"/>
                <w:color w:val="auto"/>
                <w:highlight w:val="none"/>
              </w:rPr>
              <w:t>%</w:t>
            </w:r>
          </w:p>
        </w:tc>
        <w:tc>
          <w:tcPr>
            <w:tcW w:w="780" w:type="pct"/>
          </w:tcPr>
          <w:p w14:paraId="5ED3014A">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100</w:t>
            </w:r>
            <w:r>
              <w:rPr>
                <w:rFonts w:hint="eastAsia" w:asciiTheme="minorEastAsia" w:hAnsiTheme="minorEastAsia" w:eastAsiaTheme="minorEastAsia"/>
                <w:color w:val="auto"/>
                <w:highlight w:val="none"/>
              </w:rPr>
              <w:t>%</w:t>
            </w:r>
          </w:p>
        </w:tc>
      </w:tr>
    </w:tbl>
    <w:p w14:paraId="7C8730FE">
      <w:pPr>
        <w:pStyle w:val="32"/>
        <w:numPr>
          <w:ilvl w:val="0"/>
          <w:numId w:val="68"/>
        </w:numPr>
        <w:spacing w:before="156" w:beforeLines="50" w:line="360" w:lineRule="auto"/>
        <w:ind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综合得分＝商务得分＋技术得分＋价格得分</w:t>
      </w:r>
    </w:p>
    <w:p w14:paraId="530094F9">
      <w:pPr>
        <w:pStyle w:val="70"/>
        <w:numPr>
          <w:ilvl w:val="0"/>
          <w:numId w:val="55"/>
        </w:numPr>
        <w:snapToGrid w:val="0"/>
        <w:spacing w:line="360" w:lineRule="auto"/>
        <w:ind w:left="442" w:hanging="442" w:firstLineChars="0"/>
        <w:contextualSpacing/>
        <w:rPr>
          <w:color w:val="auto"/>
          <w:highlight w:val="none"/>
        </w:rPr>
      </w:pPr>
      <w:r>
        <w:rPr>
          <w:b/>
          <w:bCs/>
          <w:color w:val="auto"/>
          <w:highlight w:val="none"/>
        </w:rPr>
        <w:t>评审程序</w:t>
      </w:r>
    </w:p>
    <w:p w14:paraId="585FF1BE">
      <w:pPr>
        <w:pStyle w:val="74"/>
        <w:numPr>
          <w:ilvl w:val="0"/>
          <w:numId w:val="69"/>
        </w:numPr>
        <w:snapToGrid w:val="0"/>
        <w:spacing w:line="360" w:lineRule="auto"/>
        <w:ind w:left="284" w:hanging="284"/>
        <w:contextualSpacing/>
        <w:outlineLvl w:val="3"/>
        <w:rPr>
          <w:rFonts w:hint="default" w:ascii="宋体" w:hAnsi="宋体" w:eastAsia="宋体"/>
          <w:color w:val="auto"/>
          <w:sz w:val="21"/>
          <w:szCs w:val="21"/>
          <w:highlight w:val="none"/>
        </w:rPr>
      </w:pPr>
      <w:r>
        <w:rPr>
          <w:rFonts w:ascii="宋体" w:hAnsi="宋体" w:eastAsia="宋体"/>
          <w:b/>
          <w:color w:val="auto"/>
          <w:sz w:val="21"/>
          <w:szCs w:val="21"/>
          <w:highlight w:val="none"/>
        </w:rPr>
        <w:t>资格性审查和符合性审查</w:t>
      </w:r>
    </w:p>
    <w:p w14:paraId="08F71396">
      <w:pPr>
        <w:pStyle w:val="74"/>
        <w:numPr>
          <w:ilvl w:val="0"/>
          <w:numId w:val="70"/>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236FC985">
      <w:pPr>
        <w:pStyle w:val="74"/>
        <w:numPr>
          <w:ilvl w:val="0"/>
          <w:numId w:val="70"/>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磋商小组对各磋商供应商进行资格性和符合性审查过程中，对初步被认定为初审不合格或无效响应者应实行及时告知，由磋商小组组长或采购人代表将集体意见及时告知报价当事人。</w:t>
      </w:r>
    </w:p>
    <w:p w14:paraId="1292AC7D">
      <w:pPr>
        <w:pStyle w:val="74"/>
        <w:snapToGrid w:val="0"/>
        <w:spacing w:line="360" w:lineRule="auto"/>
        <w:contextualSpacing/>
        <w:rPr>
          <w:rFonts w:hint="default"/>
          <w:b/>
          <w:bCs/>
          <w:color w:val="auto"/>
          <w:highlight w:val="none"/>
        </w:rPr>
      </w:pPr>
      <w:r>
        <w:rPr>
          <w:rFonts w:ascii="宋体" w:hAnsi="宋体" w:eastAsia="宋体"/>
          <w:b/>
          <w:bCs/>
          <w:color w:val="auto"/>
          <w:sz w:val="21"/>
          <w:szCs w:val="21"/>
          <w:highlight w:val="none"/>
        </w:rPr>
        <w:t>表一资格性审查表：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565"/>
        <w:gridCol w:w="5867"/>
      </w:tblGrid>
      <w:tr w14:paraId="4697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0" w:type="pct"/>
            <w:vAlign w:val="center"/>
          </w:tcPr>
          <w:p w14:paraId="29E79D82">
            <w:pPr>
              <w:widowControl/>
              <w:snapToGrid w:val="0"/>
              <w:spacing w:line="360" w:lineRule="auto"/>
              <w:contextualSpacing/>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4540" w:type="pct"/>
            <w:gridSpan w:val="2"/>
            <w:vAlign w:val="center"/>
          </w:tcPr>
          <w:p w14:paraId="35923F6C">
            <w:pPr>
              <w:widowControl/>
              <w:snapToGrid w:val="0"/>
              <w:spacing w:line="360" w:lineRule="auto"/>
              <w:contextualSpacing/>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资格审查内容</w:t>
            </w:r>
          </w:p>
        </w:tc>
      </w:tr>
      <w:tr w14:paraId="0C53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60" w:type="pct"/>
            <w:vAlign w:val="center"/>
          </w:tcPr>
          <w:p w14:paraId="4A62C7F1">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w:t>
            </w:r>
          </w:p>
        </w:tc>
        <w:tc>
          <w:tcPr>
            <w:tcW w:w="4540" w:type="pct"/>
            <w:gridSpan w:val="2"/>
            <w:vAlign w:val="center"/>
          </w:tcPr>
          <w:p w14:paraId="4A9D3700">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rPr>
              <w:t>满足《中华人民共和国政府采购法》第二十二条规定：</w:t>
            </w:r>
          </w:p>
        </w:tc>
      </w:tr>
      <w:tr w14:paraId="74F4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81EA203">
            <w:pPr>
              <w:widowControl/>
              <w:snapToGrid w:val="0"/>
              <w:spacing w:line="360" w:lineRule="auto"/>
              <w:contextualSpacing/>
              <w:jc w:val="center"/>
              <w:rPr>
                <w:rFonts w:ascii="宋体" w:hAnsi="宋体"/>
                <w:color w:val="auto"/>
                <w:kern w:val="0"/>
                <w:szCs w:val="21"/>
                <w:highlight w:val="none"/>
              </w:rPr>
            </w:pPr>
            <w:r>
              <w:rPr>
                <w:rFonts w:ascii="宋体" w:hAnsi="宋体"/>
                <w:color w:val="auto"/>
                <w:kern w:val="0"/>
                <w:szCs w:val="21"/>
                <w:highlight w:val="none"/>
                <w:lang w:eastAsia="zh-Hans"/>
              </w:rPr>
              <w:t>1</w:t>
            </w:r>
            <w:r>
              <w:rPr>
                <w:rFonts w:hint="eastAsia" w:ascii="宋体" w:hAnsi="宋体"/>
                <w:color w:val="auto"/>
                <w:kern w:val="0"/>
                <w:szCs w:val="21"/>
                <w:highlight w:val="none"/>
              </w:rPr>
              <w:t>.1</w:t>
            </w:r>
          </w:p>
        </w:tc>
        <w:tc>
          <w:tcPr>
            <w:tcW w:w="1381" w:type="pct"/>
            <w:vAlign w:val="center"/>
          </w:tcPr>
          <w:p w14:paraId="1A3A08BC">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具有独立承担民事责任的能力</w:t>
            </w:r>
          </w:p>
        </w:tc>
        <w:tc>
          <w:tcPr>
            <w:tcW w:w="3159" w:type="pct"/>
            <w:vAlign w:val="center"/>
          </w:tcPr>
          <w:p w14:paraId="3F6DDE40">
            <w:pPr>
              <w:widowControl/>
              <w:snapToGrid w:val="0"/>
              <w:spacing w:line="360" w:lineRule="auto"/>
              <w:contextualSpacing/>
              <w:rPr>
                <w:rFonts w:ascii="宋体" w:hAnsi="宋体"/>
                <w:color w:val="auto"/>
                <w:kern w:val="0"/>
                <w:szCs w:val="21"/>
                <w:highlight w:val="none"/>
                <w:lang w:eastAsia="zh-Hans"/>
              </w:rPr>
            </w:pPr>
            <w:r>
              <w:rPr>
                <w:rFonts w:hint="eastAsia" w:ascii="宋体" w:hAnsi="宋体" w:cs="宋体"/>
                <w:color w:val="auto"/>
                <w:kern w:val="0"/>
                <w:szCs w:val="21"/>
                <w:highlight w:val="none"/>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964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4C1AC88">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1.2</w:t>
            </w:r>
          </w:p>
        </w:tc>
        <w:tc>
          <w:tcPr>
            <w:tcW w:w="1381" w:type="pct"/>
            <w:vAlign w:val="center"/>
          </w:tcPr>
          <w:p w14:paraId="2504CF60">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具有良好的商业信誉和健全的财务会计制度</w:t>
            </w:r>
          </w:p>
        </w:tc>
        <w:tc>
          <w:tcPr>
            <w:tcW w:w="3159" w:type="pct"/>
            <w:vAlign w:val="center"/>
          </w:tcPr>
          <w:p w14:paraId="449453EA">
            <w:pPr>
              <w:widowControl/>
              <w:snapToGrid w:val="0"/>
              <w:spacing w:line="360" w:lineRule="auto"/>
              <w:contextualSpacing/>
              <w:rPr>
                <w:rFonts w:ascii="宋体" w:hAnsi="宋体"/>
                <w:color w:val="auto"/>
                <w:kern w:val="0"/>
                <w:szCs w:val="21"/>
                <w:highlight w:val="none"/>
                <w:lang w:eastAsia="zh-Hans"/>
              </w:rPr>
            </w:pPr>
            <w:r>
              <w:rPr>
                <w:rFonts w:hint="eastAsia" w:ascii="宋体" w:hAnsi="宋体"/>
                <w:bCs/>
                <w:color w:val="auto"/>
                <w:kern w:val="0"/>
                <w:szCs w:val="21"/>
                <w:highlight w:val="none"/>
              </w:rPr>
              <w:t>提供</w:t>
            </w:r>
            <w:r>
              <w:rPr>
                <w:rFonts w:ascii="宋体" w:hAnsi="宋体"/>
                <w:bCs/>
                <w:color w:val="auto"/>
                <w:kern w:val="0"/>
                <w:szCs w:val="21"/>
                <w:highlight w:val="none"/>
              </w:rPr>
              <w:t>202</w:t>
            </w:r>
            <w:r>
              <w:rPr>
                <w:rFonts w:hint="eastAsia" w:ascii="宋体" w:hAnsi="宋体"/>
                <w:bCs/>
                <w:color w:val="auto"/>
                <w:kern w:val="0"/>
                <w:szCs w:val="21"/>
                <w:highlight w:val="none"/>
                <w:lang w:val="en-US" w:eastAsia="zh-CN"/>
              </w:rPr>
              <w:t>3</w:t>
            </w:r>
            <w:r>
              <w:rPr>
                <w:rFonts w:ascii="宋体" w:hAnsi="宋体"/>
                <w:bCs/>
                <w:color w:val="auto"/>
                <w:kern w:val="0"/>
                <w:szCs w:val="21"/>
                <w:highlight w:val="none"/>
              </w:rPr>
              <w:t>年或20</w:t>
            </w:r>
            <w:r>
              <w:rPr>
                <w:rFonts w:hint="eastAsia" w:ascii="宋体" w:hAnsi="宋体"/>
                <w:bCs/>
                <w:color w:val="auto"/>
                <w:kern w:val="0"/>
                <w:szCs w:val="21"/>
                <w:highlight w:val="none"/>
                <w:lang w:val="en-US" w:eastAsia="zh-CN"/>
              </w:rPr>
              <w:t>24</w:t>
            </w:r>
            <w:r>
              <w:rPr>
                <w:rFonts w:ascii="宋体" w:hAnsi="宋体"/>
                <w:bCs/>
                <w:color w:val="auto"/>
                <w:kern w:val="0"/>
                <w:szCs w:val="21"/>
                <w:highlight w:val="none"/>
              </w:rPr>
              <w:t>年财务状况报告或者基本户开户银行出具的资信证明或提供资格条件承诺函（详见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p>
        </w:tc>
      </w:tr>
      <w:tr w14:paraId="5600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157E91F">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1.3</w:t>
            </w:r>
          </w:p>
        </w:tc>
        <w:tc>
          <w:tcPr>
            <w:tcW w:w="1381" w:type="pct"/>
            <w:vAlign w:val="center"/>
          </w:tcPr>
          <w:p w14:paraId="049726F4">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履行合同所必需的设备和专业技术能力</w:t>
            </w:r>
          </w:p>
        </w:tc>
        <w:tc>
          <w:tcPr>
            <w:tcW w:w="3159" w:type="pct"/>
            <w:vAlign w:val="center"/>
          </w:tcPr>
          <w:p w14:paraId="35BE0634">
            <w:pPr>
              <w:widowControl/>
              <w:snapToGrid w:val="0"/>
              <w:spacing w:line="360" w:lineRule="auto"/>
              <w:contextualSpacing/>
              <w:rPr>
                <w:rFonts w:ascii="宋体" w:hAnsi="宋体"/>
                <w:color w:val="auto"/>
                <w:kern w:val="0"/>
                <w:szCs w:val="21"/>
                <w:highlight w:val="none"/>
                <w:lang w:eastAsia="zh-Hans"/>
              </w:rPr>
            </w:pPr>
            <w:r>
              <w:rPr>
                <w:rFonts w:hint="eastAsia" w:ascii="宋体" w:hAnsi="宋体"/>
                <w:bCs/>
                <w:color w:val="auto"/>
                <w:kern w:val="0"/>
                <w:szCs w:val="21"/>
                <w:highlight w:val="none"/>
              </w:rPr>
              <w:t>在响应文件中填报设备及专业技术能力情况或提供资格条件承诺函（详见响应文件格式）。</w:t>
            </w:r>
          </w:p>
        </w:tc>
      </w:tr>
      <w:tr w14:paraId="2A84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1727CF">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1.4</w:t>
            </w:r>
          </w:p>
        </w:tc>
        <w:tc>
          <w:tcPr>
            <w:tcW w:w="1381" w:type="pct"/>
            <w:vAlign w:val="center"/>
          </w:tcPr>
          <w:p w14:paraId="2B5F35F3">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有依法缴纳税收和社会保障资金的良好记录</w:t>
            </w:r>
          </w:p>
        </w:tc>
        <w:tc>
          <w:tcPr>
            <w:tcW w:w="3159" w:type="pct"/>
            <w:vAlign w:val="center"/>
          </w:tcPr>
          <w:p w14:paraId="7EA56797">
            <w:pPr>
              <w:widowControl/>
              <w:snapToGrid w:val="0"/>
              <w:spacing w:line="360" w:lineRule="auto"/>
              <w:contextualSpacing/>
              <w:rPr>
                <w:rFonts w:ascii="宋体" w:hAnsi="宋体"/>
                <w:color w:val="auto"/>
                <w:kern w:val="0"/>
                <w:szCs w:val="21"/>
                <w:highlight w:val="none"/>
                <w:lang w:eastAsia="zh-Hans"/>
              </w:rPr>
            </w:pPr>
            <w:r>
              <w:rPr>
                <w:rFonts w:hint="eastAsia" w:ascii="宋体" w:hAnsi="宋体"/>
                <w:bCs/>
                <w:color w:val="auto"/>
                <w:kern w:val="0"/>
                <w:szCs w:val="21"/>
                <w:highlight w:val="none"/>
              </w:rPr>
              <w:t>提供响应截止日前</w:t>
            </w:r>
            <w:r>
              <w:rPr>
                <w:rFonts w:ascii="宋体" w:hAnsi="宋体"/>
                <w:bCs/>
                <w:color w:val="auto"/>
                <w:kern w:val="0"/>
                <w:szCs w:val="21"/>
                <w:highlight w:val="none"/>
              </w:rPr>
              <w:t>6个月内任意1个月依法缴纳税收和社会保障资金的相关材料；如依法免税或不需要缴纳社会保障资金的，提供相应证明材料。或提供资格条件承诺函（详见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p>
        </w:tc>
      </w:tr>
      <w:tr w14:paraId="28CB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143E82">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1.5</w:t>
            </w:r>
          </w:p>
        </w:tc>
        <w:tc>
          <w:tcPr>
            <w:tcW w:w="1381" w:type="pct"/>
            <w:vAlign w:val="center"/>
          </w:tcPr>
          <w:p w14:paraId="2BAED54C">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参加采购活动前3年内，在经营活动中没有重大违法记录</w:t>
            </w:r>
          </w:p>
        </w:tc>
        <w:tc>
          <w:tcPr>
            <w:tcW w:w="3159" w:type="pct"/>
            <w:vAlign w:val="center"/>
          </w:tcPr>
          <w:p w14:paraId="555B40A4">
            <w:pPr>
              <w:widowControl/>
              <w:snapToGrid w:val="0"/>
              <w:spacing w:line="360" w:lineRule="auto"/>
              <w:contextualSpacing/>
              <w:rPr>
                <w:rFonts w:ascii="宋体" w:hAnsi="宋体"/>
                <w:color w:val="auto"/>
                <w:kern w:val="0"/>
                <w:szCs w:val="21"/>
                <w:highlight w:val="none"/>
                <w:lang w:eastAsia="zh-Hans"/>
              </w:rPr>
            </w:pPr>
            <w:r>
              <w:rPr>
                <w:rFonts w:hint="eastAsia" w:ascii="宋体" w:hAnsi="宋体" w:cs="宋体"/>
                <w:bCs/>
                <w:color w:val="auto"/>
                <w:kern w:val="0"/>
                <w:szCs w:val="21"/>
                <w:highlight w:val="none"/>
              </w:rPr>
              <w:t>提供资格条件承诺函（</w:t>
            </w:r>
            <w:r>
              <w:rPr>
                <w:rFonts w:ascii="宋体" w:hAnsi="宋体" w:cs="宋体"/>
                <w:bCs/>
                <w:color w:val="auto"/>
                <w:kern w:val="0"/>
                <w:szCs w:val="21"/>
                <w:highlight w:val="none"/>
              </w:rPr>
              <w:t>详见</w:t>
            </w:r>
            <w:r>
              <w:rPr>
                <w:rFonts w:hint="eastAsia" w:ascii="宋体" w:hAnsi="宋体" w:cs="宋体"/>
                <w:bCs/>
                <w:color w:val="auto"/>
                <w:kern w:val="0"/>
                <w:szCs w:val="21"/>
                <w:highlight w:val="none"/>
              </w:rPr>
              <w:t>响应</w:t>
            </w:r>
            <w:r>
              <w:rPr>
                <w:rFonts w:ascii="宋体" w:hAnsi="宋体" w:cs="宋体"/>
                <w:bCs/>
                <w:color w:val="auto"/>
                <w:kern w:val="0"/>
                <w:szCs w:val="21"/>
                <w:highlight w:val="none"/>
              </w:rPr>
              <w:t>文件格式</w:t>
            </w:r>
            <w:r>
              <w:rPr>
                <w:rFonts w:hint="eastAsia" w:ascii="宋体" w:hAnsi="宋体" w:cs="宋体"/>
                <w:bCs/>
                <w:color w:val="auto"/>
                <w:kern w:val="0"/>
                <w:szCs w:val="21"/>
                <w:highlight w:val="none"/>
              </w:rPr>
              <w:t>）</w:t>
            </w:r>
            <w:r>
              <w:rPr>
                <w:rFonts w:ascii="宋体" w:hAnsi="宋体" w:cs="宋体"/>
                <w:bCs/>
                <w:color w:val="auto"/>
                <w:kern w:val="0"/>
                <w:szCs w:val="21"/>
                <w:highlight w:val="none"/>
              </w:rPr>
              <w:t>。</w:t>
            </w:r>
            <w:r>
              <w:rPr>
                <w:rFonts w:hint="eastAsia" w:ascii="宋体" w:hAnsi="宋体" w:cs="宋体"/>
                <w:bCs/>
                <w:color w:val="auto"/>
                <w:kern w:val="0"/>
                <w:szCs w:val="21"/>
                <w:highlight w:val="none"/>
              </w:rPr>
              <w:t>重大违法记录，是指供应商因违法经营受到刑事处罚或者责令停产停业、吊销许可证或者执照、较大数额罚款等行政处罚。（根据财库〔</w:t>
            </w:r>
            <w:r>
              <w:rPr>
                <w:rFonts w:ascii="宋体" w:hAnsi="宋体" w:cs="宋体"/>
                <w:bCs/>
                <w:color w:val="auto"/>
                <w:kern w:val="0"/>
                <w:szCs w:val="21"/>
                <w:highlight w:val="none"/>
              </w:rPr>
              <w:t>2022〕3号文，“较大数额罚款”认定为200万元以上的罚款，法律、行政法规以及国务院有关部门明确规定相关领域“较大数额罚款”标准高于200万元的，从其规定。）</w:t>
            </w:r>
          </w:p>
        </w:tc>
      </w:tr>
      <w:tr w14:paraId="12AB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78372A">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2</w:t>
            </w:r>
          </w:p>
        </w:tc>
        <w:tc>
          <w:tcPr>
            <w:tcW w:w="1381" w:type="pct"/>
            <w:vAlign w:val="center"/>
          </w:tcPr>
          <w:p w14:paraId="26E91FF3">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落实政府采购政策需满足的资格要求</w:t>
            </w:r>
          </w:p>
        </w:tc>
        <w:tc>
          <w:tcPr>
            <w:tcW w:w="3159" w:type="pct"/>
            <w:vAlign w:val="center"/>
          </w:tcPr>
          <w:p w14:paraId="587B7103">
            <w:pPr>
              <w:widowControl/>
              <w:snapToGrid w:val="0"/>
              <w:spacing w:line="360" w:lineRule="auto"/>
              <w:contextualSpacing/>
              <w:rPr>
                <w:rFonts w:ascii="宋体" w:hAnsi="宋体"/>
                <w:color w:val="auto"/>
                <w:kern w:val="0"/>
                <w:szCs w:val="21"/>
                <w:highlight w:val="none"/>
                <w:lang w:eastAsia="zh-Hans"/>
              </w:rPr>
            </w:pPr>
            <w:r>
              <w:rPr>
                <w:rFonts w:hint="eastAsia" w:ascii="宋体" w:hAnsi="宋体"/>
                <w:b w:val="0"/>
                <w:bCs/>
                <w:color w:val="auto"/>
                <w:kern w:val="0"/>
                <w:szCs w:val="21"/>
                <w:highlight w:val="none"/>
                <w:lang w:eastAsia="zh-Hans"/>
              </w:rPr>
              <w:t>本项目专门面向中小企业采购，供应商应为中小微企业、监狱企业、残疾人福利性单位。（提供《中小企业声明函》或属于监狱企业的证明材料或《残疾人福利性单位声明函》）详见响应文件格式</w:t>
            </w:r>
            <w:r>
              <w:rPr>
                <w:rFonts w:hint="eastAsia" w:ascii="宋体" w:hAnsi="宋体"/>
                <w:b w:val="0"/>
                <w:bCs/>
                <w:color w:val="auto"/>
                <w:kern w:val="0"/>
                <w:szCs w:val="21"/>
                <w:highlight w:val="none"/>
                <w:lang w:eastAsia="zh-CN"/>
              </w:rPr>
              <w:t>。</w:t>
            </w:r>
          </w:p>
        </w:tc>
      </w:tr>
      <w:tr w14:paraId="057E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60" w:type="pct"/>
            <w:vAlign w:val="center"/>
          </w:tcPr>
          <w:p w14:paraId="53D0C3AF">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w:t>
            </w:r>
          </w:p>
        </w:tc>
        <w:tc>
          <w:tcPr>
            <w:tcW w:w="4540" w:type="pct"/>
            <w:gridSpan w:val="2"/>
            <w:vAlign w:val="center"/>
          </w:tcPr>
          <w:p w14:paraId="2FF28256">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lang w:eastAsia="zh-Hans"/>
              </w:rPr>
              <w:t>本项目的特定资格要求：</w:t>
            </w:r>
          </w:p>
        </w:tc>
      </w:tr>
      <w:tr w14:paraId="3B2D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3582C9C">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3.1</w:t>
            </w:r>
          </w:p>
        </w:tc>
        <w:tc>
          <w:tcPr>
            <w:tcW w:w="1381" w:type="pct"/>
            <w:vAlign w:val="center"/>
          </w:tcPr>
          <w:p w14:paraId="18B4408E">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lang w:eastAsia="zh-Hans"/>
              </w:rPr>
              <w:t>供应商信用记录</w:t>
            </w:r>
          </w:p>
        </w:tc>
        <w:tc>
          <w:tcPr>
            <w:tcW w:w="3159" w:type="pct"/>
            <w:vAlign w:val="center"/>
          </w:tcPr>
          <w:p w14:paraId="561D4002">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6D08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67A0938">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3.2</w:t>
            </w:r>
          </w:p>
        </w:tc>
        <w:tc>
          <w:tcPr>
            <w:tcW w:w="1381" w:type="pct"/>
            <w:vAlign w:val="center"/>
          </w:tcPr>
          <w:p w14:paraId="22C0904C">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供应商必须符合法律、行政法规规定的其他条件</w:t>
            </w:r>
          </w:p>
        </w:tc>
        <w:tc>
          <w:tcPr>
            <w:tcW w:w="3159" w:type="pct"/>
            <w:vAlign w:val="center"/>
          </w:tcPr>
          <w:p w14:paraId="506C7D1D">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宋体" w:hAnsi="宋体"/>
                <w:bCs/>
                <w:color w:val="auto"/>
                <w:kern w:val="0"/>
                <w:szCs w:val="21"/>
                <w:highlight w:val="none"/>
              </w:rPr>
              <w:t>提供资格条件承诺函（详见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p>
        </w:tc>
      </w:tr>
      <w:tr w14:paraId="2819A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F545700">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3.3</w:t>
            </w:r>
          </w:p>
        </w:tc>
        <w:tc>
          <w:tcPr>
            <w:tcW w:w="1381" w:type="pct"/>
            <w:vAlign w:val="center"/>
          </w:tcPr>
          <w:p w14:paraId="619A8AB7">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lang w:eastAsia="zh-Hans"/>
              </w:rPr>
              <w:t>其他特定资格要求：</w:t>
            </w:r>
          </w:p>
        </w:tc>
        <w:tc>
          <w:tcPr>
            <w:tcW w:w="3159" w:type="pct"/>
            <w:vAlign w:val="center"/>
          </w:tcPr>
          <w:p w14:paraId="00C88818">
            <w:pPr>
              <w:widowControl/>
              <w:snapToGrid w:val="0"/>
              <w:spacing w:line="360" w:lineRule="auto"/>
              <w:contextualSpacing/>
              <w:rPr>
                <w:rFonts w:ascii="宋体" w:hAnsi="宋体"/>
                <w:color w:val="auto"/>
                <w:kern w:val="0"/>
                <w:szCs w:val="21"/>
                <w:highlight w:val="none"/>
                <w:lang w:eastAsia="zh-Hans"/>
              </w:rPr>
            </w:pPr>
            <w:r>
              <w:rPr>
                <w:rFonts w:hint="eastAsia" w:ascii="宋体" w:hAnsi="宋体"/>
                <w:b w:val="0"/>
                <w:bCs w:val="0"/>
                <w:color w:val="auto"/>
                <w:kern w:val="0"/>
                <w:szCs w:val="21"/>
                <w:highlight w:val="none"/>
                <w:lang w:val="en-US" w:eastAsia="zh-CN"/>
              </w:rPr>
              <w:t>响应供应商</w:t>
            </w:r>
            <w:r>
              <w:rPr>
                <w:rFonts w:hint="eastAsia" w:ascii="宋体" w:hAnsi="宋体"/>
                <w:b w:val="0"/>
                <w:bCs w:val="0"/>
                <w:color w:val="auto"/>
                <w:kern w:val="0"/>
                <w:szCs w:val="21"/>
                <w:highlight w:val="none"/>
              </w:rPr>
              <w:t>具有公安机关核发的《保安服务许可证》，须提供复印件加盖</w:t>
            </w:r>
            <w:r>
              <w:rPr>
                <w:rFonts w:hint="eastAsia" w:ascii="宋体" w:hAnsi="宋体"/>
                <w:b w:val="0"/>
                <w:bCs w:val="0"/>
                <w:color w:val="auto"/>
                <w:kern w:val="0"/>
                <w:szCs w:val="21"/>
                <w:highlight w:val="none"/>
                <w:lang w:val="en-US" w:eastAsia="zh-CN"/>
              </w:rPr>
              <w:t>供应商</w:t>
            </w:r>
            <w:r>
              <w:rPr>
                <w:rFonts w:hint="eastAsia" w:ascii="宋体" w:hAnsi="宋体"/>
                <w:b w:val="0"/>
                <w:bCs w:val="0"/>
                <w:color w:val="auto"/>
                <w:kern w:val="0"/>
                <w:szCs w:val="21"/>
                <w:highlight w:val="none"/>
              </w:rPr>
              <w:t>公章。</w:t>
            </w:r>
          </w:p>
        </w:tc>
      </w:tr>
    </w:tbl>
    <w:p w14:paraId="4D66A1AE">
      <w:pPr>
        <w:pStyle w:val="74"/>
        <w:outlineLvl w:val="9"/>
        <w:rPr>
          <w:rFonts w:hint="default"/>
          <w:b/>
          <w:color w:val="auto"/>
          <w:sz w:val="24"/>
          <w:highlight w:val="none"/>
        </w:rPr>
      </w:pPr>
    </w:p>
    <w:p w14:paraId="4C97F828">
      <w:pP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表二符合性审查表：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6B9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D17FD1B">
            <w:pPr>
              <w:widowControl/>
              <w:spacing w:line="360" w:lineRule="auto"/>
              <w:jc w:val="left"/>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4621" w:type="pct"/>
            <w:vAlign w:val="center"/>
          </w:tcPr>
          <w:p w14:paraId="1C55E833">
            <w:pPr>
              <w:widowControl/>
              <w:spacing w:line="360" w:lineRule="auto"/>
              <w:jc w:val="left"/>
              <w:rPr>
                <w:rFonts w:ascii="宋体" w:hAnsi="宋体"/>
                <w:b/>
                <w:bCs/>
                <w:color w:val="auto"/>
                <w:kern w:val="0"/>
                <w:szCs w:val="21"/>
                <w:highlight w:val="none"/>
                <w:lang w:eastAsia="zh-Hans"/>
              </w:rPr>
            </w:pPr>
            <w:r>
              <w:rPr>
                <w:rFonts w:hint="eastAsia" w:ascii="宋体" w:hAnsi="宋体"/>
                <w:b/>
                <w:bCs/>
                <w:color w:val="auto"/>
                <w:kern w:val="0"/>
                <w:szCs w:val="21"/>
                <w:highlight w:val="none"/>
                <w:lang w:eastAsia="zh-Hans"/>
              </w:rPr>
              <w:t>审查内容</w:t>
            </w:r>
          </w:p>
        </w:tc>
      </w:tr>
      <w:tr w14:paraId="5485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E6967ED">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4621" w:type="pct"/>
          </w:tcPr>
          <w:p w14:paraId="6CC4C9FC">
            <w:pPr>
              <w:widowControl/>
              <w:spacing w:line="360" w:lineRule="auto"/>
              <w:jc w:val="left"/>
              <w:rPr>
                <w:rFonts w:ascii="宋体" w:hAnsi="宋体"/>
                <w:color w:val="auto"/>
                <w:kern w:val="0"/>
                <w:szCs w:val="21"/>
                <w:highlight w:val="none"/>
              </w:rPr>
            </w:pPr>
            <w:r>
              <w:rPr>
                <w:rFonts w:ascii="宋体" w:hAnsi="宋体"/>
                <w:color w:val="auto"/>
                <w:kern w:val="0"/>
                <w:szCs w:val="21"/>
                <w:highlight w:val="none"/>
                <w:lang w:eastAsia="zh-Hans"/>
              </w:rPr>
              <w:t>报价符合本项目报价要求。</w:t>
            </w:r>
          </w:p>
        </w:tc>
      </w:tr>
      <w:tr w14:paraId="0CA0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7994BC8">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4621" w:type="pct"/>
          </w:tcPr>
          <w:p w14:paraId="3EFD0B20">
            <w:pPr>
              <w:widowControl/>
              <w:spacing w:line="360" w:lineRule="auto"/>
              <w:jc w:val="left"/>
              <w:rPr>
                <w:rFonts w:ascii="宋体" w:hAnsi="宋体"/>
                <w:color w:val="auto"/>
                <w:kern w:val="0"/>
                <w:szCs w:val="21"/>
                <w:highlight w:val="none"/>
              </w:rPr>
            </w:pPr>
            <w:r>
              <w:rPr>
                <w:rFonts w:ascii="宋体" w:hAnsi="宋体"/>
                <w:color w:val="auto"/>
                <w:kern w:val="0"/>
                <w:szCs w:val="21"/>
                <w:highlight w:val="none"/>
                <w:lang w:eastAsia="zh-Hans"/>
              </w:rPr>
              <w:t>法人授权委托证明。(</w:t>
            </w: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代表为法定代表人的除外)</w:t>
            </w:r>
          </w:p>
        </w:tc>
      </w:tr>
      <w:tr w14:paraId="02F2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BD1E3E3">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4621" w:type="pct"/>
          </w:tcPr>
          <w:p w14:paraId="0E2029D9">
            <w:pPr>
              <w:widowControl/>
              <w:spacing w:line="360" w:lineRule="auto"/>
              <w:jc w:val="left"/>
              <w:rPr>
                <w:rFonts w:ascii="宋体" w:hAnsi="宋体"/>
                <w:color w:val="auto"/>
                <w:spacing w:val="-4"/>
                <w:kern w:val="0"/>
                <w:szCs w:val="21"/>
                <w:highlight w:val="none"/>
              </w:rPr>
            </w:pPr>
            <w:r>
              <w:rPr>
                <w:rFonts w:hint="eastAsia" w:ascii="宋体" w:hAnsi="宋体"/>
                <w:color w:val="auto"/>
                <w:spacing w:val="-4"/>
                <w:kern w:val="0"/>
                <w:szCs w:val="21"/>
                <w:highlight w:val="none"/>
                <w:lang w:eastAsia="zh-Hans"/>
              </w:rPr>
              <w:t>磋商</w:t>
            </w:r>
            <w:r>
              <w:rPr>
                <w:rFonts w:ascii="宋体" w:hAnsi="宋体"/>
                <w:color w:val="auto"/>
                <w:spacing w:val="-4"/>
                <w:kern w:val="0"/>
                <w:szCs w:val="21"/>
                <w:highlight w:val="none"/>
                <w:lang w:eastAsia="zh-Hans"/>
              </w:rPr>
              <w:t>函已提交并符合</w:t>
            </w:r>
            <w:r>
              <w:rPr>
                <w:rFonts w:hint="eastAsia" w:ascii="宋体" w:hAnsi="宋体"/>
                <w:color w:val="auto"/>
                <w:spacing w:val="-4"/>
                <w:kern w:val="0"/>
                <w:szCs w:val="21"/>
                <w:highlight w:val="none"/>
                <w:lang w:eastAsia="zh-Hans"/>
              </w:rPr>
              <w:t>磋商</w:t>
            </w:r>
            <w:r>
              <w:rPr>
                <w:rFonts w:ascii="宋体" w:hAnsi="宋体"/>
                <w:color w:val="auto"/>
                <w:spacing w:val="-4"/>
                <w:kern w:val="0"/>
                <w:szCs w:val="21"/>
                <w:highlight w:val="none"/>
                <w:lang w:eastAsia="zh-Hans"/>
              </w:rPr>
              <w:t>文件要求的，且</w:t>
            </w:r>
            <w:r>
              <w:rPr>
                <w:rFonts w:hint="eastAsia" w:ascii="宋体" w:hAnsi="宋体"/>
                <w:color w:val="auto"/>
                <w:spacing w:val="-4"/>
                <w:kern w:val="0"/>
                <w:szCs w:val="21"/>
                <w:highlight w:val="none"/>
                <w:lang w:eastAsia="zh-Hans"/>
              </w:rPr>
              <w:t>响应</w:t>
            </w:r>
            <w:r>
              <w:rPr>
                <w:rFonts w:ascii="宋体" w:hAnsi="宋体"/>
                <w:color w:val="auto"/>
                <w:spacing w:val="-4"/>
                <w:kern w:val="0"/>
                <w:szCs w:val="21"/>
                <w:highlight w:val="none"/>
                <w:lang w:eastAsia="zh-Hans"/>
              </w:rPr>
              <w:t>有效期不少于</w:t>
            </w:r>
            <w:r>
              <w:rPr>
                <w:rFonts w:hint="eastAsia" w:ascii="宋体" w:hAnsi="宋体"/>
                <w:color w:val="auto"/>
                <w:spacing w:val="-4"/>
                <w:kern w:val="0"/>
                <w:szCs w:val="21"/>
                <w:highlight w:val="none"/>
                <w:lang w:eastAsia="zh-Hans"/>
              </w:rPr>
              <w:t>磋商</w:t>
            </w:r>
            <w:r>
              <w:rPr>
                <w:rFonts w:ascii="宋体" w:hAnsi="宋体"/>
                <w:color w:val="auto"/>
                <w:spacing w:val="-4"/>
                <w:kern w:val="0"/>
                <w:szCs w:val="21"/>
                <w:highlight w:val="none"/>
                <w:lang w:eastAsia="zh-Hans"/>
              </w:rPr>
              <w:t>文件中载明的</w:t>
            </w:r>
            <w:r>
              <w:rPr>
                <w:rFonts w:hint="eastAsia" w:ascii="宋体" w:hAnsi="宋体"/>
                <w:color w:val="auto"/>
                <w:spacing w:val="-4"/>
                <w:kern w:val="0"/>
                <w:szCs w:val="21"/>
                <w:highlight w:val="none"/>
                <w:lang w:eastAsia="zh-Hans"/>
              </w:rPr>
              <w:t>响应</w:t>
            </w:r>
            <w:r>
              <w:rPr>
                <w:rFonts w:ascii="宋体" w:hAnsi="宋体"/>
                <w:color w:val="auto"/>
                <w:spacing w:val="-4"/>
                <w:kern w:val="0"/>
                <w:szCs w:val="21"/>
                <w:highlight w:val="none"/>
                <w:lang w:eastAsia="zh-Hans"/>
              </w:rPr>
              <w:t>有效期。</w:t>
            </w:r>
          </w:p>
        </w:tc>
      </w:tr>
      <w:tr w14:paraId="47647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FDC3489">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4621" w:type="pct"/>
          </w:tcPr>
          <w:p w14:paraId="5DD82085">
            <w:pPr>
              <w:widowControl/>
              <w:spacing w:line="360" w:lineRule="auto"/>
              <w:jc w:val="left"/>
              <w:rPr>
                <w:rFonts w:ascii="宋体" w:hAnsi="宋体"/>
                <w:color w:val="auto"/>
                <w:kern w:val="0"/>
                <w:szCs w:val="21"/>
                <w:highlight w:val="none"/>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文件的签署、盖章符合</w:t>
            </w:r>
            <w:r>
              <w:rPr>
                <w:rFonts w:hint="eastAsia" w:ascii="宋体" w:hAnsi="宋体"/>
                <w:color w:val="auto"/>
                <w:kern w:val="0"/>
                <w:szCs w:val="21"/>
                <w:highlight w:val="none"/>
                <w:lang w:eastAsia="zh-Hans"/>
              </w:rPr>
              <w:t>磋商</w:t>
            </w:r>
            <w:r>
              <w:rPr>
                <w:rFonts w:ascii="宋体" w:hAnsi="宋体"/>
                <w:color w:val="auto"/>
                <w:kern w:val="0"/>
                <w:szCs w:val="21"/>
                <w:highlight w:val="none"/>
                <w:lang w:eastAsia="zh-Hans"/>
              </w:rPr>
              <w:t>文件要求。</w:t>
            </w:r>
          </w:p>
        </w:tc>
      </w:tr>
      <w:tr w14:paraId="06EA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4B718C6">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5</w:t>
            </w:r>
          </w:p>
        </w:tc>
        <w:tc>
          <w:tcPr>
            <w:tcW w:w="4621" w:type="pct"/>
          </w:tcPr>
          <w:p w14:paraId="2F3E5FB6">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采购需求当中的</w:t>
            </w:r>
            <w:r>
              <w:rPr>
                <w:rFonts w:ascii="宋体" w:hAnsi="宋体" w:cs="Segoe UI Symbol"/>
                <w:color w:val="auto"/>
                <w:kern w:val="0"/>
                <w:szCs w:val="21"/>
                <w:highlight w:val="none"/>
                <w:lang w:eastAsia="zh-Hans"/>
              </w:rPr>
              <w:t>★</w:t>
            </w:r>
            <w:r>
              <w:rPr>
                <w:rFonts w:ascii="宋体" w:hAnsi="宋体"/>
                <w:color w:val="auto"/>
                <w:kern w:val="0"/>
                <w:szCs w:val="21"/>
                <w:highlight w:val="none"/>
                <w:lang w:eastAsia="zh-Hans"/>
              </w:rPr>
              <w:t>条款满足要求。(若本项目无</w:t>
            </w:r>
            <w:r>
              <w:rPr>
                <w:rFonts w:ascii="宋体" w:hAnsi="宋体" w:cs="Segoe UI Symbol"/>
                <w:color w:val="auto"/>
                <w:kern w:val="0"/>
                <w:szCs w:val="21"/>
                <w:highlight w:val="none"/>
                <w:lang w:eastAsia="zh-Hans"/>
              </w:rPr>
              <w:t>★</w:t>
            </w:r>
            <w:r>
              <w:rPr>
                <w:rFonts w:ascii="宋体" w:hAnsi="宋体"/>
                <w:color w:val="auto"/>
                <w:kern w:val="0"/>
                <w:szCs w:val="21"/>
                <w:highlight w:val="none"/>
                <w:lang w:eastAsia="zh-Hans"/>
              </w:rPr>
              <w:t>条款，此项通过)</w:t>
            </w:r>
          </w:p>
        </w:tc>
      </w:tr>
      <w:tr w14:paraId="0ABC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2E1DE04">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6</w:t>
            </w:r>
          </w:p>
        </w:tc>
        <w:tc>
          <w:tcPr>
            <w:tcW w:w="4621" w:type="pct"/>
          </w:tcPr>
          <w:p w14:paraId="5E0F444D">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文件未出现选择性报价或有附加条件报价的情形。</w:t>
            </w:r>
          </w:p>
        </w:tc>
      </w:tr>
      <w:tr w14:paraId="34A4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3514DF">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7</w:t>
            </w:r>
          </w:p>
        </w:tc>
        <w:tc>
          <w:tcPr>
            <w:tcW w:w="4621" w:type="pct"/>
          </w:tcPr>
          <w:p w14:paraId="286E9058">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文件没有</w:t>
            </w:r>
            <w:r>
              <w:rPr>
                <w:rFonts w:hint="eastAsia" w:ascii="宋体" w:hAnsi="宋体"/>
                <w:color w:val="auto"/>
                <w:kern w:val="0"/>
                <w:szCs w:val="21"/>
                <w:highlight w:val="none"/>
                <w:lang w:eastAsia="zh-Hans"/>
              </w:rPr>
              <w:t>磋商</w:t>
            </w:r>
            <w:r>
              <w:rPr>
                <w:rFonts w:ascii="宋体" w:hAnsi="宋体"/>
                <w:color w:val="auto"/>
                <w:kern w:val="0"/>
                <w:szCs w:val="21"/>
                <w:highlight w:val="none"/>
                <w:lang w:eastAsia="zh-Hans"/>
              </w:rPr>
              <w:t>文件中规定的其它无效</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条款的。</w:t>
            </w:r>
          </w:p>
        </w:tc>
      </w:tr>
    </w:tbl>
    <w:p w14:paraId="6B33AAFA">
      <w:pPr>
        <w:pStyle w:val="74"/>
        <w:keepLines/>
        <w:widowControl w:val="0"/>
        <w:outlineLvl w:val="9"/>
        <w:rPr>
          <w:rFonts w:hint="default"/>
          <w:b/>
          <w:color w:val="auto"/>
          <w:sz w:val="24"/>
          <w:highlight w:val="none"/>
          <w:lang w:eastAsia="zh-CN"/>
        </w:rPr>
      </w:pPr>
    </w:p>
    <w:p w14:paraId="27319C77">
      <w:pPr>
        <w:pStyle w:val="74"/>
        <w:numPr>
          <w:ilvl w:val="0"/>
          <w:numId w:val="69"/>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响应文件澄清</w:t>
      </w:r>
    </w:p>
    <w:p w14:paraId="1433A020">
      <w:pPr>
        <w:pStyle w:val="74"/>
        <w:numPr>
          <w:ilvl w:val="0"/>
          <w:numId w:val="71"/>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对于响应文件中含义不明确、同类问题表述不一致或者有明显文字和计算错误的内容，磋商小组应当在评审过程中发起澄清，要求供应商针对价格或内容做出必要的澄清、说明或补正。</w:t>
      </w:r>
    </w:p>
    <w:p w14:paraId="2FC50822">
      <w:pPr>
        <w:pStyle w:val="74"/>
        <w:numPr>
          <w:ilvl w:val="0"/>
          <w:numId w:val="71"/>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供应商的澄清、说明或者补正不得超出响应文件的范围或者改变响应文件的实质性内容。</w:t>
      </w:r>
    </w:p>
    <w:p w14:paraId="5D23DF82">
      <w:pPr>
        <w:pStyle w:val="74"/>
        <w:numPr>
          <w:ilvl w:val="0"/>
          <w:numId w:val="71"/>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磋商小组不接受供应商主动提出的澄清、说明或补正。</w:t>
      </w:r>
    </w:p>
    <w:p w14:paraId="57E5F531">
      <w:pPr>
        <w:pStyle w:val="74"/>
        <w:numPr>
          <w:ilvl w:val="0"/>
          <w:numId w:val="71"/>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磋商小组对供应商提交的澄清、说明或补正有疑问的，可以要求供应商进一步澄清、说明或补正。</w:t>
      </w:r>
    </w:p>
    <w:p w14:paraId="2BFC2C1F">
      <w:pPr>
        <w:pStyle w:val="74"/>
        <w:numPr>
          <w:ilvl w:val="0"/>
          <w:numId w:val="69"/>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磋商</w:t>
      </w:r>
    </w:p>
    <w:p w14:paraId="583D6D6C">
      <w:pPr>
        <w:pStyle w:val="74"/>
        <w:numPr>
          <w:ilvl w:val="0"/>
          <w:numId w:val="72"/>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磋商小组所有成员应当集中与单一供应商分别进行磋商，并给予所有参加磋商的供应商平等的磋商机会。</w:t>
      </w:r>
    </w:p>
    <w:p w14:paraId="53AB354E">
      <w:pPr>
        <w:pStyle w:val="74"/>
        <w:numPr>
          <w:ilvl w:val="0"/>
          <w:numId w:val="72"/>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14:paraId="7D2DA829">
      <w:pPr>
        <w:pStyle w:val="74"/>
        <w:numPr>
          <w:ilvl w:val="0"/>
          <w:numId w:val="72"/>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对磋商文件作出的实质性变动是磋商文件的有效组成部分，磋商小组应当及时、同时通知所有参加磋商的供应商。</w:t>
      </w:r>
    </w:p>
    <w:p w14:paraId="4770717C">
      <w:pPr>
        <w:pStyle w:val="74"/>
        <w:numPr>
          <w:ilvl w:val="0"/>
          <w:numId w:val="72"/>
        </w:numPr>
        <w:snapToGrid w:val="0"/>
        <w:spacing w:line="360" w:lineRule="auto"/>
        <w:ind w:left="442" w:hanging="442"/>
        <w:contextualSpacing/>
        <w:rPr>
          <w:rFonts w:hint="default"/>
          <w:color w:val="auto"/>
          <w:highlight w:val="none"/>
        </w:rPr>
      </w:pPr>
      <w:r>
        <w:rPr>
          <w:rFonts w:ascii="宋体" w:hAnsi="宋体" w:eastAsia="宋体"/>
          <w:color w:val="auto"/>
          <w:sz w:val="21"/>
          <w:szCs w:val="21"/>
          <w:highlight w:val="none"/>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3FBE89F9">
      <w:pPr>
        <w:pStyle w:val="74"/>
        <w:numPr>
          <w:ilvl w:val="0"/>
          <w:numId w:val="69"/>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最后报价</w:t>
      </w:r>
    </w:p>
    <w:p w14:paraId="0BBFECD4">
      <w:pPr>
        <w:pStyle w:val="74"/>
        <w:numPr>
          <w:ilvl w:val="0"/>
          <w:numId w:val="73"/>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磋商结束后，磋商小组应当要求所有实质性响应的供应商在规定时间内提交最后报价。最后报价是供应商响应文件的有效组成部分。</w:t>
      </w:r>
    </w:p>
    <w:p w14:paraId="1E3B6B75">
      <w:pPr>
        <w:pStyle w:val="74"/>
        <w:numPr>
          <w:ilvl w:val="0"/>
          <w:numId w:val="73"/>
        </w:numPr>
        <w:snapToGrid w:val="0"/>
        <w:spacing w:line="360" w:lineRule="auto"/>
        <w:contextualSpacing/>
        <w:rPr>
          <w:rFonts w:hint="default" w:ascii="宋体" w:hAnsi="宋体" w:eastAsia="宋体"/>
          <w:color w:val="auto"/>
          <w:sz w:val="21"/>
          <w:szCs w:val="21"/>
          <w:highlight w:val="none"/>
          <w:lang w:eastAsia="zh-CN"/>
        </w:rPr>
      </w:pPr>
      <w:r>
        <w:rPr>
          <w:rFonts w:ascii="宋体" w:hAnsi="宋体" w:eastAsia="宋体"/>
          <w:color w:val="auto"/>
          <w:sz w:val="21"/>
          <w:szCs w:val="21"/>
          <w:highlight w:val="none"/>
        </w:rPr>
        <w:t>已提交响应文件的供应商，在提交最后报价之前，可以根据磋商情况退出磋商。</w:t>
      </w:r>
    </w:p>
    <w:p w14:paraId="0D9EFBE1">
      <w:pPr>
        <w:pStyle w:val="74"/>
        <w:numPr>
          <w:ilvl w:val="0"/>
          <w:numId w:val="73"/>
        </w:numPr>
        <w:snapToGrid w:val="0"/>
        <w:spacing w:line="360" w:lineRule="auto"/>
        <w:contextualSpacing/>
        <w:rPr>
          <w:rFonts w:hint="default"/>
          <w:color w:val="auto"/>
          <w:highlight w:val="none"/>
        </w:rPr>
      </w:pPr>
      <w:r>
        <w:rPr>
          <w:rFonts w:ascii="宋体" w:hAnsi="宋体" w:eastAsia="宋体"/>
          <w:color w:val="auto"/>
          <w:sz w:val="21"/>
          <w:szCs w:val="21"/>
          <w:highlight w:val="none"/>
        </w:rPr>
        <w:t>除法规规定的特殊性情形外，提交最后报价的供应商不得少于3家。</w:t>
      </w:r>
    </w:p>
    <w:p w14:paraId="7FCBC22A">
      <w:pPr>
        <w:pStyle w:val="74"/>
        <w:numPr>
          <w:ilvl w:val="0"/>
          <w:numId w:val="69"/>
        </w:numPr>
        <w:snapToGrid w:val="0"/>
        <w:spacing w:line="360" w:lineRule="auto"/>
        <w:ind w:left="284" w:hanging="284"/>
        <w:contextualSpacing/>
        <w:outlineLvl w:val="3"/>
        <w:rPr>
          <w:rFonts w:hint="default" w:asciiTheme="minorEastAsia" w:hAnsiTheme="minorEastAsia"/>
          <w:b/>
          <w:bCs/>
          <w:color w:val="auto"/>
          <w:szCs w:val="21"/>
          <w:highlight w:val="none"/>
        </w:rPr>
      </w:pPr>
      <w:r>
        <w:rPr>
          <w:rFonts w:ascii="宋体" w:hAnsi="宋体" w:eastAsia="宋体"/>
          <w:b/>
          <w:color w:val="auto"/>
          <w:sz w:val="21"/>
          <w:szCs w:val="21"/>
          <w:highlight w:val="none"/>
        </w:rPr>
        <w:t>详细评审</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9"/>
        <w:gridCol w:w="1395"/>
        <w:gridCol w:w="885"/>
        <w:gridCol w:w="6257"/>
      </w:tblGrid>
      <w:tr w14:paraId="44E99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03" w:type="pct"/>
            <w:vAlign w:val="center"/>
          </w:tcPr>
          <w:p w14:paraId="326E4030">
            <w:pPr>
              <w:spacing w:line="400" w:lineRule="exact"/>
              <w:jc w:val="center"/>
              <w:rPr>
                <w:rFonts w:ascii="宋体" w:hAnsi="宋体"/>
                <w:b/>
                <w:color w:val="auto"/>
                <w:szCs w:val="21"/>
                <w:highlight w:val="none"/>
              </w:rPr>
            </w:pPr>
            <w:bookmarkStart w:id="36" w:name="_Hlk169889554"/>
            <w:r>
              <w:rPr>
                <w:rFonts w:hint="eastAsia" w:ascii="宋体" w:hAnsi="宋体"/>
                <w:b/>
                <w:color w:val="auto"/>
                <w:szCs w:val="21"/>
                <w:highlight w:val="none"/>
              </w:rPr>
              <w:t>序号</w:t>
            </w:r>
          </w:p>
        </w:tc>
        <w:tc>
          <w:tcPr>
            <w:tcW w:w="751" w:type="pct"/>
            <w:vAlign w:val="center"/>
          </w:tcPr>
          <w:p w14:paraId="4AA13D44">
            <w:pPr>
              <w:spacing w:line="400" w:lineRule="exact"/>
              <w:jc w:val="center"/>
              <w:rPr>
                <w:rFonts w:ascii="宋体" w:hAnsi="宋体"/>
                <w:b/>
                <w:color w:val="auto"/>
                <w:szCs w:val="21"/>
                <w:highlight w:val="none"/>
              </w:rPr>
            </w:pPr>
            <w:r>
              <w:rPr>
                <w:rFonts w:hint="eastAsia" w:ascii="宋体" w:hAnsi="宋体"/>
                <w:b/>
                <w:color w:val="auto"/>
                <w:szCs w:val="21"/>
                <w:highlight w:val="none"/>
              </w:rPr>
              <w:t>评分内容</w:t>
            </w:r>
          </w:p>
        </w:tc>
        <w:tc>
          <w:tcPr>
            <w:tcW w:w="476" w:type="pct"/>
            <w:vAlign w:val="center"/>
          </w:tcPr>
          <w:p w14:paraId="26B82CA7">
            <w:pPr>
              <w:spacing w:line="400" w:lineRule="exact"/>
              <w:jc w:val="center"/>
              <w:rPr>
                <w:rFonts w:ascii="宋体" w:hAnsi="宋体"/>
                <w:b/>
                <w:color w:val="auto"/>
                <w:szCs w:val="21"/>
                <w:highlight w:val="none"/>
              </w:rPr>
            </w:pPr>
            <w:r>
              <w:rPr>
                <w:rFonts w:hint="eastAsia" w:ascii="宋体" w:hAnsi="宋体"/>
                <w:b/>
                <w:color w:val="auto"/>
                <w:szCs w:val="21"/>
                <w:highlight w:val="none"/>
              </w:rPr>
              <w:t>分值</w:t>
            </w:r>
          </w:p>
        </w:tc>
        <w:tc>
          <w:tcPr>
            <w:tcW w:w="3369" w:type="pct"/>
            <w:vAlign w:val="center"/>
          </w:tcPr>
          <w:p w14:paraId="0295B912">
            <w:pPr>
              <w:spacing w:line="400" w:lineRule="exact"/>
              <w:jc w:val="center"/>
              <w:rPr>
                <w:rFonts w:ascii="宋体" w:hAnsi="宋体"/>
                <w:b/>
                <w:color w:val="auto"/>
                <w:szCs w:val="21"/>
                <w:highlight w:val="none"/>
              </w:rPr>
            </w:pPr>
            <w:r>
              <w:rPr>
                <w:rFonts w:hint="eastAsia" w:ascii="宋体" w:hAnsi="宋体"/>
                <w:b/>
                <w:color w:val="auto"/>
                <w:szCs w:val="21"/>
                <w:highlight w:val="none"/>
              </w:rPr>
              <w:t>评审标准</w:t>
            </w:r>
          </w:p>
        </w:tc>
      </w:tr>
      <w:tr w14:paraId="36860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14:paraId="502F02AA">
            <w:pPr>
              <w:spacing w:line="400" w:lineRule="exact"/>
              <w:jc w:val="center"/>
              <w:rPr>
                <w:rFonts w:ascii="宋体" w:hAnsi="宋体"/>
                <w:b/>
                <w:color w:val="auto"/>
                <w:szCs w:val="21"/>
                <w:highlight w:val="none"/>
              </w:rPr>
            </w:pPr>
            <w:r>
              <w:rPr>
                <w:rFonts w:hint="eastAsia" w:ascii="宋体" w:hAnsi="宋体"/>
                <w:b/>
                <w:color w:val="auto"/>
                <w:szCs w:val="21"/>
                <w:highlight w:val="none"/>
              </w:rPr>
              <w:t>商务评审细则（</w:t>
            </w:r>
            <w:r>
              <w:rPr>
                <w:rFonts w:hint="eastAsia" w:ascii="宋体" w:hAnsi="宋体"/>
                <w:b/>
                <w:color w:val="auto"/>
                <w:szCs w:val="21"/>
                <w:highlight w:val="none"/>
                <w:lang w:val="en-US" w:eastAsia="zh-CN"/>
              </w:rPr>
              <w:t>30</w:t>
            </w:r>
            <w:r>
              <w:rPr>
                <w:rFonts w:hint="eastAsia" w:ascii="宋体" w:hAnsi="宋体"/>
                <w:b/>
                <w:color w:val="auto"/>
                <w:szCs w:val="21"/>
                <w:highlight w:val="none"/>
              </w:rPr>
              <w:t>分）</w:t>
            </w:r>
          </w:p>
        </w:tc>
      </w:tr>
      <w:tr w14:paraId="224E0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03" w:type="pct"/>
            <w:vAlign w:val="center"/>
          </w:tcPr>
          <w:p w14:paraId="4DEA2D98">
            <w:pPr>
              <w:spacing w:line="400" w:lineRule="exact"/>
              <w:jc w:val="center"/>
              <w:rPr>
                <w:rFonts w:ascii="宋体" w:hAnsi="宋体"/>
                <w:color w:val="auto"/>
                <w:szCs w:val="21"/>
                <w:highlight w:val="none"/>
              </w:rPr>
            </w:pPr>
            <w:r>
              <w:rPr>
                <w:rFonts w:hint="eastAsia" w:ascii="宋体" w:hAnsi="宋体"/>
                <w:color w:val="auto"/>
                <w:szCs w:val="21"/>
                <w:highlight w:val="none"/>
              </w:rPr>
              <w:t>1</w:t>
            </w:r>
          </w:p>
        </w:tc>
        <w:tc>
          <w:tcPr>
            <w:tcW w:w="751" w:type="pct"/>
            <w:vAlign w:val="center"/>
          </w:tcPr>
          <w:p w14:paraId="2BE3EF0B">
            <w:pPr>
              <w:spacing w:line="400" w:lineRule="exact"/>
              <w:jc w:val="center"/>
              <w:rPr>
                <w:rFonts w:ascii="宋体" w:hAnsi="宋体"/>
                <w:bCs/>
                <w:color w:val="auto"/>
                <w:szCs w:val="21"/>
                <w:highlight w:val="none"/>
              </w:rPr>
            </w:pPr>
            <w:r>
              <w:rPr>
                <w:rFonts w:hint="eastAsia" w:ascii="宋体" w:hAnsi="宋体"/>
                <w:bCs/>
                <w:color w:val="auto"/>
                <w:szCs w:val="21"/>
                <w:highlight w:val="none"/>
              </w:rPr>
              <w:t>企业认证</w:t>
            </w:r>
          </w:p>
        </w:tc>
        <w:tc>
          <w:tcPr>
            <w:tcW w:w="476" w:type="pct"/>
            <w:vAlign w:val="center"/>
          </w:tcPr>
          <w:p w14:paraId="62565621">
            <w:pPr>
              <w:widowControl/>
              <w:spacing w:line="400" w:lineRule="exact"/>
              <w:jc w:val="center"/>
              <w:rPr>
                <w:rFonts w:ascii="宋体" w:hAnsi="宋体"/>
                <w:bCs/>
                <w:color w:val="auto"/>
                <w:szCs w:val="21"/>
                <w:highlight w:val="none"/>
              </w:rPr>
            </w:pPr>
            <w:r>
              <w:rPr>
                <w:rFonts w:hint="eastAsia" w:ascii="宋体" w:hAnsi="宋体"/>
                <w:bCs/>
                <w:color w:val="auto"/>
                <w:szCs w:val="21"/>
                <w:highlight w:val="none"/>
                <w:lang w:val="en-US" w:eastAsia="zh-CN"/>
              </w:rPr>
              <w:t>6</w:t>
            </w:r>
            <w:r>
              <w:rPr>
                <w:rFonts w:hint="eastAsia" w:ascii="宋体" w:hAnsi="宋体"/>
                <w:bCs/>
                <w:color w:val="auto"/>
                <w:szCs w:val="21"/>
                <w:highlight w:val="none"/>
              </w:rPr>
              <w:t>分</w:t>
            </w:r>
          </w:p>
        </w:tc>
        <w:tc>
          <w:tcPr>
            <w:tcW w:w="3369" w:type="pct"/>
            <w:vAlign w:val="center"/>
          </w:tcPr>
          <w:p w14:paraId="0B70CCC3">
            <w:pPr>
              <w:spacing w:line="400" w:lineRule="exact"/>
              <w:rPr>
                <w:rFonts w:hint="eastAsia" w:ascii="宋体" w:hAnsi="宋体" w:eastAsia="宋体" w:cs="宋体"/>
                <w:b/>
                <w:bCs/>
                <w:color w:val="auto"/>
                <w:highlight w:val="none"/>
              </w:rPr>
            </w:pPr>
            <w:r>
              <w:rPr>
                <w:rFonts w:hint="eastAsia" w:ascii="宋体" w:hAnsi="宋体" w:cs="宋体"/>
                <w:b/>
                <w:bCs/>
                <w:color w:val="auto"/>
                <w:highlight w:val="none"/>
                <w:lang w:val="en-US" w:eastAsia="zh-CN"/>
              </w:rPr>
              <w:t>供应商</w:t>
            </w:r>
            <w:r>
              <w:rPr>
                <w:rFonts w:hint="eastAsia" w:ascii="宋体" w:hAnsi="宋体" w:eastAsia="宋体" w:cs="宋体"/>
                <w:b/>
                <w:bCs/>
                <w:color w:val="auto"/>
                <w:highlight w:val="none"/>
              </w:rPr>
              <w:t>具有由国家认证认可监督管理部门批准设立的认证机构颁发并在有效期内的：</w:t>
            </w:r>
          </w:p>
          <w:p w14:paraId="3F710811">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1、质量管理体系认证证书；</w:t>
            </w:r>
          </w:p>
          <w:p w14:paraId="584EAFA4">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2、职业健康安全管理体系认证证书；</w:t>
            </w:r>
          </w:p>
          <w:p w14:paraId="63157E6C">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3、环境管理体系认证证书；</w:t>
            </w:r>
          </w:p>
          <w:p w14:paraId="1D758239">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以上证书每提供一个得</w:t>
            </w:r>
            <w:r>
              <w:rPr>
                <w:rFonts w:hint="eastAsia" w:ascii="宋体" w:hAnsi="宋体" w:cs="宋体"/>
                <w:color w:val="auto"/>
                <w:highlight w:val="none"/>
                <w:lang w:val="en-US" w:eastAsia="zh-CN"/>
              </w:rPr>
              <w:t>2</w:t>
            </w:r>
            <w:r>
              <w:rPr>
                <w:rFonts w:hint="eastAsia" w:ascii="宋体" w:hAnsi="宋体" w:eastAsia="宋体" w:cs="宋体"/>
                <w:color w:val="auto"/>
                <w:highlight w:val="none"/>
              </w:rPr>
              <w:t>分，同一认证标准证书不重复得分，本项最高得</w:t>
            </w:r>
            <w:r>
              <w:rPr>
                <w:rFonts w:hint="eastAsia" w:ascii="宋体" w:hAnsi="宋体" w:cs="宋体"/>
                <w:color w:val="auto"/>
                <w:highlight w:val="none"/>
                <w:lang w:val="en-US" w:eastAsia="zh-CN"/>
              </w:rPr>
              <w:t>6</w:t>
            </w:r>
            <w:r>
              <w:rPr>
                <w:rFonts w:hint="eastAsia" w:ascii="宋体" w:hAnsi="宋体" w:eastAsia="宋体" w:cs="宋体"/>
                <w:color w:val="auto"/>
                <w:highlight w:val="none"/>
              </w:rPr>
              <w:t>分。</w:t>
            </w:r>
          </w:p>
          <w:p w14:paraId="61234D01">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宋体" w:hAnsi="宋体" w:eastAsia="宋体" w:cs="宋体"/>
                <w:b/>
                <w:bCs/>
                <w:color w:val="auto"/>
                <w:szCs w:val="21"/>
                <w:highlight w:val="none"/>
                <w:u w:val="single"/>
              </w:rPr>
            </w:pPr>
            <w:r>
              <w:rPr>
                <w:rFonts w:hint="eastAsia" w:ascii="宋体" w:hAnsi="宋体" w:eastAsia="宋体" w:cs="宋体"/>
                <w:b/>
                <w:bCs/>
                <w:color w:val="auto"/>
                <w:highlight w:val="none"/>
                <w:u w:val="single"/>
              </w:rPr>
              <w:t>注：须提供有效证书复印件及国家市场监督管理总局全国认证认可信息公共服务平台（http://cx.cnca.cn/CertECloud/index/index/page）查询结果为有效的截图并加盖</w:t>
            </w:r>
            <w:r>
              <w:rPr>
                <w:rFonts w:hint="eastAsia" w:ascii="宋体" w:hAnsi="宋体" w:cs="宋体"/>
                <w:b/>
                <w:bCs/>
                <w:color w:val="auto"/>
                <w:highlight w:val="none"/>
                <w:u w:val="single"/>
                <w:lang w:val="en-US" w:eastAsia="zh-CN"/>
              </w:rPr>
              <w:t>供应商</w:t>
            </w:r>
            <w:r>
              <w:rPr>
                <w:rFonts w:hint="eastAsia" w:ascii="宋体" w:hAnsi="宋体" w:eastAsia="宋体" w:cs="宋体"/>
                <w:b/>
                <w:bCs/>
                <w:color w:val="auto"/>
                <w:highlight w:val="none"/>
                <w:u w:val="single"/>
              </w:rPr>
              <w:t>公章，已失效或撤销或不提供的不得分。</w:t>
            </w:r>
          </w:p>
        </w:tc>
      </w:tr>
      <w:tr w14:paraId="096D0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03" w:type="pct"/>
            <w:vAlign w:val="center"/>
          </w:tcPr>
          <w:p w14:paraId="6FC6347C">
            <w:pPr>
              <w:spacing w:line="400" w:lineRule="exact"/>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2</w:t>
            </w:r>
          </w:p>
        </w:tc>
        <w:tc>
          <w:tcPr>
            <w:tcW w:w="751" w:type="pct"/>
            <w:vAlign w:val="center"/>
          </w:tcPr>
          <w:p w14:paraId="21D86339">
            <w:pPr>
              <w:spacing w:line="400" w:lineRule="exact"/>
              <w:jc w:val="center"/>
              <w:rPr>
                <w:rFonts w:ascii="宋体" w:hAnsi="宋体"/>
                <w:color w:val="auto"/>
                <w:szCs w:val="21"/>
                <w:highlight w:val="none"/>
              </w:rPr>
            </w:pPr>
            <w:r>
              <w:rPr>
                <w:rFonts w:hint="eastAsia" w:ascii="宋体" w:hAnsi="宋体"/>
                <w:color w:val="auto"/>
                <w:szCs w:val="21"/>
                <w:highlight w:val="none"/>
              </w:rPr>
              <w:t>业绩情况</w:t>
            </w:r>
          </w:p>
        </w:tc>
        <w:tc>
          <w:tcPr>
            <w:tcW w:w="476" w:type="pct"/>
            <w:vAlign w:val="center"/>
          </w:tcPr>
          <w:p w14:paraId="05634406">
            <w:pPr>
              <w:widowControl/>
              <w:spacing w:line="400" w:lineRule="exact"/>
              <w:jc w:val="center"/>
              <w:rPr>
                <w:rFonts w:ascii="宋体" w:hAnsi="宋体"/>
                <w:color w:val="auto"/>
                <w:szCs w:val="21"/>
                <w:highlight w:val="none"/>
              </w:rPr>
            </w:pPr>
            <w:r>
              <w:rPr>
                <w:rFonts w:hint="eastAsia" w:ascii="宋体" w:hAnsi="宋体"/>
                <w:color w:val="auto"/>
                <w:szCs w:val="21"/>
                <w:highlight w:val="none"/>
                <w:lang w:val="en-US" w:eastAsia="zh-CN"/>
              </w:rPr>
              <w:t>24</w:t>
            </w:r>
            <w:r>
              <w:rPr>
                <w:rFonts w:hint="eastAsia" w:ascii="宋体" w:hAnsi="宋体"/>
                <w:color w:val="auto"/>
                <w:szCs w:val="21"/>
                <w:highlight w:val="none"/>
              </w:rPr>
              <w:t>分</w:t>
            </w:r>
          </w:p>
        </w:tc>
        <w:tc>
          <w:tcPr>
            <w:tcW w:w="3369" w:type="pct"/>
            <w:vAlign w:val="center"/>
          </w:tcPr>
          <w:p w14:paraId="34CC1D7F">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根据</w:t>
            </w:r>
            <w:r>
              <w:rPr>
                <w:rFonts w:hint="eastAsia" w:ascii="宋体" w:hAnsi="宋体" w:cs="宋体"/>
                <w:color w:val="auto"/>
                <w:highlight w:val="none"/>
                <w:lang w:val="en-US" w:eastAsia="zh-CN"/>
              </w:rPr>
              <w:t>供应商</w:t>
            </w:r>
            <w:r>
              <w:rPr>
                <w:rFonts w:hint="eastAsia" w:ascii="宋体" w:hAnsi="宋体" w:eastAsia="宋体" w:cs="宋体"/>
                <w:color w:val="auto"/>
                <w:highlight w:val="none"/>
              </w:rPr>
              <w:t>具有的</w:t>
            </w:r>
            <w:r>
              <w:rPr>
                <w:rFonts w:hint="eastAsia" w:ascii="宋体" w:hAnsi="宋体" w:cs="宋体"/>
                <w:color w:val="auto"/>
                <w:highlight w:val="none"/>
                <w:lang w:val="en-US" w:eastAsia="zh-CN"/>
              </w:rPr>
              <w:t>保安</w:t>
            </w:r>
            <w:r>
              <w:rPr>
                <w:rFonts w:hint="eastAsia" w:ascii="宋体" w:hAnsi="宋体" w:eastAsia="宋体" w:cs="宋体"/>
                <w:color w:val="auto"/>
                <w:highlight w:val="none"/>
              </w:rPr>
              <w:t>服务类</w:t>
            </w:r>
            <w:r>
              <w:rPr>
                <w:rFonts w:hint="eastAsia" w:ascii="宋体" w:hAnsi="宋体" w:cs="宋体"/>
                <w:color w:val="auto"/>
                <w:highlight w:val="none"/>
                <w:lang w:val="en-US" w:eastAsia="zh-CN"/>
              </w:rPr>
              <w:t>项目</w:t>
            </w:r>
            <w:r>
              <w:rPr>
                <w:rFonts w:hint="eastAsia" w:ascii="宋体" w:hAnsi="宋体" w:eastAsia="宋体" w:cs="宋体"/>
                <w:color w:val="auto"/>
                <w:highlight w:val="none"/>
              </w:rPr>
              <w:t>业绩进行评审，每提供一项得</w:t>
            </w:r>
            <w:r>
              <w:rPr>
                <w:rFonts w:hint="eastAsia" w:ascii="宋体" w:hAnsi="宋体" w:cs="宋体"/>
                <w:color w:val="auto"/>
                <w:highlight w:val="none"/>
                <w:lang w:val="en-US" w:eastAsia="zh-CN"/>
              </w:rPr>
              <w:t>3</w:t>
            </w:r>
            <w:r>
              <w:rPr>
                <w:rFonts w:hint="eastAsia" w:ascii="宋体" w:hAnsi="宋体" w:eastAsia="宋体" w:cs="宋体"/>
                <w:color w:val="auto"/>
                <w:highlight w:val="none"/>
              </w:rPr>
              <w:t>分，本项最高得</w:t>
            </w:r>
            <w:r>
              <w:rPr>
                <w:rFonts w:hint="eastAsia" w:ascii="宋体" w:hAnsi="宋体" w:cs="宋体"/>
                <w:color w:val="auto"/>
                <w:highlight w:val="none"/>
                <w:lang w:val="en-US" w:eastAsia="zh-CN"/>
              </w:rPr>
              <w:t>24</w:t>
            </w:r>
            <w:r>
              <w:rPr>
                <w:rFonts w:hint="eastAsia" w:ascii="宋体" w:hAnsi="宋体" w:eastAsia="宋体" w:cs="宋体"/>
                <w:color w:val="auto"/>
                <w:highlight w:val="none"/>
              </w:rPr>
              <w:t>分。</w:t>
            </w:r>
          </w:p>
          <w:p w14:paraId="3283E821">
            <w:pPr>
              <w:spacing w:line="400" w:lineRule="exact"/>
              <w:rPr>
                <w:rFonts w:hint="eastAsia" w:ascii="宋体" w:hAnsi="宋体" w:eastAsia="宋体" w:cs="宋体"/>
                <w:b/>
                <w:color w:val="auto"/>
                <w:szCs w:val="21"/>
                <w:highlight w:val="none"/>
                <w:u w:val="single"/>
              </w:rPr>
            </w:pPr>
            <w:r>
              <w:rPr>
                <w:rFonts w:hint="eastAsia" w:ascii="宋体" w:hAnsi="宋体" w:eastAsia="宋体" w:cs="宋体"/>
                <w:b/>
                <w:bCs/>
                <w:color w:val="auto"/>
                <w:highlight w:val="none"/>
                <w:u w:val="single"/>
              </w:rPr>
              <w:t>注：须提供合同复印件加盖</w:t>
            </w:r>
            <w:r>
              <w:rPr>
                <w:rFonts w:hint="eastAsia" w:ascii="宋体" w:hAnsi="宋体" w:cs="宋体"/>
                <w:b/>
                <w:bCs/>
                <w:color w:val="auto"/>
                <w:highlight w:val="none"/>
                <w:u w:val="single"/>
                <w:lang w:val="en-US" w:eastAsia="zh-CN"/>
              </w:rPr>
              <w:t>供应商</w:t>
            </w:r>
            <w:r>
              <w:rPr>
                <w:rFonts w:hint="eastAsia" w:ascii="宋体" w:hAnsi="宋体" w:eastAsia="宋体" w:cs="宋体"/>
                <w:b/>
                <w:bCs/>
                <w:color w:val="auto"/>
                <w:highlight w:val="none"/>
                <w:u w:val="single"/>
              </w:rPr>
              <w:t>公章。</w:t>
            </w:r>
          </w:p>
        </w:tc>
      </w:tr>
      <w:tr w14:paraId="494C7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14:paraId="367F3622">
            <w:pPr>
              <w:spacing w:line="400" w:lineRule="exact"/>
              <w:jc w:val="center"/>
              <w:rPr>
                <w:rFonts w:ascii="宋体" w:hAnsi="宋体"/>
                <w:color w:val="auto"/>
                <w:sz w:val="31"/>
                <w:szCs w:val="28"/>
                <w:highlight w:val="none"/>
              </w:rPr>
            </w:pPr>
            <w:r>
              <w:rPr>
                <w:rFonts w:hint="eastAsia" w:ascii="宋体" w:hAnsi="宋体"/>
                <w:b/>
                <w:color w:val="auto"/>
                <w:szCs w:val="21"/>
                <w:highlight w:val="none"/>
              </w:rPr>
              <w:t>技术评审细则（</w:t>
            </w:r>
            <w:r>
              <w:rPr>
                <w:rFonts w:hint="eastAsia" w:ascii="宋体" w:hAnsi="宋体"/>
                <w:b/>
                <w:color w:val="auto"/>
                <w:szCs w:val="21"/>
                <w:highlight w:val="none"/>
                <w:lang w:val="en-US" w:eastAsia="zh-CN"/>
              </w:rPr>
              <w:t>60</w:t>
            </w:r>
            <w:r>
              <w:rPr>
                <w:rFonts w:hint="eastAsia" w:ascii="宋体" w:hAnsi="宋体"/>
                <w:b/>
                <w:color w:val="auto"/>
                <w:szCs w:val="21"/>
                <w:highlight w:val="none"/>
              </w:rPr>
              <w:t>分）</w:t>
            </w:r>
          </w:p>
        </w:tc>
      </w:tr>
      <w:tr w14:paraId="3C6E8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03" w:type="pct"/>
            <w:vAlign w:val="center"/>
          </w:tcPr>
          <w:p w14:paraId="1531086C">
            <w:pPr>
              <w:spacing w:line="400" w:lineRule="exact"/>
              <w:jc w:val="center"/>
              <w:rPr>
                <w:rFonts w:ascii="宋体" w:hAnsi="宋体"/>
                <w:color w:val="auto"/>
                <w:szCs w:val="21"/>
                <w:highlight w:val="none"/>
              </w:rPr>
            </w:pPr>
            <w:r>
              <w:rPr>
                <w:rFonts w:ascii="宋体" w:hAnsi="宋体"/>
                <w:color w:val="auto"/>
                <w:szCs w:val="21"/>
                <w:highlight w:val="none"/>
              </w:rPr>
              <w:t>1</w:t>
            </w:r>
          </w:p>
        </w:tc>
        <w:tc>
          <w:tcPr>
            <w:tcW w:w="751" w:type="pct"/>
            <w:vAlign w:val="center"/>
          </w:tcPr>
          <w:p w14:paraId="151CCA0A">
            <w:pPr>
              <w:spacing w:line="400" w:lineRule="exact"/>
              <w:jc w:val="center"/>
              <w:rPr>
                <w:rFonts w:ascii="宋体" w:hAnsi="宋体"/>
                <w:color w:val="auto"/>
                <w:szCs w:val="21"/>
                <w:highlight w:val="none"/>
              </w:rPr>
            </w:pPr>
            <w:r>
              <w:rPr>
                <w:rFonts w:hint="eastAsia" w:ascii="宋体" w:hAnsi="宋体"/>
                <w:color w:val="auto"/>
                <w:szCs w:val="21"/>
                <w:highlight w:val="none"/>
              </w:rPr>
              <w:t>项目实施方案</w:t>
            </w:r>
          </w:p>
        </w:tc>
        <w:tc>
          <w:tcPr>
            <w:tcW w:w="476" w:type="pct"/>
            <w:vAlign w:val="center"/>
          </w:tcPr>
          <w:p w14:paraId="0C7F9AF5">
            <w:pPr>
              <w:widowControl/>
              <w:spacing w:line="400" w:lineRule="exact"/>
              <w:jc w:val="center"/>
              <w:rPr>
                <w:rFonts w:ascii="宋体" w:hAnsi="宋体"/>
                <w:color w:val="auto"/>
                <w:szCs w:val="21"/>
                <w:highlight w:val="none"/>
              </w:rPr>
            </w:pPr>
            <w:r>
              <w:rPr>
                <w:rFonts w:hint="eastAsia" w:ascii="宋体" w:hAnsi="宋体"/>
                <w:color w:val="auto"/>
                <w:szCs w:val="21"/>
                <w:highlight w:val="none"/>
                <w:lang w:val="en-US" w:eastAsia="zh-CN"/>
              </w:rPr>
              <w:t>12</w:t>
            </w:r>
            <w:r>
              <w:rPr>
                <w:rFonts w:hint="eastAsia" w:ascii="宋体" w:hAnsi="宋体"/>
                <w:color w:val="auto"/>
                <w:szCs w:val="21"/>
                <w:highlight w:val="none"/>
              </w:rPr>
              <w:t>分</w:t>
            </w:r>
          </w:p>
        </w:tc>
        <w:tc>
          <w:tcPr>
            <w:tcW w:w="3369" w:type="pct"/>
            <w:vAlign w:val="center"/>
          </w:tcPr>
          <w:p w14:paraId="4C8842E6">
            <w:pPr>
              <w:spacing w:line="400" w:lineRule="exact"/>
              <w:rPr>
                <w:rFonts w:hint="eastAsia" w:ascii="宋体" w:hAnsi="宋体" w:eastAsia="宋体" w:cs="宋体"/>
                <w:b/>
                <w:bCs/>
                <w:color w:val="auto"/>
                <w:highlight w:val="none"/>
              </w:rPr>
            </w:pPr>
            <w:r>
              <w:rPr>
                <w:rFonts w:hint="eastAsia" w:ascii="宋体" w:hAnsi="宋体" w:eastAsia="宋体" w:cs="宋体"/>
                <w:b/>
                <w:bCs/>
                <w:color w:val="auto"/>
                <w:highlight w:val="none"/>
              </w:rPr>
              <w:t>根据</w:t>
            </w:r>
            <w:r>
              <w:rPr>
                <w:rFonts w:hint="eastAsia" w:ascii="宋体" w:hAnsi="宋体" w:cs="宋体"/>
                <w:b/>
                <w:bCs/>
                <w:color w:val="auto"/>
                <w:highlight w:val="none"/>
                <w:lang w:eastAsia="zh-CN"/>
              </w:rPr>
              <w:t>供应商</w:t>
            </w:r>
            <w:r>
              <w:rPr>
                <w:rFonts w:hint="eastAsia" w:ascii="宋体" w:hAnsi="宋体" w:eastAsia="宋体" w:cs="宋体"/>
                <w:b/>
                <w:bCs/>
                <w:color w:val="auto"/>
                <w:highlight w:val="none"/>
              </w:rPr>
              <w:t>所提供的项目实施方案（包括但不限于守卫巡逻制度、车辆管理、来访人员查验登记等）进行评审：</w:t>
            </w:r>
          </w:p>
          <w:p w14:paraId="01A25178">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1、实施方案有完备清晰且</w:t>
            </w:r>
            <w:r>
              <w:rPr>
                <w:rFonts w:hint="eastAsia" w:ascii="宋体" w:hAnsi="宋体" w:cs="宋体"/>
                <w:color w:val="auto"/>
                <w:highlight w:val="none"/>
                <w:lang w:val="en-US" w:eastAsia="zh-CN"/>
              </w:rPr>
              <w:t>具有</w:t>
            </w:r>
            <w:r>
              <w:rPr>
                <w:rFonts w:hint="eastAsia" w:ascii="宋体" w:hAnsi="宋体" w:eastAsia="宋体" w:cs="宋体"/>
                <w:color w:val="auto"/>
                <w:highlight w:val="none"/>
              </w:rPr>
              <w:t>高频的守卫巡逻制度、车辆管理方案有序可行、来访人员查验登记制度具有针对性</w:t>
            </w:r>
            <w:r>
              <w:rPr>
                <w:rFonts w:hint="eastAsia" w:ascii="宋体" w:hAnsi="宋体" w:cs="宋体"/>
                <w:color w:val="auto"/>
                <w:highlight w:val="none"/>
                <w:lang w:eastAsia="zh-CN"/>
              </w:rPr>
              <w:t>，</w:t>
            </w:r>
            <w:r>
              <w:rPr>
                <w:rFonts w:hint="eastAsia" w:ascii="宋体" w:hAnsi="宋体" w:eastAsia="宋体" w:cs="宋体"/>
                <w:color w:val="auto"/>
                <w:sz w:val="21"/>
                <w:szCs w:val="21"/>
                <w:highlight w:val="none"/>
                <w:lang w:val="en-US" w:eastAsia="zh-CN"/>
              </w:rPr>
              <w:t>能完全结合项目实际情况且完全满足采购需求要求的，</w:t>
            </w:r>
            <w:r>
              <w:rPr>
                <w:rFonts w:hint="eastAsia" w:ascii="宋体" w:hAnsi="宋体" w:eastAsia="宋体" w:cs="宋体"/>
                <w:color w:val="auto"/>
                <w:highlight w:val="none"/>
              </w:rPr>
              <w:t>得1</w:t>
            </w:r>
            <w:r>
              <w:rPr>
                <w:rFonts w:hint="eastAsia" w:ascii="宋体" w:hAnsi="宋体" w:cs="宋体"/>
                <w:color w:val="auto"/>
                <w:highlight w:val="none"/>
                <w:lang w:val="en-US" w:eastAsia="zh-CN"/>
              </w:rPr>
              <w:t>2</w:t>
            </w:r>
            <w:r>
              <w:rPr>
                <w:rFonts w:hint="eastAsia" w:ascii="宋体" w:hAnsi="宋体" w:eastAsia="宋体" w:cs="宋体"/>
                <w:color w:val="auto"/>
                <w:highlight w:val="none"/>
              </w:rPr>
              <w:t>分；</w:t>
            </w:r>
          </w:p>
          <w:p w14:paraId="770F4605">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2、实施方案有完备清晰的守卫巡逻制度、车辆管理方案较为有序可行、来访人员查验登记制度符合</w:t>
            </w:r>
            <w:r>
              <w:rPr>
                <w:rFonts w:hint="eastAsia" w:ascii="宋体" w:hAnsi="宋体" w:cs="宋体"/>
                <w:color w:val="auto"/>
                <w:highlight w:val="none"/>
                <w:lang w:val="en-US" w:eastAsia="zh-CN"/>
              </w:rPr>
              <w:t>采购需求</w:t>
            </w:r>
            <w:r>
              <w:rPr>
                <w:rFonts w:hint="eastAsia" w:ascii="宋体" w:hAnsi="宋体" w:eastAsia="宋体" w:cs="宋体"/>
                <w:color w:val="auto"/>
                <w:highlight w:val="none"/>
              </w:rPr>
              <w:t>要求，</w:t>
            </w:r>
            <w:r>
              <w:rPr>
                <w:rFonts w:hint="eastAsia" w:ascii="宋体" w:hAnsi="宋体" w:cs="宋体"/>
                <w:color w:val="auto"/>
                <w:highlight w:val="none"/>
                <w:lang w:val="en-US" w:eastAsia="zh-CN"/>
              </w:rPr>
              <w:t>能</w:t>
            </w:r>
            <w:r>
              <w:rPr>
                <w:rFonts w:hint="eastAsia" w:ascii="宋体" w:hAnsi="宋体" w:eastAsia="宋体" w:cs="宋体"/>
                <w:color w:val="auto"/>
                <w:szCs w:val="21"/>
                <w:highlight w:val="none"/>
                <w:lang w:val="en-US" w:eastAsia="zh-CN"/>
              </w:rPr>
              <w:t>部分结合项目实际情况且</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，得</w:t>
            </w:r>
            <w:r>
              <w:rPr>
                <w:rFonts w:hint="eastAsia" w:ascii="宋体" w:hAnsi="宋体" w:cs="宋体"/>
                <w:color w:val="auto"/>
                <w:highlight w:val="none"/>
                <w:lang w:val="en-US" w:eastAsia="zh-CN"/>
              </w:rPr>
              <w:t>8</w:t>
            </w:r>
            <w:r>
              <w:rPr>
                <w:rFonts w:hint="eastAsia" w:ascii="宋体" w:hAnsi="宋体" w:eastAsia="宋体" w:cs="宋体"/>
                <w:color w:val="auto"/>
                <w:highlight w:val="none"/>
              </w:rPr>
              <w:t>分；</w:t>
            </w:r>
          </w:p>
          <w:p w14:paraId="3DA120E3">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3、实施方案有明确的守卫巡逻制度、车辆管理方案基本可行、来访人员查验登记制度完整，</w:t>
            </w:r>
            <w:r>
              <w:rPr>
                <w:rFonts w:hint="eastAsia" w:ascii="宋体" w:hAnsi="宋体" w:eastAsia="宋体" w:cs="宋体"/>
                <w:color w:val="auto"/>
                <w:szCs w:val="21"/>
                <w:highlight w:val="none"/>
                <w:lang w:val="en-US" w:eastAsia="zh-CN"/>
              </w:rPr>
              <w:t>未结合项目实际情况但</w:t>
            </w:r>
            <w:r>
              <w:rPr>
                <w:rFonts w:hint="eastAsia" w:ascii="宋体" w:hAnsi="宋体" w:eastAsia="宋体" w:cs="宋体"/>
                <w:color w:val="auto"/>
                <w:sz w:val="21"/>
                <w:szCs w:val="21"/>
                <w:highlight w:val="none"/>
                <w:lang w:val="en-US" w:eastAsia="zh-CN"/>
              </w:rPr>
              <w:t>基本满足采购需求要求的，</w:t>
            </w:r>
            <w:r>
              <w:rPr>
                <w:rFonts w:hint="eastAsia" w:ascii="宋体" w:hAnsi="宋体" w:eastAsia="宋体" w:cs="宋体"/>
                <w:color w:val="auto"/>
                <w:highlight w:val="none"/>
              </w:rPr>
              <w:t>得</w:t>
            </w:r>
            <w:r>
              <w:rPr>
                <w:rFonts w:hint="eastAsia" w:ascii="宋体" w:hAnsi="宋体" w:cs="宋体"/>
                <w:color w:val="auto"/>
                <w:highlight w:val="none"/>
                <w:lang w:val="en-US" w:eastAsia="zh-CN"/>
              </w:rPr>
              <w:t>4</w:t>
            </w:r>
            <w:r>
              <w:rPr>
                <w:rFonts w:hint="eastAsia" w:ascii="宋体" w:hAnsi="宋体" w:eastAsia="宋体" w:cs="宋体"/>
                <w:color w:val="auto"/>
                <w:highlight w:val="none"/>
              </w:rPr>
              <w:t>分；</w:t>
            </w:r>
          </w:p>
          <w:p w14:paraId="55EBF9D4">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4、实施方案的守卫巡逻制度简略、车辆管理方案可行性不足、来访人员查验登记制度不完整，难以满足采购需求要求的，得1分；</w:t>
            </w:r>
          </w:p>
          <w:p w14:paraId="16685AC2">
            <w:pPr>
              <w:spacing w:line="400" w:lineRule="exact"/>
              <w:rPr>
                <w:rFonts w:hint="eastAsia" w:ascii="宋体" w:hAnsi="宋体" w:eastAsia="宋体" w:cs="宋体"/>
                <w:color w:val="auto"/>
                <w:szCs w:val="21"/>
                <w:highlight w:val="none"/>
              </w:rPr>
            </w:pPr>
            <w:r>
              <w:rPr>
                <w:rFonts w:hint="eastAsia" w:ascii="宋体" w:hAnsi="宋体" w:eastAsia="宋体" w:cs="宋体"/>
                <w:color w:val="auto"/>
                <w:highlight w:val="none"/>
              </w:rPr>
              <w:t>5、未提供</w:t>
            </w:r>
            <w:r>
              <w:rPr>
                <w:rFonts w:hint="eastAsia" w:ascii="宋体" w:hAnsi="宋体" w:cs="宋体"/>
                <w:color w:val="auto"/>
                <w:highlight w:val="none"/>
                <w:lang w:val="en-US" w:eastAsia="zh-CN"/>
              </w:rPr>
              <w:t>相关</w:t>
            </w:r>
            <w:r>
              <w:rPr>
                <w:rFonts w:hint="eastAsia" w:ascii="宋体" w:hAnsi="宋体" w:eastAsia="宋体" w:cs="宋体"/>
                <w:color w:val="auto"/>
                <w:highlight w:val="none"/>
              </w:rPr>
              <w:t>方案或其他情形的，得0分。</w:t>
            </w:r>
          </w:p>
        </w:tc>
      </w:tr>
      <w:tr w14:paraId="167B0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03" w:type="pct"/>
            <w:vAlign w:val="center"/>
          </w:tcPr>
          <w:p w14:paraId="787D74F6">
            <w:pPr>
              <w:spacing w:line="400" w:lineRule="exact"/>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2</w:t>
            </w:r>
          </w:p>
        </w:tc>
        <w:tc>
          <w:tcPr>
            <w:tcW w:w="751" w:type="pct"/>
            <w:vAlign w:val="center"/>
          </w:tcPr>
          <w:p w14:paraId="7FFCED56">
            <w:pPr>
              <w:spacing w:line="400" w:lineRule="exact"/>
              <w:jc w:val="center"/>
              <w:rPr>
                <w:rFonts w:ascii="宋体" w:hAnsi="宋体"/>
                <w:bCs/>
                <w:color w:val="auto"/>
                <w:szCs w:val="21"/>
                <w:highlight w:val="none"/>
              </w:rPr>
            </w:pPr>
            <w:r>
              <w:rPr>
                <w:rFonts w:hint="eastAsia" w:ascii="宋体" w:hAnsi="宋体"/>
                <w:bCs/>
                <w:color w:val="auto"/>
                <w:szCs w:val="21"/>
                <w:highlight w:val="none"/>
              </w:rPr>
              <w:t>服务质量保障措施</w:t>
            </w:r>
          </w:p>
        </w:tc>
        <w:tc>
          <w:tcPr>
            <w:tcW w:w="476" w:type="pct"/>
            <w:vAlign w:val="center"/>
          </w:tcPr>
          <w:p w14:paraId="2529F2B5">
            <w:pPr>
              <w:widowControl/>
              <w:spacing w:line="400" w:lineRule="exact"/>
              <w:jc w:val="center"/>
              <w:rPr>
                <w:rFonts w:ascii="宋体" w:hAnsi="宋体"/>
                <w:bCs/>
                <w:color w:val="auto"/>
                <w:szCs w:val="21"/>
                <w:highlight w:val="none"/>
              </w:rPr>
            </w:pPr>
            <w:r>
              <w:rPr>
                <w:rFonts w:hint="eastAsia" w:ascii="宋体" w:hAnsi="宋体"/>
                <w:color w:val="auto"/>
                <w:szCs w:val="21"/>
                <w:highlight w:val="none"/>
                <w:lang w:val="en-US" w:eastAsia="zh-CN"/>
              </w:rPr>
              <w:t>12</w:t>
            </w:r>
            <w:r>
              <w:rPr>
                <w:rFonts w:hint="eastAsia" w:ascii="宋体" w:hAnsi="宋体"/>
                <w:color w:val="auto"/>
                <w:szCs w:val="21"/>
                <w:highlight w:val="none"/>
              </w:rPr>
              <w:t>分</w:t>
            </w:r>
          </w:p>
        </w:tc>
        <w:tc>
          <w:tcPr>
            <w:tcW w:w="3369" w:type="pct"/>
            <w:vAlign w:val="center"/>
          </w:tcPr>
          <w:p w14:paraId="6230727B">
            <w:pPr>
              <w:spacing w:line="400" w:lineRule="exact"/>
              <w:rPr>
                <w:rFonts w:hint="eastAsia" w:ascii="宋体" w:hAnsi="宋体" w:eastAsia="宋体" w:cs="宋体"/>
                <w:b/>
                <w:bCs/>
                <w:color w:val="auto"/>
                <w:highlight w:val="none"/>
              </w:rPr>
            </w:pPr>
            <w:r>
              <w:rPr>
                <w:rFonts w:hint="eastAsia" w:ascii="宋体" w:hAnsi="宋体" w:eastAsia="宋体" w:cs="宋体"/>
                <w:b/>
                <w:bCs/>
                <w:color w:val="auto"/>
                <w:highlight w:val="none"/>
              </w:rPr>
              <w:t>根据</w:t>
            </w:r>
            <w:r>
              <w:rPr>
                <w:rFonts w:hint="eastAsia" w:ascii="宋体" w:hAnsi="宋体" w:cs="宋体"/>
                <w:b/>
                <w:bCs/>
                <w:color w:val="auto"/>
                <w:highlight w:val="none"/>
                <w:lang w:eastAsia="zh-CN"/>
              </w:rPr>
              <w:t>供应商</w:t>
            </w:r>
            <w:r>
              <w:rPr>
                <w:rFonts w:hint="eastAsia" w:ascii="宋体" w:hAnsi="宋体" w:eastAsia="宋体" w:cs="宋体"/>
                <w:b/>
                <w:bCs/>
                <w:color w:val="auto"/>
                <w:highlight w:val="none"/>
              </w:rPr>
              <w:t>针对本项目制定的服务质量保障措施（包括但不限于保安人员入职及仪容仪表培训、应急演练、组织架构及管理制度等）进行评审：</w:t>
            </w:r>
          </w:p>
          <w:p w14:paraId="33A02912">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1、保安人员入职及仪容仪表培训内容丰富全面、应急演练</w:t>
            </w:r>
            <w:r>
              <w:rPr>
                <w:rFonts w:hint="eastAsia" w:ascii="宋体" w:hAnsi="宋体" w:cs="宋体"/>
                <w:color w:val="auto"/>
                <w:highlight w:val="none"/>
                <w:lang w:val="en-US" w:eastAsia="zh-CN"/>
              </w:rPr>
              <w:t>内容</w:t>
            </w:r>
            <w:r>
              <w:rPr>
                <w:rFonts w:hint="eastAsia" w:ascii="宋体" w:hAnsi="宋体" w:eastAsia="宋体" w:cs="宋体"/>
                <w:color w:val="auto"/>
                <w:highlight w:val="none"/>
              </w:rPr>
              <w:t>设计和频次科学合理，组织架构及管理制度完善高效</w:t>
            </w:r>
            <w:r>
              <w:rPr>
                <w:rFonts w:hint="eastAsia" w:ascii="宋体" w:hAnsi="宋体" w:cs="宋体"/>
                <w:color w:val="auto"/>
                <w:highlight w:val="none"/>
                <w:lang w:eastAsia="zh-CN"/>
              </w:rPr>
              <w:t>，</w:t>
            </w:r>
            <w:r>
              <w:rPr>
                <w:rFonts w:hint="eastAsia" w:ascii="宋体" w:hAnsi="宋体" w:eastAsia="宋体" w:cs="宋体"/>
                <w:color w:val="auto"/>
                <w:sz w:val="21"/>
                <w:szCs w:val="21"/>
                <w:highlight w:val="none"/>
                <w:lang w:val="en-US" w:eastAsia="zh-CN"/>
              </w:rPr>
              <w:t>能完全结合项目实际情况且完全满足采购需求要求的，</w:t>
            </w:r>
            <w:r>
              <w:rPr>
                <w:rFonts w:hint="eastAsia" w:ascii="宋体" w:hAnsi="宋体" w:eastAsia="宋体" w:cs="宋体"/>
                <w:color w:val="auto"/>
                <w:highlight w:val="none"/>
              </w:rPr>
              <w:t>得1</w:t>
            </w:r>
            <w:r>
              <w:rPr>
                <w:rFonts w:hint="eastAsia" w:ascii="宋体" w:hAnsi="宋体" w:cs="宋体"/>
                <w:color w:val="auto"/>
                <w:highlight w:val="none"/>
                <w:lang w:val="en-US" w:eastAsia="zh-CN"/>
              </w:rPr>
              <w:t>2</w:t>
            </w:r>
            <w:r>
              <w:rPr>
                <w:rFonts w:hint="eastAsia" w:ascii="宋体" w:hAnsi="宋体" w:eastAsia="宋体" w:cs="宋体"/>
                <w:color w:val="auto"/>
                <w:highlight w:val="none"/>
              </w:rPr>
              <w:t>分；</w:t>
            </w:r>
          </w:p>
          <w:p w14:paraId="28A3592C">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2、保安人员入职及仪容仪表培训内容全面、应急演练</w:t>
            </w:r>
            <w:r>
              <w:rPr>
                <w:rFonts w:hint="eastAsia" w:ascii="宋体" w:hAnsi="宋体" w:cs="宋体"/>
                <w:color w:val="auto"/>
                <w:highlight w:val="none"/>
                <w:lang w:val="en-US" w:eastAsia="zh-CN"/>
              </w:rPr>
              <w:t>内容</w:t>
            </w:r>
            <w:r>
              <w:rPr>
                <w:rFonts w:hint="eastAsia" w:ascii="宋体" w:hAnsi="宋体" w:eastAsia="宋体" w:cs="宋体"/>
                <w:color w:val="auto"/>
                <w:highlight w:val="none"/>
              </w:rPr>
              <w:t>设计和频次较为合理，组织架构及管理制度较为完善，</w:t>
            </w:r>
            <w:r>
              <w:rPr>
                <w:rFonts w:hint="eastAsia" w:ascii="宋体" w:hAnsi="宋体" w:cs="宋体"/>
                <w:color w:val="auto"/>
                <w:highlight w:val="none"/>
                <w:lang w:val="en-US" w:eastAsia="zh-CN"/>
              </w:rPr>
              <w:t>能</w:t>
            </w:r>
            <w:r>
              <w:rPr>
                <w:rFonts w:hint="eastAsia" w:ascii="宋体" w:hAnsi="宋体" w:eastAsia="宋体" w:cs="宋体"/>
                <w:color w:val="auto"/>
                <w:szCs w:val="21"/>
                <w:highlight w:val="none"/>
                <w:lang w:val="en-US" w:eastAsia="zh-CN"/>
              </w:rPr>
              <w:t>部分结合项目实际情况且</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，得</w:t>
            </w:r>
            <w:r>
              <w:rPr>
                <w:rFonts w:hint="eastAsia" w:ascii="宋体" w:hAnsi="宋体" w:cs="宋体"/>
                <w:color w:val="auto"/>
                <w:highlight w:val="none"/>
                <w:lang w:val="en-US" w:eastAsia="zh-CN"/>
              </w:rPr>
              <w:t>8</w:t>
            </w:r>
            <w:r>
              <w:rPr>
                <w:rFonts w:hint="eastAsia" w:ascii="宋体" w:hAnsi="宋体" w:eastAsia="宋体" w:cs="宋体"/>
                <w:color w:val="auto"/>
                <w:highlight w:val="none"/>
              </w:rPr>
              <w:t>分；</w:t>
            </w:r>
          </w:p>
          <w:p w14:paraId="0FDB8D63">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3、保安人员入职及仪容仪表培训内容一般，应急演练</w:t>
            </w:r>
            <w:r>
              <w:rPr>
                <w:rFonts w:hint="eastAsia" w:ascii="宋体" w:hAnsi="宋体" w:cs="宋体"/>
                <w:color w:val="auto"/>
                <w:highlight w:val="none"/>
                <w:lang w:val="en-US" w:eastAsia="zh-CN"/>
              </w:rPr>
              <w:t>内容</w:t>
            </w:r>
            <w:r>
              <w:rPr>
                <w:rFonts w:hint="eastAsia" w:ascii="宋体" w:hAnsi="宋体" w:eastAsia="宋体" w:cs="宋体"/>
                <w:color w:val="auto"/>
                <w:highlight w:val="none"/>
              </w:rPr>
              <w:t>设计和频次基本合理，组织架构及管理制度一般，</w:t>
            </w:r>
            <w:r>
              <w:rPr>
                <w:rFonts w:hint="eastAsia" w:ascii="宋体" w:hAnsi="宋体" w:eastAsia="宋体" w:cs="宋体"/>
                <w:color w:val="auto"/>
                <w:szCs w:val="21"/>
                <w:highlight w:val="none"/>
                <w:lang w:val="en-US" w:eastAsia="zh-CN"/>
              </w:rPr>
              <w:t>未结合项目实际情况但</w:t>
            </w:r>
            <w:r>
              <w:rPr>
                <w:rFonts w:hint="eastAsia" w:ascii="宋体" w:hAnsi="宋体" w:eastAsia="宋体" w:cs="宋体"/>
                <w:color w:val="auto"/>
                <w:sz w:val="21"/>
                <w:szCs w:val="21"/>
                <w:highlight w:val="none"/>
                <w:lang w:val="en-US" w:eastAsia="zh-CN"/>
              </w:rPr>
              <w:t>基本满足采购需求要求的，</w:t>
            </w:r>
            <w:r>
              <w:rPr>
                <w:rFonts w:hint="eastAsia" w:ascii="宋体" w:hAnsi="宋体" w:eastAsia="宋体" w:cs="宋体"/>
                <w:color w:val="auto"/>
                <w:highlight w:val="none"/>
              </w:rPr>
              <w:t>得</w:t>
            </w:r>
            <w:r>
              <w:rPr>
                <w:rFonts w:hint="eastAsia" w:ascii="宋体" w:hAnsi="宋体" w:cs="宋体"/>
                <w:color w:val="auto"/>
                <w:highlight w:val="none"/>
                <w:lang w:val="en-US" w:eastAsia="zh-CN"/>
              </w:rPr>
              <w:t>4</w:t>
            </w:r>
            <w:r>
              <w:rPr>
                <w:rFonts w:hint="eastAsia" w:ascii="宋体" w:hAnsi="宋体" w:eastAsia="宋体" w:cs="宋体"/>
                <w:color w:val="auto"/>
                <w:highlight w:val="none"/>
              </w:rPr>
              <w:t>分；</w:t>
            </w:r>
          </w:p>
          <w:p w14:paraId="0673E73F">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4、保安人员入职及仪容仪表培训简单，应急演练</w:t>
            </w:r>
            <w:r>
              <w:rPr>
                <w:rFonts w:hint="eastAsia" w:ascii="宋体" w:hAnsi="宋体" w:cs="宋体"/>
                <w:color w:val="auto"/>
                <w:highlight w:val="none"/>
                <w:lang w:val="en-US" w:eastAsia="zh-CN"/>
              </w:rPr>
              <w:t>内容</w:t>
            </w:r>
            <w:r>
              <w:rPr>
                <w:rFonts w:hint="eastAsia" w:ascii="宋体" w:hAnsi="宋体" w:eastAsia="宋体" w:cs="宋体"/>
                <w:color w:val="auto"/>
                <w:highlight w:val="none"/>
              </w:rPr>
              <w:t>设计及频次不科学，组织架构及管理制度效率较低，</w:t>
            </w:r>
            <w:r>
              <w:rPr>
                <w:rFonts w:hint="eastAsia" w:ascii="宋体" w:hAnsi="宋体" w:cs="宋体"/>
                <w:color w:val="auto"/>
                <w:highlight w:val="none"/>
                <w:lang w:val="en-US" w:eastAsia="zh-CN"/>
              </w:rPr>
              <w:t>难以</w:t>
            </w:r>
            <w:r>
              <w:rPr>
                <w:rFonts w:hint="eastAsia" w:ascii="宋体" w:hAnsi="宋体" w:eastAsia="宋体" w:cs="宋体"/>
                <w:color w:val="auto"/>
                <w:highlight w:val="none"/>
              </w:rPr>
              <w:t>满足采购需求要求的，得1分；</w:t>
            </w:r>
          </w:p>
          <w:p w14:paraId="5550C3F9">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highlight w:val="none"/>
              </w:rPr>
              <w:t>5、未提供</w:t>
            </w:r>
            <w:r>
              <w:rPr>
                <w:rFonts w:hint="eastAsia" w:ascii="宋体" w:hAnsi="宋体" w:cs="宋体"/>
                <w:color w:val="auto"/>
                <w:highlight w:val="none"/>
                <w:lang w:val="en-US" w:eastAsia="zh-CN"/>
              </w:rPr>
              <w:t>相关</w:t>
            </w:r>
            <w:r>
              <w:rPr>
                <w:rFonts w:hint="eastAsia" w:ascii="宋体" w:hAnsi="宋体" w:eastAsia="宋体" w:cs="宋体"/>
                <w:color w:val="auto"/>
                <w:highlight w:val="none"/>
              </w:rPr>
              <w:t>方案或其他情形的，得0分。</w:t>
            </w:r>
          </w:p>
        </w:tc>
      </w:tr>
      <w:tr w14:paraId="336AE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03" w:type="pct"/>
            <w:vAlign w:val="center"/>
          </w:tcPr>
          <w:p w14:paraId="08B3E95D">
            <w:pPr>
              <w:spacing w:line="400" w:lineRule="exact"/>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3</w:t>
            </w:r>
          </w:p>
        </w:tc>
        <w:tc>
          <w:tcPr>
            <w:tcW w:w="751" w:type="pct"/>
            <w:vAlign w:val="center"/>
          </w:tcPr>
          <w:p w14:paraId="790C3800">
            <w:pPr>
              <w:spacing w:line="400" w:lineRule="exact"/>
              <w:jc w:val="center"/>
              <w:rPr>
                <w:rFonts w:ascii="宋体" w:hAnsi="宋体"/>
                <w:bCs/>
                <w:color w:val="auto"/>
                <w:szCs w:val="21"/>
                <w:highlight w:val="none"/>
              </w:rPr>
            </w:pPr>
            <w:r>
              <w:rPr>
                <w:rFonts w:hint="eastAsia" w:ascii="宋体" w:hAnsi="宋体"/>
                <w:bCs/>
                <w:color w:val="auto"/>
                <w:szCs w:val="21"/>
                <w:highlight w:val="none"/>
              </w:rPr>
              <w:t>服务应急方案</w:t>
            </w:r>
          </w:p>
        </w:tc>
        <w:tc>
          <w:tcPr>
            <w:tcW w:w="476" w:type="pct"/>
            <w:vAlign w:val="center"/>
          </w:tcPr>
          <w:p w14:paraId="64CD4013">
            <w:pPr>
              <w:widowControl/>
              <w:spacing w:line="400" w:lineRule="exact"/>
              <w:jc w:val="center"/>
              <w:rPr>
                <w:rFonts w:ascii="宋体" w:hAnsi="宋体"/>
                <w:color w:val="auto"/>
                <w:szCs w:val="21"/>
                <w:highlight w:val="none"/>
              </w:rPr>
            </w:pPr>
            <w:r>
              <w:rPr>
                <w:rFonts w:hint="eastAsia" w:ascii="宋体" w:hAnsi="宋体"/>
                <w:color w:val="auto"/>
                <w:szCs w:val="21"/>
                <w:highlight w:val="none"/>
                <w:lang w:val="en-US" w:eastAsia="zh-CN"/>
              </w:rPr>
              <w:t>12</w:t>
            </w:r>
            <w:r>
              <w:rPr>
                <w:rFonts w:hint="eastAsia" w:ascii="宋体" w:hAnsi="宋体"/>
                <w:color w:val="auto"/>
                <w:szCs w:val="21"/>
                <w:highlight w:val="none"/>
              </w:rPr>
              <w:t>分</w:t>
            </w:r>
          </w:p>
        </w:tc>
        <w:tc>
          <w:tcPr>
            <w:tcW w:w="3369" w:type="pct"/>
            <w:vAlign w:val="center"/>
          </w:tcPr>
          <w:p w14:paraId="721305C1">
            <w:pPr>
              <w:spacing w:line="400" w:lineRule="exact"/>
              <w:rPr>
                <w:rFonts w:hint="eastAsia" w:ascii="宋体" w:hAnsi="宋体" w:eastAsia="宋体" w:cs="宋体"/>
                <w:b/>
                <w:bCs/>
                <w:color w:val="auto"/>
                <w:highlight w:val="none"/>
              </w:rPr>
            </w:pPr>
            <w:r>
              <w:rPr>
                <w:rFonts w:hint="eastAsia" w:ascii="宋体" w:hAnsi="宋体" w:eastAsia="宋体" w:cs="宋体"/>
                <w:b/>
                <w:bCs/>
                <w:color w:val="auto"/>
                <w:highlight w:val="none"/>
              </w:rPr>
              <w:t>根据</w:t>
            </w:r>
            <w:r>
              <w:rPr>
                <w:rFonts w:hint="eastAsia" w:ascii="宋体" w:hAnsi="宋体" w:cs="宋体"/>
                <w:b/>
                <w:bCs/>
                <w:color w:val="auto"/>
                <w:highlight w:val="none"/>
                <w:lang w:eastAsia="zh-CN"/>
              </w:rPr>
              <w:t>供应商</w:t>
            </w:r>
            <w:r>
              <w:rPr>
                <w:rFonts w:hint="eastAsia" w:ascii="宋体" w:hAnsi="宋体" w:eastAsia="宋体" w:cs="宋体"/>
                <w:b/>
                <w:bCs/>
                <w:color w:val="auto"/>
                <w:highlight w:val="none"/>
              </w:rPr>
              <w:t>所提供的服务应急方案（包括但不限于</w:t>
            </w:r>
            <w:r>
              <w:rPr>
                <w:rFonts w:hint="eastAsia" w:ascii="宋体" w:hAnsi="宋体" w:cs="宋体"/>
                <w:b/>
                <w:bCs/>
                <w:color w:val="auto"/>
                <w:highlight w:val="none"/>
                <w:lang w:val="en-US" w:eastAsia="zh-CN"/>
              </w:rPr>
              <w:t>特殊时期</w:t>
            </w:r>
            <w:r>
              <w:rPr>
                <w:rFonts w:hint="eastAsia" w:ascii="宋体" w:hAnsi="宋体" w:eastAsia="宋体" w:cs="宋体"/>
                <w:b/>
                <w:bCs/>
                <w:color w:val="auto"/>
                <w:highlight w:val="none"/>
              </w:rPr>
              <w:t>安保方案、火灾、</w:t>
            </w:r>
            <w:r>
              <w:rPr>
                <w:rFonts w:hint="eastAsia" w:ascii="宋体" w:hAnsi="宋体" w:cs="宋体"/>
                <w:b/>
                <w:bCs/>
                <w:color w:val="auto"/>
                <w:highlight w:val="none"/>
                <w:lang w:val="en-US" w:eastAsia="zh-CN"/>
              </w:rPr>
              <w:t>台风</w:t>
            </w:r>
            <w:r>
              <w:rPr>
                <w:rFonts w:hint="eastAsia" w:ascii="宋体" w:hAnsi="宋体" w:eastAsia="宋体" w:cs="宋体"/>
                <w:b/>
                <w:bCs/>
                <w:color w:val="auto"/>
                <w:highlight w:val="none"/>
              </w:rPr>
              <w:t>及</w:t>
            </w:r>
            <w:r>
              <w:rPr>
                <w:rFonts w:hint="eastAsia" w:ascii="宋体" w:hAnsi="宋体" w:cs="宋体"/>
                <w:b/>
                <w:bCs/>
                <w:color w:val="auto"/>
                <w:highlight w:val="none"/>
                <w:lang w:val="en-US" w:eastAsia="zh-CN"/>
              </w:rPr>
              <w:t>恶性案件</w:t>
            </w:r>
            <w:r>
              <w:rPr>
                <w:rFonts w:hint="eastAsia" w:ascii="宋体" w:hAnsi="宋体" w:eastAsia="宋体" w:cs="宋体"/>
                <w:b/>
                <w:bCs/>
                <w:color w:val="auto"/>
                <w:highlight w:val="none"/>
              </w:rPr>
              <w:t>的应急方案）进行评审：</w:t>
            </w:r>
          </w:p>
          <w:p w14:paraId="6298A1A4">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cs="宋体"/>
                <w:color w:val="auto"/>
                <w:highlight w:val="none"/>
                <w:lang w:eastAsia="zh-CN"/>
              </w:rPr>
              <w:t>供应商</w:t>
            </w:r>
            <w:r>
              <w:rPr>
                <w:rFonts w:hint="eastAsia" w:ascii="宋体" w:hAnsi="宋体" w:eastAsia="宋体" w:cs="宋体"/>
                <w:color w:val="auto"/>
                <w:highlight w:val="none"/>
              </w:rPr>
              <w:t>提供的服务应急方案完整详细，针对</w:t>
            </w:r>
            <w:r>
              <w:rPr>
                <w:rFonts w:hint="eastAsia" w:ascii="宋体" w:hAnsi="宋体" w:cs="宋体"/>
                <w:color w:val="auto"/>
                <w:highlight w:val="none"/>
                <w:lang w:val="en-US" w:eastAsia="zh-CN"/>
              </w:rPr>
              <w:t>重大接待任务和节假日等特殊时期</w:t>
            </w:r>
            <w:r>
              <w:rPr>
                <w:rFonts w:hint="eastAsia" w:ascii="宋体" w:hAnsi="宋体" w:eastAsia="宋体" w:cs="宋体"/>
                <w:color w:val="auto"/>
                <w:highlight w:val="none"/>
              </w:rPr>
              <w:t>的安保方案、应对火灾、</w:t>
            </w:r>
            <w:r>
              <w:rPr>
                <w:rFonts w:hint="eastAsia" w:ascii="宋体" w:hAnsi="宋体" w:cs="宋体"/>
                <w:color w:val="auto"/>
                <w:highlight w:val="none"/>
                <w:lang w:val="en-US" w:eastAsia="zh-CN"/>
              </w:rPr>
              <w:t>台风及恶性案件</w:t>
            </w:r>
            <w:r>
              <w:rPr>
                <w:rFonts w:hint="eastAsia" w:ascii="宋体" w:hAnsi="宋体" w:eastAsia="宋体" w:cs="宋体"/>
                <w:color w:val="auto"/>
                <w:highlight w:val="none"/>
              </w:rPr>
              <w:t>的应急方案可行性强，工作重点突出强调人身安全且有成熟的工作方案</w:t>
            </w:r>
            <w:r>
              <w:rPr>
                <w:rFonts w:hint="eastAsia" w:ascii="宋体" w:hAnsi="宋体" w:cs="宋体"/>
                <w:color w:val="auto"/>
                <w:highlight w:val="none"/>
                <w:lang w:eastAsia="zh-CN"/>
              </w:rPr>
              <w:t>，</w:t>
            </w:r>
            <w:r>
              <w:rPr>
                <w:rFonts w:hint="eastAsia" w:ascii="宋体" w:hAnsi="宋体" w:eastAsia="宋体" w:cs="宋体"/>
                <w:color w:val="auto"/>
                <w:sz w:val="21"/>
                <w:szCs w:val="21"/>
                <w:highlight w:val="none"/>
                <w:lang w:val="en-US" w:eastAsia="zh-CN"/>
              </w:rPr>
              <w:t>能完全结合项目实际情况且完全满足采购需求要求的，</w:t>
            </w:r>
            <w:r>
              <w:rPr>
                <w:rFonts w:hint="eastAsia" w:ascii="宋体" w:hAnsi="宋体" w:eastAsia="宋体" w:cs="宋体"/>
                <w:color w:val="auto"/>
                <w:highlight w:val="none"/>
              </w:rPr>
              <w:t>得</w:t>
            </w:r>
            <w:r>
              <w:rPr>
                <w:rFonts w:hint="eastAsia" w:ascii="宋体" w:hAnsi="宋体" w:cs="宋体"/>
                <w:color w:val="auto"/>
                <w:highlight w:val="none"/>
                <w:lang w:val="en-US" w:eastAsia="zh-CN"/>
              </w:rPr>
              <w:t>12</w:t>
            </w:r>
            <w:r>
              <w:rPr>
                <w:rFonts w:hint="eastAsia" w:ascii="宋体" w:hAnsi="宋体" w:eastAsia="宋体" w:cs="宋体"/>
                <w:color w:val="auto"/>
                <w:highlight w:val="none"/>
              </w:rPr>
              <w:t>分；</w:t>
            </w:r>
          </w:p>
          <w:p w14:paraId="0B047D3A">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cs="宋体"/>
                <w:color w:val="auto"/>
                <w:highlight w:val="none"/>
                <w:lang w:eastAsia="zh-CN"/>
              </w:rPr>
              <w:t>供应商</w:t>
            </w:r>
            <w:r>
              <w:rPr>
                <w:rFonts w:hint="eastAsia" w:ascii="宋体" w:hAnsi="宋体" w:eastAsia="宋体" w:cs="宋体"/>
                <w:color w:val="auto"/>
                <w:highlight w:val="none"/>
              </w:rPr>
              <w:t>提供的服务应急方案完整，针对</w:t>
            </w:r>
            <w:r>
              <w:rPr>
                <w:rFonts w:hint="eastAsia" w:ascii="宋体" w:hAnsi="宋体" w:cs="宋体"/>
                <w:color w:val="auto"/>
                <w:highlight w:val="none"/>
                <w:lang w:val="en-US" w:eastAsia="zh-CN"/>
              </w:rPr>
              <w:t>重大接待任务和节假日等特殊时期</w:t>
            </w:r>
            <w:r>
              <w:rPr>
                <w:rFonts w:hint="eastAsia" w:ascii="宋体" w:hAnsi="宋体" w:eastAsia="宋体" w:cs="宋体"/>
                <w:color w:val="auto"/>
                <w:highlight w:val="none"/>
              </w:rPr>
              <w:t>的安保方案、应对火灾、</w:t>
            </w:r>
            <w:r>
              <w:rPr>
                <w:rFonts w:hint="eastAsia" w:ascii="宋体" w:hAnsi="宋体" w:cs="宋体"/>
                <w:color w:val="auto"/>
                <w:highlight w:val="none"/>
                <w:lang w:val="en-US" w:eastAsia="zh-CN"/>
              </w:rPr>
              <w:t>台风及恶性案件</w:t>
            </w:r>
            <w:r>
              <w:rPr>
                <w:rFonts w:hint="eastAsia" w:ascii="宋体" w:hAnsi="宋体" w:eastAsia="宋体" w:cs="宋体"/>
                <w:color w:val="auto"/>
                <w:highlight w:val="none"/>
              </w:rPr>
              <w:t>的应急方案可行性</w:t>
            </w:r>
            <w:r>
              <w:rPr>
                <w:rFonts w:hint="eastAsia" w:ascii="宋体" w:hAnsi="宋体" w:cs="宋体"/>
                <w:color w:val="auto"/>
                <w:highlight w:val="none"/>
                <w:lang w:val="en-US" w:eastAsia="zh-CN"/>
              </w:rPr>
              <w:t>较</w:t>
            </w:r>
            <w:r>
              <w:rPr>
                <w:rFonts w:hint="eastAsia" w:ascii="宋体" w:hAnsi="宋体" w:eastAsia="宋体" w:cs="宋体"/>
                <w:color w:val="auto"/>
                <w:highlight w:val="none"/>
              </w:rPr>
              <w:t>强，工作重点包含人身安全且有对应的工作方案，</w:t>
            </w:r>
            <w:r>
              <w:rPr>
                <w:rFonts w:hint="eastAsia" w:ascii="宋体" w:hAnsi="宋体" w:cs="宋体"/>
                <w:color w:val="auto"/>
                <w:highlight w:val="none"/>
                <w:lang w:val="en-US" w:eastAsia="zh-CN"/>
              </w:rPr>
              <w:t>能</w:t>
            </w:r>
            <w:r>
              <w:rPr>
                <w:rFonts w:hint="eastAsia" w:ascii="宋体" w:hAnsi="宋体" w:eastAsia="宋体" w:cs="宋体"/>
                <w:color w:val="auto"/>
                <w:szCs w:val="21"/>
                <w:highlight w:val="none"/>
                <w:lang w:val="en-US" w:eastAsia="zh-CN"/>
              </w:rPr>
              <w:t>部分结合项目实际情况且</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，得</w:t>
            </w:r>
            <w:r>
              <w:rPr>
                <w:rFonts w:hint="eastAsia" w:ascii="宋体" w:hAnsi="宋体" w:cs="宋体"/>
                <w:color w:val="auto"/>
                <w:highlight w:val="none"/>
                <w:lang w:val="en-US" w:eastAsia="zh-CN"/>
              </w:rPr>
              <w:t>8</w:t>
            </w:r>
            <w:r>
              <w:rPr>
                <w:rFonts w:hint="eastAsia" w:ascii="宋体" w:hAnsi="宋体" w:eastAsia="宋体" w:cs="宋体"/>
                <w:color w:val="auto"/>
                <w:highlight w:val="none"/>
              </w:rPr>
              <w:t>分；</w:t>
            </w:r>
          </w:p>
          <w:p w14:paraId="6A303674">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cs="宋体"/>
                <w:color w:val="auto"/>
                <w:highlight w:val="none"/>
                <w:lang w:eastAsia="zh-CN"/>
              </w:rPr>
              <w:t>供应商</w:t>
            </w:r>
            <w:r>
              <w:rPr>
                <w:rFonts w:hint="eastAsia" w:ascii="宋体" w:hAnsi="宋体" w:eastAsia="宋体" w:cs="宋体"/>
                <w:color w:val="auto"/>
                <w:highlight w:val="none"/>
              </w:rPr>
              <w:t>提供的服务应急方案较为完整，针对</w:t>
            </w:r>
            <w:r>
              <w:rPr>
                <w:rFonts w:hint="eastAsia" w:ascii="宋体" w:hAnsi="宋体" w:cs="宋体"/>
                <w:color w:val="auto"/>
                <w:highlight w:val="none"/>
                <w:lang w:val="en-US" w:eastAsia="zh-CN"/>
              </w:rPr>
              <w:t>重大接待任务和节假日等特殊时期</w:t>
            </w:r>
            <w:r>
              <w:rPr>
                <w:rFonts w:hint="eastAsia" w:ascii="宋体" w:hAnsi="宋体" w:eastAsia="宋体" w:cs="宋体"/>
                <w:color w:val="auto"/>
                <w:highlight w:val="none"/>
              </w:rPr>
              <w:t>的安保方案、应对火灾、</w:t>
            </w:r>
            <w:r>
              <w:rPr>
                <w:rFonts w:hint="eastAsia" w:ascii="宋体" w:hAnsi="宋体" w:cs="宋体"/>
                <w:color w:val="auto"/>
                <w:highlight w:val="none"/>
                <w:lang w:val="en-US" w:eastAsia="zh-CN"/>
              </w:rPr>
              <w:t>台风及恶性案件</w:t>
            </w:r>
            <w:r>
              <w:rPr>
                <w:rFonts w:hint="eastAsia" w:ascii="宋体" w:hAnsi="宋体" w:eastAsia="宋体" w:cs="宋体"/>
                <w:color w:val="auto"/>
                <w:highlight w:val="none"/>
              </w:rPr>
              <w:t>的应急方案有一定可行性，关于人身安全有对应的工作方案，</w:t>
            </w:r>
            <w:r>
              <w:rPr>
                <w:rFonts w:hint="eastAsia" w:ascii="宋体" w:hAnsi="宋体" w:eastAsia="宋体" w:cs="宋体"/>
                <w:color w:val="auto"/>
                <w:szCs w:val="21"/>
                <w:highlight w:val="none"/>
                <w:lang w:val="en-US" w:eastAsia="zh-CN"/>
              </w:rPr>
              <w:t>未结合项目实际情况但</w:t>
            </w:r>
            <w:r>
              <w:rPr>
                <w:rFonts w:hint="eastAsia" w:ascii="宋体" w:hAnsi="宋体" w:eastAsia="宋体" w:cs="宋体"/>
                <w:color w:val="auto"/>
                <w:sz w:val="21"/>
                <w:szCs w:val="21"/>
                <w:highlight w:val="none"/>
                <w:lang w:val="en-US" w:eastAsia="zh-CN"/>
              </w:rPr>
              <w:t>基本满足采购需求要求的，</w:t>
            </w:r>
            <w:r>
              <w:rPr>
                <w:rFonts w:hint="eastAsia" w:ascii="宋体" w:hAnsi="宋体" w:eastAsia="宋体" w:cs="宋体"/>
                <w:color w:val="auto"/>
                <w:highlight w:val="none"/>
              </w:rPr>
              <w:t>得</w:t>
            </w:r>
            <w:r>
              <w:rPr>
                <w:rFonts w:hint="eastAsia" w:ascii="宋体" w:hAnsi="宋体" w:cs="宋体"/>
                <w:color w:val="auto"/>
                <w:highlight w:val="none"/>
                <w:lang w:val="en-US" w:eastAsia="zh-CN"/>
              </w:rPr>
              <w:t>4</w:t>
            </w:r>
            <w:r>
              <w:rPr>
                <w:rFonts w:hint="eastAsia" w:ascii="宋体" w:hAnsi="宋体" w:eastAsia="宋体" w:cs="宋体"/>
                <w:color w:val="auto"/>
                <w:highlight w:val="none"/>
              </w:rPr>
              <w:t>分；</w:t>
            </w:r>
          </w:p>
          <w:p w14:paraId="53008CDF">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4、</w:t>
            </w:r>
            <w:r>
              <w:rPr>
                <w:rFonts w:hint="eastAsia" w:ascii="宋体" w:hAnsi="宋体" w:cs="宋体"/>
                <w:color w:val="auto"/>
                <w:highlight w:val="none"/>
                <w:lang w:eastAsia="zh-CN"/>
              </w:rPr>
              <w:t>供应商</w:t>
            </w:r>
            <w:r>
              <w:rPr>
                <w:rFonts w:hint="eastAsia" w:ascii="宋体" w:hAnsi="宋体" w:eastAsia="宋体" w:cs="宋体"/>
                <w:color w:val="auto"/>
                <w:highlight w:val="none"/>
              </w:rPr>
              <w:t>提供的服务应急方案不完整，针对</w:t>
            </w:r>
            <w:r>
              <w:rPr>
                <w:rFonts w:hint="eastAsia" w:ascii="宋体" w:hAnsi="宋体" w:cs="宋体"/>
                <w:color w:val="auto"/>
                <w:highlight w:val="none"/>
                <w:lang w:val="en-US" w:eastAsia="zh-CN"/>
              </w:rPr>
              <w:t>重大接待任务和节假日等特殊时期</w:t>
            </w:r>
            <w:r>
              <w:rPr>
                <w:rFonts w:hint="eastAsia" w:ascii="宋体" w:hAnsi="宋体" w:eastAsia="宋体" w:cs="宋体"/>
                <w:color w:val="auto"/>
                <w:highlight w:val="none"/>
              </w:rPr>
              <w:t>的安保方案、应对火灾、</w:t>
            </w:r>
            <w:r>
              <w:rPr>
                <w:rFonts w:hint="eastAsia" w:ascii="宋体" w:hAnsi="宋体" w:cs="宋体"/>
                <w:color w:val="auto"/>
                <w:highlight w:val="none"/>
                <w:lang w:val="en-US" w:eastAsia="zh-CN"/>
              </w:rPr>
              <w:t>台风及恶性案件</w:t>
            </w:r>
            <w:r>
              <w:rPr>
                <w:rFonts w:hint="eastAsia" w:ascii="宋体" w:hAnsi="宋体" w:eastAsia="宋体" w:cs="宋体"/>
                <w:color w:val="auto"/>
                <w:highlight w:val="none"/>
              </w:rPr>
              <w:t>的应急方案可行性较差，难以满足采购需求要求的，得1分；</w:t>
            </w:r>
          </w:p>
          <w:p w14:paraId="311FFE48">
            <w:pPr>
              <w:spacing w:line="400" w:lineRule="exact"/>
              <w:rPr>
                <w:rFonts w:hint="eastAsia" w:ascii="宋体" w:hAnsi="宋体" w:eastAsia="宋体" w:cs="宋体"/>
                <w:color w:val="auto"/>
                <w:szCs w:val="21"/>
                <w:highlight w:val="none"/>
              </w:rPr>
            </w:pPr>
            <w:r>
              <w:rPr>
                <w:rFonts w:hint="eastAsia" w:ascii="宋体" w:hAnsi="宋体" w:eastAsia="宋体" w:cs="宋体"/>
                <w:color w:val="auto"/>
                <w:highlight w:val="none"/>
              </w:rPr>
              <w:t>5、未提供</w:t>
            </w:r>
            <w:r>
              <w:rPr>
                <w:rFonts w:hint="eastAsia" w:ascii="宋体" w:hAnsi="宋体" w:cs="宋体"/>
                <w:color w:val="auto"/>
                <w:highlight w:val="none"/>
                <w:lang w:val="en-US" w:eastAsia="zh-CN"/>
              </w:rPr>
              <w:t>相关</w:t>
            </w:r>
            <w:r>
              <w:rPr>
                <w:rFonts w:hint="eastAsia" w:ascii="宋体" w:hAnsi="宋体" w:eastAsia="宋体" w:cs="宋体"/>
                <w:color w:val="auto"/>
                <w:highlight w:val="none"/>
              </w:rPr>
              <w:t>方案或其他情形的，得0分。</w:t>
            </w:r>
          </w:p>
        </w:tc>
      </w:tr>
      <w:tr w14:paraId="02F92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03" w:type="pct"/>
            <w:vAlign w:val="center"/>
          </w:tcPr>
          <w:p w14:paraId="5E93A632">
            <w:pPr>
              <w:spacing w:line="400" w:lineRule="exact"/>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4</w:t>
            </w:r>
          </w:p>
        </w:tc>
        <w:tc>
          <w:tcPr>
            <w:tcW w:w="751" w:type="pct"/>
            <w:vAlign w:val="center"/>
          </w:tcPr>
          <w:p w14:paraId="33DE7CE6">
            <w:pPr>
              <w:spacing w:line="400" w:lineRule="exact"/>
              <w:jc w:val="center"/>
              <w:rPr>
                <w:rFonts w:ascii="宋体" w:hAnsi="宋体"/>
                <w:bCs/>
                <w:color w:val="auto"/>
                <w:szCs w:val="21"/>
                <w:highlight w:val="none"/>
              </w:rPr>
            </w:pPr>
            <w:r>
              <w:rPr>
                <w:rFonts w:hint="eastAsia" w:ascii="宋体" w:hAnsi="宋体"/>
                <w:bCs/>
                <w:color w:val="auto"/>
                <w:szCs w:val="21"/>
                <w:highlight w:val="none"/>
                <w:lang w:val="en-US" w:eastAsia="zh-CN"/>
              </w:rPr>
              <w:t>保安</w:t>
            </w:r>
            <w:r>
              <w:rPr>
                <w:rFonts w:hint="eastAsia" w:ascii="宋体" w:hAnsi="宋体"/>
                <w:bCs/>
                <w:color w:val="auto"/>
                <w:szCs w:val="21"/>
                <w:highlight w:val="none"/>
              </w:rPr>
              <w:t>人员配备</w:t>
            </w:r>
            <w:r>
              <w:rPr>
                <w:rFonts w:hint="eastAsia" w:ascii="宋体" w:hAnsi="宋体"/>
                <w:bCs/>
                <w:color w:val="auto"/>
                <w:szCs w:val="21"/>
                <w:highlight w:val="none"/>
                <w:lang w:val="en-US" w:eastAsia="zh-CN"/>
              </w:rPr>
              <w:t>及管理</w:t>
            </w:r>
            <w:r>
              <w:rPr>
                <w:rFonts w:hint="eastAsia" w:ascii="宋体" w:hAnsi="宋体"/>
                <w:bCs/>
                <w:color w:val="auto"/>
                <w:szCs w:val="21"/>
                <w:highlight w:val="none"/>
              </w:rPr>
              <w:t>方案</w:t>
            </w:r>
          </w:p>
        </w:tc>
        <w:tc>
          <w:tcPr>
            <w:tcW w:w="476" w:type="pct"/>
            <w:vAlign w:val="center"/>
          </w:tcPr>
          <w:p w14:paraId="70C32FCB">
            <w:pPr>
              <w:widowControl/>
              <w:spacing w:line="400" w:lineRule="exact"/>
              <w:jc w:val="center"/>
              <w:rPr>
                <w:rFonts w:ascii="宋体" w:hAnsi="宋体"/>
                <w:color w:val="auto"/>
                <w:szCs w:val="21"/>
                <w:highlight w:val="none"/>
              </w:rPr>
            </w:pPr>
            <w:r>
              <w:rPr>
                <w:rFonts w:hint="eastAsia" w:ascii="宋体" w:hAnsi="宋体"/>
                <w:color w:val="auto"/>
                <w:szCs w:val="21"/>
                <w:highlight w:val="none"/>
                <w:lang w:val="en-US" w:eastAsia="zh-CN"/>
              </w:rPr>
              <w:t>12</w:t>
            </w:r>
            <w:r>
              <w:rPr>
                <w:rFonts w:hint="eastAsia" w:ascii="宋体" w:hAnsi="宋体"/>
                <w:color w:val="auto"/>
                <w:szCs w:val="21"/>
                <w:highlight w:val="none"/>
              </w:rPr>
              <w:t>分</w:t>
            </w:r>
          </w:p>
        </w:tc>
        <w:tc>
          <w:tcPr>
            <w:tcW w:w="3369" w:type="pct"/>
            <w:vAlign w:val="center"/>
          </w:tcPr>
          <w:p w14:paraId="0AD7CAE5">
            <w:pPr>
              <w:spacing w:line="400" w:lineRule="exact"/>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根据</w:t>
            </w:r>
            <w:r>
              <w:rPr>
                <w:rFonts w:hint="eastAsia" w:ascii="宋体" w:hAnsi="宋体" w:cs="宋体"/>
                <w:b/>
                <w:bCs/>
                <w:color w:val="auto"/>
                <w:szCs w:val="21"/>
                <w:highlight w:val="none"/>
                <w:lang w:eastAsia="zh-CN"/>
              </w:rPr>
              <w:t>供应商</w:t>
            </w:r>
            <w:r>
              <w:rPr>
                <w:rFonts w:hint="eastAsia" w:ascii="宋体" w:hAnsi="宋体" w:eastAsia="宋体" w:cs="宋体"/>
                <w:b/>
                <w:bCs/>
                <w:color w:val="auto"/>
                <w:szCs w:val="21"/>
                <w:highlight w:val="none"/>
              </w:rPr>
              <w:t>所提供</w:t>
            </w:r>
            <w:r>
              <w:rPr>
                <w:rFonts w:hint="eastAsia" w:ascii="宋体" w:hAnsi="宋体" w:cs="宋体"/>
                <w:b/>
                <w:bCs/>
                <w:color w:val="auto"/>
                <w:szCs w:val="21"/>
                <w:highlight w:val="none"/>
                <w:lang w:val="en-US" w:eastAsia="zh-CN"/>
              </w:rPr>
              <w:t>的保安</w:t>
            </w:r>
            <w:r>
              <w:rPr>
                <w:rFonts w:hint="eastAsia" w:ascii="宋体" w:hAnsi="宋体" w:eastAsia="宋体" w:cs="宋体"/>
                <w:b/>
                <w:bCs/>
                <w:color w:val="auto"/>
                <w:szCs w:val="21"/>
                <w:highlight w:val="none"/>
              </w:rPr>
              <w:t>人员配备及管理方案（包括但不限于人员配备、</w:t>
            </w:r>
            <w:r>
              <w:rPr>
                <w:rFonts w:hint="eastAsia" w:ascii="宋体" w:hAnsi="宋体" w:cs="宋体"/>
                <w:b/>
                <w:bCs/>
                <w:color w:val="auto"/>
                <w:szCs w:val="21"/>
                <w:highlight w:val="none"/>
                <w:lang w:val="en-US" w:eastAsia="zh-CN"/>
              </w:rPr>
              <w:t>岗位职责、组织架构</w:t>
            </w:r>
            <w:r>
              <w:rPr>
                <w:rFonts w:hint="eastAsia" w:ascii="宋体" w:hAnsi="宋体" w:eastAsia="宋体" w:cs="宋体"/>
                <w:b/>
                <w:bCs/>
                <w:color w:val="auto"/>
                <w:szCs w:val="21"/>
                <w:highlight w:val="none"/>
              </w:rPr>
              <w:t>及考核淘汰方案等）进行评审：</w:t>
            </w:r>
          </w:p>
          <w:p w14:paraId="26DC513E">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保安</w:t>
            </w:r>
            <w:r>
              <w:rPr>
                <w:rFonts w:hint="eastAsia" w:ascii="宋体" w:hAnsi="宋体" w:eastAsia="宋体" w:cs="宋体"/>
                <w:color w:val="auto"/>
                <w:szCs w:val="21"/>
                <w:highlight w:val="none"/>
              </w:rPr>
              <w:t>人员专业素质高且配备充足、</w:t>
            </w:r>
            <w:r>
              <w:rPr>
                <w:rFonts w:hint="eastAsia" w:ascii="宋体" w:hAnsi="宋体" w:cs="宋体"/>
                <w:color w:val="auto"/>
                <w:szCs w:val="21"/>
                <w:highlight w:val="none"/>
                <w:lang w:val="en-US" w:eastAsia="zh-CN"/>
              </w:rPr>
              <w:t>各人员之间分工明确、岗位职责划分清晰，服务团队组织架构高效合理，</w:t>
            </w:r>
            <w:r>
              <w:rPr>
                <w:rFonts w:hint="eastAsia" w:ascii="宋体" w:hAnsi="宋体" w:eastAsia="宋体" w:cs="宋体"/>
                <w:color w:val="auto"/>
                <w:szCs w:val="21"/>
                <w:highlight w:val="none"/>
              </w:rPr>
              <w:t>有科学系统的考核淘汰方案</w:t>
            </w:r>
            <w:r>
              <w:rPr>
                <w:rFonts w:hint="eastAsia" w:ascii="宋体" w:hAnsi="宋体" w:cs="宋体"/>
                <w:color w:val="auto"/>
                <w:highlight w:val="none"/>
                <w:lang w:eastAsia="zh-CN"/>
              </w:rPr>
              <w:t>，</w:t>
            </w:r>
            <w:r>
              <w:rPr>
                <w:rFonts w:hint="eastAsia" w:ascii="宋体" w:hAnsi="宋体" w:eastAsia="宋体" w:cs="宋体"/>
                <w:color w:val="auto"/>
                <w:sz w:val="21"/>
                <w:szCs w:val="21"/>
                <w:highlight w:val="none"/>
                <w:lang w:val="en-US" w:eastAsia="zh-CN"/>
              </w:rPr>
              <w:t>能完全结合项目实际情况且完全满足采购需求要求的，</w:t>
            </w:r>
            <w:r>
              <w:rPr>
                <w:rFonts w:hint="eastAsia" w:ascii="宋体" w:hAnsi="宋体" w:eastAsia="宋体" w:cs="宋体"/>
                <w:color w:val="auto"/>
                <w:szCs w:val="21"/>
                <w:highlight w:val="none"/>
              </w:rPr>
              <w:t>得</w:t>
            </w:r>
            <w:r>
              <w:rPr>
                <w:rFonts w:hint="eastAsia" w:ascii="宋体" w:hAnsi="宋体" w:cs="宋体"/>
                <w:color w:val="auto"/>
                <w:szCs w:val="21"/>
                <w:highlight w:val="none"/>
                <w:lang w:val="en-US" w:eastAsia="zh-CN"/>
              </w:rPr>
              <w:t>12</w:t>
            </w:r>
            <w:r>
              <w:rPr>
                <w:rFonts w:hint="eastAsia" w:ascii="宋体" w:hAnsi="宋体" w:eastAsia="宋体" w:cs="宋体"/>
                <w:color w:val="auto"/>
                <w:szCs w:val="21"/>
                <w:highlight w:val="none"/>
              </w:rPr>
              <w:t>分；</w:t>
            </w:r>
          </w:p>
          <w:p w14:paraId="15AE5173">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cs="宋体"/>
                <w:color w:val="auto"/>
                <w:szCs w:val="21"/>
                <w:highlight w:val="none"/>
                <w:lang w:val="en-US" w:eastAsia="zh-CN"/>
              </w:rPr>
              <w:t>保安</w:t>
            </w:r>
            <w:r>
              <w:rPr>
                <w:rFonts w:hint="eastAsia" w:ascii="宋体" w:hAnsi="宋体" w:eastAsia="宋体" w:cs="宋体"/>
                <w:color w:val="auto"/>
                <w:szCs w:val="21"/>
                <w:highlight w:val="none"/>
              </w:rPr>
              <w:t>人员配备充足、</w:t>
            </w:r>
            <w:r>
              <w:rPr>
                <w:rFonts w:hint="eastAsia" w:ascii="宋体" w:hAnsi="宋体" w:cs="宋体"/>
                <w:color w:val="auto"/>
                <w:szCs w:val="21"/>
                <w:highlight w:val="none"/>
                <w:lang w:val="en-US" w:eastAsia="zh-CN"/>
              </w:rPr>
              <w:t>各人员之间有差异化的分工和岗位职责，服务团队组织架构合理，</w:t>
            </w:r>
            <w:r>
              <w:rPr>
                <w:rFonts w:hint="eastAsia" w:ascii="宋体" w:hAnsi="宋体" w:eastAsia="宋体" w:cs="宋体"/>
                <w:color w:val="auto"/>
                <w:szCs w:val="21"/>
                <w:highlight w:val="none"/>
              </w:rPr>
              <w:t>有</w:t>
            </w:r>
            <w:r>
              <w:rPr>
                <w:rFonts w:hint="eastAsia" w:ascii="宋体" w:hAnsi="宋体" w:eastAsia="宋体" w:cs="宋体"/>
                <w:color w:val="auto"/>
                <w:szCs w:val="21"/>
                <w:highlight w:val="none"/>
                <w:lang w:val="en-US" w:eastAsia="zh-CN"/>
              </w:rPr>
              <w:t>成熟可行</w:t>
            </w:r>
            <w:r>
              <w:rPr>
                <w:rFonts w:hint="eastAsia" w:ascii="宋体" w:hAnsi="宋体" w:eastAsia="宋体" w:cs="宋体"/>
                <w:color w:val="auto"/>
                <w:szCs w:val="21"/>
                <w:highlight w:val="none"/>
              </w:rPr>
              <w:t>的考核淘汰方案</w:t>
            </w:r>
            <w:r>
              <w:rPr>
                <w:rFonts w:hint="eastAsia" w:ascii="宋体" w:hAnsi="宋体" w:eastAsia="宋体" w:cs="宋体"/>
                <w:color w:val="auto"/>
                <w:highlight w:val="none"/>
              </w:rPr>
              <w:t>，</w:t>
            </w:r>
            <w:r>
              <w:rPr>
                <w:rFonts w:hint="eastAsia" w:ascii="宋体" w:hAnsi="宋体" w:cs="宋体"/>
                <w:color w:val="auto"/>
                <w:highlight w:val="none"/>
                <w:lang w:val="en-US" w:eastAsia="zh-CN"/>
              </w:rPr>
              <w:t>能</w:t>
            </w:r>
            <w:r>
              <w:rPr>
                <w:rFonts w:hint="eastAsia" w:ascii="宋体" w:hAnsi="宋体" w:eastAsia="宋体" w:cs="宋体"/>
                <w:color w:val="auto"/>
                <w:szCs w:val="21"/>
                <w:highlight w:val="none"/>
                <w:lang w:val="en-US" w:eastAsia="zh-CN"/>
              </w:rPr>
              <w:t>部分结合项目实际情况且</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w:t>
            </w:r>
            <w:r>
              <w:rPr>
                <w:rFonts w:hint="eastAsia" w:ascii="宋体" w:hAnsi="宋体" w:eastAsia="宋体" w:cs="宋体"/>
                <w:color w:val="auto"/>
                <w:szCs w:val="21"/>
                <w:highlight w:val="none"/>
              </w:rPr>
              <w:t>得</w:t>
            </w:r>
            <w:r>
              <w:rPr>
                <w:rFonts w:hint="eastAsia" w:ascii="宋体" w:hAnsi="宋体" w:cs="宋体"/>
                <w:color w:val="auto"/>
                <w:szCs w:val="21"/>
                <w:highlight w:val="none"/>
                <w:lang w:val="en-US" w:eastAsia="zh-CN"/>
              </w:rPr>
              <w:t>8</w:t>
            </w:r>
            <w:r>
              <w:rPr>
                <w:rFonts w:hint="eastAsia" w:ascii="宋体" w:hAnsi="宋体" w:eastAsia="宋体" w:cs="宋体"/>
                <w:color w:val="auto"/>
                <w:szCs w:val="21"/>
                <w:highlight w:val="none"/>
              </w:rPr>
              <w:t>分；</w:t>
            </w:r>
          </w:p>
          <w:p w14:paraId="3597E213">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cs="宋体"/>
                <w:color w:val="auto"/>
                <w:szCs w:val="21"/>
                <w:highlight w:val="none"/>
                <w:lang w:val="en-US" w:eastAsia="zh-CN"/>
              </w:rPr>
              <w:t>保安</w:t>
            </w:r>
            <w:r>
              <w:rPr>
                <w:rFonts w:hint="eastAsia" w:ascii="宋体" w:hAnsi="宋体" w:eastAsia="宋体" w:cs="宋体"/>
                <w:color w:val="auto"/>
                <w:szCs w:val="21"/>
                <w:highlight w:val="none"/>
              </w:rPr>
              <w:t>人员配备充足、</w:t>
            </w:r>
            <w:r>
              <w:rPr>
                <w:rFonts w:hint="eastAsia" w:ascii="宋体" w:hAnsi="宋体" w:eastAsia="宋体" w:cs="宋体"/>
                <w:color w:val="auto"/>
                <w:szCs w:val="21"/>
                <w:highlight w:val="none"/>
                <w:lang w:val="en-US" w:eastAsia="zh-CN"/>
              </w:rPr>
              <w:t>有提供</w:t>
            </w:r>
            <w:r>
              <w:rPr>
                <w:rFonts w:hint="eastAsia" w:ascii="宋体" w:hAnsi="宋体" w:cs="宋体"/>
                <w:color w:val="auto"/>
                <w:szCs w:val="21"/>
                <w:highlight w:val="none"/>
                <w:lang w:val="en-US" w:eastAsia="zh-CN"/>
              </w:rPr>
              <w:t>各人员之间的分工和岗位职责，服务团队组织架构完整，</w:t>
            </w:r>
            <w:r>
              <w:rPr>
                <w:rFonts w:hint="eastAsia" w:ascii="宋体" w:hAnsi="宋体" w:eastAsia="宋体" w:cs="宋体"/>
                <w:color w:val="auto"/>
                <w:szCs w:val="21"/>
                <w:highlight w:val="none"/>
              </w:rPr>
              <w:t>有</w:t>
            </w:r>
            <w:r>
              <w:rPr>
                <w:rFonts w:hint="eastAsia" w:ascii="宋体" w:hAnsi="宋体" w:eastAsia="宋体" w:cs="宋体"/>
                <w:color w:val="auto"/>
                <w:szCs w:val="21"/>
                <w:highlight w:val="none"/>
                <w:lang w:val="en-US" w:eastAsia="zh-CN"/>
              </w:rPr>
              <w:t>对应的</w:t>
            </w:r>
            <w:r>
              <w:rPr>
                <w:rFonts w:hint="eastAsia" w:ascii="宋体" w:hAnsi="宋体" w:eastAsia="宋体" w:cs="宋体"/>
                <w:color w:val="auto"/>
                <w:szCs w:val="21"/>
                <w:highlight w:val="none"/>
              </w:rPr>
              <w:t>考核淘汰方案</w:t>
            </w:r>
            <w:r>
              <w:rPr>
                <w:rFonts w:hint="eastAsia" w:ascii="宋体" w:hAnsi="宋体" w:eastAsia="宋体" w:cs="宋体"/>
                <w:color w:val="auto"/>
                <w:highlight w:val="none"/>
              </w:rPr>
              <w:t>，</w:t>
            </w:r>
            <w:r>
              <w:rPr>
                <w:rFonts w:hint="eastAsia" w:ascii="宋体" w:hAnsi="宋体" w:eastAsia="宋体" w:cs="宋体"/>
                <w:color w:val="auto"/>
                <w:szCs w:val="21"/>
                <w:highlight w:val="none"/>
                <w:lang w:val="en-US" w:eastAsia="zh-CN"/>
              </w:rPr>
              <w:t>未结合项目实际情况但</w:t>
            </w:r>
            <w:r>
              <w:rPr>
                <w:rFonts w:hint="eastAsia" w:ascii="宋体" w:hAnsi="宋体" w:eastAsia="宋体" w:cs="宋体"/>
                <w:color w:val="auto"/>
                <w:sz w:val="21"/>
                <w:szCs w:val="21"/>
                <w:highlight w:val="none"/>
                <w:lang w:val="en-US" w:eastAsia="zh-CN"/>
              </w:rPr>
              <w:t>基本满足采购需求要求的，</w:t>
            </w:r>
            <w:r>
              <w:rPr>
                <w:rFonts w:hint="eastAsia" w:ascii="宋体" w:hAnsi="宋体" w:eastAsia="宋体" w:cs="宋体"/>
                <w:color w:val="auto"/>
                <w:szCs w:val="21"/>
                <w:highlight w:val="none"/>
              </w:rPr>
              <w:t>得</w:t>
            </w:r>
            <w:r>
              <w:rPr>
                <w:rFonts w:hint="eastAsia" w:ascii="宋体" w:hAnsi="宋体" w:cs="宋体"/>
                <w:color w:val="auto"/>
                <w:szCs w:val="21"/>
                <w:highlight w:val="none"/>
                <w:lang w:val="en-US" w:eastAsia="zh-CN"/>
              </w:rPr>
              <w:t>4</w:t>
            </w:r>
            <w:r>
              <w:rPr>
                <w:rFonts w:hint="eastAsia" w:ascii="宋体" w:hAnsi="宋体" w:eastAsia="宋体" w:cs="宋体"/>
                <w:color w:val="auto"/>
                <w:szCs w:val="21"/>
                <w:highlight w:val="none"/>
              </w:rPr>
              <w:t>分；</w:t>
            </w:r>
          </w:p>
          <w:p w14:paraId="21DA33B8">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r>
              <w:rPr>
                <w:rFonts w:hint="eastAsia" w:ascii="宋体" w:hAnsi="宋体" w:cs="宋体"/>
                <w:color w:val="auto"/>
                <w:szCs w:val="21"/>
                <w:highlight w:val="none"/>
                <w:lang w:val="en-US" w:eastAsia="zh-CN"/>
              </w:rPr>
              <w:t>保安</w:t>
            </w:r>
            <w:r>
              <w:rPr>
                <w:rFonts w:hint="eastAsia" w:ascii="宋体" w:hAnsi="宋体" w:eastAsia="宋体" w:cs="宋体"/>
                <w:color w:val="auto"/>
                <w:szCs w:val="21"/>
                <w:highlight w:val="none"/>
              </w:rPr>
              <w:t>人员配备不足、有简单的人员</w:t>
            </w:r>
            <w:r>
              <w:rPr>
                <w:rFonts w:hint="eastAsia" w:ascii="宋体" w:hAnsi="宋体" w:cs="宋体"/>
                <w:color w:val="auto"/>
                <w:szCs w:val="21"/>
                <w:highlight w:val="none"/>
                <w:lang w:val="en-US" w:eastAsia="zh-CN"/>
              </w:rPr>
              <w:t>分工和岗位职责</w:t>
            </w:r>
            <w:r>
              <w:rPr>
                <w:rFonts w:hint="eastAsia" w:ascii="宋体" w:hAnsi="宋体" w:eastAsia="宋体" w:cs="宋体"/>
                <w:color w:val="auto"/>
                <w:szCs w:val="21"/>
                <w:highlight w:val="none"/>
              </w:rPr>
              <w:t>，难以满足采购需求要求的，得1分；</w:t>
            </w:r>
          </w:p>
          <w:p w14:paraId="24448290">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5、未提供</w:t>
            </w:r>
            <w:r>
              <w:rPr>
                <w:rFonts w:hint="eastAsia" w:ascii="宋体" w:hAnsi="宋体" w:cs="宋体"/>
                <w:color w:val="auto"/>
                <w:szCs w:val="21"/>
                <w:highlight w:val="none"/>
                <w:lang w:val="en-US" w:eastAsia="zh-CN"/>
              </w:rPr>
              <w:t>相关</w:t>
            </w:r>
            <w:r>
              <w:rPr>
                <w:rFonts w:hint="eastAsia" w:ascii="宋体" w:hAnsi="宋体" w:eastAsia="宋体" w:cs="宋体"/>
                <w:color w:val="auto"/>
                <w:szCs w:val="21"/>
                <w:highlight w:val="none"/>
              </w:rPr>
              <w:t>方案或其他情形的，得0分。</w:t>
            </w:r>
          </w:p>
        </w:tc>
      </w:tr>
      <w:tr w14:paraId="404D1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03" w:type="pct"/>
            <w:vAlign w:val="center"/>
          </w:tcPr>
          <w:p w14:paraId="24244FAD">
            <w:pPr>
              <w:spacing w:line="400" w:lineRule="exact"/>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5</w:t>
            </w:r>
          </w:p>
        </w:tc>
        <w:tc>
          <w:tcPr>
            <w:tcW w:w="751" w:type="pct"/>
            <w:vAlign w:val="center"/>
          </w:tcPr>
          <w:p w14:paraId="651F9F31">
            <w:pPr>
              <w:spacing w:line="400" w:lineRule="exact"/>
              <w:jc w:val="center"/>
              <w:rPr>
                <w:rFonts w:ascii="宋体" w:hAnsi="宋体"/>
                <w:bCs/>
                <w:color w:val="auto"/>
                <w:szCs w:val="21"/>
                <w:highlight w:val="none"/>
              </w:rPr>
            </w:pPr>
            <w:r>
              <w:rPr>
                <w:rFonts w:hint="eastAsia" w:ascii="宋体" w:hAnsi="宋体"/>
                <w:bCs/>
                <w:color w:val="auto"/>
                <w:szCs w:val="21"/>
                <w:highlight w:val="none"/>
              </w:rPr>
              <w:t>人员应急预案和保障措施</w:t>
            </w:r>
          </w:p>
        </w:tc>
        <w:tc>
          <w:tcPr>
            <w:tcW w:w="476" w:type="pct"/>
            <w:vAlign w:val="center"/>
          </w:tcPr>
          <w:p w14:paraId="57B0B0F7">
            <w:pPr>
              <w:widowControl/>
              <w:spacing w:line="400" w:lineRule="exact"/>
              <w:jc w:val="center"/>
              <w:rPr>
                <w:rFonts w:ascii="宋体" w:hAnsi="宋体"/>
                <w:color w:val="auto"/>
                <w:szCs w:val="21"/>
                <w:highlight w:val="none"/>
              </w:rPr>
            </w:pPr>
            <w:r>
              <w:rPr>
                <w:rFonts w:hint="eastAsia" w:ascii="宋体" w:hAnsi="宋体"/>
                <w:color w:val="auto"/>
                <w:szCs w:val="21"/>
                <w:highlight w:val="none"/>
                <w:lang w:val="en-US" w:eastAsia="zh-CN"/>
              </w:rPr>
              <w:t>12</w:t>
            </w:r>
            <w:r>
              <w:rPr>
                <w:rFonts w:hint="eastAsia" w:ascii="宋体" w:hAnsi="宋体"/>
                <w:color w:val="auto"/>
                <w:szCs w:val="21"/>
                <w:highlight w:val="none"/>
              </w:rPr>
              <w:t>分</w:t>
            </w:r>
          </w:p>
        </w:tc>
        <w:tc>
          <w:tcPr>
            <w:tcW w:w="3369" w:type="pct"/>
            <w:vAlign w:val="center"/>
          </w:tcPr>
          <w:p w14:paraId="598FEFF2">
            <w:pPr>
              <w:spacing w:line="400" w:lineRule="exact"/>
              <w:rPr>
                <w:rFonts w:hint="eastAsia" w:ascii="宋体" w:hAnsi="宋体" w:eastAsia="宋体" w:cs="宋体"/>
                <w:b/>
                <w:bCs/>
                <w:color w:val="auto"/>
                <w:highlight w:val="none"/>
              </w:rPr>
            </w:pPr>
            <w:r>
              <w:rPr>
                <w:rFonts w:hint="eastAsia" w:ascii="宋体" w:hAnsi="宋体" w:eastAsia="宋体" w:cs="宋体"/>
                <w:b/>
                <w:bCs/>
                <w:color w:val="auto"/>
                <w:highlight w:val="none"/>
              </w:rPr>
              <w:t>根据</w:t>
            </w:r>
            <w:r>
              <w:rPr>
                <w:rFonts w:hint="eastAsia" w:ascii="宋体" w:hAnsi="宋体" w:cs="宋体"/>
                <w:b/>
                <w:bCs/>
                <w:color w:val="auto"/>
                <w:highlight w:val="none"/>
                <w:lang w:eastAsia="zh-CN"/>
              </w:rPr>
              <w:t>供应商</w:t>
            </w:r>
            <w:r>
              <w:rPr>
                <w:rFonts w:hint="eastAsia" w:ascii="宋体" w:hAnsi="宋体" w:eastAsia="宋体" w:cs="宋体"/>
                <w:b/>
                <w:bCs/>
                <w:color w:val="auto"/>
                <w:highlight w:val="none"/>
              </w:rPr>
              <w:t>提供的人员应急预案和保障措施方案（包括但不限于劳务纠纷、工伤事故应急预案、对投入的服务人员发生工伤的处理的及时性及后继跟进保障措施等）突发事件的处理措施和应急预案进行评审：</w:t>
            </w:r>
          </w:p>
          <w:p w14:paraId="032B90A0">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1、面对劳务纠纷及工伤事故在事前有科学的预防方案，事中有高效的响应机制和应对措施，事后能够充分复盘并优化现有方案，对</w:t>
            </w:r>
            <w:r>
              <w:rPr>
                <w:rFonts w:hint="eastAsia" w:ascii="宋体" w:hAnsi="宋体" w:cs="宋体"/>
                <w:color w:val="auto"/>
                <w:highlight w:val="none"/>
                <w:lang w:val="en-US" w:eastAsia="zh-CN"/>
              </w:rPr>
              <w:t>项目履约</w:t>
            </w:r>
            <w:r>
              <w:rPr>
                <w:rFonts w:hint="eastAsia" w:ascii="宋体" w:hAnsi="宋体" w:eastAsia="宋体" w:cs="宋体"/>
                <w:color w:val="auto"/>
                <w:highlight w:val="none"/>
              </w:rPr>
              <w:t>有明确可行的保障及补救措施</w:t>
            </w:r>
            <w:r>
              <w:rPr>
                <w:rFonts w:hint="eastAsia" w:ascii="宋体" w:hAnsi="宋体" w:cs="宋体"/>
                <w:color w:val="auto"/>
                <w:highlight w:val="none"/>
                <w:lang w:eastAsia="zh-CN"/>
              </w:rPr>
              <w:t>，</w:t>
            </w:r>
            <w:r>
              <w:rPr>
                <w:rFonts w:hint="eastAsia" w:ascii="宋体" w:hAnsi="宋体" w:eastAsia="宋体" w:cs="宋体"/>
                <w:color w:val="auto"/>
                <w:sz w:val="21"/>
                <w:szCs w:val="21"/>
                <w:highlight w:val="none"/>
                <w:lang w:val="en-US" w:eastAsia="zh-CN"/>
              </w:rPr>
              <w:t>能完全结合项目实际情况且完全满足采购需求要求的，</w:t>
            </w:r>
            <w:r>
              <w:rPr>
                <w:rFonts w:hint="eastAsia" w:ascii="宋体" w:hAnsi="宋体" w:eastAsia="宋体" w:cs="宋体"/>
                <w:color w:val="auto"/>
                <w:highlight w:val="none"/>
              </w:rPr>
              <w:t>得</w:t>
            </w:r>
            <w:r>
              <w:rPr>
                <w:rFonts w:hint="eastAsia" w:ascii="宋体" w:hAnsi="宋体" w:cs="宋体"/>
                <w:color w:val="auto"/>
                <w:highlight w:val="none"/>
                <w:lang w:val="en-US" w:eastAsia="zh-CN"/>
              </w:rPr>
              <w:t>12</w:t>
            </w:r>
            <w:r>
              <w:rPr>
                <w:rFonts w:hint="eastAsia" w:ascii="宋体" w:hAnsi="宋体" w:eastAsia="宋体" w:cs="宋体"/>
                <w:color w:val="auto"/>
                <w:highlight w:val="none"/>
              </w:rPr>
              <w:t>分；</w:t>
            </w:r>
          </w:p>
          <w:p w14:paraId="79BB8659">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2、面对劳务纠纷及工伤事故在事前有一定的预防方案，事中有较为有效的响应机制和应对措施，事后能进行复盘，对</w:t>
            </w:r>
            <w:r>
              <w:rPr>
                <w:rFonts w:hint="eastAsia" w:ascii="宋体" w:hAnsi="宋体" w:cs="宋体"/>
                <w:color w:val="auto"/>
                <w:highlight w:val="none"/>
                <w:lang w:val="en-US" w:eastAsia="zh-CN"/>
              </w:rPr>
              <w:t>项目履约</w:t>
            </w:r>
            <w:r>
              <w:rPr>
                <w:rFonts w:hint="eastAsia" w:ascii="宋体" w:hAnsi="宋体" w:eastAsia="宋体" w:cs="宋体"/>
                <w:color w:val="auto"/>
                <w:highlight w:val="none"/>
              </w:rPr>
              <w:t>有明确的保障及补救措施，</w:t>
            </w:r>
            <w:r>
              <w:rPr>
                <w:rFonts w:hint="eastAsia" w:ascii="宋体" w:hAnsi="宋体" w:cs="宋体"/>
                <w:color w:val="auto"/>
                <w:highlight w:val="none"/>
                <w:lang w:val="en-US" w:eastAsia="zh-CN"/>
              </w:rPr>
              <w:t>能</w:t>
            </w:r>
            <w:r>
              <w:rPr>
                <w:rFonts w:hint="eastAsia" w:ascii="宋体" w:hAnsi="宋体" w:eastAsia="宋体" w:cs="宋体"/>
                <w:color w:val="auto"/>
                <w:szCs w:val="21"/>
                <w:highlight w:val="none"/>
                <w:lang w:val="en-US" w:eastAsia="zh-CN"/>
              </w:rPr>
              <w:t>部分结合项目实际情况且</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，得</w:t>
            </w:r>
            <w:r>
              <w:rPr>
                <w:rFonts w:hint="eastAsia" w:ascii="宋体" w:hAnsi="宋体" w:cs="宋体"/>
                <w:color w:val="auto"/>
                <w:highlight w:val="none"/>
                <w:lang w:val="en-US" w:eastAsia="zh-CN"/>
              </w:rPr>
              <w:t>8</w:t>
            </w:r>
            <w:r>
              <w:rPr>
                <w:rFonts w:hint="eastAsia" w:ascii="宋体" w:hAnsi="宋体" w:eastAsia="宋体" w:cs="宋体"/>
                <w:color w:val="auto"/>
                <w:highlight w:val="none"/>
              </w:rPr>
              <w:t>分；</w:t>
            </w:r>
          </w:p>
          <w:p w14:paraId="26AC59BF">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3、面对劳务纠纷及工伤事故有对应的响应机制和应对措施，对</w:t>
            </w:r>
            <w:r>
              <w:rPr>
                <w:rFonts w:hint="eastAsia" w:ascii="宋体" w:hAnsi="宋体" w:cs="宋体"/>
                <w:color w:val="auto"/>
                <w:highlight w:val="none"/>
                <w:lang w:val="en-US" w:eastAsia="zh-CN"/>
              </w:rPr>
              <w:t>项目履约</w:t>
            </w:r>
            <w:r>
              <w:rPr>
                <w:rFonts w:hint="eastAsia" w:ascii="宋体" w:hAnsi="宋体" w:eastAsia="宋体" w:cs="宋体"/>
                <w:color w:val="auto"/>
                <w:highlight w:val="none"/>
              </w:rPr>
              <w:t>有对应的保障及补救措施，</w:t>
            </w:r>
            <w:r>
              <w:rPr>
                <w:rFonts w:hint="eastAsia" w:ascii="宋体" w:hAnsi="宋体" w:eastAsia="宋体" w:cs="宋体"/>
                <w:color w:val="auto"/>
                <w:szCs w:val="21"/>
                <w:highlight w:val="none"/>
                <w:lang w:val="en-US" w:eastAsia="zh-CN"/>
              </w:rPr>
              <w:t>未结合项目实际情况但</w:t>
            </w:r>
            <w:r>
              <w:rPr>
                <w:rFonts w:hint="eastAsia" w:ascii="宋体" w:hAnsi="宋体" w:eastAsia="宋体" w:cs="宋体"/>
                <w:color w:val="auto"/>
                <w:sz w:val="21"/>
                <w:szCs w:val="21"/>
                <w:highlight w:val="none"/>
                <w:lang w:val="en-US" w:eastAsia="zh-CN"/>
              </w:rPr>
              <w:t>基本满足采购需求要求的，</w:t>
            </w:r>
            <w:r>
              <w:rPr>
                <w:rFonts w:hint="eastAsia" w:ascii="宋体" w:hAnsi="宋体" w:eastAsia="宋体" w:cs="宋体"/>
                <w:color w:val="auto"/>
                <w:highlight w:val="none"/>
              </w:rPr>
              <w:t>得</w:t>
            </w:r>
            <w:r>
              <w:rPr>
                <w:rFonts w:hint="eastAsia" w:ascii="宋体" w:hAnsi="宋体" w:cs="宋体"/>
                <w:color w:val="auto"/>
                <w:highlight w:val="none"/>
                <w:lang w:val="en-US" w:eastAsia="zh-CN"/>
              </w:rPr>
              <w:t>4</w:t>
            </w:r>
            <w:r>
              <w:rPr>
                <w:rFonts w:hint="eastAsia" w:ascii="宋体" w:hAnsi="宋体" w:eastAsia="宋体" w:cs="宋体"/>
                <w:color w:val="auto"/>
                <w:highlight w:val="none"/>
              </w:rPr>
              <w:t>分；</w:t>
            </w:r>
          </w:p>
          <w:p w14:paraId="0807453D">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4、面对劳务纠纷及工伤事故有简单的响应机制和应对措施，难以满足采购需求要求的，得1分；</w:t>
            </w:r>
          </w:p>
          <w:p w14:paraId="535B9125">
            <w:pPr>
              <w:spacing w:line="400" w:lineRule="exact"/>
              <w:rPr>
                <w:rFonts w:hint="eastAsia" w:ascii="宋体" w:hAnsi="宋体" w:eastAsia="宋体" w:cs="宋体"/>
                <w:color w:val="auto"/>
                <w:szCs w:val="21"/>
                <w:highlight w:val="none"/>
              </w:rPr>
            </w:pPr>
            <w:r>
              <w:rPr>
                <w:rFonts w:hint="eastAsia" w:ascii="宋体" w:hAnsi="宋体" w:eastAsia="宋体" w:cs="宋体"/>
                <w:color w:val="auto"/>
                <w:highlight w:val="none"/>
              </w:rPr>
              <w:t>5、未提供</w:t>
            </w:r>
            <w:r>
              <w:rPr>
                <w:rFonts w:hint="eastAsia" w:ascii="宋体" w:hAnsi="宋体" w:cs="宋体"/>
                <w:color w:val="auto"/>
                <w:highlight w:val="none"/>
                <w:lang w:val="en-US" w:eastAsia="zh-CN"/>
              </w:rPr>
              <w:t>相关</w:t>
            </w:r>
            <w:r>
              <w:rPr>
                <w:rFonts w:hint="eastAsia" w:ascii="宋体" w:hAnsi="宋体" w:eastAsia="宋体" w:cs="宋体"/>
                <w:color w:val="auto"/>
                <w:highlight w:val="none"/>
              </w:rPr>
              <w:t>方案或其他情形的，得0分。</w:t>
            </w:r>
          </w:p>
        </w:tc>
      </w:tr>
      <w:bookmarkEnd w:id="36"/>
    </w:tbl>
    <w:p w14:paraId="47738C6C">
      <w:pPr>
        <w:pStyle w:val="74"/>
        <w:numPr>
          <w:ilvl w:val="0"/>
          <w:numId w:val="69"/>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汇总、排序</w:t>
      </w:r>
    </w:p>
    <w:p w14:paraId="21AD6891">
      <w:pPr>
        <w:pStyle w:val="74"/>
        <w:snapToGrid w:val="0"/>
        <w:spacing w:after="156" w:afterLines="50" w:line="360" w:lineRule="auto"/>
        <w:ind w:firstLine="420" w:firstLineChars="200"/>
        <w:contextualSpacing/>
        <w:rPr>
          <w:rFonts w:hint="default" w:ascii="宋体" w:hAnsi="宋体" w:eastAsia="宋体"/>
          <w:color w:val="auto"/>
          <w:sz w:val="24"/>
          <w:szCs w:val="24"/>
          <w:highlight w:val="none"/>
        </w:rPr>
      </w:pPr>
      <w:r>
        <w:rPr>
          <w:rFonts w:ascii="宋体" w:hAnsi="宋体" w:eastAsia="宋体"/>
          <w:color w:val="auto"/>
          <w:sz w:val="21"/>
          <w:szCs w:val="21"/>
          <w:highlight w:val="none"/>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6F73D1BA">
      <w:pPr>
        <w:pStyle w:val="74"/>
        <w:numPr>
          <w:ilvl w:val="0"/>
          <w:numId w:val="69"/>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其他无效响应的情形</w:t>
      </w:r>
    </w:p>
    <w:p w14:paraId="4941C0B5">
      <w:pPr>
        <w:pStyle w:val="74"/>
        <w:numPr>
          <w:ilvl w:val="0"/>
          <w:numId w:val="74"/>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评审期间，供应商没有按磋商小组的要求提交法定代表人或其委托代理人签字的澄清、说明、补正或改变了响应文件的实质性内容的。</w:t>
      </w:r>
    </w:p>
    <w:p w14:paraId="7A8ACE92">
      <w:pPr>
        <w:pStyle w:val="74"/>
        <w:numPr>
          <w:ilvl w:val="0"/>
          <w:numId w:val="74"/>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响应文件提供虚假材料的。</w:t>
      </w:r>
    </w:p>
    <w:p w14:paraId="3A23A9AE">
      <w:pPr>
        <w:pStyle w:val="74"/>
        <w:numPr>
          <w:ilvl w:val="0"/>
          <w:numId w:val="74"/>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供应商以他人名义响应、串通响应、以行贿手段谋取成交或者以其他弄虚作假方式响应的。</w:t>
      </w:r>
    </w:p>
    <w:p w14:paraId="05314EC2">
      <w:pPr>
        <w:pStyle w:val="74"/>
        <w:numPr>
          <w:ilvl w:val="0"/>
          <w:numId w:val="74"/>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供应商对采购人、采购代理机构、磋商小组及其工作人员施加影响，有碍招标公平、公正的。</w:t>
      </w:r>
    </w:p>
    <w:p w14:paraId="4FA71416">
      <w:pPr>
        <w:pStyle w:val="74"/>
        <w:numPr>
          <w:ilvl w:val="0"/>
          <w:numId w:val="74"/>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响应文件含有采购人不能接受的附加条件的。</w:t>
      </w:r>
    </w:p>
    <w:p w14:paraId="57BA5EE4">
      <w:pPr>
        <w:pStyle w:val="74"/>
        <w:numPr>
          <w:ilvl w:val="0"/>
          <w:numId w:val="74"/>
        </w:numPr>
        <w:spacing w:line="360" w:lineRule="auto"/>
        <w:ind w:left="442" w:hanging="442"/>
        <w:rPr>
          <w:rFonts w:hint="default" w:ascii="宋体" w:hAnsi="宋体" w:eastAsia="宋体"/>
          <w:color w:val="auto"/>
          <w:sz w:val="16"/>
          <w:szCs w:val="16"/>
          <w:highlight w:val="none"/>
        </w:rPr>
      </w:pPr>
      <w:r>
        <w:rPr>
          <w:rFonts w:ascii="宋体" w:hAnsi="宋体" w:eastAsia="宋体"/>
          <w:color w:val="auto"/>
          <w:sz w:val="21"/>
          <w:szCs w:val="21"/>
          <w:highlight w:val="none"/>
        </w:rPr>
        <w:t>法律、法规和磋商文件规定的其他无效情形。</w:t>
      </w:r>
    </w:p>
    <w:p w14:paraId="428C2FDC">
      <w:pPr>
        <w:pStyle w:val="2"/>
        <w:keepNext w:val="0"/>
        <w:keepLines w:val="0"/>
        <w:pageBreakBefore/>
        <w:spacing w:after="240" w:line="360" w:lineRule="auto"/>
        <w:jc w:val="center"/>
        <w:rPr>
          <w:rFonts w:ascii="宋体" w:hAnsi="宋体"/>
          <w:color w:val="auto"/>
          <w:sz w:val="36"/>
          <w:szCs w:val="36"/>
          <w:highlight w:val="none"/>
        </w:rPr>
      </w:pPr>
      <w:bookmarkStart w:id="37" w:name="_Toc169807544"/>
      <w:bookmarkStart w:id="38" w:name="_Toc170228132"/>
      <w:bookmarkStart w:id="39" w:name="_Toc169799783"/>
      <w:bookmarkStart w:id="40" w:name="_Toc405313956"/>
      <w:bookmarkStart w:id="41" w:name="_Toc391627752"/>
      <w:bookmarkStart w:id="42" w:name="_Toc521951136"/>
      <w:r>
        <w:rPr>
          <w:rFonts w:asciiTheme="minorEastAsia" w:hAnsiTheme="minorEastAsia" w:eastAsiaTheme="minorEastAsia"/>
          <w:color w:val="auto"/>
          <w:spacing w:val="20"/>
          <w:sz w:val="32"/>
          <w:szCs w:val="32"/>
          <w:highlight w:val="none"/>
        </w:rPr>
        <w:t>第五章 合同文本</w:t>
      </w:r>
      <w:bookmarkEnd w:id="37"/>
      <w:bookmarkEnd w:id="38"/>
      <w:bookmarkEnd w:id="39"/>
    </w:p>
    <w:p w14:paraId="173722E9">
      <w:pPr>
        <w:keepLine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甲方（采购人）：</w:t>
      </w:r>
      <w:r>
        <w:rPr>
          <w:rFonts w:hint="eastAsia" w:ascii="宋体" w:hAnsi="宋体"/>
          <w:color w:val="auto"/>
          <w:szCs w:val="21"/>
          <w:highlight w:val="none"/>
          <w:u w:val="single"/>
        </w:rPr>
        <w:t>东莞市道滘镇蔡白股份经济联合社</w:t>
      </w:r>
    </w:p>
    <w:p w14:paraId="394310B3">
      <w:pPr>
        <w:snapToGrid w:val="0"/>
        <w:spacing w:line="360" w:lineRule="auto"/>
        <w:contextualSpacing/>
        <w:rPr>
          <w:rFonts w:hint="default" w:ascii="宋体" w:hAnsi="宋体" w:eastAsia="宋体"/>
          <w:color w:val="auto"/>
          <w:szCs w:val="21"/>
          <w:highlight w:val="none"/>
          <w:lang w:val="en-US" w:eastAsia="zh-CN"/>
        </w:rPr>
      </w:pPr>
      <w:r>
        <w:rPr>
          <w:rFonts w:hint="eastAsia" w:ascii="宋体" w:hAnsi="宋体"/>
          <w:color w:val="auto"/>
          <w:szCs w:val="21"/>
          <w:highlight w:val="none"/>
        </w:rPr>
        <w:t>乙方（成交人）：</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p>
    <w:p w14:paraId="5CE46483">
      <w:pPr>
        <w:snapToGrid w:val="0"/>
        <w:spacing w:line="360" w:lineRule="auto"/>
        <w:ind w:firstLine="420" w:firstLineChars="200"/>
        <w:contextualSpacing/>
        <w:rPr>
          <w:rFonts w:ascii="宋体" w:hAnsi="宋体"/>
          <w:color w:val="auto"/>
          <w:szCs w:val="21"/>
          <w:highlight w:val="none"/>
        </w:rPr>
      </w:pPr>
      <w:r>
        <w:rPr>
          <w:rFonts w:hint="eastAsia" w:ascii="宋体" w:hAnsi="宋体"/>
          <w:color w:val="auto"/>
          <w:szCs w:val="21"/>
          <w:highlight w:val="none"/>
        </w:rPr>
        <w:t>根据</w:t>
      </w:r>
      <w:bookmarkStart w:id="43" w:name="_Hlk90988984"/>
      <w:r>
        <w:rPr>
          <w:rFonts w:hint="eastAsia" w:ascii="宋体" w:hAnsi="宋体"/>
          <w:color w:val="auto"/>
          <w:szCs w:val="21"/>
          <w:highlight w:val="none"/>
        </w:rPr>
        <w:t>《中华人民共和国民法典</w:t>
      </w:r>
      <w:bookmarkEnd w:id="43"/>
      <w:r>
        <w:rPr>
          <w:rFonts w:hint="eastAsia" w:ascii="宋体" w:hAnsi="宋体"/>
          <w:color w:val="auto"/>
          <w:szCs w:val="21"/>
          <w:highlight w:val="none"/>
        </w:rPr>
        <w:t>》及磋商文件、成交通知书等相关资料的要求，经双方协商一致，签订本合同，共同遵守如下条款。</w:t>
      </w:r>
    </w:p>
    <w:p w14:paraId="40F0EC5A">
      <w:pPr>
        <w:numPr>
          <w:ilvl w:val="0"/>
          <w:numId w:val="75"/>
        </w:numPr>
        <w:snapToGrid w:val="0"/>
        <w:spacing w:line="360" w:lineRule="auto"/>
        <w:contextualSpacing/>
        <w:rPr>
          <w:rFonts w:ascii="宋体" w:hAnsi="宋体"/>
          <w:b/>
          <w:bCs/>
          <w:color w:val="auto"/>
          <w:spacing w:val="20"/>
          <w:szCs w:val="21"/>
          <w:highlight w:val="none"/>
        </w:rPr>
      </w:pPr>
      <w:r>
        <w:rPr>
          <w:rFonts w:hint="eastAsia" w:ascii="宋体" w:hAnsi="宋体"/>
          <w:b/>
          <w:color w:val="auto"/>
          <w:spacing w:val="20"/>
          <w:szCs w:val="21"/>
          <w:highlight w:val="none"/>
        </w:rPr>
        <w:t>合同项目</w:t>
      </w:r>
    </w:p>
    <w:p w14:paraId="75A80EB6">
      <w:pPr>
        <w:numPr>
          <w:ilvl w:val="0"/>
          <w:numId w:val="76"/>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项目名称：</w:t>
      </w:r>
      <w:r>
        <w:rPr>
          <w:rFonts w:hint="eastAsia" w:ascii="宋体" w:hAnsi="宋体"/>
          <w:color w:val="auto"/>
          <w:szCs w:val="21"/>
          <w:highlight w:val="none"/>
          <w:u w:val="single"/>
        </w:rPr>
        <w:t>蔡白村办公大楼保安服务采购项目</w:t>
      </w:r>
    </w:p>
    <w:p w14:paraId="4B494A09">
      <w:pPr>
        <w:numPr>
          <w:ilvl w:val="0"/>
          <w:numId w:val="76"/>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项目编号：</w:t>
      </w:r>
      <w:r>
        <w:rPr>
          <w:rFonts w:hint="eastAsia" w:ascii="宋体" w:hAnsi="宋体"/>
          <w:color w:val="auto"/>
          <w:szCs w:val="21"/>
          <w:highlight w:val="none"/>
          <w:u w:val="single"/>
        </w:rPr>
        <w:t>ZHDGZC2025054</w:t>
      </w:r>
    </w:p>
    <w:p w14:paraId="55AA2717">
      <w:pPr>
        <w:numPr>
          <w:ilvl w:val="0"/>
          <w:numId w:val="75"/>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项目概况</w:t>
      </w:r>
    </w:p>
    <w:p w14:paraId="7BAA85CD">
      <w:pPr>
        <w:numPr>
          <w:ilvl w:val="0"/>
          <w:numId w:val="77"/>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lang w:val="en-US" w:eastAsia="zh-CN"/>
        </w:rPr>
        <w:t>服务地点</w:t>
      </w:r>
      <w:r>
        <w:rPr>
          <w:rFonts w:hint="eastAsia" w:ascii="宋体" w:hAnsi="宋体"/>
          <w:color w:val="auto"/>
          <w:szCs w:val="21"/>
          <w:highlight w:val="none"/>
        </w:rPr>
        <w:t>：</w:t>
      </w:r>
      <w:r>
        <w:rPr>
          <w:rFonts w:hint="eastAsia" w:ascii="宋体" w:hAnsi="宋体"/>
          <w:color w:val="auto"/>
          <w:szCs w:val="21"/>
          <w:highlight w:val="none"/>
          <w:u w:val="single"/>
        </w:rPr>
        <w:t>东莞市道滘镇蔡白村村民委员会或</w:t>
      </w:r>
      <w:r>
        <w:rPr>
          <w:rFonts w:hint="eastAsia" w:ascii="宋体" w:hAnsi="宋体"/>
          <w:color w:val="auto"/>
          <w:szCs w:val="21"/>
          <w:highlight w:val="none"/>
          <w:u w:val="single"/>
          <w:lang w:val="en-US" w:eastAsia="zh-CN"/>
        </w:rPr>
        <w:t>甲方</w:t>
      </w:r>
      <w:r>
        <w:rPr>
          <w:rFonts w:hint="eastAsia" w:ascii="宋体" w:hAnsi="宋体"/>
          <w:color w:val="auto"/>
          <w:szCs w:val="21"/>
          <w:highlight w:val="none"/>
          <w:u w:val="single"/>
        </w:rPr>
        <w:t>指定地点。</w:t>
      </w:r>
    </w:p>
    <w:p w14:paraId="57DC119E">
      <w:pPr>
        <w:numPr>
          <w:ilvl w:val="0"/>
          <w:numId w:val="77"/>
        </w:numPr>
        <w:snapToGrid w:val="0"/>
        <w:spacing w:line="360" w:lineRule="auto"/>
        <w:contextualSpacing/>
        <w:rPr>
          <w:rFonts w:ascii="宋体" w:hAnsi="宋体"/>
          <w:color w:val="auto"/>
          <w:szCs w:val="21"/>
          <w:highlight w:val="none"/>
          <w:u w:val="single"/>
        </w:rPr>
      </w:pPr>
      <w:r>
        <w:rPr>
          <w:rFonts w:hint="eastAsia" w:ascii="宋体" w:hAnsi="宋体"/>
          <w:color w:val="auto"/>
          <w:szCs w:val="21"/>
          <w:highlight w:val="none"/>
        </w:rPr>
        <w:t>服务范围及内容：</w:t>
      </w:r>
    </w:p>
    <w:p w14:paraId="6AE6C31F">
      <w:pPr>
        <w:numPr>
          <w:ilvl w:val="0"/>
          <w:numId w:val="78"/>
        </w:numPr>
        <w:snapToGrid w:val="0"/>
        <w:spacing w:line="360" w:lineRule="auto"/>
        <w:ind w:left="425" w:leftChars="0" w:hanging="425" w:firstLineChars="0"/>
        <w:contextualSpacing/>
        <w:rPr>
          <w:rFonts w:hint="eastAsia" w:ascii="宋体" w:hAnsi="宋体"/>
          <w:color w:val="auto"/>
          <w:szCs w:val="21"/>
          <w:highlight w:val="none"/>
          <w:u w:val="none"/>
        </w:rPr>
      </w:pPr>
      <w:r>
        <w:rPr>
          <w:rFonts w:hint="eastAsia" w:ascii="宋体" w:hAnsi="宋体"/>
          <w:color w:val="auto"/>
          <w:szCs w:val="21"/>
          <w:highlight w:val="none"/>
          <w:u w:val="none"/>
          <w:lang w:val="en-US" w:eastAsia="zh-CN"/>
        </w:rPr>
        <w:t>乙方</w:t>
      </w:r>
      <w:r>
        <w:rPr>
          <w:rFonts w:hint="eastAsia" w:ascii="宋体" w:hAnsi="宋体"/>
          <w:color w:val="auto"/>
          <w:szCs w:val="21"/>
          <w:highlight w:val="none"/>
          <w:u w:val="none"/>
        </w:rPr>
        <w:t>须负责办公楼的门卫、办公楼巡逻、人员出入、车辆进出和停放管理，维护办公楼的秩序，保护办公楼内人员的人身、财产安全，做好办公楼内临时性的应急处置工作，对办公楼内消防系统及设备进行检查并向</w:t>
      </w:r>
      <w:r>
        <w:rPr>
          <w:rFonts w:hint="eastAsia" w:ascii="宋体" w:hAnsi="宋体"/>
          <w:color w:val="auto"/>
          <w:szCs w:val="21"/>
          <w:highlight w:val="none"/>
          <w:u w:val="none"/>
          <w:lang w:eastAsia="zh-CN"/>
        </w:rPr>
        <w:t>甲方</w:t>
      </w:r>
      <w:r>
        <w:rPr>
          <w:rFonts w:hint="eastAsia" w:ascii="宋体" w:hAnsi="宋体"/>
          <w:color w:val="auto"/>
          <w:szCs w:val="21"/>
          <w:highlight w:val="none"/>
          <w:u w:val="none"/>
        </w:rPr>
        <w:t>提交相应报告，并做好办公楼的防火灾、防盗窃、防破坏、防事故、防抢劫、防诈骗、防暴恐、防爆破等安全工作，配合承担</w:t>
      </w:r>
      <w:r>
        <w:rPr>
          <w:rFonts w:hint="eastAsia" w:ascii="宋体" w:hAnsi="宋体"/>
          <w:color w:val="auto"/>
          <w:szCs w:val="21"/>
          <w:highlight w:val="none"/>
          <w:u w:val="none"/>
          <w:lang w:eastAsia="zh-CN"/>
        </w:rPr>
        <w:t>甲方</w:t>
      </w:r>
      <w:r>
        <w:rPr>
          <w:rFonts w:hint="eastAsia" w:ascii="宋体" w:hAnsi="宋体"/>
          <w:color w:val="auto"/>
          <w:szCs w:val="21"/>
          <w:highlight w:val="none"/>
          <w:u w:val="none"/>
        </w:rPr>
        <w:t>各类演练的安保工作。办公楼遭遇重大安全威胁时必须升级安保状态，</w:t>
      </w:r>
      <w:r>
        <w:rPr>
          <w:rFonts w:hint="eastAsia" w:ascii="宋体" w:hAnsi="宋体"/>
          <w:color w:val="auto"/>
          <w:szCs w:val="21"/>
          <w:highlight w:val="none"/>
          <w:u w:val="none"/>
          <w:lang w:eastAsia="zh-CN"/>
        </w:rPr>
        <w:t>甲方</w:t>
      </w:r>
      <w:r>
        <w:rPr>
          <w:rFonts w:hint="eastAsia" w:ascii="宋体" w:hAnsi="宋体"/>
          <w:color w:val="auto"/>
          <w:szCs w:val="21"/>
          <w:highlight w:val="none"/>
          <w:u w:val="none"/>
        </w:rPr>
        <w:t>要求加强安保力量时</w:t>
      </w:r>
      <w:r>
        <w:rPr>
          <w:rFonts w:hint="eastAsia" w:ascii="宋体" w:hAnsi="宋体"/>
          <w:color w:val="auto"/>
          <w:szCs w:val="21"/>
          <w:highlight w:val="none"/>
          <w:u w:val="none"/>
          <w:lang w:eastAsia="zh-CN"/>
        </w:rPr>
        <w:t>乙方</w:t>
      </w:r>
      <w:r>
        <w:rPr>
          <w:rFonts w:hint="eastAsia" w:ascii="宋体" w:hAnsi="宋体"/>
          <w:color w:val="auto"/>
          <w:szCs w:val="21"/>
          <w:highlight w:val="none"/>
          <w:u w:val="none"/>
        </w:rPr>
        <w:t>不得推诿。</w:t>
      </w:r>
    </w:p>
    <w:p w14:paraId="0D9F9307">
      <w:pPr>
        <w:keepNext w:val="0"/>
        <w:keepLines w:val="0"/>
        <w:pageBreakBefore w:val="0"/>
        <w:widowControl/>
        <w:numPr>
          <w:ilvl w:val="0"/>
          <w:numId w:val="78"/>
        </w:numPr>
        <w:kinsoku/>
        <w:wordWrap/>
        <w:overflowPunct/>
        <w:topLinePunct w:val="0"/>
        <w:bidi w:val="0"/>
        <w:snapToGrid w:val="0"/>
        <w:spacing w:line="360" w:lineRule="auto"/>
        <w:ind w:left="425" w:leftChars="0" w:hanging="425" w:firstLineChars="0"/>
        <w:contextualSpacing/>
        <w:textAlignment w:val="auto"/>
        <w:rPr>
          <w:rFonts w:hint="eastAsia" w:ascii="宋体" w:hAnsi="宋体"/>
          <w:color w:val="auto"/>
          <w:szCs w:val="21"/>
          <w:highlight w:val="none"/>
          <w:u w:val="none"/>
        </w:rPr>
      </w:pPr>
      <w:r>
        <w:rPr>
          <w:rFonts w:hint="eastAsia" w:ascii="宋体" w:hAnsi="宋体"/>
          <w:color w:val="auto"/>
          <w:szCs w:val="21"/>
          <w:highlight w:val="none"/>
          <w:u w:val="none"/>
        </w:rPr>
        <w:t>每天值班实行两班制（24小时值班制），</w:t>
      </w:r>
      <w:r>
        <w:rPr>
          <w:rFonts w:hint="eastAsia" w:ascii="宋体" w:hAnsi="宋体"/>
          <w:color w:val="auto"/>
          <w:szCs w:val="21"/>
          <w:highlight w:val="none"/>
          <w:u w:val="none"/>
          <w:lang w:eastAsia="zh-CN"/>
        </w:rPr>
        <w:t>乙方</w:t>
      </w:r>
      <w:r>
        <w:rPr>
          <w:rFonts w:hint="eastAsia" w:ascii="宋体" w:hAnsi="宋体"/>
          <w:color w:val="auto"/>
          <w:szCs w:val="21"/>
          <w:highlight w:val="none"/>
          <w:u w:val="none"/>
        </w:rPr>
        <w:t>须提供不少于4名保安</w:t>
      </w:r>
      <w:r>
        <w:rPr>
          <w:rFonts w:hint="eastAsia" w:ascii="宋体" w:hAnsi="宋体"/>
          <w:color w:val="auto"/>
          <w:szCs w:val="21"/>
          <w:highlight w:val="none"/>
          <w:u w:val="none"/>
          <w:lang w:eastAsia="zh-CN"/>
        </w:rPr>
        <w:t>（</w:t>
      </w:r>
      <w:r>
        <w:rPr>
          <w:rFonts w:hint="eastAsia" w:ascii="宋体" w:hAnsi="宋体"/>
          <w:color w:val="auto"/>
          <w:szCs w:val="21"/>
          <w:highlight w:val="none"/>
          <w:u w:val="none"/>
          <w:lang w:val="en-US" w:eastAsia="zh-CN"/>
        </w:rPr>
        <w:t>含1名保安队长</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，每人每月休息4天，保安配置人数务必达到</w:t>
      </w:r>
      <w:r>
        <w:rPr>
          <w:rFonts w:hint="eastAsia" w:ascii="宋体" w:hAnsi="宋体"/>
          <w:color w:val="auto"/>
          <w:szCs w:val="21"/>
          <w:highlight w:val="none"/>
          <w:u w:val="none"/>
          <w:lang w:eastAsia="zh-CN"/>
        </w:rPr>
        <w:t>甲方</w:t>
      </w:r>
      <w:r>
        <w:rPr>
          <w:rFonts w:hint="eastAsia" w:ascii="宋体" w:hAnsi="宋体"/>
          <w:color w:val="auto"/>
          <w:szCs w:val="21"/>
          <w:highlight w:val="none"/>
          <w:u w:val="none"/>
        </w:rPr>
        <w:t>的要求。</w:t>
      </w:r>
      <w:r>
        <w:rPr>
          <w:rFonts w:hint="eastAsia" w:ascii="宋体" w:hAnsi="宋体"/>
          <w:color w:val="auto"/>
          <w:szCs w:val="21"/>
          <w:highlight w:val="none"/>
          <w:u w:val="none"/>
          <w:lang w:eastAsia="zh-CN"/>
        </w:rPr>
        <w:t>乙方</w:t>
      </w:r>
      <w:r>
        <w:rPr>
          <w:rFonts w:hint="eastAsia" w:ascii="宋体" w:hAnsi="宋体"/>
          <w:color w:val="auto"/>
          <w:szCs w:val="21"/>
          <w:highlight w:val="none"/>
          <w:u w:val="none"/>
        </w:rPr>
        <w:t>须保障员工工作安全和服务质量，</w:t>
      </w:r>
      <w:r>
        <w:rPr>
          <w:rFonts w:hint="eastAsia" w:ascii="宋体" w:hAnsi="宋体"/>
          <w:color w:val="auto"/>
          <w:szCs w:val="21"/>
          <w:highlight w:val="none"/>
          <w:u w:val="none"/>
          <w:lang w:eastAsia="zh-CN"/>
        </w:rPr>
        <w:t>乙方</w:t>
      </w:r>
      <w:r>
        <w:rPr>
          <w:rFonts w:hint="eastAsia" w:ascii="宋体" w:hAnsi="宋体"/>
          <w:color w:val="auto"/>
          <w:szCs w:val="21"/>
          <w:highlight w:val="none"/>
          <w:u w:val="none"/>
        </w:rPr>
        <w:t>的保安人员不得连岗，需严格遵守两班轮换制度。做好交接班情况登记和巡更记录，加强重点区域巡更记录。有异常及时报告保安队长并将情况第一时间联系</w:t>
      </w:r>
      <w:r>
        <w:rPr>
          <w:rFonts w:hint="eastAsia" w:ascii="宋体" w:hAnsi="宋体"/>
          <w:color w:val="auto"/>
          <w:szCs w:val="21"/>
          <w:highlight w:val="none"/>
          <w:u w:val="none"/>
          <w:lang w:val="en-US" w:eastAsia="zh-CN"/>
        </w:rPr>
        <w:t>采购人</w:t>
      </w:r>
      <w:r>
        <w:rPr>
          <w:rFonts w:hint="eastAsia" w:ascii="宋体" w:hAnsi="宋体"/>
          <w:color w:val="auto"/>
          <w:szCs w:val="21"/>
          <w:highlight w:val="none"/>
          <w:u w:val="none"/>
        </w:rPr>
        <w:t>安保负责人。</w:t>
      </w:r>
    </w:p>
    <w:p w14:paraId="43E82E76">
      <w:pPr>
        <w:keepNext w:val="0"/>
        <w:keepLines w:val="0"/>
        <w:pageBreakBefore w:val="0"/>
        <w:widowControl/>
        <w:numPr>
          <w:ilvl w:val="0"/>
          <w:numId w:val="78"/>
        </w:numPr>
        <w:kinsoku/>
        <w:wordWrap/>
        <w:overflowPunct/>
        <w:topLinePunct w:val="0"/>
        <w:bidi w:val="0"/>
        <w:snapToGrid w:val="0"/>
        <w:spacing w:line="360" w:lineRule="auto"/>
        <w:ind w:left="425" w:leftChars="0" w:hanging="425" w:firstLineChars="0"/>
        <w:contextualSpacing/>
        <w:textAlignment w:val="auto"/>
        <w:rPr>
          <w:rFonts w:hint="eastAsia" w:ascii="宋体" w:hAnsi="宋体"/>
          <w:color w:val="auto"/>
          <w:szCs w:val="21"/>
          <w:highlight w:val="none"/>
          <w:u w:val="none"/>
        </w:rPr>
      </w:pPr>
      <w:r>
        <w:rPr>
          <w:rFonts w:hint="eastAsia" w:ascii="宋体" w:hAnsi="宋体"/>
          <w:color w:val="auto"/>
          <w:szCs w:val="21"/>
          <w:highlight w:val="none"/>
          <w:u w:val="none"/>
        </w:rPr>
        <w:t>保安人员每天需将办公楼出入口附近卫生打扫干净并做好保洁，每周对保安室附近区域和监控室做好大清洁工作，保持场地干净整洁。</w:t>
      </w:r>
    </w:p>
    <w:p w14:paraId="5A0CA8B8">
      <w:pPr>
        <w:keepNext w:val="0"/>
        <w:keepLines w:val="0"/>
        <w:pageBreakBefore w:val="0"/>
        <w:widowControl/>
        <w:numPr>
          <w:ilvl w:val="0"/>
          <w:numId w:val="78"/>
        </w:numPr>
        <w:kinsoku/>
        <w:wordWrap/>
        <w:overflowPunct/>
        <w:topLinePunct w:val="0"/>
        <w:bidi w:val="0"/>
        <w:snapToGrid w:val="0"/>
        <w:spacing w:line="360" w:lineRule="auto"/>
        <w:ind w:left="425" w:leftChars="0" w:hanging="425" w:firstLineChars="0"/>
        <w:contextualSpacing/>
        <w:textAlignment w:val="auto"/>
        <w:rPr>
          <w:rFonts w:ascii="宋体" w:hAnsi="宋体"/>
          <w:color w:val="auto"/>
          <w:szCs w:val="21"/>
          <w:highlight w:val="none"/>
          <w:u w:val="none"/>
        </w:rPr>
      </w:pPr>
      <w:r>
        <w:rPr>
          <w:rFonts w:hint="eastAsia" w:ascii="宋体" w:hAnsi="宋体"/>
          <w:color w:val="auto"/>
          <w:szCs w:val="21"/>
          <w:highlight w:val="none"/>
          <w:u w:val="none"/>
        </w:rPr>
        <w:t>加强办公楼的巡查机制，每两小时巡查一次并做好巡查和登记。夜间巡查做好节能工作，及时开关照明设施。</w:t>
      </w:r>
      <w:r>
        <w:rPr>
          <w:rFonts w:hint="eastAsia" w:ascii="宋体" w:hAnsi="宋体"/>
          <w:color w:val="auto"/>
          <w:szCs w:val="21"/>
          <w:highlight w:val="none"/>
          <w:u w:val="none"/>
          <w:lang w:eastAsia="zh-CN"/>
        </w:rPr>
        <w:t>甲方</w:t>
      </w:r>
      <w:r>
        <w:rPr>
          <w:rFonts w:hint="eastAsia" w:ascii="宋体" w:hAnsi="宋体"/>
          <w:color w:val="auto"/>
          <w:szCs w:val="21"/>
          <w:highlight w:val="none"/>
          <w:u w:val="none"/>
        </w:rPr>
        <w:t>布置最新安保要求时</w:t>
      </w:r>
      <w:r>
        <w:rPr>
          <w:rFonts w:hint="eastAsia" w:ascii="宋体" w:hAnsi="宋体"/>
          <w:color w:val="auto"/>
          <w:szCs w:val="21"/>
          <w:highlight w:val="none"/>
          <w:u w:val="none"/>
          <w:lang w:eastAsia="zh-CN"/>
        </w:rPr>
        <w:t>乙方</w:t>
      </w:r>
      <w:r>
        <w:rPr>
          <w:rFonts w:hint="eastAsia" w:ascii="宋体" w:hAnsi="宋体"/>
          <w:color w:val="auto"/>
          <w:szCs w:val="21"/>
          <w:highlight w:val="none"/>
          <w:u w:val="none"/>
        </w:rPr>
        <w:t>要及时调整并执行不得推诿。</w:t>
      </w:r>
    </w:p>
    <w:p w14:paraId="309CB5E3">
      <w:pPr>
        <w:keepNext w:val="0"/>
        <w:keepLines w:val="0"/>
        <w:pageBreakBefore w:val="0"/>
        <w:widowControl/>
        <w:numPr>
          <w:ilvl w:val="0"/>
          <w:numId w:val="75"/>
        </w:numPr>
        <w:kinsoku/>
        <w:wordWrap/>
        <w:overflowPunct/>
        <w:topLinePunct w:val="0"/>
        <w:bidi w:val="0"/>
        <w:snapToGrid w:val="0"/>
        <w:spacing w:line="360" w:lineRule="auto"/>
        <w:contextualSpacing/>
        <w:textAlignment w:val="auto"/>
        <w:rPr>
          <w:rFonts w:ascii="宋体" w:hAnsi="宋体"/>
          <w:b/>
          <w:color w:val="auto"/>
          <w:spacing w:val="20"/>
          <w:szCs w:val="21"/>
          <w:highlight w:val="none"/>
        </w:rPr>
      </w:pPr>
      <w:r>
        <w:rPr>
          <w:rFonts w:hint="eastAsia" w:ascii="宋体" w:hAnsi="宋体"/>
          <w:b/>
          <w:color w:val="auto"/>
          <w:spacing w:val="20"/>
          <w:szCs w:val="21"/>
          <w:highlight w:val="none"/>
        </w:rPr>
        <w:t>总体要求</w:t>
      </w:r>
    </w:p>
    <w:p w14:paraId="06FA96FE">
      <w:pPr>
        <w:keepNext w:val="0"/>
        <w:keepLines w:val="0"/>
        <w:pageBreakBefore w:val="0"/>
        <w:widowControl/>
        <w:numPr>
          <w:ilvl w:val="0"/>
          <w:numId w:val="79"/>
        </w:numPr>
        <w:kinsoku/>
        <w:wordWrap/>
        <w:overflowPunct/>
        <w:topLinePunct w:val="0"/>
        <w:autoSpaceDE w:val="0"/>
        <w:autoSpaceDN w:val="0"/>
        <w:bidi w:val="0"/>
        <w:adjustRightInd w:val="0"/>
        <w:snapToGrid w:val="0"/>
        <w:spacing w:line="360" w:lineRule="auto"/>
        <w:contextualSpacing/>
        <w:jc w:val="left"/>
        <w:textAlignment w:val="auto"/>
        <w:rPr>
          <w:rFonts w:ascii="宋体" w:hAnsi="宋体"/>
          <w:color w:val="auto"/>
          <w:szCs w:val="21"/>
          <w:highlight w:val="none"/>
        </w:rPr>
      </w:pPr>
      <w:r>
        <w:rPr>
          <w:rFonts w:hint="eastAsia" w:ascii="宋体" w:hAnsi="宋体"/>
          <w:color w:val="auto"/>
          <w:szCs w:val="21"/>
          <w:highlight w:val="none"/>
        </w:rPr>
        <w:t>甲方权利和义务</w:t>
      </w:r>
    </w:p>
    <w:p w14:paraId="567F335D">
      <w:pPr>
        <w:keepNext w:val="0"/>
        <w:keepLines w:val="0"/>
        <w:pageBreakBefore w:val="0"/>
        <w:widowControl/>
        <w:numPr>
          <w:ilvl w:val="0"/>
          <w:numId w:val="80"/>
        </w:numPr>
        <w:tabs>
          <w:tab w:val="left" w:pos="284"/>
        </w:tabs>
        <w:kinsoku/>
        <w:wordWrap/>
        <w:overflowPunct/>
        <w:topLinePunct w:val="0"/>
        <w:bidi w:val="0"/>
        <w:snapToGrid w:val="0"/>
        <w:spacing w:line="360" w:lineRule="auto"/>
        <w:ind w:left="425" w:leftChars="0" w:hanging="425" w:firstLineChars="0"/>
        <w:contextualSpacing/>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甲方有权随时检查乙方的服务履行情况，并向乙方提出</w:t>
      </w:r>
      <w:r>
        <w:rPr>
          <w:rFonts w:hint="eastAsia" w:ascii="宋体" w:hAnsi="宋体" w:eastAsia="宋体" w:cs="Times New Roman"/>
          <w:color w:val="auto"/>
          <w:szCs w:val="21"/>
          <w:highlight w:val="none"/>
          <w:lang w:val="en-US" w:eastAsia="zh-CN"/>
        </w:rPr>
        <w:t>限时</w:t>
      </w:r>
      <w:r>
        <w:rPr>
          <w:rFonts w:hint="eastAsia" w:ascii="宋体" w:hAnsi="宋体" w:eastAsia="宋体" w:cs="Times New Roman"/>
          <w:color w:val="auto"/>
          <w:szCs w:val="21"/>
          <w:highlight w:val="none"/>
        </w:rPr>
        <w:t>修改。</w:t>
      </w:r>
    </w:p>
    <w:p w14:paraId="68E24D40">
      <w:pPr>
        <w:keepNext w:val="0"/>
        <w:keepLines w:val="0"/>
        <w:pageBreakBefore w:val="0"/>
        <w:widowControl/>
        <w:numPr>
          <w:ilvl w:val="0"/>
          <w:numId w:val="80"/>
        </w:numPr>
        <w:tabs>
          <w:tab w:val="left" w:pos="284"/>
        </w:tabs>
        <w:kinsoku/>
        <w:wordWrap/>
        <w:overflowPunct/>
        <w:topLinePunct w:val="0"/>
        <w:bidi w:val="0"/>
        <w:snapToGrid w:val="0"/>
        <w:spacing w:line="360" w:lineRule="auto"/>
        <w:ind w:left="425" w:leftChars="0" w:hanging="425" w:firstLineChars="0"/>
        <w:contextualSpacing/>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当发生服务违约时，则甲方有权按约定在支付乙方合同款项中进行扣款。</w:t>
      </w:r>
    </w:p>
    <w:p w14:paraId="4CBA819E">
      <w:pPr>
        <w:keepNext w:val="0"/>
        <w:keepLines w:val="0"/>
        <w:pageBreakBefore w:val="0"/>
        <w:widowControl/>
        <w:numPr>
          <w:ilvl w:val="0"/>
          <w:numId w:val="80"/>
        </w:numPr>
        <w:tabs>
          <w:tab w:val="left" w:pos="284"/>
        </w:tabs>
        <w:kinsoku/>
        <w:wordWrap/>
        <w:overflowPunct/>
        <w:topLinePunct w:val="0"/>
        <w:bidi w:val="0"/>
        <w:snapToGrid w:val="0"/>
        <w:spacing w:line="360" w:lineRule="auto"/>
        <w:ind w:left="425" w:leftChars="0" w:hanging="425" w:firstLineChars="0"/>
        <w:contextualSpacing/>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在乙方提供服务时，如对甲方的设备造成了损坏，甲方有权要求乙方赔偿。</w:t>
      </w:r>
    </w:p>
    <w:p w14:paraId="2A0B5D6C">
      <w:pPr>
        <w:keepNext w:val="0"/>
        <w:keepLines w:val="0"/>
        <w:pageBreakBefore w:val="0"/>
        <w:widowControl/>
        <w:numPr>
          <w:ilvl w:val="0"/>
          <w:numId w:val="80"/>
        </w:numPr>
        <w:tabs>
          <w:tab w:val="left" w:pos="284"/>
        </w:tabs>
        <w:kinsoku/>
        <w:wordWrap/>
        <w:overflowPunct/>
        <w:topLinePunct w:val="0"/>
        <w:bidi w:val="0"/>
        <w:snapToGrid w:val="0"/>
        <w:spacing w:line="360" w:lineRule="auto"/>
        <w:ind w:left="425" w:leftChars="0" w:hanging="425" w:firstLineChars="0"/>
        <w:contextualSpacing/>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甲方应按合同规定向乙方支付服务费用。</w:t>
      </w:r>
    </w:p>
    <w:p w14:paraId="110BB59B">
      <w:pPr>
        <w:keepNext w:val="0"/>
        <w:keepLines w:val="0"/>
        <w:pageBreakBefore w:val="0"/>
        <w:widowControl/>
        <w:numPr>
          <w:ilvl w:val="0"/>
          <w:numId w:val="79"/>
        </w:numPr>
        <w:kinsoku/>
        <w:wordWrap/>
        <w:overflowPunct/>
        <w:topLinePunct w:val="0"/>
        <w:autoSpaceDE w:val="0"/>
        <w:autoSpaceDN w:val="0"/>
        <w:bidi w:val="0"/>
        <w:adjustRightInd w:val="0"/>
        <w:snapToGrid w:val="0"/>
        <w:spacing w:line="360" w:lineRule="auto"/>
        <w:contextualSpacing/>
        <w:jc w:val="left"/>
        <w:textAlignment w:val="auto"/>
        <w:rPr>
          <w:rFonts w:ascii="宋体" w:hAnsi="宋体"/>
          <w:color w:val="auto"/>
          <w:szCs w:val="21"/>
          <w:highlight w:val="none"/>
        </w:rPr>
      </w:pPr>
      <w:r>
        <w:rPr>
          <w:rFonts w:hint="eastAsia" w:ascii="宋体" w:hAnsi="宋体"/>
          <w:color w:val="auto"/>
          <w:szCs w:val="21"/>
          <w:highlight w:val="none"/>
        </w:rPr>
        <w:t>乙方权利和义务</w:t>
      </w:r>
    </w:p>
    <w:p w14:paraId="0942A5B9">
      <w:pPr>
        <w:keepNext w:val="0"/>
        <w:keepLines w:val="0"/>
        <w:pageBreakBefore w:val="0"/>
        <w:widowControl/>
        <w:numPr>
          <w:ilvl w:val="0"/>
          <w:numId w:val="81"/>
        </w:numPr>
        <w:tabs>
          <w:tab w:val="left" w:pos="284"/>
        </w:tabs>
        <w:kinsoku/>
        <w:wordWrap/>
        <w:overflowPunct/>
        <w:topLinePunct w:val="0"/>
        <w:bidi w:val="0"/>
        <w:snapToGrid w:val="0"/>
        <w:spacing w:line="360" w:lineRule="auto"/>
        <w:ind w:left="425" w:leftChars="0" w:hanging="425" w:firstLineChars="0"/>
        <w:contextualSpacing/>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乙方应按磋商文件的要求和响应文件的承诺进行服务，发生任何服务的变更均须向甲方提出交书面报审报告。</w:t>
      </w:r>
    </w:p>
    <w:p w14:paraId="5CDC5657">
      <w:pPr>
        <w:numPr>
          <w:ilvl w:val="0"/>
          <w:numId w:val="81"/>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乙方有权要求甲方按时支付服务费用。如甲方不按时支付乙方有权要求甲方支付滞纳金。但服务费得支付应以符合东莞市财政局的相关规定为前提。</w:t>
      </w:r>
    </w:p>
    <w:p w14:paraId="6A6D1174">
      <w:pPr>
        <w:numPr>
          <w:ilvl w:val="0"/>
          <w:numId w:val="75"/>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服务人员要求</w:t>
      </w:r>
    </w:p>
    <w:p w14:paraId="25473C33">
      <w:pPr>
        <w:numPr>
          <w:ilvl w:val="0"/>
          <w:numId w:val="82"/>
        </w:numPr>
        <w:autoSpaceDE w:val="0"/>
        <w:autoSpaceDN w:val="0"/>
        <w:adjustRightInd w:val="0"/>
        <w:snapToGrid w:val="0"/>
        <w:spacing w:line="360" w:lineRule="auto"/>
        <w:contextualSpacing/>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保安人员素质及其工作要求</w:t>
      </w:r>
    </w:p>
    <w:p w14:paraId="191581CF">
      <w:pPr>
        <w:numPr>
          <w:ilvl w:val="0"/>
          <w:numId w:val="83"/>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年龄在18周岁至55周岁之间，男，初中以上学历</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退伍军人优先考虑。</w:t>
      </w:r>
    </w:p>
    <w:p w14:paraId="1154A9ED">
      <w:pPr>
        <w:numPr>
          <w:ilvl w:val="0"/>
          <w:numId w:val="83"/>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五官端正，身体健康，能吃苦耐劳、工作认真负责并服从</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lang w:val="en-US" w:eastAsia="zh-CN"/>
        </w:rPr>
        <w:t>及</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的工作安排。</w:t>
      </w:r>
    </w:p>
    <w:p w14:paraId="47CEBC49">
      <w:pPr>
        <w:numPr>
          <w:ilvl w:val="0"/>
          <w:numId w:val="83"/>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思想健康，遵纪守法，作风正派，忠诚老实；思想素质高，品行端正，无任何不良社会行为与犯罪记录。</w:t>
      </w:r>
    </w:p>
    <w:p w14:paraId="2BFBAFC1">
      <w:pPr>
        <w:numPr>
          <w:ilvl w:val="0"/>
          <w:numId w:val="83"/>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上班期间统一穿着保安制服，保安服由</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统一配备。</w:t>
      </w:r>
    </w:p>
    <w:p w14:paraId="46654D75">
      <w:pPr>
        <w:numPr>
          <w:ilvl w:val="0"/>
          <w:numId w:val="83"/>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保安专业培训合格、业务能力强，能严格执行岗位责任任务</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具有公安部门颁发的保安员证，持证上岗</w:t>
      </w:r>
      <w:r>
        <w:rPr>
          <w:rFonts w:hint="eastAsia" w:ascii="宋体" w:hAnsi="宋体" w:eastAsia="宋体" w:cs="Times New Roman"/>
          <w:color w:val="auto"/>
          <w:szCs w:val="21"/>
          <w:highlight w:val="none"/>
        </w:rPr>
        <w:t>。</w:t>
      </w:r>
    </w:p>
    <w:p w14:paraId="3190CF62">
      <w:pPr>
        <w:numPr>
          <w:ilvl w:val="0"/>
          <w:numId w:val="82"/>
        </w:numPr>
        <w:autoSpaceDE w:val="0"/>
        <w:autoSpaceDN w:val="0"/>
        <w:adjustRightInd w:val="0"/>
        <w:snapToGrid w:val="0"/>
        <w:spacing w:line="360" w:lineRule="auto"/>
        <w:contextualSpacing/>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保安服务工作服务具体要求</w:t>
      </w:r>
    </w:p>
    <w:p w14:paraId="30BA2C66">
      <w:pPr>
        <w:numPr>
          <w:ilvl w:val="0"/>
          <w:numId w:val="84"/>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日常应加强对保安员的管理。</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根据</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的实际配备足够的人员，根据需要设立1个保安队长驻点对保安队伍进行管理、巡视，保安队长负责和</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负责人对接，服从</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管理。</w:t>
      </w:r>
    </w:p>
    <w:p w14:paraId="12D1F27C">
      <w:pPr>
        <w:numPr>
          <w:ilvl w:val="0"/>
          <w:numId w:val="84"/>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cs="Times New Roman"/>
          <w:color w:val="auto"/>
          <w:szCs w:val="21"/>
          <w:highlight w:val="none"/>
          <w:lang w:val="en-US" w:eastAsia="zh-CN"/>
        </w:rPr>
        <w:t>甲方</w:t>
      </w:r>
      <w:r>
        <w:rPr>
          <w:rFonts w:hint="eastAsia" w:ascii="宋体" w:hAnsi="宋体" w:eastAsia="宋体" w:cs="Times New Roman"/>
          <w:color w:val="auto"/>
          <w:szCs w:val="21"/>
          <w:highlight w:val="none"/>
        </w:rPr>
        <w:t>定期指派巡查督导对保安员进行有针对性的培训和监督，指出保安员的工作不足，落实各项整改措施。</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对</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lang w:val="en-US" w:eastAsia="zh-CN"/>
        </w:rPr>
        <w:t>服务</w:t>
      </w:r>
      <w:r>
        <w:rPr>
          <w:rFonts w:hint="eastAsia" w:ascii="宋体" w:hAnsi="宋体" w:eastAsia="宋体" w:cs="Times New Roman"/>
          <w:color w:val="auto"/>
          <w:szCs w:val="21"/>
          <w:highlight w:val="none"/>
        </w:rPr>
        <w:t>人员提出的合理化工作建议，</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应积极采纳有效建议并及时整改隐患，以保障办公楼安全。如因</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工作失职产生的</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损失由</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承担。</w:t>
      </w:r>
    </w:p>
    <w:p w14:paraId="7199321C">
      <w:pPr>
        <w:numPr>
          <w:ilvl w:val="0"/>
          <w:numId w:val="84"/>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保安人员如有不称职行为经教育批评不改的，或经发现有违法违规或失职行为的，</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应迅速予以处理。</w:t>
      </w:r>
    </w:p>
    <w:p w14:paraId="10D19F0D">
      <w:pPr>
        <w:numPr>
          <w:ilvl w:val="0"/>
          <w:numId w:val="84"/>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lang w:val="en-US" w:eastAsia="zh-CN"/>
        </w:rPr>
        <w:t>应</w:t>
      </w:r>
      <w:r>
        <w:rPr>
          <w:rFonts w:hint="eastAsia" w:ascii="宋体" w:hAnsi="宋体" w:eastAsia="宋体" w:cs="Times New Roman"/>
          <w:color w:val="auto"/>
          <w:szCs w:val="21"/>
          <w:highlight w:val="none"/>
        </w:rPr>
        <w:t>制定可行的交通、车辆、停车场管理制度；</w:t>
      </w:r>
      <w:r>
        <w:rPr>
          <w:rFonts w:hint="eastAsia" w:ascii="宋体" w:hAnsi="宋体" w:eastAsia="宋体" w:cs="Times New Roman"/>
          <w:color w:val="auto"/>
          <w:szCs w:val="21"/>
          <w:highlight w:val="none"/>
          <w:lang w:val="en-US" w:eastAsia="zh-CN"/>
        </w:rPr>
        <w:t>保安人员确保</w:t>
      </w:r>
      <w:r>
        <w:rPr>
          <w:rFonts w:hint="eastAsia" w:ascii="宋体" w:hAnsi="宋体" w:eastAsia="宋体" w:cs="Times New Roman"/>
          <w:color w:val="auto"/>
          <w:szCs w:val="21"/>
          <w:highlight w:val="none"/>
        </w:rPr>
        <w:t>自行车、机动车等各种车辆停放有序，指引停放人员按规定存放在指定地点，车辆停放要求达到规范、整齐、美观、安全。</w:t>
      </w:r>
    </w:p>
    <w:p w14:paraId="69EB27E9">
      <w:pPr>
        <w:numPr>
          <w:ilvl w:val="0"/>
          <w:numId w:val="84"/>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保安人员言行规范，注重仪容仪表，注重礼貌用语，对进出人员及车辆要主动询问并指引规范停放，并严格执行来访出入登记制度。</w:t>
      </w:r>
    </w:p>
    <w:p w14:paraId="182499FE">
      <w:pPr>
        <w:numPr>
          <w:ilvl w:val="0"/>
          <w:numId w:val="84"/>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保安人员要注重保安自身形象。</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自行配备保安</w:t>
      </w:r>
      <w:r>
        <w:rPr>
          <w:rFonts w:hint="eastAsia" w:ascii="宋体" w:hAnsi="宋体" w:eastAsia="宋体" w:cs="Times New Roman"/>
          <w:color w:val="auto"/>
          <w:szCs w:val="21"/>
          <w:highlight w:val="none"/>
          <w:lang w:val="en-US" w:eastAsia="zh-CN"/>
        </w:rPr>
        <w:t>服务人员</w:t>
      </w:r>
      <w:r>
        <w:rPr>
          <w:rFonts w:hint="eastAsia" w:ascii="宋体" w:hAnsi="宋体" w:eastAsia="宋体" w:cs="Times New Roman"/>
          <w:color w:val="auto"/>
          <w:szCs w:val="21"/>
          <w:highlight w:val="none"/>
        </w:rPr>
        <w:t>必须的工作装备十件套【防暴头盔</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1顶/人</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、防护盾牌</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1副/人</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、防刺背心</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1套/人</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、防割手套</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1副/人</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、橡胶警棍</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1支/人</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、强光电筒</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1支/人</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、自卫喷雾剂</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1支/人</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、安全钢叉2套、长警棍2根和对讲机2部】</w:t>
      </w:r>
      <w:r>
        <w:rPr>
          <w:rFonts w:hint="eastAsia" w:ascii="宋体" w:hAnsi="宋体" w:eastAsia="宋体" w:cs="Times New Roman"/>
          <w:color w:val="auto"/>
          <w:szCs w:val="21"/>
          <w:highlight w:val="none"/>
          <w:lang w:val="en-US" w:eastAsia="zh-CN"/>
        </w:rPr>
        <w:t>并配备</w:t>
      </w:r>
      <w:r>
        <w:rPr>
          <w:rFonts w:hint="eastAsia" w:ascii="宋体" w:hAnsi="宋体" w:eastAsia="宋体" w:cs="Times New Roman"/>
          <w:color w:val="auto"/>
          <w:szCs w:val="21"/>
          <w:highlight w:val="none"/>
        </w:rPr>
        <w:t>相关专门摆放柜。</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lang w:val="en-US" w:eastAsia="zh-CN"/>
        </w:rPr>
        <w:t>需确保</w:t>
      </w:r>
      <w:r>
        <w:rPr>
          <w:rFonts w:hint="eastAsia" w:ascii="宋体" w:hAnsi="宋体" w:eastAsia="宋体" w:cs="Times New Roman"/>
          <w:color w:val="auto"/>
          <w:szCs w:val="21"/>
          <w:highlight w:val="none"/>
        </w:rPr>
        <w:t>上述器材</w:t>
      </w:r>
      <w:r>
        <w:rPr>
          <w:rFonts w:hint="eastAsia" w:ascii="宋体" w:hAnsi="宋体" w:eastAsia="宋体" w:cs="Times New Roman"/>
          <w:color w:val="auto"/>
          <w:szCs w:val="21"/>
          <w:highlight w:val="none"/>
          <w:lang w:val="en-US" w:eastAsia="zh-CN"/>
        </w:rPr>
        <w:t>的</w:t>
      </w:r>
      <w:r>
        <w:rPr>
          <w:rFonts w:hint="eastAsia" w:ascii="宋体" w:hAnsi="宋体" w:eastAsia="宋体" w:cs="Times New Roman"/>
          <w:color w:val="auto"/>
          <w:szCs w:val="21"/>
          <w:highlight w:val="none"/>
        </w:rPr>
        <w:t>配备</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可以正常使用并在有效使用期内。</w:t>
      </w:r>
    </w:p>
    <w:p w14:paraId="0CD57ECA">
      <w:pPr>
        <w:numPr>
          <w:ilvl w:val="0"/>
          <w:numId w:val="84"/>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如有保安</w:t>
      </w:r>
      <w:r>
        <w:rPr>
          <w:rFonts w:hint="eastAsia" w:ascii="宋体" w:hAnsi="宋体" w:eastAsia="宋体" w:cs="Times New Roman"/>
          <w:color w:val="auto"/>
          <w:szCs w:val="21"/>
          <w:highlight w:val="none"/>
          <w:lang w:val="en-US" w:eastAsia="zh-CN"/>
        </w:rPr>
        <w:t>人</w:t>
      </w:r>
      <w:r>
        <w:rPr>
          <w:rFonts w:hint="eastAsia" w:ascii="宋体" w:hAnsi="宋体" w:eastAsia="宋体" w:cs="Times New Roman"/>
          <w:color w:val="auto"/>
          <w:szCs w:val="21"/>
          <w:highlight w:val="none"/>
        </w:rPr>
        <w:t>员辞职、离岗或休假等</w:t>
      </w:r>
      <w:r>
        <w:rPr>
          <w:rFonts w:hint="eastAsia" w:ascii="宋体" w:hAnsi="宋体" w:eastAsia="宋体" w:cs="Times New Roman"/>
          <w:color w:val="auto"/>
          <w:szCs w:val="21"/>
          <w:highlight w:val="none"/>
          <w:lang w:val="en-US" w:eastAsia="zh-CN"/>
        </w:rPr>
        <w:t>情形</w:t>
      </w:r>
      <w:r>
        <w:rPr>
          <w:rFonts w:hint="eastAsia" w:ascii="宋体" w:hAnsi="宋体" w:eastAsia="宋体" w:cs="Times New Roman"/>
          <w:color w:val="auto"/>
          <w:szCs w:val="21"/>
          <w:highlight w:val="none"/>
        </w:rPr>
        <w:t>，</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须</w:t>
      </w:r>
      <w:r>
        <w:rPr>
          <w:rFonts w:hint="eastAsia" w:ascii="宋体" w:hAnsi="宋体" w:eastAsia="宋体" w:cs="Times New Roman"/>
          <w:color w:val="auto"/>
          <w:szCs w:val="21"/>
          <w:highlight w:val="none"/>
          <w:lang w:val="en-US" w:eastAsia="zh-CN"/>
        </w:rPr>
        <w:t>及</w:t>
      </w:r>
      <w:r>
        <w:rPr>
          <w:rFonts w:hint="eastAsia" w:ascii="宋体" w:hAnsi="宋体" w:eastAsia="宋体" w:cs="Times New Roman"/>
          <w:color w:val="auto"/>
          <w:szCs w:val="21"/>
          <w:highlight w:val="none"/>
        </w:rPr>
        <w:t>时补充同等数量、符合要求的</w:t>
      </w:r>
      <w:r>
        <w:rPr>
          <w:rFonts w:hint="eastAsia" w:ascii="宋体" w:hAnsi="宋体" w:eastAsia="宋体" w:cs="Times New Roman"/>
          <w:color w:val="auto"/>
          <w:szCs w:val="21"/>
          <w:highlight w:val="none"/>
          <w:lang w:val="en-US" w:eastAsia="zh-CN"/>
        </w:rPr>
        <w:t>保安人员</w:t>
      </w:r>
      <w:r>
        <w:rPr>
          <w:rFonts w:hint="eastAsia" w:ascii="宋体" w:hAnsi="宋体" w:eastAsia="宋体" w:cs="Times New Roman"/>
          <w:color w:val="auto"/>
          <w:szCs w:val="21"/>
          <w:highlight w:val="none"/>
        </w:rPr>
        <w:t>到</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指定工作岗位，经</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lang w:val="en-US" w:eastAsia="zh-CN"/>
        </w:rPr>
        <w:t>相关负责人</w:t>
      </w:r>
      <w:r>
        <w:rPr>
          <w:rFonts w:hint="eastAsia" w:ascii="宋体" w:hAnsi="宋体" w:eastAsia="宋体" w:cs="Times New Roman"/>
          <w:color w:val="auto"/>
          <w:szCs w:val="21"/>
          <w:highlight w:val="none"/>
        </w:rPr>
        <w:t>同意后做好工作交接，将相关材料做好登记并存档。</w:t>
      </w:r>
    </w:p>
    <w:p w14:paraId="184314B7">
      <w:pPr>
        <w:numPr>
          <w:ilvl w:val="0"/>
          <w:numId w:val="84"/>
        </w:numPr>
        <w:tabs>
          <w:tab w:val="left" w:pos="284"/>
        </w:tabs>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保安队伍技能培训。为确保保安队伍的工作过程中高质服务、文明执勤、以制度服人，</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需每半年对</w:t>
      </w:r>
      <w:r>
        <w:rPr>
          <w:rFonts w:hint="eastAsia" w:ascii="宋体" w:hAnsi="宋体" w:eastAsia="宋体" w:cs="Times New Roman"/>
          <w:color w:val="auto"/>
          <w:szCs w:val="21"/>
          <w:highlight w:val="none"/>
          <w:lang w:val="en-US" w:eastAsia="zh-CN"/>
        </w:rPr>
        <w:t>各</w:t>
      </w:r>
      <w:r>
        <w:rPr>
          <w:rFonts w:hint="eastAsia" w:ascii="宋体" w:hAnsi="宋体" w:eastAsia="宋体" w:cs="Times New Roman"/>
          <w:color w:val="auto"/>
          <w:szCs w:val="21"/>
          <w:highlight w:val="none"/>
        </w:rPr>
        <w:t>保安员进行全面系统的培训，内容包括新员工入职技能培训、礼仪培训</w:t>
      </w:r>
      <w:r>
        <w:rPr>
          <w:rFonts w:hint="eastAsia" w:ascii="宋体" w:hAnsi="宋体" w:eastAsia="宋体" w:cs="Times New Roman"/>
          <w:color w:val="auto"/>
          <w:szCs w:val="21"/>
          <w:highlight w:val="none"/>
          <w:lang w:val="en-US" w:eastAsia="zh-CN"/>
        </w:rPr>
        <w:t>等</w:t>
      </w:r>
      <w:r>
        <w:rPr>
          <w:rFonts w:hint="eastAsia" w:ascii="宋体" w:hAnsi="宋体" w:eastAsia="宋体" w:cs="Times New Roman"/>
          <w:color w:val="auto"/>
          <w:szCs w:val="21"/>
          <w:highlight w:val="none"/>
        </w:rPr>
        <w:t>，同时，</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lang w:val="en-US" w:eastAsia="zh-CN"/>
        </w:rPr>
        <w:t>需</w:t>
      </w:r>
      <w:r>
        <w:rPr>
          <w:rFonts w:hint="eastAsia" w:ascii="宋体" w:hAnsi="宋体" w:eastAsia="宋体" w:cs="Times New Roman"/>
          <w:color w:val="auto"/>
          <w:szCs w:val="21"/>
          <w:highlight w:val="none"/>
        </w:rPr>
        <w:t>组织保安队长每月进行技能提升拓展活动，为保安队长提升管理水平、组织协解能力奠定坚实基础。通过定期和不定期的培训，使保安人员服务专业化，行为职业化，切实提升保安队伍的岗位业务技能。</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保安</w:t>
      </w:r>
      <w:r>
        <w:rPr>
          <w:rFonts w:hint="eastAsia" w:ascii="宋体" w:hAnsi="宋体" w:cs="Times New Roman"/>
          <w:color w:val="auto"/>
          <w:szCs w:val="21"/>
          <w:highlight w:val="none"/>
          <w:lang w:val="en-US" w:eastAsia="zh-CN"/>
        </w:rPr>
        <w:t>人员需</w:t>
      </w:r>
      <w:r>
        <w:rPr>
          <w:rFonts w:hint="eastAsia" w:ascii="宋体" w:hAnsi="宋体" w:eastAsia="宋体" w:cs="Times New Roman"/>
          <w:color w:val="auto"/>
          <w:szCs w:val="21"/>
          <w:highlight w:val="none"/>
        </w:rPr>
        <w:t>每周召开例会总结工作，布置周工作任务，做好相关记录。</w:t>
      </w:r>
    </w:p>
    <w:p w14:paraId="30B6EE36">
      <w:pPr>
        <w:numPr>
          <w:ilvl w:val="0"/>
          <w:numId w:val="84"/>
        </w:numPr>
        <w:tabs>
          <w:tab w:val="left" w:pos="284"/>
        </w:tabs>
        <w:snapToGrid w:val="0"/>
        <w:spacing w:line="360" w:lineRule="auto"/>
        <w:ind w:left="425" w:leftChars="0" w:hanging="425" w:firstLineChars="0"/>
        <w:contextualSpacing/>
        <w:rPr>
          <w:rFonts w:ascii="宋体" w:hAnsi="宋体"/>
          <w:b/>
          <w:color w:val="auto"/>
          <w:spacing w:val="20"/>
          <w:szCs w:val="21"/>
          <w:highlight w:val="none"/>
        </w:rPr>
      </w:pPr>
      <w:r>
        <w:rPr>
          <w:rFonts w:hint="eastAsia" w:ascii="宋体" w:hAnsi="宋体" w:eastAsia="宋体" w:cs="Times New Roman"/>
          <w:color w:val="auto"/>
          <w:szCs w:val="21"/>
          <w:highlight w:val="none"/>
        </w:rPr>
        <w:t>根据诚实信用原则，</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需尽忠职守完成上述服务内容，达到上述标准，</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发现</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不符合上述标准</w:t>
      </w:r>
      <w:r>
        <w:rPr>
          <w:rFonts w:hint="eastAsia" w:ascii="宋体" w:hAnsi="宋体" w:eastAsia="宋体" w:cs="Times New Roman"/>
          <w:color w:val="auto"/>
          <w:szCs w:val="21"/>
          <w:highlight w:val="none"/>
          <w:lang w:val="en-US" w:eastAsia="zh-CN"/>
        </w:rPr>
        <w:t>有权向</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lang w:val="en-US" w:eastAsia="zh-CN"/>
        </w:rPr>
        <w:t>提出限期整改要求</w:t>
      </w:r>
      <w:r>
        <w:rPr>
          <w:rFonts w:hint="eastAsia" w:ascii="宋体" w:hAnsi="宋体" w:eastAsia="宋体" w:cs="Times New Roman"/>
          <w:color w:val="auto"/>
          <w:szCs w:val="21"/>
          <w:highlight w:val="none"/>
        </w:rPr>
        <w:t>，</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拒不改正或整改不到位的，</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有权单方解除合同</w:t>
      </w:r>
      <w:r>
        <w:rPr>
          <w:rFonts w:hint="eastAsia" w:ascii="宋体" w:hAnsi="宋体" w:eastAsia="宋体" w:cs="Times New Roman"/>
          <w:color w:val="auto"/>
          <w:szCs w:val="21"/>
          <w:highlight w:val="none"/>
          <w:lang w:val="en-US" w:eastAsia="zh-CN"/>
        </w:rPr>
        <w:t>并不承担任何违约责任，</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lang w:val="en-US" w:eastAsia="zh-CN"/>
        </w:rPr>
        <w:t>因此给</w:t>
      </w:r>
      <w:r>
        <w:rPr>
          <w:rFonts w:hint="eastAsia" w:ascii="宋体" w:hAnsi="宋体" w:cs="Times New Roman"/>
          <w:color w:val="auto"/>
          <w:szCs w:val="21"/>
          <w:highlight w:val="none"/>
          <w:lang w:val="en-US" w:eastAsia="zh-CN"/>
        </w:rPr>
        <w:t>甲方</w:t>
      </w:r>
      <w:r>
        <w:rPr>
          <w:rFonts w:hint="eastAsia" w:ascii="宋体" w:hAnsi="宋体" w:eastAsia="宋体" w:cs="Times New Roman"/>
          <w:color w:val="auto"/>
          <w:szCs w:val="21"/>
          <w:highlight w:val="none"/>
          <w:lang w:val="en-US" w:eastAsia="zh-CN"/>
        </w:rPr>
        <w:t>造成经济损失的应当承担相应的赔偿责任</w:t>
      </w:r>
      <w:r>
        <w:rPr>
          <w:rFonts w:hint="eastAsia" w:ascii="宋体" w:hAnsi="宋体" w:eastAsia="宋体" w:cs="Times New Roman"/>
          <w:color w:val="auto"/>
          <w:szCs w:val="21"/>
          <w:highlight w:val="none"/>
        </w:rPr>
        <w:t>。</w:t>
      </w:r>
    </w:p>
    <w:p w14:paraId="3CD0E305">
      <w:pPr>
        <w:numPr>
          <w:ilvl w:val="0"/>
          <w:numId w:val="75"/>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其他要求</w:t>
      </w:r>
    </w:p>
    <w:p w14:paraId="2EF47087">
      <w:pPr>
        <w:numPr>
          <w:ilvl w:val="0"/>
          <w:numId w:val="85"/>
        </w:numPr>
        <w:autoSpaceDE w:val="0"/>
        <w:autoSpaceDN w:val="0"/>
        <w:adjustRightInd w:val="0"/>
        <w:snapToGrid w:val="0"/>
        <w:spacing w:line="360" w:lineRule="auto"/>
        <w:contextualSpacing/>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服务期间，所有保安人员应服从</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与</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的管理，</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有权要求更换不听指挥、不服从安排等不利于</w:t>
      </w:r>
      <w:r>
        <w:rPr>
          <w:rFonts w:hint="eastAsia" w:ascii="宋体" w:hAnsi="宋体" w:eastAsia="宋体" w:cs="Times New Roman"/>
          <w:color w:val="auto"/>
          <w:szCs w:val="21"/>
          <w:highlight w:val="none"/>
          <w:lang w:eastAsia="zh-CN"/>
        </w:rPr>
        <w:t>办公楼</w:t>
      </w:r>
      <w:r>
        <w:rPr>
          <w:rFonts w:hint="eastAsia" w:ascii="宋体" w:hAnsi="宋体" w:eastAsia="宋体" w:cs="Times New Roman"/>
          <w:color w:val="auto"/>
          <w:szCs w:val="21"/>
          <w:highlight w:val="none"/>
        </w:rPr>
        <w:t>安全管理的保安人员，</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应在3个工作日内予以更换。如</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推诿或拖延在规定时间内未完成更换的，每发生一次，</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lang w:val="en-US" w:eastAsia="zh-CN"/>
        </w:rPr>
        <w:t>有权从未支付的服务费用中扣除</w:t>
      </w:r>
      <w:r>
        <w:rPr>
          <w:rFonts w:hint="eastAsia" w:ascii="宋体" w:hAnsi="宋体" w:eastAsia="宋体" w:cs="Times New Roman"/>
          <w:color w:val="auto"/>
          <w:szCs w:val="21"/>
          <w:highlight w:val="none"/>
        </w:rPr>
        <w:t>违约金壹仟元（</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1000元/次）。</w:t>
      </w:r>
    </w:p>
    <w:p w14:paraId="5DB33824">
      <w:pPr>
        <w:numPr>
          <w:ilvl w:val="0"/>
          <w:numId w:val="85"/>
        </w:numPr>
        <w:autoSpaceDE w:val="0"/>
        <w:autoSpaceDN w:val="0"/>
        <w:adjustRightInd w:val="0"/>
        <w:snapToGrid w:val="0"/>
        <w:spacing w:line="360" w:lineRule="auto"/>
        <w:contextualSpacing/>
        <w:jc w:val="left"/>
        <w:rPr>
          <w:rFonts w:hint="eastAsia" w:ascii="宋体" w:hAnsi="宋体" w:eastAsia="宋体" w:cs="Times New Roman"/>
          <w:color w:val="auto"/>
          <w:szCs w:val="21"/>
          <w:highlight w:val="none"/>
        </w:rPr>
      </w:pP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必须承诺服务期间，保安人员服从</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的安排及管理，</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更换保安人员必须事先获得</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同意。</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未经同意擅自更换保安人员的，</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有权拒绝并停止支付相应费用。</w:t>
      </w:r>
    </w:p>
    <w:p w14:paraId="750E4E3C">
      <w:pPr>
        <w:numPr>
          <w:ilvl w:val="0"/>
          <w:numId w:val="85"/>
        </w:numPr>
        <w:autoSpaceDE w:val="0"/>
        <w:autoSpaceDN w:val="0"/>
        <w:adjustRightInd w:val="0"/>
        <w:snapToGrid w:val="0"/>
        <w:spacing w:line="360" w:lineRule="auto"/>
        <w:contextualSpacing/>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保安人员遵守</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有关规章制度和管理规定，如有违反或损害</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利益的，</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有</w:t>
      </w:r>
      <w:r>
        <w:rPr>
          <w:rFonts w:hint="eastAsia" w:ascii="宋体" w:hAnsi="宋体" w:eastAsia="宋体" w:cs="Times New Roman"/>
          <w:color w:val="auto"/>
          <w:szCs w:val="21"/>
          <w:highlight w:val="none"/>
          <w:lang w:val="en-US" w:eastAsia="zh-CN"/>
        </w:rPr>
        <w:t>权要求</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lang w:val="en-US" w:eastAsia="zh-CN"/>
        </w:rPr>
        <w:t>在3个工作日内予以更换</w:t>
      </w:r>
      <w:r>
        <w:rPr>
          <w:rFonts w:hint="eastAsia" w:ascii="宋体" w:hAnsi="宋体" w:eastAsia="宋体" w:cs="Times New Roman"/>
          <w:color w:val="auto"/>
          <w:szCs w:val="21"/>
          <w:highlight w:val="none"/>
        </w:rPr>
        <w:t>。</w:t>
      </w:r>
    </w:p>
    <w:p w14:paraId="4888E819">
      <w:pPr>
        <w:numPr>
          <w:ilvl w:val="0"/>
          <w:numId w:val="85"/>
        </w:numPr>
        <w:autoSpaceDE w:val="0"/>
        <w:autoSpaceDN w:val="0"/>
        <w:adjustRightInd w:val="0"/>
        <w:snapToGrid w:val="0"/>
        <w:spacing w:line="360" w:lineRule="auto"/>
        <w:contextualSpacing/>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全部保安人员，须符合东莞市政府用工标准要求。保安人员基本工资不得低于同期东莞市主管部门规定的最低人工工资标准。</w:t>
      </w:r>
    </w:p>
    <w:p w14:paraId="2C6CF730">
      <w:pPr>
        <w:numPr>
          <w:ilvl w:val="0"/>
          <w:numId w:val="85"/>
        </w:numPr>
        <w:autoSpaceDE w:val="0"/>
        <w:autoSpaceDN w:val="0"/>
        <w:adjustRightInd w:val="0"/>
        <w:snapToGrid w:val="0"/>
        <w:spacing w:line="360" w:lineRule="auto"/>
        <w:contextualSpacing/>
        <w:jc w:val="left"/>
        <w:rPr>
          <w:rFonts w:hint="eastAsia" w:ascii="宋体" w:hAnsi="宋体" w:eastAsia="宋体" w:cs="Times New Roman"/>
          <w:color w:val="auto"/>
          <w:szCs w:val="21"/>
          <w:highlight w:val="none"/>
        </w:rPr>
      </w:pP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自合同签订之日起，若有</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lang w:val="en-US" w:eastAsia="zh-CN"/>
        </w:rPr>
        <w:t>工作人员</w:t>
      </w:r>
      <w:r>
        <w:rPr>
          <w:rFonts w:hint="eastAsia" w:ascii="宋体" w:hAnsi="宋体" w:eastAsia="宋体" w:cs="Times New Roman"/>
          <w:color w:val="auto"/>
          <w:szCs w:val="21"/>
          <w:highlight w:val="none"/>
        </w:rPr>
        <w:t>对</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的保安服务进行投诉的，经核查属实，</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拒不整改或整改不到位的，</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有权单方面终止与</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的采购合同</w:t>
      </w:r>
      <w:r>
        <w:rPr>
          <w:rFonts w:hint="eastAsia" w:ascii="宋体" w:hAnsi="宋体" w:eastAsia="宋体" w:cs="Times New Roman"/>
          <w:color w:val="auto"/>
          <w:szCs w:val="21"/>
          <w:highlight w:val="none"/>
          <w:lang w:val="en-US" w:eastAsia="zh-CN"/>
        </w:rPr>
        <w:t>并不承担任何违约责任，</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lang w:val="en-US" w:eastAsia="zh-CN"/>
        </w:rPr>
        <w:t>因此给</w:t>
      </w:r>
      <w:r>
        <w:rPr>
          <w:rFonts w:hint="eastAsia" w:ascii="宋体" w:hAnsi="宋体" w:cs="Times New Roman"/>
          <w:color w:val="auto"/>
          <w:szCs w:val="21"/>
          <w:highlight w:val="none"/>
          <w:lang w:val="en-US" w:eastAsia="zh-CN"/>
        </w:rPr>
        <w:t>甲方</w:t>
      </w:r>
      <w:r>
        <w:rPr>
          <w:rFonts w:hint="eastAsia" w:ascii="宋体" w:hAnsi="宋体" w:eastAsia="宋体" w:cs="Times New Roman"/>
          <w:color w:val="auto"/>
          <w:szCs w:val="21"/>
          <w:highlight w:val="none"/>
          <w:lang w:val="en-US" w:eastAsia="zh-CN"/>
        </w:rPr>
        <w:t>造成经济损失的应当承担相应的赔偿责任</w:t>
      </w:r>
      <w:r>
        <w:rPr>
          <w:rFonts w:hint="eastAsia" w:ascii="宋体" w:hAnsi="宋体" w:eastAsia="宋体" w:cs="Times New Roman"/>
          <w:color w:val="auto"/>
          <w:szCs w:val="21"/>
          <w:highlight w:val="none"/>
        </w:rPr>
        <w:t>。</w:t>
      </w:r>
    </w:p>
    <w:p w14:paraId="3F7D78D3">
      <w:pPr>
        <w:numPr>
          <w:ilvl w:val="0"/>
          <w:numId w:val="85"/>
        </w:numPr>
        <w:autoSpaceDE w:val="0"/>
        <w:autoSpaceDN w:val="0"/>
        <w:adjustRightInd w:val="0"/>
        <w:snapToGrid w:val="0"/>
        <w:spacing w:line="360" w:lineRule="auto"/>
        <w:contextualSpacing/>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如因</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派遣的保安人员原因（包括盗窃、故意毁损等）导致</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资产、权益受到损害的，当事保安及</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应当承担相应的法律责任和赔偿责任。</w:t>
      </w:r>
    </w:p>
    <w:p w14:paraId="1CCEB5E7">
      <w:pPr>
        <w:numPr>
          <w:ilvl w:val="0"/>
          <w:numId w:val="85"/>
        </w:numPr>
        <w:autoSpaceDE w:val="0"/>
        <w:autoSpaceDN w:val="0"/>
        <w:adjustRightInd w:val="0"/>
        <w:snapToGrid w:val="0"/>
        <w:spacing w:line="360" w:lineRule="auto"/>
        <w:contextualSpacing/>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严肃工作纪律，明确岗位职责。在工作期间，</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人员未按岗位职责操作，造成自身受伤或者在突发事件处理不当产生的损失由</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承担。</w:t>
      </w:r>
    </w:p>
    <w:p w14:paraId="06A275F8">
      <w:pPr>
        <w:numPr>
          <w:ilvl w:val="0"/>
          <w:numId w:val="85"/>
        </w:numPr>
        <w:autoSpaceDE w:val="0"/>
        <w:autoSpaceDN w:val="0"/>
        <w:adjustRightInd w:val="0"/>
        <w:snapToGrid w:val="0"/>
        <w:spacing w:line="360" w:lineRule="auto"/>
        <w:contextualSpacing/>
        <w:jc w:val="left"/>
        <w:rPr>
          <w:rFonts w:hint="eastAsia" w:ascii="宋体" w:hAnsi="宋体" w:eastAsia="宋体" w:cs="Times New Roman"/>
          <w:color w:val="auto"/>
          <w:szCs w:val="21"/>
          <w:highlight w:val="none"/>
        </w:rPr>
      </w:pP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保安人员进行服务期间的过失或故意行为，造成</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经济损失的，由</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负责赔偿。</w:t>
      </w:r>
    </w:p>
    <w:p w14:paraId="5A214A8A">
      <w:pPr>
        <w:numPr>
          <w:ilvl w:val="0"/>
          <w:numId w:val="85"/>
        </w:numPr>
        <w:autoSpaceDE w:val="0"/>
        <w:autoSpaceDN w:val="0"/>
        <w:adjustRightInd w:val="0"/>
        <w:snapToGrid w:val="0"/>
        <w:spacing w:line="360" w:lineRule="auto"/>
        <w:contextualSpacing/>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保安人员的劳动关系隶属</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负责保安人员的工资、节假日和超时加班补助费、社会保险等。如发生劳动纠纷，由</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负责解决，与</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无关，如因此造成</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损失或不良影响的应当给</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赔偿相应的损失，</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有权解除合同</w:t>
      </w:r>
      <w:r>
        <w:rPr>
          <w:rFonts w:hint="eastAsia" w:ascii="宋体" w:hAnsi="宋体" w:eastAsia="宋体" w:cs="Times New Roman"/>
          <w:color w:val="auto"/>
          <w:szCs w:val="21"/>
          <w:highlight w:val="none"/>
          <w:lang w:val="en-US" w:eastAsia="zh-CN"/>
        </w:rPr>
        <w:t>并不承担任何违约责任</w:t>
      </w:r>
      <w:r>
        <w:rPr>
          <w:rFonts w:hint="eastAsia" w:ascii="宋体" w:hAnsi="宋体" w:eastAsia="宋体" w:cs="Times New Roman"/>
          <w:color w:val="auto"/>
          <w:szCs w:val="21"/>
          <w:highlight w:val="none"/>
        </w:rPr>
        <w:t>。</w:t>
      </w:r>
    </w:p>
    <w:p w14:paraId="27634EBB">
      <w:pPr>
        <w:numPr>
          <w:ilvl w:val="0"/>
          <w:numId w:val="85"/>
        </w:numPr>
        <w:autoSpaceDE w:val="0"/>
        <w:autoSpaceDN w:val="0"/>
        <w:adjustRightInd w:val="0"/>
        <w:snapToGrid w:val="0"/>
        <w:spacing w:line="360" w:lineRule="auto"/>
        <w:contextualSpacing/>
        <w:jc w:val="left"/>
        <w:rPr>
          <w:rFonts w:hint="eastAsia" w:ascii="宋体" w:hAnsi="宋体" w:eastAsia="宋体" w:cs="Times New Roman"/>
          <w:color w:val="auto"/>
          <w:szCs w:val="21"/>
          <w:highlight w:val="none"/>
        </w:rPr>
      </w:pP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负责</w:t>
      </w:r>
      <w:r>
        <w:rPr>
          <w:rFonts w:hint="eastAsia" w:ascii="宋体" w:hAnsi="宋体" w:eastAsia="宋体" w:cs="Times New Roman"/>
          <w:color w:val="auto"/>
          <w:szCs w:val="21"/>
          <w:highlight w:val="none"/>
          <w:lang w:val="en-US" w:eastAsia="zh-CN"/>
        </w:rPr>
        <w:t>为</w:t>
      </w:r>
      <w:r>
        <w:rPr>
          <w:rFonts w:hint="eastAsia" w:ascii="宋体" w:hAnsi="宋体" w:eastAsia="宋体" w:cs="Times New Roman"/>
          <w:color w:val="auto"/>
          <w:szCs w:val="21"/>
          <w:highlight w:val="none"/>
        </w:rPr>
        <w:t>本项目保安人员购买因意外身故或伤残和因意外事故住院治疗保险，并负责办理一切保险赔偿手续。保安人员在服务期间的一切费用支出由</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负责。</w:t>
      </w:r>
    </w:p>
    <w:p w14:paraId="55C58260">
      <w:pPr>
        <w:numPr>
          <w:ilvl w:val="0"/>
          <w:numId w:val="85"/>
        </w:numPr>
        <w:autoSpaceDE w:val="0"/>
        <w:autoSpaceDN w:val="0"/>
        <w:adjustRightInd w:val="0"/>
        <w:snapToGrid w:val="0"/>
        <w:spacing w:line="360" w:lineRule="auto"/>
        <w:contextualSpacing/>
        <w:jc w:val="left"/>
        <w:rPr>
          <w:rFonts w:hint="eastAsia" w:ascii="宋体" w:hAnsi="宋体" w:eastAsia="宋体" w:cs="Times New Roman"/>
          <w:color w:val="auto"/>
          <w:szCs w:val="21"/>
          <w:highlight w:val="none"/>
        </w:rPr>
      </w:pP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lang w:val="en-US" w:eastAsia="zh-CN"/>
        </w:rPr>
        <w:t>应</w:t>
      </w:r>
      <w:r>
        <w:rPr>
          <w:rFonts w:hint="eastAsia" w:ascii="宋体" w:hAnsi="宋体" w:eastAsia="宋体" w:cs="Times New Roman"/>
          <w:color w:val="auto"/>
          <w:szCs w:val="21"/>
          <w:highlight w:val="none"/>
        </w:rPr>
        <w:t>针对台风、暴雨等天气影响，重大接待任务，重大节假日或活动，突发事件的处理等特殊情况制定应急处置方案，包括传达机制、就近服务区域人员和设备调配、责任分工等。</w:t>
      </w:r>
    </w:p>
    <w:p w14:paraId="39437F06">
      <w:pPr>
        <w:numPr>
          <w:ilvl w:val="0"/>
          <w:numId w:val="85"/>
        </w:numPr>
        <w:autoSpaceDE w:val="0"/>
        <w:autoSpaceDN w:val="0"/>
        <w:adjustRightInd w:val="0"/>
        <w:snapToGrid w:val="0"/>
        <w:spacing w:line="360" w:lineRule="auto"/>
        <w:contextualSpacing/>
        <w:jc w:val="left"/>
        <w:rPr>
          <w:rFonts w:hint="eastAsia" w:ascii="宋体" w:hAnsi="宋体" w:eastAsia="宋体" w:cs="Times New Roman"/>
          <w:color w:val="auto"/>
          <w:szCs w:val="21"/>
          <w:highlight w:val="none"/>
        </w:rPr>
      </w:pPr>
      <w:r>
        <w:rPr>
          <w:rFonts w:hint="eastAsia" w:ascii="宋体" w:hAnsi="宋体" w:cs="Times New Roman"/>
          <w:color w:val="auto"/>
          <w:szCs w:val="21"/>
          <w:highlight w:val="none"/>
          <w:lang w:val="en-US" w:eastAsia="zh-CN"/>
        </w:rPr>
        <w:t>乙方属于异地注册的，</w:t>
      </w:r>
      <w:r>
        <w:rPr>
          <w:rFonts w:hint="eastAsia" w:ascii="宋体" w:hAnsi="宋体" w:eastAsia="宋体" w:cs="Times New Roman"/>
          <w:color w:val="auto"/>
          <w:szCs w:val="21"/>
          <w:highlight w:val="none"/>
        </w:rPr>
        <w:t>在</w:t>
      </w:r>
      <w:r>
        <w:rPr>
          <w:rFonts w:hint="eastAsia" w:ascii="宋体" w:hAnsi="宋体" w:cs="Times New Roman"/>
          <w:color w:val="auto"/>
          <w:szCs w:val="21"/>
          <w:highlight w:val="none"/>
          <w:lang w:val="en-US" w:eastAsia="zh-CN"/>
        </w:rPr>
        <w:t>本项目正式履约开始前</w:t>
      </w:r>
      <w:r>
        <w:rPr>
          <w:rFonts w:hint="eastAsia" w:ascii="宋体" w:hAnsi="宋体" w:eastAsia="宋体" w:cs="Times New Roman"/>
          <w:color w:val="auto"/>
          <w:szCs w:val="21"/>
          <w:highlight w:val="none"/>
        </w:rPr>
        <w:t>30个工作日内在东莞市公安局进行保安服务公司跨区域经营服务备案并取得对应回执</w:t>
      </w:r>
      <w:r>
        <w:rPr>
          <w:rFonts w:hint="eastAsia" w:ascii="宋体" w:hAnsi="宋体" w:cs="Times New Roman"/>
          <w:color w:val="auto"/>
          <w:szCs w:val="21"/>
          <w:highlight w:val="none"/>
          <w:lang w:eastAsia="zh-CN"/>
        </w:rPr>
        <w:t>。</w:t>
      </w:r>
    </w:p>
    <w:p w14:paraId="0BE920EC">
      <w:pPr>
        <w:numPr>
          <w:ilvl w:val="0"/>
          <w:numId w:val="75"/>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价格</w:t>
      </w:r>
    </w:p>
    <w:p w14:paraId="09A0C4FF">
      <w:pPr>
        <w:numPr>
          <w:ilvl w:val="0"/>
          <w:numId w:val="86"/>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合同总价：大写：人民币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元整（小写：￥</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14:paraId="77B21425">
      <w:pPr>
        <w:numPr>
          <w:ilvl w:val="0"/>
          <w:numId w:val="86"/>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包含完成本</w:t>
      </w:r>
      <w:r>
        <w:rPr>
          <w:rFonts w:hint="eastAsia" w:ascii="宋体" w:hAnsi="宋体"/>
          <w:color w:val="auto"/>
          <w:szCs w:val="21"/>
          <w:highlight w:val="none"/>
          <w:lang w:val="en-US" w:eastAsia="zh-CN"/>
        </w:rPr>
        <w:t>合同</w:t>
      </w:r>
      <w:r>
        <w:rPr>
          <w:rFonts w:hint="eastAsia" w:ascii="宋体" w:hAnsi="宋体"/>
          <w:color w:val="auto"/>
          <w:szCs w:val="21"/>
          <w:highlight w:val="none"/>
        </w:rPr>
        <w:t>所有服务内容的费用，包含人工费、社保费、设备费、服装费、节假日加班费、管理费、各种税务费及合同实施过程中的应预见和不可预见费用等完成合同规定责任和义务、达到合同目的的一切费用。</w:t>
      </w:r>
    </w:p>
    <w:p w14:paraId="5D435533">
      <w:pPr>
        <w:numPr>
          <w:ilvl w:val="0"/>
          <w:numId w:val="75"/>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验收方法</w:t>
      </w:r>
    </w:p>
    <w:p w14:paraId="1EF8EB5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b w:val="0"/>
          <w:bCs/>
          <w:color w:val="auto"/>
          <w:spacing w:val="0"/>
          <w:sz w:val="21"/>
          <w:szCs w:val="21"/>
          <w:highlight w:val="none"/>
        </w:rPr>
      </w:pPr>
      <w:r>
        <w:rPr>
          <w:rFonts w:hint="eastAsia" w:ascii="宋体" w:hAnsi="宋体"/>
          <w:b w:val="0"/>
          <w:bCs/>
          <w:color w:val="auto"/>
          <w:spacing w:val="0"/>
          <w:sz w:val="21"/>
          <w:szCs w:val="21"/>
          <w:highlight w:val="none"/>
          <w:lang w:val="en-US" w:eastAsia="zh-CN"/>
        </w:rPr>
        <w:t>乙方</w:t>
      </w:r>
      <w:r>
        <w:rPr>
          <w:rFonts w:hint="eastAsia" w:ascii="宋体" w:hAnsi="宋体"/>
          <w:b w:val="0"/>
          <w:bCs/>
          <w:color w:val="auto"/>
          <w:spacing w:val="0"/>
          <w:sz w:val="21"/>
          <w:szCs w:val="21"/>
          <w:highlight w:val="none"/>
        </w:rPr>
        <w:t>服务每满1个月后的7日内，由</w:t>
      </w:r>
      <w:r>
        <w:rPr>
          <w:rFonts w:hint="eastAsia" w:ascii="宋体" w:hAnsi="宋体"/>
          <w:b w:val="0"/>
          <w:bCs/>
          <w:color w:val="auto"/>
          <w:spacing w:val="0"/>
          <w:sz w:val="21"/>
          <w:szCs w:val="21"/>
          <w:highlight w:val="none"/>
          <w:lang w:val="en-US" w:eastAsia="zh-CN"/>
        </w:rPr>
        <w:t>甲方</w:t>
      </w:r>
      <w:r>
        <w:rPr>
          <w:rFonts w:hint="eastAsia" w:ascii="宋体" w:hAnsi="宋体"/>
          <w:b w:val="0"/>
          <w:bCs/>
          <w:color w:val="auto"/>
          <w:spacing w:val="0"/>
          <w:sz w:val="21"/>
          <w:szCs w:val="21"/>
          <w:highlight w:val="none"/>
        </w:rPr>
        <w:t>（或</w:t>
      </w:r>
      <w:r>
        <w:rPr>
          <w:rFonts w:hint="eastAsia" w:ascii="宋体" w:hAnsi="宋体"/>
          <w:b w:val="0"/>
          <w:bCs/>
          <w:color w:val="auto"/>
          <w:spacing w:val="0"/>
          <w:sz w:val="21"/>
          <w:szCs w:val="21"/>
          <w:highlight w:val="none"/>
          <w:lang w:val="en-US" w:eastAsia="zh-CN"/>
        </w:rPr>
        <w:t>甲方</w:t>
      </w:r>
      <w:r>
        <w:rPr>
          <w:rFonts w:hint="eastAsia" w:ascii="宋体" w:hAnsi="宋体"/>
          <w:b w:val="0"/>
          <w:bCs/>
          <w:color w:val="auto"/>
          <w:spacing w:val="0"/>
          <w:sz w:val="21"/>
          <w:szCs w:val="21"/>
          <w:highlight w:val="none"/>
        </w:rPr>
        <w:t>指定的单位）根据《保安服务管理考核表》要求对</w:t>
      </w:r>
      <w:r>
        <w:rPr>
          <w:rFonts w:hint="eastAsia" w:ascii="宋体" w:hAnsi="宋体"/>
          <w:b w:val="0"/>
          <w:bCs/>
          <w:color w:val="auto"/>
          <w:spacing w:val="0"/>
          <w:sz w:val="21"/>
          <w:szCs w:val="21"/>
          <w:highlight w:val="none"/>
          <w:lang w:val="en-US" w:eastAsia="zh-CN"/>
        </w:rPr>
        <w:t>乙方</w:t>
      </w:r>
      <w:r>
        <w:rPr>
          <w:rFonts w:hint="eastAsia" w:ascii="宋体" w:hAnsi="宋体"/>
          <w:b w:val="0"/>
          <w:bCs/>
          <w:color w:val="auto"/>
          <w:spacing w:val="0"/>
          <w:sz w:val="21"/>
          <w:szCs w:val="21"/>
          <w:highlight w:val="none"/>
        </w:rPr>
        <w:t>的月度服务情况进行考核，</w:t>
      </w:r>
      <w:r>
        <w:rPr>
          <w:rFonts w:hint="eastAsia" w:ascii="宋体" w:hAnsi="宋体"/>
          <w:b w:val="0"/>
          <w:bCs/>
          <w:color w:val="auto"/>
          <w:spacing w:val="0"/>
          <w:sz w:val="21"/>
          <w:szCs w:val="21"/>
          <w:highlight w:val="none"/>
          <w:lang w:val="en-US" w:eastAsia="zh-CN"/>
        </w:rPr>
        <w:t>乙方</w:t>
      </w:r>
      <w:r>
        <w:rPr>
          <w:rFonts w:hint="eastAsia" w:ascii="宋体" w:hAnsi="宋体"/>
          <w:b w:val="0"/>
          <w:bCs/>
          <w:color w:val="auto"/>
          <w:spacing w:val="0"/>
          <w:sz w:val="21"/>
          <w:szCs w:val="21"/>
          <w:highlight w:val="none"/>
        </w:rPr>
        <w:t>应当在考核开始前将上月服务过程中产生的各类资料（包括但不限于：考勤记录、工作台账、工作报告等）递交至</w:t>
      </w:r>
      <w:r>
        <w:rPr>
          <w:rFonts w:hint="eastAsia" w:ascii="宋体" w:hAnsi="宋体"/>
          <w:b w:val="0"/>
          <w:bCs/>
          <w:color w:val="auto"/>
          <w:spacing w:val="0"/>
          <w:sz w:val="21"/>
          <w:szCs w:val="21"/>
          <w:highlight w:val="none"/>
          <w:lang w:val="en-US" w:eastAsia="zh-CN"/>
        </w:rPr>
        <w:t>甲方</w:t>
      </w:r>
      <w:r>
        <w:rPr>
          <w:rFonts w:hint="eastAsia" w:ascii="宋体" w:hAnsi="宋体"/>
          <w:b w:val="0"/>
          <w:bCs/>
          <w:color w:val="auto"/>
          <w:spacing w:val="0"/>
          <w:sz w:val="21"/>
          <w:szCs w:val="21"/>
          <w:highlight w:val="none"/>
        </w:rPr>
        <w:t>处，作为考核的重要依据。</w:t>
      </w:r>
    </w:p>
    <w:p w14:paraId="05BBC169">
      <w:pPr>
        <w:numPr>
          <w:ilvl w:val="0"/>
          <w:numId w:val="75"/>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付款</w:t>
      </w:r>
    </w:p>
    <w:p w14:paraId="0EF79743">
      <w:pPr>
        <w:numPr>
          <w:ilvl w:val="0"/>
          <w:numId w:val="87"/>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服务期：</w:t>
      </w:r>
      <w:r>
        <w:rPr>
          <w:rFonts w:hint="eastAsia" w:ascii="宋体" w:hAnsi="宋体"/>
          <w:color w:val="auto"/>
          <w:szCs w:val="21"/>
          <w:highlight w:val="none"/>
          <w:u w:val="single"/>
          <w:lang w:val="en-US" w:eastAsia="zh-CN"/>
        </w:rPr>
        <w:t>2025</w:t>
      </w:r>
      <w:r>
        <w:rPr>
          <w:rFonts w:hint="eastAsia" w:ascii="宋体" w:hAnsi="宋体"/>
          <w:color w:val="auto"/>
          <w:szCs w:val="21"/>
          <w:highlight w:val="none"/>
          <w:u w:val="single"/>
        </w:rPr>
        <w:t>年   月   日至</w:t>
      </w:r>
      <w:r>
        <w:rPr>
          <w:rFonts w:hint="eastAsia" w:ascii="宋体" w:hAnsi="宋体"/>
          <w:color w:val="auto"/>
          <w:szCs w:val="21"/>
          <w:highlight w:val="none"/>
          <w:u w:val="single"/>
          <w:lang w:val="en-US" w:eastAsia="zh-CN"/>
        </w:rPr>
        <w:t>2027</w:t>
      </w:r>
      <w:r>
        <w:rPr>
          <w:rFonts w:hint="eastAsia" w:ascii="宋体" w:hAnsi="宋体"/>
          <w:color w:val="auto"/>
          <w:szCs w:val="21"/>
          <w:highlight w:val="none"/>
          <w:u w:val="single"/>
        </w:rPr>
        <w:t>年   月    日</w:t>
      </w:r>
      <w:r>
        <w:rPr>
          <w:rFonts w:hint="eastAsia" w:ascii="宋体" w:hAnsi="宋体"/>
          <w:color w:val="auto"/>
          <w:szCs w:val="21"/>
          <w:highlight w:val="none"/>
        </w:rPr>
        <w:t>(共</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2</w:t>
      </w:r>
      <w:r>
        <w:rPr>
          <w:rFonts w:hint="eastAsia" w:ascii="宋体" w:hAnsi="宋体"/>
          <w:color w:val="auto"/>
          <w:szCs w:val="21"/>
          <w:highlight w:val="none"/>
          <w:u w:val="single"/>
        </w:rPr>
        <w:t xml:space="preserve"> </w:t>
      </w:r>
      <w:r>
        <w:rPr>
          <w:rFonts w:hint="eastAsia" w:ascii="宋体" w:hAnsi="宋体"/>
          <w:color w:val="auto"/>
          <w:szCs w:val="21"/>
          <w:highlight w:val="none"/>
        </w:rPr>
        <w:t>年)</w:t>
      </w:r>
    </w:p>
    <w:p w14:paraId="4B72AF12">
      <w:pPr>
        <w:numPr>
          <w:ilvl w:val="0"/>
          <w:numId w:val="87"/>
        </w:numPr>
        <w:snapToGrid w:val="0"/>
        <w:spacing w:line="360" w:lineRule="auto"/>
        <w:contextualSpacing/>
        <w:rPr>
          <w:rFonts w:ascii="宋体" w:hAnsi="宋体"/>
          <w:color w:val="auto"/>
          <w:szCs w:val="21"/>
          <w:highlight w:val="none"/>
        </w:rPr>
      </w:pP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服务每满3个月为一结算周期，每一结算周期满后10日内由</w:t>
      </w: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向</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提交请款申请，</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收到</w:t>
      </w: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合格请款资料后15个工作日内向</w:t>
      </w: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支付对应服务费。</w:t>
      </w:r>
    </w:p>
    <w:p w14:paraId="09B31531">
      <w:pPr>
        <w:numPr>
          <w:ilvl w:val="0"/>
          <w:numId w:val="87"/>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请款资料是指：①经</w:t>
      </w:r>
      <w:r>
        <w:rPr>
          <w:rFonts w:hint="eastAsia" w:ascii="宋体" w:hAnsi="宋体" w:cs="宋体"/>
          <w:color w:val="auto"/>
          <w:szCs w:val="21"/>
          <w:highlight w:val="none"/>
          <w:lang w:val="en-US" w:eastAsia="zh-CN"/>
        </w:rPr>
        <w:t>甲方</w:t>
      </w:r>
      <w:r>
        <w:rPr>
          <w:rFonts w:hint="eastAsia" w:ascii="宋体" w:hAnsi="宋体"/>
          <w:color w:val="auto"/>
          <w:szCs w:val="21"/>
          <w:highlight w:val="none"/>
        </w:rPr>
        <w:t>确认的上一结算周期《保安服务管理考核表》；②等额、合规的服务费增值税发票（发票金额须根据按考核表、合同约定扣除后的上一结算周期服务费开具）。</w:t>
      </w:r>
    </w:p>
    <w:p w14:paraId="3640AF80">
      <w:pPr>
        <w:numPr>
          <w:ilvl w:val="0"/>
          <w:numId w:val="87"/>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根据现行税法规定对乙方或其雇员征收的与本合同有关的一切税费均应由乙方负担。</w:t>
      </w:r>
    </w:p>
    <w:p w14:paraId="6A998BE7">
      <w:pPr>
        <w:numPr>
          <w:ilvl w:val="0"/>
          <w:numId w:val="75"/>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分包与转包</w:t>
      </w:r>
    </w:p>
    <w:p w14:paraId="1F9904E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color w:val="auto"/>
          <w:szCs w:val="21"/>
          <w:highlight w:val="none"/>
        </w:rPr>
      </w:pPr>
      <w:r>
        <w:rPr>
          <w:rFonts w:hint="eastAsia" w:ascii="宋体" w:hAnsi="宋体"/>
          <w:color w:val="auto"/>
          <w:szCs w:val="21"/>
          <w:highlight w:val="none"/>
        </w:rPr>
        <w:t>本项目禁止转包，未经</w:t>
      </w:r>
      <w:r>
        <w:rPr>
          <w:rFonts w:hint="eastAsia" w:ascii="宋体" w:hAnsi="宋体"/>
          <w:color w:val="auto"/>
          <w:szCs w:val="21"/>
          <w:highlight w:val="none"/>
          <w:lang w:val="en-US" w:eastAsia="zh-CN"/>
        </w:rPr>
        <w:t>甲方</w:t>
      </w:r>
      <w:r>
        <w:rPr>
          <w:rFonts w:hint="eastAsia" w:ascii="宋体" w:hAnsi="宋体"/>
          <w:color w:val="auto"/>
          <w:szCs w:val="21"/>
          <w:highlight w:val="none"/>
        </w:rPr>
        <w:t>书面同意不得以任何理由分包。如</w:t>
      </w:r>
      <w:r>
        <w:rPr>
          <w:rFonts w:hint="eastAsia" w:ascii="宋体" w:hAnsi="宋体"/>
          <w:color w:val="auto"/>
          <w:szCs w:val="21"/>
          <w:highlight w:val="none"/>
          <w:lang w:val="en-US" w:eastAsia="zh-CN"/>
        </w:rPr>
        <w:t>乙方</w:t>
      </w:r>
      <w:r>
        <w:rPr>
          <w:rFonts w:hint="eastAsia" w:ascii="宋体" w:hAnsi="宋体"/>
          <w:color w:val="auto"/>
          <w:szCs w:val="21"/>
          <w:highlight w:val="none"/>
        </w:rPr>
        <w:t>擅自将本合同的有关权利和义务转让给第三方，</w:t>
      </w:r>
      <w:r>
        <w:rPr>
          <w:rFonts w:hint="eastAsia" w:ascii="宋体" w:hAnsi="宋体"/>
          <w:color w:val="auto"/>
          <w:szCs w:val="21"/>
          <w:highlight w:val="none"/>
          <w:lang w:val="en-US" w:eastAsia="zh-CN"/>
        </w:rPr>
        <w:t>甲方</w:t>
      </w:r>
      <w:r>
        <w:rPr>
          <w:rFonts w:hint="eastAsia" w:ascii="宋体" w:hAnsi="宋体"/>
          <w:color w:val="auto"/>
          <w:szCs w:val="21"/>
          <w:highlight w:val="none"/>
        </w:rPr>
        <w:t>有权单方解除合同并追究</w:t>
      </w:r>
      <w:r>
        <w:rPr>
          <w:rFonts w:hint="eastAsia" w:ascii="宋体" w:hAnsi="宋体"/>
          <w:color w:val="auto"/>
          <w:szCs w:val="21"/>
          <w:highlight w:val="none"/>
          <w:lang w:val="en-US" w:eastAsia="zh-CN"/>
        </w:rPr>
        <w:t>乙方</w:t>
      </w:r>
      <w:r>
        <w:rPr>
          <w:rFonts w:hint="eastAsia" w:ascii="宋体" w:hAnsi="宋体"/>
          <w:color w:val="auto"/>
          <w:szCs w:val="21"/>
          <w:highlight w:val="none"/>
        </w:rPr>
        <w:t>违约责任，</w:t>
      </w:r>
      <w:r>
        <w:rPr>
          <w:rFonts w:hint="eastAsia" w:ascii="宋体" w:hAnsi="宋体"/>
          <w:color w:val="auto"/>
          <w:szCs w:val="21"/>
          <w:highlight w:val="none"/>
          <w:lang w:val="en-US" w:eastAsia="zh-CN"/>
        </w:rPr>
        <w:t>乙方</w:t>
      </w:r>
      <w:r>
        <w:rPr>
          <w:rFonts w:hint="eastAsia" w:ascii="宋体" w:hAnsi="宋体"/>
          <w:color w:val="auto"/>
          <w:szCs w:val="21"/>
          <w:highlight w:val="none"/>
        </w:rPr>
        <w:t>须向</w:t>
      </w:r>
      <w:r>
        <w:rPr>
          <w:rFonts w:hint="eastAsia" w:ascii="宋体" w:hAnsi="宋体"/>
          <w:color w:val="auto"/>
          <w:szCs w:val="21"/>
          <w:highlight w:val="none"/>
          <w:lang w:val="en-US" w:eastAsia="zh-CN"/>
        </w:rPr>
        <w:t>甲方</w:t>
      </w:r>
      <w:r>
        <w:rPr>
          <w:rFonts w:hint="eastAsia" w:ascii="宋体" w:hAnsi="宋体"/>
          <w:color w:val="auto"/>
          <w:szCs w:val="21"/>
          <w:highlight w:val="none"/>
        </w:rPr>
        <w:t>支付合同总金额的10%作为违约金，并赔偿由此给</w:t>
      </w:r>
      <w:r>
        <w:rPr>
          <w:rFonts w:hint="eastAsia" w:ascii="宋体" w:hAnsi="宋体"/>
          <w:color w:val="auto"/>
          <w:szCs w:val="21"/>
          <w:highlight w:val="none"/>
          <w:lang w:val="en-US" w:eastAsia="zh-CN"/>
        </w:rPr>
        <w:t>甲方</w:t>
      </w:r>
      <w:r>
        <w:rPr>
          <w:rFonts w:hint="eastAsia" w:ascii="宋体" w:hAnsi="宋体"/>
          <w:color w:val="auto"/>
          <w:szCs w:val="21"/>
          <w:highlight w:val="none"/>
        </w:rPr>
        <w:t>造成的一切损失。</w:t>
      </w:r>
    </w:p>
    <w:p w14:paraId="4C5E89B5">
      <w:pPr>
        <w:numPr>
          <w:ilvl w:val="0"/>
          <w:numId w:val="75"/>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违约责任</w:t>
      </w:r>
    </w:p>
    <w:p w14:paraId="61D5B287">
      <w:pPr>
        <w:numPr>
          <w:ilvl w:val="0"/>
          <w:numId w:val="88"/>
        </w:numPr>
        <w:tabs>
          <w:tab w:val="left" w:pos="840"/>
        </w:tabs>
        <w:snapToGrid w:val="0"/>
        <w:spacing w:line="360" w:lineRule="auto"/>
        <w:contextualSpacing/>
        <w:rPr>
          <w:rFonts w:ascii="宋体" w:hAnsi="宋体" w:cs="黑体"/>
          <w:color w:val="auto"/>
          <w:szCs w:val="21"/>
          <w:highlight w:val="none"/>
        </w:rPr>
      </w:pPr>
      <w:r>
        <w:rPr>
          <w:rFonts w:hint="eastAsia" w:ascii="宋体" w:hAnsi="宋体" w:cs="黑体"/>
          <w:color w:val="auto"/>
          <w:szCs w:val="21"/>
          <w:highlight w:val="none"/>
        </w:rPr>
        <w:t>乙方违反合同及磋商文件约定的有关义务，对甲方造成经济损失的，应给予甲方经济赔偿；如造成重大损失的，甲方有权终止合同。</w:t>
      </w:r>
    </w:p>
    <w:p w14:paraId="5E2ED3B6">
      <w:pPr>
        <w:numPr>
          <w:ilvl w:val="0"/>
          <w:numId w:val="88"/>
        </w:numPr>
        <w:tabs>
          <w:tab w:val="left" w:pos="840"/>
        </w:tabs>
        <w:snapToGrid w:val="0"/>
        <w:spacing w:line="360" w:lineRule="auto"/>
        <w:contextualSpacing/>
        <w:rPr>
          <w:rFonts w:ascii="宋体" w:hAnsi="宋体" w:cs="黑体"/>
          <w:color w:val="auto"/>
          <w:szCs w:val="21"/>
          <w:highlight w:val="none"/>
        </w:rPr>
      </w:pPr>
      <w:r>
        <w:rPr>
          <w:rFonts w:hint="eastAsia" w:ascii="宋体" w:hAnsi="宋体" w:cs="黑体"/>
          <w:color w:val="auto"/>
          <w:szCs w:val="21"/>
          <w:highlight w:val="none"/>
        </w:rPr>
        <w:t>除合同规定外，如果乙方没有按照合同规定的时间交付或完成，甲方可要求乙方支付违约金。从逾期之日起每日按本合同总价</w:t>
      </w:r>
      <w:r>
        <w:rPr>
          <w:rFonts w:hint="eastAsia" w:ascii="宋体" w:hAnsi="宋体"/>
          <w:color w:val="auto"/>
          <w:szCs w:val="21"/>
          <w:highlight w:val="none"/>
          <w:u w:val="single"/>
        </w:rPr>
        <w:t xml:space="preserve"> 3 </w:t>
      </w:r>
      <w:r>
        <w:rPr>
          <w:rFonts w:hint="eastAsia" w:ascii="宋体" w:hAnsi="宋体"/>
          <w:color w:val="auto"/>
          <w:szCs w:val="21"/>
          <w:highlight w:val="none"/>
        </w:rPr>
        <w:t>‰</w:t>
      </w:r>
      <w:r>
        <w:rPr>
          <w:rFonts w:hint="eastAsia" w:ascii="宋体" w:hAnsi="宋体" w:cs="黑体"/>
          <w:color w:val="auto"/>
          <w:szCs w:val="21"/>
          <w:highlight w:val="none"/>
        </w:rPr>
        <w:t>的数额向甲方支付违约金；逾期15天或以上的，甲方有权终止合同，要求乙方一次性支付合同总金额</w:t>
      </w:r>
      <w:r>
        <w:rPr>
          <w:rFonts w:hint="eastAsia" w:ascii="宋体" w:hAnsi="宋体" w:cs="黑体"/>
          <w:color w:val="auto"/>
          <w:szCs w:val="21"/>
          <w:highlight w:val="none"/>
          <w:u w:val="single"/>
        </w:rPr>
        <w:t xml:space="preserve"> 20 %</w:t>
      </w:r>
      <w:r>
        <w:rPr>
          <w:rFonts w:hint="eastAsia" w:ascii="宋体" w:hAnsi="宋体" w:cs="黑体"/>
          <w:color w:val="auto"/>
          <w:szCs w:val="21"/>
          <w:highlight w:val="none"/>
        </w:rPr>
        <w:t>违约金，并且给甲方造成的经济损失由乙方承担赔偿责任。</w:t>
      </w:r>
    </w:p>
    <w:p w14:paraId="457CD1D2">
      <w:pPr>
        <w:numPr>
          <w:ilvl w:val="0"/>
          <w:numId w:val="88"/>
        </w:numPr>
        <w:tabs>
          <w:tab w:val="left" w:pos="84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因乙方原因导致本合同解除或是无法履行的，乙方应向甲方支付合同总价</w:t>
      </w:r>
      <w:r>
        <w:rPr>
          <w:rFonts w:hint="eastAsia" w:ascii="宋体" w:hAnsi="宋体"/>
          <w:color w:val="auto"/>
          <w:szCs w:val="21"/>
          <w:highlight w:val="none"/>
          <w:u w:val="single"/>
        </w:rPr>
        <w:t xml:space="preserve"> 20 %</w:t>
      </w:r>
      <w:r>
        <w:rPr>
          <w:rFonts w:hint="eastAsia" w:ascii="宋体" w:hAnsi="宋体"/>
          <w:color w:val="auto"/>
          <w:szCs w:val="21"/>
          <w:highlight w:val="none"/>
        </w:rPr>
        <w:t>的违约金，并且给甲方造成的经济损失由乙方承担赔偿责任。</w:t>
      </w:r>
    </w:p>
    <w:p w14:paraId="608A43EC">
      <w:pPr>
        <w:numPr>
          <w:ilvl w:val="0"/>
          <w:numId w:val="88"/>
        </w:numPr>
        <w:tabs>
          <w:tab w:val="left" w:pos="840"/>
        </w:tabs>
        <w:snapToGrid w:val="0"/>
        <w:spacing w:line="360" w:lineRule="auto"/>
        <w:contextualSpacing/>
        <w:rPr>
          <w:rFonts w:ascii="宋体" w:hAnsi="宋体" w:cs="黑体"/>
          <w:color w:val="auto"/>
          <w:szCs w:val="21"/>
          <w:highlight w:val="none"/>
        </w:rPr>
      </w:pPr>
      <w:r>
        <w:rPr>
          <w:rFonts w:hint="eastAsia" w:ascii="宋体" w:hAnsi="宋体" w:cs="黑体"/>
          <w:color w:val="auto"/>
          <w:szCs w:val="21"/>
          <w:highlight w:val="none"/>
        </w:rPr>
        <w:t>甲方有权从未支付的款项或是履约保证金中直接扣除乙方的违约金，不足的部分由乙方另行补足。</w:t>
      </w:r>
    </w:p>
    <w:p w14:paraId="335C9E62">
      <w:pPr>
        <w:numPr>
          <w:ilvl w:val="0"/>
          <w:numId w:val="75"/>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争议的解决办法</w:t>
      </w:r>
    </w:p>
    <w:p w14:paraId="0334F3CA">
      <w:pPr>
        <w:numPr>
          <w:ilvl w:val="0"/>
          <w:numId w:val="89"/>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凡与本合同有关而引起的一切争议，甲乙双方应首先通过友好协商解决，如经协商后仍不能达成协议时，任何一方可以向</w:t>
      </w:r>
      <w:r>
        <w:rPr>
          <w:rFonts w:hint="eastAsia" w:ascii="宋体" w:hAnsi="宋体"/>
          <w:color w:val="auto"/>
          <w:szCs w:val="21"/>
          <w:highlight w:val="none"/>
          <w:lang w:val="en-US" w:eastAsia="zh-CN"/>
        </w:rPr>
        <w:t>甲方所在地</w:t>
      </w:r>
      <w:r>
        <w:rPr>
          <w:rFonts w:hint="eastAsia" w:ascii="宋体" w:hAnsi="宋体"/>
          <w:color w:val="auto"/>
          <w:szCs w:val="21"/>
          <w:highlight w:val="none"/>
        </w:rPr>
        <w:t>法院提出诉讼。</w:t>
      </w:r>
    </w:p>
    <w:p w14:paraId="456DF742">
      <w:pPr>
        <w:numPr>
          <w:ilvl w:val="0"/>
          <w:numId w:val="89"/>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在进行法院审理期间，除提交法院审理的事项外，合同其他部分仍继续履行。</w:t>
      </w:r>
    </w:p>
    <w:p w14:paraId="26B37393">
      <w:pPr>
        <w:numPr>
          <w:ilvl w:val="0"/>
          <w:numId w:val="89"/>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本合同按照中华人民共和国的法律进行解释。</w:t>
      </w:r>
    </w:p>
    <w:p w14:paraId="4D6584A6">
      <w:pPr>
        <w:numPr>
          <w:ilvl w:val="0"/>
          <w:numId w:val="75"/>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不可抗力</w:t>
      </w:r>
    </w:p>
    <w:p w14:paraId="4A9EC1A0">
      <w:pPr>
        <w:numPr>
          <w:ilvl w:val="0"/>
          <w:numId w:val="90"/>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4776F17D">
      <w:pPr>
        <w:numPr>
          <w:ilvl w:val="0"/>
          <w:numId w:val="90"/>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391B247F">
      <w:pPr>
        <w:numPr>
          <w:ilvl w:val="0"/>
          <w:numId w:val="75"/>
        </w:numPr>
        <w:tabs>
          <w:tab w:val="left" w:pos="567"/>
        </w:tabs>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合同生效</w:t>
      </w:r>
    </w:p>
    <w:p w14:paraId="6153FF0A">
      <w:pPr>
        <w:numPr>
          <w:ilvl w:val="0"/>
          <w:numId w:val="91"/>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本合同由双方法定代表人或委托代理人签字盖章后立即生效；</w:t>
      </w:r>
    </w:p>
    <w:p w14:paraId="6E6C19D7">
      <w:pPr>
        <w:numPr>
          <w:ilvl w:val="0"/>
          <w:numId w:val="91"/>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本合同一式</w:t>
      </w:r>
      <w:r>
        <w:rPr>
          <w:rFonts w:hint="eastAsia" w:ascii="宋体" w:hAnsi="宋体"/>
          <w:color w:val="auto"/>
          <w:szCs w:val="21"/>
          <w:highlight w:val="none"/>
          <w:u w:val="single"/>
        </w:rPr>
        <w:t xml:space="preserve">     </w:t>
      </w:r>
      <w:r>
        <w:rPr>
          <w:rFonts w:hint="eastAsia" w:ascii="宋体" w:hAnsi="宋体"/>
          <w:color w:val="auto"/>
          <w:szCs w:val="21"/>
          <w:highlight w:val="none"/>
        </w:rPr>
        <w:t>份，其中甲方</w:t>
      </w:r>
      <w:r>
        <w:rPr>
          <w:rFonts w:hint="eastAsia" w:ascii="宋体" w:hAnsi="宋体"/>
          <w:color w:val="auto"/>
          <w:szCs w:val="21"/>
          <w:highlight w:val="none"/>
          <w:u w:val="single"/>
        </w:rPr>
        <w:t xml:space="preserve">     </w:t>
      </w:r>
      <w:r>
        <w:rPr>
          <w:rFonts w:hint="eastAsia" w:ascii="宋体" w:hAnsi="宋体"/>
          <w:color w:val="auto"/>
          <w:szCs w:val="21"/>
          <w:highlight w:val="none"/>
        </w:rPr>
        <w:t>份、乙方</w:t>
      </w:r>
      <w:r>
        <w:rPr>
          <w:rFonts w:hint="eastAsia" w:ascii="宋体" w:hAnsi="宋体"/>
          <w:color w:val="auto"/>
          <w:szCs w:val="21"/>
          <w:highlight w:val="none"/>
          <w:u w:val="single"/>
        </w:rPr>
        <w:t xml:space="preserve">     </w:t>
      </w:r>
      <w:r>
        <w:rPr>
          <w:rFonts w:hint="eastAsia" w:ascii="宋体" w:hAnsi="宋体"/>
          <w:color w:val="auto"/>
          <w:szCs w:val="21"/>
          <w:highlight w:val="none"/>
        </w:rPr>
        <w:t>份，采购代理机构</w:t>
      </w:r>
      <w:r>
        <w:rPr>
          <w:rFonts w:hint="eastAsia" w:ascii="宋体" w:hAnsi="宋体"/>
          <w:color w:val="auto"/>
          <w:szCs w:val="21"/>
          <w:highlight w:val="none"/>
          <w:u w:val="single"/>
        </w:rPr>
        <w:t xml:space="preserve">  壹  </w:t>
      </w:r>
      <w:r>
        <w:rPr>
          <w:rFonts w:hint="eastAsia" w:ascii="宋体" w:hAnsi="宋体"/>
          <w:color w:val="auto"/>
          <w:szCs w:val="21"/>
          <w:highlight w:val="none"/>
        </w:rPr>
        <w:t>份（须在合同签订之日起5个工作日内递交）具有同等法律效力</w:t>
      </w:r>
      <w:r>
        <w:rPr>
          <w:rFonts w:hint="eastAsia" w:ascii="宋体" w:hAnsi="宋体"/>
          <w:color w:val="auto"/>
          <w:szCs w:val="21"/>
          <w:highlight w:val="none"/>
          <w:lang w:eastAsia="zh-CN"/>
        </w:rPr>
        <w:t>。</w:t>
      </w:r>
    </w:p>
    <w:p w14:paraId="44284CEF">
      <w:pPr>
        <w:numPr>
          <w:ilvl w:val="0"/>
          <w:numId w:val="75"/>
        </w:numPr>
        <w:tabs>
          <w:tab w:val="left" w:pos="567"/>
        </w:tabs>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其它</w:t>
      </w:r>
    </w:p>
    <w:p w14:paraId="591C422B">
      <w:pPr>
        <w:numPr>
          <w:ilvl w:val="0"/>
          <w:numId w:val="92"/>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本合同未尽事宜，双方可签订补充合同，补充合同与所有附件均为合同的有效组成部分，与本合同具有同等法律效力；</w:t>
      </w:r>
    </w:p>
    <w:p w14:paraId="2C234131">
      <w:pPr>
        <w:numPr>
          <w:ilvl w:val="0"/>
          <w:numId w:val="92"/>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5F88B8E9">
      <w:pPr>
        <w:numPr>
          <w:ilvl w:val="0"/>
          <w:numId w:val="92"/>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本合同合计</w:t>
      </w:r>
      <w:r>
        <w:rPr>
          <w:rFonts w:hint="eastAsia" w:ascii="宋体" w:hAnsi="宋体"/>
          <w:color w:val="auto"/>
          <w:szCs w:val="21"/>
          <w:highlight w:val="none"/>
          <w:u w:val="single"/>
        </w:rPr>
        <w:t xml:space="preserve">      </w:t>
      </w:r>
      <w:r>
        <w:rPr>
          <w:rFonts w:hint="eastAsia" w:ascii="宋体" w:hAnsi="宋体"/>
          <w:color w:val="auto"/>
          <w:szCs w:val="21"/>
          <w:highlight w:val="none"/>
        </w:rPr>
        <w:t>页A4纸张，缺页之合同为无效合同。</w:t>
      </w:r>
    </w:p>
    <w:p w14:paraId="1B2AA0C2">
      <w:pPr>
        <w:rPr>
          <w:rFonts w:hint="default" w:ascii="宋体" w:hAnsi="宋体" w:eastAsia="宋体"/>
          <w:b/>
          <w:bCs/>
          <w:color w:val="auto"/>
          <w:szCs w:val="21"/>
          <w:highlight w:val="none"/>
          <w:lang w:val="en-US" w:eastAsia="zh-CN"/>
        </w:rPr>
      </w:pPr>
      <w:r>
        <w:rPr>
          <w:rFonts w:hint="eastAsia" w:ascii="宋体" w:hAnsi="宋体"/>
          <w:b/>
          <w:bCs/>
          <w:color w:val="auto"/>
          <w:szCs w:val="21"/>
          <w:highlight w:val="none"/>
          <w:lang w:val="en-US" w:eastAsia="zh-CN"/>
        </w:rPr>
        <w:t>附件1：《保安服务管理考核表》</w:t>
      </w:r>
    </w:p>
    <w:p w14:paraId="4D65EB59">
      <w:pPr>
        <w:snapToGrid w:val="0"/>
        <w:spacing w:line="360" w:lineRule="auto"/>
        <w:contextualSpacing/>
        <w:rPr>
          <w:rFonts w:ascii="宋体" w:hAnsi="宋体"/>
          <w:color w:val="auto"/>
          <w:szCs w:val="21"/>
          <w:highlight w:val="none"/>
        </w:rPr>
      </w:pPr>
    </w:p>
    <w:tbl>
      <w:tblPr>
        <w:tblStyle w:val="7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45C6C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E750595">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甲方（盖章）：</w:t>
            </w:r>
          </w:p>
        </w:tc>
        <w:tc>
          <w:tcPr>
            <w:tcW w:w="2500" w:type="pct"/>
          </w:tcPr>
          <w:p w14:paraId="5A63E7F7">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乙方(盖章)：</w:t>
            </w:r>
          </w:p>
        </w:tc>
      </w:tr>
      <w:tr w14:paraId="4FAAF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62BD928">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甲方代表人(签字)：</w:t>
            </w:r>
          </w:p>
        </w:tc>
        <w:tc>
          <w:tcPr>
            <w:tcW w:w="2500" w:type="pct"/>
          </w:tcPr>
          <w:p w14:paraId="0B36C833">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乙方代表人(签字)：</w:t>
            </w:r>
          </w:p>
        </w:tc>
      </w:tr>
      <w:tr w14:paraId="53529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D1DC430">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签字日期：</w:t>
            </w:r>
          </w:p>
        </w:tc>
        <w:tc>
          <w:tcPr>
            <w:tcW w:w="2500" w:type="pct"/>
          </w:tcPr>
          <w:p w14:paraId="29FC68F0">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签字日期：</w:t>
            </w:r>
          </w:p>
        </w:tc>
      </w:tr>
      <w:tr w14:paraId="01B99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18381B4">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地址：</w:t>
            </w:r>
          </w:p>
        </w:tc>
        <w:tc>
          <w:tcPr>
            <w:tcW w:w="2500" w:type="pct"/>
          </w:tcPr>
          <w:p w14:paraId="4D138A9D">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地址：</w:t>
            </w:r>
          </w:p>
        </w:tc>
      </w:tr>
      <w:tr w14:paraId="26C8A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856D516">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电话：</w:t>
            </w:r>
          </w:p>
        </w:tc>
        <w:tc>
          <w:tcPr>
            <w:tcW w:w="2500" w:type="pct"/>
          </w:tcPr>
          <w:p w14:paraId="46397EF7">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电话：</w:t>
            </w:r>
          </w:p>
        </w:tc>
      </w:tr>
      <w:tr w14:paraId="1436E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C06B4E3">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传真：</w:t>
            </w:r>
          </w:p>
        </w:tc>
        <w:tc>
          <w:tcPr>
            <w:tcW w:w="2500" w:type="pct"/>
          </w:tcPr>
          <w:p w14:paraId="28565CE8">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传真：</w:t>
            </w:r>
          </w:p>
        </w:tc>
      </w:tr>
      <w:tr w14:paraId="3BD11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A5EC90C">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开户银行：</w:t>
            </w:r>
          </w:p>
        </w:tc>
        <w:tc>
          <w:tcPr>
            <w:tcW w:w="2500" w:type="pct"/>
          </w:tcPr>
          <w:p w14:paraId="415382E3">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开户银行：</w:t>
            </w:r>
          </w:p>
        </w:tc>
      </w:tr>
      <w:tr w14:paraId="795FF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FFD15BD">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银行账户：</w:t>
            </w:r>
          </w:p>
        </w:tc>
        <w:tc>
          <w:tcPr>
            <w:tcW w:w="2500" w:type="pct"/>
          </w:tcPr>
          <w:p w14:paraId="0B37DE83">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银行账户：</w:t>
            </w:r>
          </w:p>
        </w:tc>
      </w:tr>
    </w:tbl>
    <w:p w14:paraId="724C4B8D">
      <w:pPr>
        <w:rPr>
          <w:rFonts w:ascii="宋体" w:hAnsi="宋体"/>
          <w:color w:val="auto"/>
          <w:szCs w:val="21"/>
          <w:highlight w:val="none"/>
        </w:rPr>
      </w:pPr>
    </w:p>
    <w:bookmarkEnd w:id="40"/>
    <w:bookmarkEnd w:id="41"/>
    <w:bookmarkEnd w:id="42"/>
    <w:p w14:paraId="1ECDC7F2">
      <w:pPr>
        <w:keepNext w:val="0"/>
        <w:keepLines w:val="0"/>
        <w:pageBreakBefore/>
        <w:widowControl w:val="0"/>
        <w:kinsoku/>
        <w:wordWrap/>
        <w:overflowPunct/>
        <w:topLinePunct w:val="0"/>
        <w:autoSpaceDE/>
        <w:autoSpaceDN/>
        <w:bidi w:val="0"/>
        <w:adjustRightInd/>
        <w:snapToGrid/>
        <w:spacing w:line="360" w:lineRule="auto"/>
        <w:jc w:val="left"/>
        <w:textAlignment w:val="auto"/>
        <w:outlineLvl w:val="9"/>
        <w:rPr>
          <w:rFonts w:hint="eastAsia" w:asciiTheme="minorEastAsia" w:hAnsiTheme="minorEastAsia" w:eastAsiaTheme="minorEastAsia"/>
          <w:b/>
          <w:bCs/>
          <w:color w:val="auto"/>
          <w:spacing w:val="20"/>
          <w:sz w:val="21"/>
          <w:szCs w:val="21"/>
          <w:highlight w:val="none"/>
        </w:rPr>
      </w:pPr>
      <w:bookmarkStart w:id="44" w:name="_Toc169807545"/>
      <w:bookmarkStart w:id="45" w:name="_Toc169799784"/>
      <w:bookmarkStart w:id="46" w:name="_Toc170228133"/>
      <w:r>
        <w:rPr>
          <w:rFonts w:hint="eastAsia" w:asciiTheme="minorEastAsia" w:hAnsiTheme="minorEastAsia" w:eastAsiaTheme="minorEastAsia"/>
          <w:b/>
          <w:bCs/>
          <w:color w:val="auto"/>
          <w:spacing w:val="20"/>
          <w:sz w:val="21"/>
          <w:szCs w:val="21"/>
          <w:highlight w:val="none"/>
        </w:rPr>
        <w:t>附件1：《保安服务管理考核表》</w:t>
      </w:r>
    </w:p>
    <w:tbl>
      <w:tblPr>
        <w:tblStyle w:val="22"/>
        <w:tblW w:w="499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97"/>
        <w:gridCol w:w="450"/>
        <w:gridCol w:w="6755"/>
        <w:gridCol w:w="1167"/>
        <w:gridCol w:w="504"/>
      </w:tblGrid>
      <w:tr w14:paraId="14220E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trPr>
        <w:tc>
          <w:tcPr>
            <w:tcW w:w="214" w:type="pct"/>
            <w:tcBorders>
              <w:tl2br w:val="nil"/>
              <w:tr2bl w:val="nil"/>
            </w:tcBorders>
            <w:noWrap w:val="0"/>
            <w:tcMar>
              <w:top w:w="0" w:type="dxa"/>
              <w:left w:w="105" w:type="dxa"/>
              <w:bottom w:w="0" w:type="dxa"/>
              <w:right w:w="105" w:type="dxa"/>
            </w:tcMar>
            <w:vAlign w:val="center"/>
          </w:tcPr>
          <w:p w14:paraId="1F1A67CF">
            <w:pPr>
              <w:pStyle w:val="74"/>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项目</w:t>
            </w:r>
          </w:p>
        </w:tc>
        <w:tc>
          <w:tcPr>
            <w:tcW w:w="242" w:type="pct"/>
            <w:tcBorders>
              <w:tl2br w:val="nil"/>
              <w:tr2bl w:val="nil"/>
            </w:tcBorders>
            <w:noWrap w:val="0"/>
            <w:tcMar>
              <w:top w:w="0" w:type="dxa"/>
              <w:left w:w="105" w:type="dxa"/>
              <w:bottom w:w="0" w:type="dxa"/>
              <w:right w:w="105" w:type="dxa"/>
            </w:tcMar>
            <w:vAlign w:val="center"/>
          </w:tcPr>
          <w:p w14:paraId="325A4998">
            <w:pPr>
              <w:pStyle w:val="74"/>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分值</w:t>
            </w:r>
          </w:p>
        </w:tc>
        <w:tc>
          <w:tcPr>
            <w:tcW w:w="3642" w:type="pct"/>
            <w:tcBorders>
              <w:tl2br w:val="nil"/>
              <w:tr2bl w:val="nil"/>
            </w:tcBorders>
            <w:noWrap w:val="0"/>
            <w:tcMar>
              <w:top w:w="0" w:type="dxa"/>
              <w:left w:w="105" w:type="dxa"/>
              <w:bottom w:w="0" w:type="dxa"/>
              <w:right w:w="105" w:type="dxa"/>
            </w:tcMar>
            <w:vAlign w:val="center"/>
          </w:tcPr>
          <w:p w14:paraId="7CFD2E80">
            <w:pPr>
              <w:pStyle w:val="74"/>
              <w:keepNext w:val="0"/>
              <w:keepLines w:val="0"/>
              <w:pageBreakBefore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检查项目</w:t>
            </w:r>
          </w:p>
        </w:tc>
        <w:tc>
          <w:tcPr>
            <w:tcW w:w="629" w:type="pct"/>
            <w:tcBorders>
              <w:tl2br w:val="nil"/>
              <w:tr2bl w:val="nil"/>
            </w:tcBorders>
            <w:noWrap w:val="0"/>
            <w:tcMar>
              <w:top w:w="0" w:type="dxa"/>
              <w:left w:w="105" w:type="dxa"/>
              <w:bottom w:w="0" w:type="dxa"/>
              <w:right w:w="105" w:type="dxa"/>
            </w:tcMar>
            <w:vAlign w:val="center"/>
          </w:tcPr>
          <w:p w14:paraId="3B716788">
            <w:pPr>
              <w:pStyle w:val="74"/>
              <w:keepNext w:val="0"/>
              <w:keepLines w:val="0"/>
              <w:pageBreakBefore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扣分标准</w:t>
            </w:r>
          </w:p>
        </w:tc>
        <w:tc>
          <w:tcPr>
            <w:tcW w:w="271" w:type="pct"/>
            <w:tcBorders>
              <w:tl2br w:val="nil"/>
              <w:tr2bl w:val="nil"/>
            </w:tcBorders>
            <w:noWrap w:val="0"/>
            <w:tcMar>
              <w:top w:w="0" w:type="dxa"/>
              <w:left w:w="105" w:type="dxa"/>
              <w:bottom w:w="0" w:type="dxa"/>
              <w:right w:w="105" w:type="dxa"/>
            </w:tcMar>
            <w:vAlign w:val="center"/>
          </w:tcPr>
          <w:p w14:paraId="49458477">
            <w:pPr>
              <w:pStyle w:val="74"/>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得分</w:t>
            </w:r>
          </w:p>
        </w:tc>
      </w:tr>
      <w:tr w14:paraId="70BFD6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4" w:type="pct"/>
            <w:vMerge w:val="restart"/>
            <w:tcBorders>
              <w:tl2br w:val="nil"/>
              <w:tr2bl w:val="nil"/>
            </w:tcBorders>
            <w:noWrap w:val="0"/>
            <w:tcMar>
              <w:top w:w="0" w:type="dxa"/>
              <w:left w:w="105" w:type="dxa"/>
              <w:bottom w:w="0" w:type="dxa"/>
              <w:right w:w="105" w:type="dxa"/>
            </w:tcMar>
            <w:vAlign w:val="center"/>
          </w:tcPr>
          <w:p w14:paraId="7FC49E11">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保安</w:t>
            </w:r>
          </w:p>
        </w:tc>
        <w:tc>
          <w:tcPr>
            <w:tcW w:w="242" w:type="pct"/>
            <w:vMerge w:val="restart"/>
            <w:tcBorders>
              <w:tl2br w:val="nil"/>
              <w:tr2bl w:val="nil"/>
            </w:tcBorders>
            <w:noWrap w:val="0"/>
            <w:tcMar>
              <w:top w:w="0" w:type="dxa"/>
              <w:left w:w="105" w:type="dxa"/>
              <w:bottom w:w="0" w:type="dxa"/>
              <w:right w:w="105" w:type="dxa"/>
            </w:tcMar>
            <w:vAlign w:val="center"/>
          </w:tcPr>
          <w:p w14:paraId="42CDA6A6">
            <w:pPr>
              <w:pStyle w:val="74"/>
              <w:keepNext w:val="0"/>
              <w:keepLines w:val="0"/>
              <w:pageBreakBefore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90分</w:t>
            </w:r>
          </w:p>
        </w:tc>
        <w:tc>
          <w:tcPr>
            <w:tcW w:w="3642" w:type="pct"/>
            <w:tcBorders>
              <w:tl2br w:val="nil"/>
              <w:tr2bl w:val="nil"/>
            </w:tcBorders>
            <w:noWrap w:val="0"/>
            <w:tcMar>
              <w:top w:w="0" w:type="dxa"/>
              <w:left w:w="105" w:type="dxa"/>
              <w:bottom w:w="0" w:type="dxa"/>
              <w:right w:w="105" w:type="dxa"/>
            </w:tcMar>
            <w:vAlign w:val="center"/>
          </w:tcPr>
          <w:p w14:paraId="743F59CA">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1.对一般外来访问、办事人员，建立询问登记制度，尤其对施工人员的办证登记。</w:t>
            </w:r>
          </w:p>
        </w:tc>
        <w:tc>
          <w:tcPr>
            <w:tcW w:w="629" w:type="pct"/>
            <w:tcBorders>
              <w:tl2br w:val="nil"/>
              <w:tr2bl w:val="nil"/>
            </w:tcBorders>
            <w:noWrap w:val="0"/>
            <w:tcMar>
              <w:top w:w="0" w:type="dxa"/>
              <w:left w:w="105" w:type="dxa"/>
              <w:bottom w:w="0" w:type="dxa"/>
              <w:right w:w="105" w:type="dxa"/>
            </w:tcMar>
            <w:vAlign w:val="center"/>
          </w:tcPr>
          <w:p w14:paraId="7001FA4B">
            <w:pPr>
              <w:pStyle w:val="74"/>
              <w:keepNext w:val="0"/>
              <w:keepLines w:val="0"/>
              <w:pageBreakBefore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每违规一次扣5分</w:t>
            </w:r>
          </w:p>
        </w:tc>
        <w:tc>
          <w:tcPr>
            <w:tcW w:w="271" w:type="pct"/>
            <w:tcBorders>
              <w:tl2br w:val="nil"/>
              <w:tr2bl w:val="nil"/>
            </w:tcBorders>
            <w:noWrap w:val="0"/>
            <w:tcMar>
              <w:top w:w="0" w:type="dxa"/>
              <w:left w:w="105" w:type="dxa"/>
              <w:bottom w:w="0" w:type="dxa"/>
              <w:right w:w="105" w:type="dxa"/>
            </w:tcMar>
            <w:vAlign w:val="center"/>
          </w:tcPr>
          <w:p w14:paraId="78F60461">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p>
        </w:tc>
      </w:tr>
      <w:tr w14:paraId="1BB64F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4" w:type="pct"/>
            <w:vMerge w:val="continue"/>
            <w:tcBorders>
              <w:tl2br w:val="nil"/>
              <w:tr2bl w:val="nil"/>
            </w:tcBorders>
            <w:noWrap w:val="0"/>
            <w:vAlign w:val="center"/>
          </w:tcPr>
          <w:p w14:paraId="7E3CF1A7">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242" w:type="pct"/>
            <w:vMerge w:val="continue"/>
            <w:tcBorders>
              <w:tl2br w:val="nil"/>
              <w:tr2bl w:val="nil"/>
            </w:tcBorders>
            <w:noWrap w:val="0"/>
            <w:vAlign w:val="center"/>
          </w:tcPr>
          <w:p w14:paraId="60A4263F">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3642" w:type="pct"/>
            <w:tcBorders>
              <w:tl2br w:val="nil"/>
              <w:tr2bl w:val="nil"/>
            </w:tcBorders>
            <w:noWrap w:val="0"/>
            <w:tcMar>
              <w:top w:w="0" w:type="dxa"/>
              <w:left w:w="105" w:type="dxa"/>
              <w:bottom w:w="0" w:type="dxa"/>
              <w:right w:w="105" w:type="dxa"/>
            </w:tcMar>
            <w:vAlign w:val="center"/>
          </w:tcPr>
          <w:p w14:paraId="613A5295">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2.交通、车辆、停车场要有明显的停车管理制度，对生活区自行车停放要规范，集中管理。</w:t>
            </w:r>
          </w:p>
        </w:tc>
        <w:tc>
          <w:tcPr>
            <w:tcW w:w="629" w:type="pct"/>
            <w:tcBorders>
              <w:tl2br w:val="nil"/>
              <w:tr2bl w:val="nil"/>
            </w:tcBorders>
            <w:noWrap w:val="0"/>
            <w:tcMar>
              <w:top w:w="0" w:type="dxa"/>
              <w:left w:w="105" w:type="dxa"/>
              <w:bottom w:w="0" w:type="dxa"/>
              <w:right w:w="105" w:type="dxa"/>
            </w:tcMar>
            <w:vAlign w:val="center"/>
          </w:tcPr>
          <w:p w14:paraId="7A964BBB">
            <w:pPr>
              <w:pStyle w:val="74"/>
              <w:keepNext w:val="0"/>
              <w:keepLines w:val="0"/>
              <w:pageBreakBefore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每违规一次扣5分</w:t>
            </w:r>
          </w:p>
        </w:tc>
        <w:tc>
          <w:tcPr>
            <w:tcW w:w="271" w:type="pct"/>
            <w:tcBorders>
              <w:tl2br w:val="nil"/>
              <w:tr2bl w:val="nil"/>
            </w:tcBorders>
            <w:noWrap w:val="0"/>
            <w:tcMar>
              <w:top w:w="0" w:type="dxa"/>
              <w:left w:w="105" w:type="dxa"/>
              <w:bottom w:w="0" w:type="dxa"/>
              <w:right w:w="105" w:type="dxa"/>
            </w:tcMar>
            <w:vAlign w:val="center"/>
          </w:tcPr>
          <w:p w14:paraId="14F129B5">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p>
        </w:tc>
      </w:tr>
      <w:tr w14:paraId="746FF1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4" w:type="pct"/>
            <w:vMerge w:val="continue"/>
            <w:tcBorders>
              <w:tl2br w:val="nil"/>
              <w:tr2bl w:val="nil"/>
            </w:tcBorders>
            <w:noWrap w:val="0"/>
            <w:vAlign w:val="center"/>
          </w:tcPr>
          <w:p w14:paraId="377F5670">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242" w:type="pct"/>
            <w:vMerge w:val="continue"/>
            <w:tcBorders>
              <w:tl2br w:val="nil"/>
              <w:tr2bl w:val="nil"/>
            </w:tcBorders>
            <w:noWrap w:val="0"/>
            <w:vAlign w:val="center"/>
          </w:tcPr>
          <w:p w14:paraId="15E4A0E5">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3642" w:type="pct"/>
            <w:tcBorders>
              <w:tl2br w:val="nil"/>
              <w:tr2bl w:val="nil"/>
            </w:tcBorders>
            <w:noWrap w:val="0"/>
            <w:tcMar>
              <w:top w:w="0" w:type="dxa"/>
              <w:left w:w="105" w:type="dxa"/>
              <w:bottom w:w="0" w:type="dxa"/>
              <w:right w:w="105" w:type="dxa"/>
            </w:tcMar>
            <w:vAlign w:val="center"/>
          </w:tcPr>
          <w:p w14:paraId="71B02B36">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3.要控制噪音，制止喧闹现象，无闲杂人员随意流动。尤其对装修施工的监督，装修单元内配备灭火器、乱接电、未办相关手续，未按要求施工的；施工时间为上班时间，下班时间施工人员不得在</w:t>
            </w:r>
            <w:r>
              <w:rPr>
                <w:rFonts w:hint="eastAsia" w:ascii="宋体" w:hAnsi="宋体" w:eastAsia="宋体" w:cs="宋体"/>
                <w:color w:val="auto"/>
                <w:sz w:val="21"/>
                <w:szCs w:val="21"/>
                <w:highlight w:val="none"/>
                <w:lang w:eastAsia="zh-CN"/>
              </w:rPr>
              <w:t>办公楼</w:t>
            </w:r>
            <w:r>
              <w:rPr>
                <w:rFonts w:hint="eastAsia" w:ascii="宋体" w:hAnsi="宋体" w:eastAsia="宋体" w:cs="宋体"/>
                <w:color w:val="auto"/>
                <w:sz w:val="21"/>
                <w:szCs w:val="21"/>
                <w:highlight w:val="none"/>
              </w:rPr>
              <w:t>内停留；特殊施工情况时，需经</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shd w:val="clear" w:color="auto" w:fill="FFFFFF"/>
              </w:rPr>
              <w:t>同意</w:t>
            </w:r>
            <w:r>
              <w:rPr>
                <w:rFonts w:hint="eastAsia" w:ascii="宋体" w:hAnsi="宋体" w:eastAsia="宋体" w:cs="宋体"/>
                <w:color w:val="auto"/>
                <w:sz w:val="21"/>
                <w:szCs w:val="21"/>
                <w:highlight w:val="none"/>
              </w:rPr>
              <w:t>。</w:t>
            </w:r>
          </w:p>
        </w:tc>
        <w:tc>
          <w:tcPr>
            <w:tcW w:w="629" w:type="pct"/>
            <w:tcBorders>
              <w:tl2br w:val="nil"/>
              <w:tr2bl w:val="nil"/>
            </w:tcBorders>
            <w:noWrap w:val="0"/>
            <w:tcMar>
              <w:top w:w="0" w:type="dxa"/>
              <w:left w:w="105" w:type="dxa"/>
              <w:bottom w:w="0" w:type="dxa"/>
              <w:right w:w="105" w:type="dxa"/>
            </w:tcMar>
            <w:vAlign w:val="center"/>
          </w:tcPr>
          <w:p w14:paraId="58C8C00A">
            <w:pPr>
              <w:pStyle w:val="74"/>
              <w:keepNext w:val="0"/>
              <w:keepLines w:val="0"/>
              <w:pageBreakBefore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每违规一次扣5分</w:t>
            </w:r>
          </w:p>
        </w:tc>
        <w:tc>
          <w:tcPr>
            <w:tcW w:w="271" w:type="pct"/>
            <w:tcBorders>
              <w:tl2br w:val="nil"/>
              <w:tr2bl w:val="nil"/>
            </w:tcBorders>
            <w:noWrap w:val="0"/>
            <w:tcMar>
              <w:top w:w="0" w:type="dxa"/>
              <w:left w:w="105" w:type="dxa"/>
              <w:bottom w:w="0" w:type="dxa"/>
              <w:right w:w="105" w:type="dxa"/>
            </w:tcMar>
            <w:vAlign w:val="center"/>
          </w:tcPr>
          <w:p w14:paraId="25F36A8B">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p>
        </w:tc>
      </w:tr>
      <w:tr w14:paraId="21F18B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4" w:type="pct"/>
            <w:vMerge w:val="continue"/>
            <w:tcBorders>
              <w:tl2br w:val="nil"/>
              <w:tr2bl w:val="nil"/>
            </w:tcBorders>
            <w:noWrap w:val="0"/>
            <w:vAlign w:val="center"/>
          </w:tcPr>
          <w:p w14:paraId="48BEFC86">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242" w:type="pct"/>
            <w:vMerge w:val="continue"/>
            <w:tcBorders>
              <w:tl2br w:val="nil"/>
              <w:tr2bl w:val="nil"/>
            </w:tcBorders>
            <w:noWrap w:val="0"/>
            <w:vAlign w:val="center"/>
          </w:tcPr>
          <w:p w14:paraId="56517955">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3642" w:type="pct"/>
            <w:tcBorders>
              <w:tl2br w:val="nil"/>
              <w:tr2bl w:val="nil"/>
            </w:tcBorders>
            <w:noWrap w:val="0"/>
            <w:tcMar>
              <w:top w:w="0" w:type="dxa"/>
              <w:left w:w="105" w:type="dxa"/>
              <w:bottom w:w="0" w:type="dxa"/>
              <w:right w:w="105" w:type="dxa"/>
            </w:tcMar>
            <w:vAlign w:val="center"/>
          </w:tcPr>
          <w:p w14:paraId="013AD006">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4.重要出入口24小时值班、24小时监控。办公区域做到24小时有安全护卫人员巡查，并且要有巡查点检记录。</w:t>
            </w:r>
          </w:p>
        </w:tc>
        <w:tc>
          <w:tcPr>
            <w:tcW w:w="629" w:type="pct"/>
            <w:tcBorders>
              <w:tl2br w:val="nil"/>
              <w:tr2bl w:val="nil"/>
            </w:tcBorders>
            <w:noWrap w:val="0"/>
            <w:tcMar>
              <w:top w:w="0" w:type="dxa"/>
              <w:left w:w="105" w:type="dxa"/>
              <w:bottom w:w="0" w:type="dxa"/>
              <w:right w:w="105" w:type="dxa"/>
            </w:tcMar>
            <w:vAlign w:val="center"/>
          </w:tcPr>
          <w:p w14:paraId="4FA0BE68">
            <w:pPr>
              <w:pStyle w:val="74"/>
              <w:keepNext w:val="0"/>
              <w:keepLines w:val="0"/>
              <w:pageBreakBefore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每违规一次扣5分</w:t>
            </w:r>
          </w:p>
        </w:tc>
        <w:tc>
          <w:tcPr>
            <w:tcW w:w="271" w:type="pct"/>
            <w:tcBorders>
              <w:tl2br w:val="nil"/>
              <w:tr2bl w:val="nil"/>
            </w:tcBorders>
            <w:noWrap w:val="0"/>
            <w:tcMar>
              <w:top w:w="0" w:type="dxa"/>
              <w:left w:w="105" w:type="dxa"/>
              <w:bottom w:w="0" w:type="dxa"/>
              <w:right w:w="105" w:type="dxa"/>
            </w:tcMar>
            <w:vAlign w:val="center"/>
          </w:tcPr>
          <w:p w14:paraId="77840688">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p>
        </w:tc>
      </w:tr>
      <w:tr w14:paraId="06460A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4" w:type="pct"/>
            <w:vMerge w:val="continue"/>
            <w:tcBorders>
              <w:tl2br w:val="nil"/>
              <w:tr2bl w:val="nil"/>
            </w:tcBorders>
            <w:noWrap w:val="0"/>
            <w:vAlign w:val="center"/>
          </w:tcPr>
          <w:p w14:paraId="61362730">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242" w:type="pct"/>
            <w:vMerge w:val="continue"/>
            <w:tcBorders>
              <w:tl2br w:val="nil"/>
              <w:tr2bl w:val="nil"/>
            </w:tcBorders>
            <w:noWrap w:val="0"/>
            <w:vAlign w:val="center"/>
          </w:tcPr>
          <w:p w14:paraId="44AD5B3A">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3642" w:type="pct"/>
            <w:tcBorders>
              <w:tl2br w:val="nil"/>
              <w:tr2bl w:val="nil"/>
            </w:tcBorders>
            <w:noWrap w:val="0"/>
            <w:tcMar>
              <w:top w:w="0" w:type="dxa"/>
              <w:left w:w="105" w:type="dxa"/>
              <w:bottom w:w="0" w:type="dxa"/>
              <w:right w:w="105" w:type="dxa"/>
            </w:tcMar>
            <w:vAlign w:val="center"/>
          </w:tcPr>
          <w:p w14:paraId="49F79200">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5.负责好防盗、防火工作，确保无重大火灾、刑事和交通事故发生。要有消防检查记录备查；需有消防组织架构及管理责任制，建立义务消防队伍，定期进行消防法规、消防知识技能培训，</w:t>
            </w:r>
            <w:r>
              <w:rPr>
                <w:rFonts w:hint="eastAsia" w:ascii="宋体" w:hAnsi="宋体" w:eastAsia="宋体" w:cs="宋体"/>
                <w:color w:val="auto"/>
                <w:sz w:val="21"/>
                <w:szCs w:val="21"/>
                <w:highlight w:val="none"/>
                <w:lang w:eastAsia="zh-CN"/>
              </w:rPr>
              <w:t>服务人员</w:t>
            </w:r>
            <w:r>
              <w:rPr>
                <w:rFonts w:hint="eastAsia" w:ascii="宋体" w:hAnsi="宋体" w:eastAsia="宋体" w:cs="宋体"/>
                <w:color w:val="auto"/>
                <w:sz w:val="21"/>
                <w:szCs w:val="21"/>
                <w:highlight w:val="none"/>
              </w:rPr>
              <w:t>会使用消防器材，消防演习必须有记录并留存；确保消防控制中心系统配备齐全，完好，可随时启用；消防栓系统标识清楚，部件齐全，消防泵可随时启用。</w:t>
            </w:r>
          </w:p>
        </w:tc>
        <w:tc>
          <w:tcPr>
            <w:tcW w:w="629" w:type="pct"/>
            <w:tcBorders>
              <w:tl2br w:val="nil"/>
              <w:tr2bl w:val="nil"/>
            </w:tcBorders>
            <w:noWrap w:val="0"/>
            <w:tcMar>
              <w:top w:w="0" w:type="dxa"/>
              <w:left w:w="105" w:type="dxa"/>
              <w:bottom w:w="0" w:type="dxa"/>
              <w:right w:w="105" w:type="dxa"/>
            </w:tcMar>
            <w:vAlign w:val="center"/>
          </w:tcPr>
          <w:p w14:paraId="62832352">
            <w:pPr>
              <w:pStyle w:val="74"/>
              <w:keepNext w:val="0"/>
              <w:keepLines w:val="0"/>
              <w:pageBreakBefore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每违规一次扣10分</w:t>
            </w:r>
          </w:p>
        </w:tc>
        <w:tc>
          <w:tcPr>
            <w:tcW w:w="271" w:type="pct"/>
            <w:tcBorders>
              <w:tl2br w:val="nil"/>
              <w:tr2bl w:val="nil"/>
            </w:tcBorders>
            <w:noWrap w:val="0"/>
            <w:tcMar>
              <w:top w:w="0" w:type="dxa"/>
              <w:left w:w="105" w:type="dxa"/>
              <w:bottom w:w="0" w:type="dxa"/>
              <w:right w:w="105" w:type="dxa"/>
            </w:tcMar>
            <w:vAlign w:val="center"/>
          </w:tcPr>
          <w:p w14:paraId="17D895A7">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p>
        </w:tc>
      </w:tr>
      <w:tr w14:paraId="068FA8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4" w:type="pct"/>
            <w:vMerge w:val="continue"/>
            <w:tcBorders>
              <w:tl2br w:val="nil"/>
              <w:tr2bl w:val="nil"/>
            </w:tcBorders>
            <w:noWrap w:val="0"/>
            <w:vAlign w:val="center"/>
          </w:tcPr>
          <w:p w14:paraId="09B00139">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242" w:type="pct"/>
            <w:vMerge w:val="continue"/>
            <w:tcBorders>
              <w:tl2br w:val="nil"/>
              <w:tr2bl w:val="nil"/>
            </w:tcBorders>
            <w:noWrap w:val="0"/>
            <w:vAlign w:val="center"/>
          </w:tcPr>
          <w:p w14:paraId="643DE790">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3642" w:type="pct"/>
            <w:tcBorders>
              <w:tl2br w:val="nil"/>
              <w:tr2bl w:val="nil"/>
            </w:tcBorders>
            <w:noWrap w:val="0"/>
            <w:tcMar>
              <w:top w:w="0" w:type="dxa"/>
              <w:left w:w="105" w:type="dxa"/>
              <w:bottom w:w="0" w:type="dxa"/>
              <w:right w:w="105" w:type="dxa"/>
            </w:tcMar>
            <w:vAlign w:val="center"/>
          </w:tcPr>
          <w:p w14:paraId="48AE989B">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6.对突发事件有应急处理计划和措施，必要时及时报警并告知相关责任人，防止事态进一步恶化，协助保护现场。突发应急预案必须在明显处悬挂。</w:t>
            </w:r>
          </w:p>
        </w:tc>
        <w:tc>
          <w:tcPr>
            <w:tcW w:w="629" w:type="pct"/>
            <w:tcBorders>
              <w:tl2br w:val="nil"/>
              <w:tr2bl w:val="nil"/>
            </w:tcBorders>
            <w:noWrap w:val="0"/>
            <w:tcMar>
              <w:top w:w="0" w:type="dxa"/>
              <w:left w:w="105" w:type="dxa"/>
              <w:bottom w:w="0" w:type="dxa"/>
              <w:right w:w="105" w:type="dxa"/>
            </w:tcMar>
            <w:vAlign w:val="center"/>
          </w:tcPr>
          <w:p w14:paraId="6723FA89">
            <w:pPr>
              <w:pStyle w:val="74"/>
              <w:keepNext w:val="0"/>
              <w:keepLines w:val="0"/>
              <w:pageBreakBefore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每违规一次扣6分</w:t>
            </w:r>
          </w:p>
        </w:tc>
        <w:tc>
          <w:tcPr>
            <w:tcW w:w="271" w:type="pct"/>
            <w:tcBorders>
              <w:tl2br w:val="nil"/>
              <w:tr2bl w:val="nil"/>
            </w:tcBorders>
            <w:noWrap w:val="0"/>
            <w:tcMar>
              <w:top w:w="0" w:type="dxa"/>
              <w:left w:w="105" w:type="dxa"/>
              <w:bottom w:w="0" w:type="dxa"/>
              <w:right w:w="105" w:type="dxa"/>
            </w:tcMar>
            <w:vAlign w:val="center"/>
          </w:tcPr>
          <w:p w14:paraId="22E12100">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p>
        </w:tc>
      </w:tr>
      <w:tr w14:paraId="77059D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4" w:type="pct"/>
            <w:vMerge w:val="continue"/>
            <w:tcBorders>
              <w:tl2br w:val="nil"/>
              <w:tr2bl w:val="nil"/>
            </w:tcBorders>
            <w:noWrap w:val="0"/>
            <w:vAlign w:val="center"/>
          </w:tcPr>
          <w:p w14:paraId="5D021AB3">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242" w:type="pct"/>
            <w:vMerge w:val="continue"/>
            <w:tcBorders>
              <w:tl2br w:val="nil"/>
              <w:tr2bl w:val="nil"/>
            </w:tcBorders>
            <w:noWrap w:val="0"/>
            <w:vAlign w:val="center"/>
          </w:tcPr>
          <w:p w14:paraId="1B6C7B31">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3642" w:type="pct"/>
            <w:tcBorders>
              <w:tl2br w:val="nil"/>
              <w:tr2bl w:val="nil"/>
            </w:tcBorders>
            <w:noWrap w:val="0"/>
            <w:tcMar>
              <w:top w:w="0" w:type="dxa"/>
              <w:left w:w="105" w:type="dxa"/>
              <w:bottom w:w="0" w:type="dxa"/>
              <w:right w:w="105" w:type="dxa"/>
            </w:tcMar>
            <w:vAlign w:val="center"/>
          </w:tcPr>
          <w:p w14:paraId="5F4E098D">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7.保安人员熟悉岗位流程、熟悉周边巡查重点、清楚监控范围；熟练使用安防系统及技巧；岗位职责清晰、巡查要求明确。</w:t>
            </w:r>
          </w:p>
        </w:tc>
        <w:tc>
          <w:tcPr>
            <w:tcW w:w="629" w:type="pct"/>
            <w:tcBorders>
              <w:tl2br w:val="nil"/>
              <w:tr2bl w:val="nil"/>
            </w:tcBorders>
            <w:noWrap w:val="0"/>
            <w:tcMar>
              <w:top w:w="0" w:type="dxa"/>
              <w:left w:w="105" w:type="dxa"/>
              <w:bottom w:w="0" w:type="dxa"/>
              <w:right w:w="105" w:type="dxa"/>
            </w:tcMar>
            <w:vAlign w:val="center"/>
          </w:tcPr>
          <w:p w14:paraId="00E9C998">
            <w:pPr>
              <w:pStyle w:val="74"/>
              <w:keepNext w:val="0"/>
              <w:keepLines w:val="0"/>
              <w:pageBreakBefore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每违规一次扣6分</w:t>
            </w:r>
          </w:p>
        </w:tc>
        <w:tc>
          <w:tcPr>
            <w:tcW w:w="271" w:type="pct"/>
            <w:tcBorders>
              <w:tl2br w:val="nil"/>
              <w:tr2bl w:val="nil"/>
            </w:tcBorders>
            <w:noWrap w:val="0"/>
            <w:tcMar>
              <w:top w:w="0" w:type="dxa"/>
              <w:left w:w="105" w:type="dxa"/>
              <w:bottom w:w="0" w:type="dxa"/>
              <w:right w:w="105" w:type="dxa"/>
            </w:tcMar>
            <w:vAlign w:val="center"/>
          </w:tcPr>
          <w:p w14:paraId="3FECDCD9">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p>
        </w:tc>
      </w:tr>
      <w:tr w14:paraId="494268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4" w:type="pct"/>
            <w:vMerge w:val="continue"/>
            <w:tcBorders>
              <w:tl2br w:val="nil"/>
              <w:tr2bl w:val="nil"/>
            </w:tcBorders>
            <w:noWrap w:val="0"/>
            <w:vAlign w:val="center"/>
          </w:tcPr>
          <w:p w14:paraId="6E40B76E">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242" w:type="pct"/>
            <w:vMerge w:val="continue"/>
            <w:tcBorders>
              <w:tl2br w:val="nil"/>
              <w:tr2bl w:val="nil"/>
            </w:tcBorders>
            <w:noWrap w:val="0"/>
            <w:vAlign w:val="center"/>
          </w:tcPr>
          <w:p w14:paraId="1632EA46">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3642" w:type="pct"/>
            <w:tcBorders>
              <w:tl2br w:val="nil"/>
              <w:tr2bl w:val="nil"/>
            </w:tcBorders>
            <w:noWrap w:val="0"/>
            <w:tcMar>
              <w:top w:w="0" w:type="dxa"/>
              <w:left w:w="105" w:type="dxa"/>
              <w:bottom w:w="0" w:type="dxa"/>
              <w:right w:w="105" w:type="dxa"/>
            </w:tcMar>
            <w:vAlign w:val="center"/>
          </w:tcPr>
          <w:p w14:paraId="37D2D231">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8.监控室有进行巡查记录。</w:t>
            </w:r>
          </w:p>
        </w:tc>
        <w:tc>
          <w:tcPr>
            <w:tcW w:w="629" w:type="pct"/>
            <w:tcBorders>
              <w:tl2br w:val="nil"/>
              <w:tr2bl w:val="nil"/>
            </w:tcBorders>
            <w:noWrap w:val="0"/>
            <w:tcMar>
              <w:top w:w="0" w:type="dxa"/>
              <w:left w:w="105" w:type="dxa"/>
              <w:bottom w:w="0" w:type="dxa"/>
              <w:right w:w="105" w:type="dxa"/>
            </w:tcMar>
            <w:vAlign w:val="center"/>
          </w:tcPr>
          <w:p w14:paraId="5DDEBFAD">
            <w:pPr>
              <w:pStyle w:val="74"/>
              <w:keepNext w:val="0"/>
              <w:keepLines w:val="0"/>
              <w:pageBreakBefore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每违规一次扣6分</w:t>
            </w:r>
          </w:p>
        </w:tc>
        <w:tc>
          <w:tcPr>
            <w:tcW w:w="271" w:type="pct"/>
            <w:tcBorders>
              <w:tl2br w:val="nil"/>
              <w:tr2bl w:val="nil"/>
            </w:tcBorders>
            <w:noWrap w:val="0"/>
            <w:tcMar>
              <w:top w:w="0" w:type="dxa"/>
              <w:left w:w="105" w:type="dxa"/>
              <w:bottom w:w="0" w:type="dxa"/>
              <w:right w:w="105" w:type="dxa"/>
            </w:tcMar>
            <w:vAlign w:val="center"/>
          </w:tcPr>
          <w:p w14:paraId="1E26C7B6">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p>
        </w:tc>
      </w:tr>
      <w:tr w14:paraId="260EC5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4" w:type="pct"/>
            <w:vMerge w:val="continue"/>
            <w:tcBorders>
              <w:tl2br w:val="nil"/>
              <w:tr2bl w:val="nil"/>
            </w:tcBorders>
            <w:noWrap w:val="0"/>
            <w:vAlign w:val="center"/>
          </w:tcPr>
          <w:p w14:paraId="3E9480F0">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242" w:type="pct"/>
            <w:vMerge w:val="continue"/>
            <w:tcBorders>
              <w:tl2br w:val="nil"/>
              <w:tr2bl w:val="nil"/>
            </w:tcBorders>
            <w:noWrap w:val="0"/>
            <w:vAlign w:val="center"/>
          </w:tcPr>
          <w:p w14:paraId="39A9BCA6">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3642" w:type="pct"/>
            <w:tcBorders>
              <w:tl2br w:val="nil"/>
              <w:tr2bl w:val="nil"/>
            </w:tcBorders>
            <w:noWrap w:val="0"/>
            <w:tcMar>
              <w:top w:w="0" w:type="dxa"/>
              <w:left w:w="105" w:type="dxa"/>
              <w:bottom w:w="0" w:type="dxa"/>
              <w:right w:w="105" w:type="dxa"/>
            </w:tcMar>
            <w:vAlign w:val="center"/>
          </w:tcPr>
          <w:p w14:paraId="080E1612">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9.保安人员能自觉遵守各项规章制度，服从上级的指令，工作纪律严明，严守工作岗位；</w:t>
            </w:r>
          </w:p>
        </w:tc>
        <w:tc>
          <w:tcPr>
            <w:tcW w:w="629" w:type="pct"/>
            <w:tcBorders>
              <w:tl2br w:val="nil"/>
              <w:tr2bl w:val="nil"/>
            </w:tcBorders>
            <w:noWrap w:val="0"/>
            <w:tcMar>
              <w:top w:w="0" w:type="dxa"/>
              <w:left w:w="105" w:type="dxa"/>
              <w:bottom w:w="0" w:type="dxa"/>
              <w:right w:w="105" w:type="dxa"/>
            </w:tcMar>
            <w:vAlign w:val="center"/>
          </w:tcPr>
          <w:p w14:paraId="1CCB562E">
            <w:pPr>
              <w:pStyle w:val="74"/>
              <w:keepNext w:val="0"/>
              <w:keepLines w:val="0"/>
              <w:pageBreakBefore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每违规一次扣6分</w:t>
            </w:r>
          </w:p>
        </w:tc>
        <w:tc>
          <w:tcPr>
            <w:tcW w:w="271" w:type="pct"/>
            <w:tcBorders>
              <w:tl2br w:val="nil"/>
              <w:tr2bl w:val="nil"/>
            </w:tcBorders>
            <w:noWrap w:val="0"/>
            <w:tcMar>
              <w:top w:w="0" w:type="dxa"/>
              <w:left w:w="105" w:type="dxa"/>
              <w:bottom w:w="0" w:type="dxa"/>
              <w:right w:w="105" w:type="dxa"/>
            </w:tcMar>
            <w:vAlign w:val="center"/>
          </w:tcPr>
          <w:p w14:paraId="7C86108D">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p>
        </w:tc>
      </w:tr>
      <w:tr w14:paraId="5041E2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4" w:type="pct"/>
            <w:vMerge w:val="continue"/>
            <w:tcBorders>
              <w:tl2br w:val="nil"/>
              <w:tr2bl w:val="nil"/>
            </w:tcBorders>
            <w:noWrap w:val="0"/>
            <w:vAlign w:val="center"/>
          </w:tcPr>
          <w:p w14:paraId="3B630EC5">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242" w:type="pct"/>
            <w:vMerge w:val="continue"/>
            <w:tcBorders>
              <w:tl2br w:val="nil"/>
              <w:tr2bl w:val="nil"/>
            </w:tcBorders>
            <w:noWrap w:val="0"/>
            <w:vAlign w:val="center"/>
          </w:tcPr>
          <w:p w14:paraId="3C808F62">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3642" w:type="pct"/>
            <w:tcBorders>
              <w:tl2br w:val="nil"/>
              <w:tr2bl w:val="nil"/>
            </w:tcBorders>
            <w:noWrap w:val="0"/>
            <w:tcMar>
              <w:top w:w="0" w:type="dxa"/>
              <w:left w:w="105" w:type="dxa"/>
              <w:bottom w:w="0" w:type="dxa"/>
              <w:right w:w="105" w:type="dxa"/>
            </w:tcMar>
            <w:vAlign w:val="center"/>
          </w:tcPr>
          <w:p w14:paraId="57422FC5">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10.保安人员服装统一、整齐，佩戴统一标识；保安指挥停车等手势规范。</w:t>
            </w:r>
          </w:p>
        </w:tc>
        <w:tc>
          <w:tcPr>
            <w:tcW w:w="629" w:type="pct"/>
            <w:tcBorders>
              <w:tl2br w:val="nil"/>
              <w:tr2bl w:val="nil"/>
            </w:tcBorders>
            <w:noWrap w:val="0"/>
            <w:tcMar>
              <w:top w:w="0" w:type="dxa"/>
              <w:left w:w="105" w:type="dxa"/>
              <w:bottom w:w="0" w:type="dxa"/>
              <w:right w:w="105" w:type="dxa"/>
            </w:tcMar>
            <w:vAlign w:val="center"/>
          </w:tcPr>
          <w:p w14:paraId="006C3B10">
            <w:pPr>
              <w:pStyle w:val="74"/>
              <w:keepNext w:val="0"/>
              <w:keepLines w:val="0"/>
              <w:pageBreakBefore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每违规一次扣6分</w:t>
            </w:r>
          </w:p>
        </w:tc>
        <w:tc>
          <w:tcPr>
            <w:tcW w:w="271" w:type="pct"/>
            <w:tcBorders>
              <w:tl2br w:val="nil"/>
              <w:tr2bl w:val="nil"/>
            </w:tcBorders>
            <w:noWrap w:val="0"/>
            <w:tcMar>
              <w:top w:w="0" w:type="dxa"/>
              <w:left w:w="105" w:type="dxa"/>
              <w:bottom w:w="0" w:type="dxa"/>
              <w:right w:w="105" w:type="dxa"/>
            </w:tcMar>
            <w:vAlign w:val="center"/>
          </w:tcPr>
          <w:p w14:paraId="1F50F2B3">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p>
        </w:tc>
      </w:tr>
      <w:tr w14:paraId="64CD4F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4" w:type="pct"/>
            <w:vMerge w:val="continue"/>
            <w:tcBorders>
              <w:tl2br w:val="nil"/>
              <w:tr2bl w:val="nil"/>
            </w:tcBorders>
            <w:noWrap w:val="0"/>
            <w:vAlign w:val="center"/>
          </w:tcPr>
          <w:p w14:paraId="535C3556">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242" w:type="pct"/>
            <w:vMerge w:val="continue"/>
            <w:tcBorders>
              <w:tl2br w:val="nil"/>
              <w:tr2bl w:val="nil"/>
            </w:tcBorders>
            <w:noWrap w:val="0"/>
            <w:vAlign w:val="center"/>
          </w:tcPr>
          <w:p w14:paraId="0857451E">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3642" w:type="pct"/>
            <w:tcBorders>
              <w:tl2br w:val="nil"/>
              <w:tr2bl w:val="nil"/>
            </w:tcBorders>
            <w:noWrap w:val="0"/>
            <w:tcMar>
              <w:top w:w="0" w:type="dxa"/>
              <w:left w:w="105" w:type="dxa"/>
              <w:bottom w:w="0" w:type="dxa"/>
              <w:right w:w="105" w:type="dxa"/>
            </w:tcMar>
            <w:vAlign w:val="center"/>
          </w:tcPr>
          <w:p w14:paraId="76AB1256">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11.规范服务管理制度，保安队长监督检查日常保安工作，每天有值班、巡查记录，有班前班后的准备和交接工作记录，有员工的考勤、检查纪录，各项工作记录完备详细。</w:t>
            </w:r>
          </w:p>
        </w:tc>
        <w:tc>
          <w:tcPr>
            <w:tcW w:w="629" w:type="pct"/>
            <w:tcBorders>
              <w:tl2br w:val="nil"/>
              <w:tr2bl w:val="nil"/>
            </w:tcBorders>
            <w:noWrap w:val="0"/>
            <w:tcMar>
              <w:top w:w="0" w:type="dxa"/>
              <w:left w:w="105" w:type="dxa"/>
              <w:bottom w:w="0" w:type="dxa"/>
              <w:right w:w="105" w:type="dxa"/>
            </w:tcMar>
            <w:vAlign w:val="center"/>
          </w:tcPr>
          <w:p w14:paraId="4A274F71">
            <w:pPr>
              <w:pStyle w:val="74"/>
              <w:keepNext w:val="0"/>
              <w:keepLines w:val="0"/>
              <w:pageBreakBefore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每违规一次扣6分</w:t>
            </w:r>
          </w:p>
        </w:tc>
        <w:tc>
          <w:tcPr>
            <w:tcW w:w="271" w:type="pct"/>
            <w:tcBorders>
              <w:tl2br w:val="nil"/>
              <w:tr2bl w:val="nil"/>
            </w:tcBorders>
            <w:noWrap w:val="0"/>
            <w:tcMar>
              <w:top w:w="0" w:type="dxa"/>
              <w:left w:w="105" w:type="dxa"/>
              <w:bottom w:w="0" w:type="dxa"/>
              <w:right w:w="105" w:type="dxa"/>
            </w:tcMar>
            <w:vAlign w:val="center"/>
          </w:tcPr>
          <w:p w14:paraId="4CFA4CD9">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p>
        </w:tc>
      </w:tr>
      <w:tr w14:paraId="57B330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4" w:type="pct"/>
            <w:vMerge w:val="continue"/>
            <w:tcBorders>
              <w:tl2br w:val="nil"/>
              <w:tr2bl w:val="nil"/>
            </w:tcBorders>
            <w:noWrap w:val="0"/>
            <w:vAlign w:val="center"/>
          </w:tcPr>
          <w:p w14:paraId="27ECB899">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242" w:type="pct"/>
            <w:vMerge w:val="continue"/>
            <w:tcBorders>
              <w:tl2br w:val="nil"/>
              <w:tr2bl w:val="nil"/>
            </w:tcBorders>
            <w:noWrap w:val="0"/>
            <w:vAlign w:val="center"/>
          </w:tcPr>
          <w:p w14:paraId="478444B4">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3642" w:type="pct"/>
            <w:tcBorders>
              <w:tl2br w:val="nil"/>
              <w:tr2bl w:val="nil"/>
            </w:tcBorders>
            <w:noWrap w:val="0"/>
            <w:tcMar>
              <w:top w:w="0" w:type="dxa"/>
              <w:left w:w="105" w:type="dxa"/>
              <w:bottom w:w="0" w:type="dxa"/>
              <w:right w:w="105" w:type="dxa"/>
            </w:tcMar>
            <w:vAlign w:val="center"/>
          </w:tcPr>
          <w:p w14:paraId="6A4C41FA">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12.责任区域内无重大刑事案件和资产（井盖、消防设施、设备、公用设施）丢失案件、交通事故、恶性案件发生率为0，一般性治安案件有效控制。</w:t>
            </w:r>
          </w:p>
        </w:tc>
        <w:tc>
          <w:tcPr>
            <w:tcW w:w="629" w:type="pct"/>
            <w:tcBorders>
              <w:tl2br w:val="nil"/>
              <w:tr2bl w:val="nil"/>
            </w:tcBorders>
            <w:noWrap w:val="0"/>
            <w:tcMar>
              <w:top w:w="0" w:type="dxa"/>
              <w:left w:w="105" w:type="dxa"/>
              <w:bottom w:w="0" w:type="dxa"/>
              <w:right w:w="105" w:type="dxa"/>
            </w:tcMar>
            <w:vAlign w:val="center"/>
          </w:tcPr>
          <w:p w14:paraId="685CCE96">
            <w:pPr>
              <w:pStyle w:val="74"/>
              <w:keepNext w:val="0"/>
              <w:keepLines w:val="0"/>
              <w:pageBreakBefore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每违规一次扣6分</w:t>
            </w:r>
          </w:p>
        </w:tc>
        <w:tc>
          <w:tcPr>
            <w:tcW w:w="271" w:type="pct"/>
            <w:tcBorders>
              <w:tl2br w:val="nil"/>
              <w:tr2bl w:val="nil"/>
            </w:tcBorders>
            <w:noWrap w:val="0"/>
            <w:tcMar>
              <w:top w:w="0" w:type="dxa"/>
              <w:left w:w="105" w:type="dxa"/>
              <w:bottom w:w="0" w:type="dxa"/>
              <w:right w:w="105" w:type="dxa"/>
            </w:tcMar>
            <w:vAlign w:val="center"/>
          </w:tcPr>
          <w:p w14:paraId="4E22F283">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p>
        </w:tc>
      </w:tr>
      <w:tr w14:paraId="4310C3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4" w:type="pct"/>
            <w:vMerge w:val="continue"/>
            <w:tcBorders>
              <w:tl2br w:val="nil"/>
              <w:tr2bl w:val="nil"/>
            </w:tcBorders>
            <w:noWrap w:val="0"/>
            <w:vAlign w:val="center"/>
          </w:tcPr>
          <w:p w14:paraId="64D731F1">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242" w:type="pct"/>
            <w:vMerge w:val="continue"/>
            <w:tcBorders>
              <w:tl2br w:val="nil"/>
              <w:tr2bl w:val="nil"/>
            </w:tcBorders>
            <w:noWrap w:val="0"/>
            <w:vAlign w:val="center"/>
          </w:tcPr>
          <w:p w14:paraId="722CFEA5">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3642" w:type="pct"/>
            <w:tcBorders>
              <w:tl2br w:val="nil"/>
              <w:tr2bl w:val="nil"/>
            </w:tcBorders>
            <w:noWrap w:val="0"/>
            <w:tcMar>
              <w:top w:w="0" w:type="dxa"/>
              <w:left w:w="105" w:type="dxa"/>
              <w:bottom w:w="0" w:type="dxa"/>
              <w:right w:w="105" w:type="dxa"/>
            </w:tcMar>
            <w:vAlign w:val="center"/>
          </w:tcPr>
          <w:p w14:paraId="10FE967F">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13.有突发应急处理方案，反应快捷，对区域内公共设施巡逻、防盗及时，没有监守自盗现象。</w:t>
            </w:r>
          </w:p>
        </w:tc>
        <w:tc>
          <w:tcPr>
            <w:tcW w:w="629" w:type="pct"/>
            <w:tcBorders>
              <w:tl2br w:val="nil"/>
              <w:tr2bl w:val="nil"/>
            </w:tcBorders>
            <w:noWrap w:val="0"/>
            <w:tcMar>
              <w:top w:w="0" w:type="dxa"/>
              <w:left w:w="105" w:type="dxa"/>
              <w:bottom w:w="0" w:type="dxa"/>
              <w:right w:w="105" w:type="dxa"/>
            </w:tcMar>
            <w:vAlign w:val="center"/>
          </w:tcPr>
          <w:p w14:paraId="4C7B0110">
            <w:pPr>
              <w:pStyle w:val="74"/>
              <w:keepNext w:val="0"/>
              <w:keepLines w:val="0"/>
              <w:pageBreakBefore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每违规一次扣6分</w:t>
            </w:r>
          </w:p>
        </w:tc>
        <w:tc>
          <w:tcPr>
            <w:tcW w:w="271" w:type="pct"/>
            <w:tcBorders>
              <w:tl2br w:val="nil"/>
              <w:tr2bl w:val="nil"/>
            </w:tcBorders>
            <w:noWrap w:val="0"/>
            <w:tcMar>
              <w:top w:w="0" w:type="dxa"/>
              <w:left w:w="105" w:type="dxa"/>
              <w:bottom w:w="0" w:type="dxa"/>
              <w:right w:w="105" w:type="dxa"/>
            </w:tcMar>
            <w:vAlign w:val="center"/>
          </w:tcPr>
          <w:p w14:paraId="19D811A8">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p>
        </w:tc>
      </w:tr>
      <w:tr w14:paraId="2ED5A7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4" w:type="pct"/>
            <w:vMerge w:val="continue"/>
            <w:tcBorders>
              <w:tl2br w:val="nil"/>
              <w:tr2bl w:val="nil"/>
            </w:tcBorders>
            <w:noWrap w:val="0"/>
            <w:vAlign w:val="center"/>
          </w:tcPr>
          <w:p w14:paraId="0655F3EB">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242" w:type="pct"/>
            <w:vMerge w:val="continue"/>
            <w:tcBorders>
              <w:tl2br w:val="nil"/>
              <w:tr2bl w:val="nil"/>
            </w:tcBorders>
            <w:noWrap w:val="0"/>
            <w:vAlign w:val="center"/>
          </w:tcPr>
          <w:p w14:paraId="2F922FE2">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3642" w:type="pct"/>
            <w:tcBorders>
              <w:tl2br w:val="nil"/>
              <w:tr2bl w:val="nil"/>
            </w:tcBorders>
            <w:noWrap w:val="0"/>
            <w:tcMar>
              <w:top w:w="0" w:type="dxa"/>
              <w:left w:w="105" w:type="dxa"/>
              <w:bottom w:w="0" w:type="dxa"/>
              <w:right w:w="105" w:type="dxa"/>
            </w:tcMar>
            <w:vAlign w:val="center"/>
          </w:tcPr>
          <w:p w14:paraId="2E759A7F">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14.保安人员培训到位，熟悉岗位事务，对应急流程熟悉。</w:t>
            </w:r>
          </w:p>
        </w:tc>
        <w:tc>
          <w:tcPr>
            <w:tcW w:w="629" w:type="pct"/>
            <w:tcBorders>
              <w:tl2br w:val="nil"/>
              <w:tr2bl w:val="nil"/>
            </w:tcBorders>
            <w:noWrap w:val="0"/>
            <w:tcMar>
              <w:top w:w="0" w:type="dxa"/>
              <w:left w:w="105" w:type="dxa"/>
              <w:bottom w:w="0" w:type="dxa"/>
              <w:right w:w="105" w:type="dxa"/>
            </w:tcMar>
            <w:vAlign w:val="center"/>
          </w:tcPr>
          <w:p w14:paraId="06D496D2">
            <w:pPr>
              <w:pStyle w:val="74"/>
              <w:keepNext w:val="0"/>
              <w:keepLines w:val="0"/>
              <w:pageBreakBefore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每违规一次扣6分</w:t>
            </w:r>
          </w:p>
        </w:tc>
        <w:tc>
          <w:tcPr>
            <w:tcW w:w="271" w:type="pct"/>
            <w:tcBorders>
              <w:tl2br w:val="nil"/>
              <w:tr2bl w:val="nil"/>
            </w:tcBorders>
            <w:noWrap w:val="0"/>
            <w:tcMar>
              <w:top w:w="0" w:type="dxa"/>
              <w:left w:w="105" w:type="dxa"/>
              <w:bottom w:w="0" w:type="dxa"/>
              <w:right w:w="105" w:type="dxa"/>
            </w:tcMar>
            <w:vAlign w:val="center"/>
          </w:tcPr>
          <w:p w14:paraId="6206E015">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p>
        </w:tc>
      </w:tr>
      <w:tr w14:paraId="4F6DA9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4" w:type="pct"/>
            <w:vMerge w:val="continue"/>
            <w:tcBorders>
              <w:tl2br w:val="nil"/>
              <w:tr2bl w:val="nil"/>
            </w:tcBorders>
            <w:noWrap w:val="0"/>
            <w:vAlign w:val="center"/>
          </w:tcPr>
          <w:p w14:paraId="2FFA0715">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242" w:type="pct"/>
            <w:vMerge w:val="continue"/>
            <w:tcBorders>
              <w:tl2br w:val="nil"/>
              <w:tr2bl w:val="nil"/>
            </w:tcBorders>
            <w:noWrap w:val="0"/>
            <w:vAlign w:val="center"/>
          </w:tcPr>
          <w:p w14:paraId="67F3B06D">
            <w:pPr>
              <w:keepNext w:val="0"/>
              <w:keepLines w:val="0"/>
              <w:pageBreakBefore w:val="0"/>
              <w:kinsoku/>
              <w:wordWrap/>
              <w:overflowPunct/>
              <w:topLinePunct w:val="0"/>
              <w:autoSpaceDE/>
              <w:autoSpaceDN/>
              <w:bidi w:val="0"/>
              <w:adjustRightInd/>
              <w:snapToGrid w:val="0"/>
              <w:textAlignment w:val="auto"/>
              <w:rPr>
                <w:rFonts w:hint="eastAsia" w:ascii="宋体" w:hAnsi="宋体" w:eastAsia="宋体" w:cs="宋体"/>
                <w:color w:val="auto"/>
                <w:sz w:val="21"/>
                <w:szCs w:val="21"/>
                <w:highlight w:val="none"/>
              </w:rPr>
            </w:pPr>
          </w:p>
        </w:tc>
        <w:tc>
          <w:tcPr>
            <w:tcW w:w="3642" w:type="pct"/>
            <w:tcBorders>
              <w:tl2br w:val="nil"/>
              <w:tr2bl w:val="nil"/>
            </w:tcBorders>
            <w:noWrap w:val="0"/>
            <w:tcMar>
              <w:top w:w="0" w:type="dxa"/>
              <w:left w:w="105" w:type="dxa"/>
              <w:bottom w:w="0" w:type="dxa"/>
              <w:right w:w="105" w:type="dxa"/>
            </w:tcMar>
            <w:vAlign w:val="center"/>
          </w:tcPr>
          <w:p w14:paraId="52989410">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15.人员编制按合同编制，不得缺编。</w:t>
            </w:r>
          </w:p>
        </w:tc>
        <w:tc>
          <w:tcPr>
            <w:tcW w:w="629" w:type="pct"/>
            <w:tcBorders>
              <w:tl2br w:val="nil"/>
              <w:tr2bl w:val="nil"/>
            </w:tcBorders>
            <w:noWrap w:val="0"/>
            <w:tcMar>
              <w:top w:w="0" w:type="dxa"/>
              <w:left w:w="105" w:type="dxa"/>
              <w:bottom w:w="0" w:type="dxa"/>
              <w:right w:w="105" w:type="dxa"/>
            </w:tcMar>
            <w:vAlign w:val="center"/>
          </w:tcPr>
          <w:p w14:paraId="267356A5">
            <w:pPr>
              <w:pStyle w:val="74"/>
              <w:keepNext w:val="0"/>
              <w:keepLines w:val="0"/>
              <w:pageBreakBefore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每缺1人扣6分</w:t>
            </w:r>
          </w:p>
        </w:tc>
        <w:tc>
          <w:tcPr>
            <w:tcW w:w="271" w:type="pct"/>
            <w:tcBorders>
              <w:tl2br w:val="nil"/>
              <w:tr2bl w:val="nil"/>
            </w:tcBorders>
            <w:noWrap w:val="0"/>
            <w:tcMar>
              <w:top w:w="0" w:type="dxa"/>
              <w:left w:w="105" w:type="dxa"/>
              <w:bottom w:w="0" w:type="dxa"/>
              <w:right w:w="105" w:type="dxa"/>
            </w:tcMar>
            <w:vAlign w:val="center"/>
          </w:tcPr>
          <w:p w14:paraId="24DDAAA9">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p>
        </w:tc>
      </w:tr>
      <w:tr w14:paraId="0C41B1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trPr>
        <w:tc>
          <w:tcPr>
            <w:tcW w:w="5000" w:type="pct"/>
            <w:gridSpan w:val="5"/>
            <w:tcBorders>
              <w:tl2br w:val="nil"/>
              <w:tr2bl w:val="nil"/>
            </w:tcBorders>
            <w:noWrap w:val="0"/>
            <w:tcMar>
              <w:top w:w="0" w:type="dxa"/>
              <w:left w:w="105" w:type="dxa"/>
              <w:bottom w:w="0" w:type="dxa"/>
              <w:right w:w="105" w:type="dxa"/>
            </w:tcMar>
            <w:vAlign w:val="center"/>
          </w:tcPr>
          <w:p w14:paraId="457A4967">
            <w:pPr>
              <w:pStyle w:val="74"/>
              <w:keepNext w:val="0"/>
              <w:keepLines w:val="0"/>
              <w:pageBreakBefore w:val="0"/>
              <w:kinsoku/>
              <w:wordWrap/>
              <w:overflowPunct/>
              <w:topLinePunct w:val="0"/>
              <w:autoSpaceDE/>
              <w:autoSpaceDN/>
              <w:bidi w:val="0"/>
              <w:adjustRightInd/>
              <w:snapToGrid w:val="0"/>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上述1-15项满分为90分，单项内容多次违规可重复扣分，直至90分扣完为止。</w:t>
            </w:r>
          </w:p>
        </w:tc>
      </w:tr>
      <w:tr w14:paraId="131448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trPr>
        <w:tc>
          <w:tcPr>
            <w:tcW w:w="214" w:type="pct"/>
            <w:tcBorders>
              <w:tl2br w:val="nil"/>
              <w:tr2bl w:val="nil"/>
            </w:tcBorders>
            <w:noWrap w:val="0"/>
            <w:tcMar>
              <w:top w:w="0" w:type="dxa"/>
              <w:left w:w="105" w:type="dxa"/>
              <w:bottom w:w="0" w:type="dxa"/>
              <w:right w:w="105" w:type="dxa"/>
            </w:tcMar>
            <w:vAlign w:val="center"/>
          </w:tcPr>
          <w:p w14:paraId="7CFD5EA7">
            <w:pPr>
              <w:pStyle w:val="74"/>
              <w:keepNext w:val="0"/>
              <w:keepLines w:val="0"/>
              <w:pageBreakBefore w:val="0"/>
              <w:widowControl/>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其他</w:t>
            </w:r>
          </w:p>
        </w:tc>
        <w:tc>
          <w:tcPr>
            <w:tcW w:w="242" w:type="pct"/>
            <w:tcBorders>
              <w:tl2br w:val="nil"/>
              <w:tr2bl w:val="nil"/>
            </w:tcBorders>
            <w:noWrap w:val="0"/>
            <w:tcMar>
              <w:top w:w="0" w:type="dxa"/>
              <w:left w:w="105" w:type="dxa"/>
              <w:bottom w:w="0" w:type="dxa"/>
              <w:right w:w="105" w:type="dxa"/>
            </w:tcMar>
            <w:vAlign w:val="center"/>
          </w:tcPr>
          <w:p w14:paraId="41A3F015">
            <w:pPr>
              <w:pStyle w:val="74"/>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10分</w:t>
            </w:r>
          </w:p>
        </w:tc>
        <w:tc>
          <w:tcPr>
            <w:tcW w:w="3642" w:type="pct"/>
            <w:tcBorders>
              <w:tl2br w:val="nil"/>
              <w:tr2bl w:val="nil"/>
            </w:tcBorders>
            <w:noWrap w:val="0"/>
            <w:tcMar>
              <w:top w:w="0" w:type="dxa"/>
              <w:left w:w="105" w:type="dxa"/>
              <w:bottom w:w="0" w:type="dxa"/>
              <w:right w:w="105" w:type="dxa"/>
            </w:tcMar>
            <w:vAlign w:val="center"/>
          </w:tcPr>
          <w:p w14:paraId="347F4F7B">
            <w:pPr>
              <w:pStyle w:val="74"/>
              <w:keepNext w:val="0"/>
              <w:keepLines w:val="0"/>
              <w:pageBreakBefore w:val="0"/>
              <w:widowControl/>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服务期间内，</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须按时足额发放人员工资。</w:t>
            </w:r>
          </w:p>
        </w:tc>
        <w:tc>
          <w:tcPr>
            <w:tcW w:w="629" w:type="pct"/>
            <w:tcBorders>
              <w:tl2br w:val="nil"/>
              <w:tr2bl w:val="nil"/>
            </w:tcBorders>
            <w:noWrap w:val="0"/>
            <w:tcMar>
              <w:top w:w="0" w:type="dxa"/>
              <w:left w:w="105" w:type="dxa"/>
              <w:bottom w:w="0" w:type="dxa"/>
              <w:right w:w="105" w:type="dxa"/>
            </w:tcMar>
            <w:vAlign w:val="center"/>
          </w:tcPr>
          <w:p w14:paraId="187E6F6F">
            <w:pPr>
              <w:pStyle w:val="74"/>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每违规一次扣10分</w:t>
            </w:r>
          </w:p>
        </w:tc>
        <w:tc>
          <w:tcPr>
            <w:tcW w:w="271" w:type="pct"/>
            <w:tcBorders>
              <w:tl2br w:val="nil"/>
              <w:tr2bl w:val="nil"/>
            </w:tcBorders>
            <w:noWrap w:val="0"/>
            <w:tcMar>
              <w:top w:w="0" w:type="dxa"/>
              <w:left w:w="105" w:type="dxa"/>
              <w:bottom w:w="0" w:type="dxa"/>
              <w:right w:w="105" w:type="dxa"/>
            </w:tcMar>
            <w:vAlign w:val="center"/>
          </w:tcPr>
          <w:p w14:paraId="6BAB7D2B">
            <w:pPr>
              <w:pStyle w:val="74"/>
              <w:keepNext w:val="0"/>
              <w:keepLines w:val="0"/>
              <w:pageBreakBefore w:val="0"/>
              <w:kinsoku/>
              <w:wordWrap/>
              <w:overflowPunct/>
              <w:topLinePunct w:val="0"/>
              <w:autoSpaceDE/>
              <w:autoSpaceDN/>
              <w:bidi w:val="0"/>
              <w:adjustRightInd/>
              <w:snapToGrid w:val="0"/>
              <w:jc w:val="both"/>
              <w:textAlignment w:val="auto"/>
              <w:rPr>
                <w:rFonts w:hint="eastAsia" w:ascii="宋体" w:hAnsi="宋体" w:eastAsia="宋体" w:cs="宋体"/>
                <w:color w:val="auto"/>
                <w:sz w:val="21"/>
                <w:szCs w:val="21"/>
                <w:highlight w:val="none"/>
              </w:rPr>
            </w:pPr>
          </w:p>
        </w:tc>
      </w:tr>
    </w:tbl>
    <w:p w14:paraId="22071A3E">
      <w:pPr>
        <w:numPr>
          <w:ilvl w:val="0"/>
          <w:numId w:val="0"/>
        </w:numPr>
        <w:tabs>
          <w:tab w:val="left" w:pos="284"/>
        </w:tabs>
        <w:snapToGrid w:val="0"/>
        <w:spacing w:line="360" w:lineRule="auto"/>
        <w:ind w:leftChars="0"/>
        <w:contextualSpacing/>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注：</w:t>
      </w:r>
    </w:p>
    <w:p w14:paraId="280966BA">
      <w:pPr>
        <w:numPr>
          <w:ilvl w:val="0"/>
          <w:numId w:val="0"/>
        </w:numPr>
        <w:tabs>
          <w:tab w:val="left" w:pos="284"/>
        </w:tabs>
        <w:snapToGrid w:val="0"/>
        <w:spacing w:line="360" w:lineRule="auto"/>
        <w:ind w:left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val="en-US" w:eastAsia="zh-CN"/>
        </w:rPr>
        <w:t>1、每1结算周期内综合考核得分取周期内3个月得分的平均值，计算结果四舍五入保留2位小数</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综合考核得分</w:t>
      </w:r>
      <w:r>
        <w:rPr>
          <w:rFonts w:hint="eastAsia" w:ascii="宋体" w:hAnsi="宋体" w:eastAsia="宋体" w:cs="Times New Roman"/>
          <w:color w:val="auto"/>
          <w:szCs w:val="21"/>
          <w:highlight w:val="none"/>
        </w:rPr>
        <w:t>80分（含）或以上的，</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全额支付当月</w:t>
      </w:r>
      <w:r>
        <w:rPr>
          <w:rFonts w:hint="eastAsia" w:ascii="宋体" w:hAnsi="宋体" w:eastAsia="宋体" w:cs="Times New Roman"/>
          <w:color w:val="auto"/>
          <w:szCs w:val="21"/>
          <w:highlight w:val="none"/>
          <w:lang w:val="en-US" w:eastAsia="zh-CN"/>
        </w:rPr>
        <w:t>服务</w:t>
      </w:r>
      <w:r>
        <w:rPr>
          <w:rFonts w:hint="eastAsia" w:ascii="宋体" w:hAnsi="宋体" w:eastAsia="宋体" w:cs="Times New Roman"/>
          <w:color w:val="auto"/>
          <w:szCs w:val="21"/>
          <w:highlight w:val="none"/>
        </w:rPr>
        <w:t>费；</w:t>
      </w:r>
      <w:r>
        <w:rPr>
          <w:rFonts w:hint="eastAsia" w:ascii="宋体" w:hAnsi="宋体" w:eastAsia="宋体" w:cs="Times New Roman"/>
          <w:color w:val="auto"/>
          <w:szCs w:val="21"/>
          <w:highlight w:val="none"/>
          <w:lang w:val="en-US" w:eastAsia="zh-CN"/>
        </w:rPr>
        <w:t>综合考核得分</w:t>
      </w:r>
      <w:r>
        <w:rPr>
          <w:rFonts w:hint="eastAsia" w:ascii="宋体" w:hAnsi="宋体" w:eastAsia="宋体" w:cs="Times New Roman"/>
          <w:color w:val="auto"/>
          <w:szCs w:val="21"/>
          <w:highlight w:val="none"/>
        </w:rPr>
        <w:t>70分（含）至80分（不含）的，</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扣除当月服务费的</w:t>
      </w:r>
      <w:r>
        <w:rPr>
          <w:rFonts w:hint="eastAsia" w:ascii="宋体" w:hAnsi="宋体" w:eastAsia="宋体" w:cs="Times New Roman"/>
          <w:color w:val="auto"/>
          <w:szCs w:val="21"/>
          <w:highlight w:val="none"/>
          <w:lang w:val="en-US" w:eastAsia="zh-CN"/>
        </w:rPr>
        <w:t>5</w:t>
      </w:r>
      <w:r>
        <w:rPr>
          <w:rFonts w:hint="eastAsia" w:ascii="宋体" w:hAnsi="宋体" w:eastAsia="宋体" w:cs="Times New Roman"/>
          <w:color w:val="auto"/>
          <w:szCs w:val="21"/>
          <w:highlight w:val="none"/>
        </w:rPr>
        <w:t>%；考核分值60分（含）至70分（不含）的，</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扣除当月服务费的</w:t>
      </w:r>
      <w:r>
        <w:rPr>
          <w:rFonts w:hint="eastAsia" w:ascii="宋体" w:hAnsi="宋体" w:eastAsia="宋体" w:cs="Times New Roman"/>
          <w:color w:val="auto"/>
          <w:szCs w:val="21"/>
          <w:highlight w:val="none"/>
          <w:lang w:val="en-US" w:eastAsia="zh-CN"/>
        </w:rPr>
        <w:t>1</w:t>
      </w:r>
      <w:r>
        <w:rPr>
          <w:rFonts w:hint="eastAsia" w:ascii="宋体" w:hAnsi="宋体" w:eastAsia="宋体" w:cs="Times New Roman"/>
          <w:color w:val="auto"/>
          <w:szCs w:val="21"/>
          <w:highlight w:val="none"/>
        </w:rPr>
        <w:t>0%；60分（不含）以下的为不合格，</w:t>
      </w:r>
      <w:r>
        <w:rPr>
          <w:rFonts w:hint="eastAsia" w:ascii="宋体" w:hAnsi="宋体" w:cs="Times New Roman"/>
          <w:color w:val="auto"/>
          <w:szCs w:val="21"/>
          <w:highlight w:val="none"/>
          <w:lang w:val="en-US" w:eastAsia="zh-CN"/>
        </w:rPr>
        <w:t>甲方</w:t>
      </w:r>
      <w:r>
        <w:rPr>
          <w:rFonts w:hint="eastAsia" w:ascii="宋体" w:hAnsi="宋体" w:eastAsia="宋体" w:cs="Times New Roman"/>
          <w:color w:val="auto"/>
          <w:szCs w:val="21"/>
          <w:highlight w:val="none"/>
        </w:rPr>
        <w:t>扣除当月服务费的</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0%；</w:t>
      </w:r>
    </w:p>
    <w:p w14:paraId="43BD8866">
      <w:pPr>
        <w:numPr>
          <w:ilvl w:val="0"/>
          <w:numId w:val="0"/>
        </w:numPr>
        <w:tabs>
          <w:tab w:val="left" w:pos="284"/>
        </w:tabs>
        <w:snapToGrid w:val="0"/>
        <w:spacing w:line="360" w:lineRule="auto"/>
        <w:ind w:leftChars="0"/>
        <w:contextualSpacing/>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服务期间</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连续2个</w:t>
      </w:r>
      <w:r>
        <w:rPr>
          <w:rFonts w:hint="eastAsia" w:ascii="宋体" w:hAnsi="宋体" w:eastAsia="宋体" w:cs="Times New Roman"/>
          <w:color w:val="auto"/>
          <w:szCs w:val="21"/>
          <w:highlight w:val="none"/>
          <w:lang w:val="en-US" w:eastAsia="zh-CN"/>
        </w:rPr>
        <w:t>月</w:t>
      </w:r>
      <w:r>
        <w:rPr>
          <w:rFonts w:hint="eastAsia" w:ascii="宋体" w:hAnsi="宋体" w:eastAsia="宋体" w:cs="Times New Roman"/>
          <w:color w:val="auto"/>
          <w:szCs w:val="21"/>
          <w:highlight w:val="none"/>
        </w:rPr>
        <w:t>考核不合格或单个合同年内累计</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个</w:t>
      </w:r>
      <w:r>
        <w:rPr>
          <w:rFonts w:hint="eastAsia" w:ascii="宋体" w:hAnsi="宋体" w:eastAsia="宋体" w:cs="Times New Roman"/>
          <w:color w:val="auto"/>
          <w:szCs w:val="21"/>
          <w:highlight w:val="none"/>
          <w:lang w:val="en-US" w:eastAsia="zh-CN"/>
        </w:rPr>
        <w:t>结算周期</w:t>
      </w:r>
      <w:r>
        <w:rPr>
          <w:rFonts w:hint="eastAsia" w:ascii="宋体" w:hAnsi="宋体" w:eastAsia="宋体" w:cs="Times New Roman"/>
          <w:color w:val="auto"/>
          <w:szCs w:val="21"/>
          <w:highlight w:val="none"/>
        </w:rPr>
        <w:t>考核不合格的，</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lang w:val="en-US" w:eastAsia="zh-CN"/>
        </w:rPr>
        <w:t>应向</w:t>
      </w:r>
      <w:r>
        <w:rPr>
          <w:rFonts w:hint="eastAsia" w:ascii="宋体" w:hAnsi="宋体" w:cs="Times New Roman"/>
          <w:color w:val="auto"/>
          <w:szCs w:val="21"/>
          <w:highlight w:val="none"/>
          <w:lang w:val="en-US" w:eastAsia="zh-CN"/>
        </w:rPr>
        <w:t>甲方</w:t>
      </w:r>
      <w:r>
        <w:rPr>
          <w:rFonts w:hint="eastAsia" w:ascii="宋体" w:hAnsi="宋体" w:eastAsia="宋体" w:cs="Times New Roman"/>
          <w:color w:val="auto"/>
          <w:szCs w:val="21"/>
          <w:highlight w:val="none"/>
          <w:lang w:val="en-US" w:eastAsia="zh-CN"/>
        </w:rPr>
        <w:t>支付合同总金额的20%作为违约金，同时</w:t>
      </w:r>
      <w:r>
        <w:rPr>
          <w:rFonts w:hint="eastAsia" w:ascii="宋体" w:hAnsi="宋体" w:cs="Times New Roman"/>
          <w:color w:val="auto"/>
          <w:szCs w:val="21"/>
          <w:highlight w:val="none"/>
          <w:lang w:eastAsia="zh-CN"/>
        </w:rPr>
        <w:t>甲方</w:t>
      </w:r>
      <w:r>
        <w:rPr>
          <w:rFonts w:hint="eastAsia" w:ascii="宋体" w:hAnsi="宋体" w:eastAsia="宋体" w:cs="Times New Roman"/>
          <w:color w:val="auto"/>
          <w:szCs w:val="21"/>
          <w:highlight w:val="none"/>
        </w:rPr>
        <w:t>有权单方面终止合同</w:t>
      </w:r>
      <w:r>
        <w:rPr>
          <w:rFonts w:hint="eastAsia" w:ascii="宋体" w:hAnsi="宋体" w:eastAsia="宋体" w:cs="Times New Roman"/>
          <w:color w:val="auto"/>
          <w:szCs w:val="21"/>
          <w:highlight w:val="none"/>
          <w:lang w:eastAsia="zh-CN"/>
        </w:rPr>
        <w:t>；</w:t>
      </w:r>
    </w:p>
    <w:p w14:paraId="799AE38E">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9"/>
        <w:rPr>
          <w:rFonts w:hint="eastAsia" w:asciiTheme="minorEastAsia" w:hAnsiTheme="minorEastAsia" w:eastAsiaTheme="minorEastAsia"/>
          <w:b/>
          <w:bCs/>
          <w:color w:val="auto"/>
          <w:spacing w:val="20"/>
          <w:sz w:val="21"/>
          <w:szCs w:val="21"/>
          <w:highlight w:val="none"/>
        </w:rPr>
      </w:pPr>
      <w:r>
        <w:rPr>
          <w:rFonts w:hint="eastAsia" w:ascii="宋体" w:hAnsi="宋体" w:eastAsia="宋体" w:cs="Times New Roman"/>
          <w:color w:val="auto"/>
          <w:szCs w:val="21"/>
          <w:highlight w:val="none"/>
          <w:lang w:val="en-US" w:eastAsia="zh-CN"/>
        </w:rPr>
        <w:t>3、结算周期内如未出现合同约定的其他违约扣款情形，按上述“1”计算应付服务费金额，如出现违约扣款情形，则先扣除相应违约款项后再按上述“1”计算应付服务费金额。</w:t>
      </w:r>
    </w:p>
    <w:p w14:paraId="68A3D5F7">
      <w:pPr>
        <w:pStyle w:val="2"/>
        <w:keepNext w:val="0"/>
        <w:keepLines w:val="0"/>
        <w:pageBreakBefore/>
        <w:widowControl w:val="0"/>
        <w:kinsoku/>
        <w:wordWrap/>
        <w:overflowPunct/>
        <w:topLinePunct w:val="0"/>
        <w:autoSpaceDE/>
        <w:autoSpaceDN/>
        <w:bidi w:val="0"/>
        <w:adjustRightInd/>
        <w:snapToGrid/>
        <w:spacing w:after="240" w:line="360" w:lineRule="auto"/>
        <w:jc w:val="center"/>
        <w:textAlignment w:val="auto"/>
        <w:rPr>
          <w:color w:val="auto"/>
          <w:kern w:val="0"/>
          <w:sz w:val="20"/>
          <w:szCs w:val="20"/>
          <w:highlight w:val="none"/>
          <w:lang w:eastAsia="zh-Hans"/>
        </w:rPr>
      </w:pPr>
      <w:r>
        <w:rPr>
          <w:rFonts w:asciiTheme="minorEastAsia" w:hAnsiTheme="minorEastAsia" w:eastAsiaTheme="minorEastAsia"/>
          <w:color w:val="auto"/>
          <w:spacing w:val="20"/>
          <w:sz w:val="32"/>
          <w:szCs w:val="32"/>
          <w:highlight w:val="none"/>
        </w:rPr>
        <w:t xml:space="preserve">第六章 </w:t>
      </w:r>
      <w:r>
        <w:rPr>
          <w:rFonts w:hint="eastAsia" w:asciiTheme="minorEastAsia" w:hAnsiTheme="minorEastAsia" w:eastAsiaTheme="minorEastAsia"/>
          <w:color w:val="auto"/>
          <w:spacing w:val="20"/>
          <w:sz w:val="32"/>
          <w:szCs w:val="32"/>
          <w:highlight w:val="none"/>
        </w:rPr>
        <w:t>响应文件</w:t>
      </w:r>
      <w:r>
        <w:rPr>
          <w:rFonts w:asciiTheme="minorEastAsia" w:hAnsiTheme="minorEastAsia" w:eastAsiaTheme="minorEastAsia"/>
          <w:color w:val="auto"/>
          <w:spacing w:val="20"/>
          <w:sz w:val="32"/>
          <w:szCs w:val="32"/>
          <w:highlight w:val="none"/>
        </w:rPr>
        <w:t>格式</w:t>
      </w:r>
      <w:bookmarkEnd w:id="44"/>
      <w:bookmarkEnd w:id="45"/>
      <w:bookmarkEnd w:id="46"/>
    </w:p>
    <w:p w14:paraId="70545053">
      <w:pPr>
        <w:widowControl/>
        <w:jc w:val="left"/>
        <w:rPr>
          <w:color w:val="auto"/>
          <w:kern w:val="0"/>
          <w:sz w:val="20"/>
          <w:szCs w:val="20"/>
          <w:highlight w:val="none"/>
          <w:lang w:eastAsia="zh-Hans"/>
        </w:rPr>
      </w:pPr>
    </w:p>
    <w:p w14:paraId="6D9A7A0F">
      <w:pPr>
        <w:spacing w:before="468" w:beforeLines="150"/>
        <w:jc w:val="center"/>
        <w:rPr>
          <w:rFonts w:ascii="宋体" w:hAnsi="宋体"/>
          <w:b/>
          <w:bCs/>
          <w:color w:val="auto"/>
          <w:sz w:val="80"/>
          <w:szCs w:val="80"/>
          <w:highlight w:val="none"/>
        </w:rPr>
      </w:pPr>
      <w:bookmarkStart w:id="47" w:name="_Toc169799785"/>
      <w:bookmarkStart w:id="48" w:name="_Hlk170195764"/>
      <w:r>
        <w:rPr>
          <w:rFonts w:hint="eastAsia" w:ascii="宋体" w:hAnsi="宋体"/>
          <w:b/>
          <w:bCs/>
          <w:color w:val="auto"/>
          <w:sz w:val="80"/>
          <w:szCs w:val="80"/>
          <w:highlight w:val="none"/>
        </w:rPr>
        <w:t>蔡白村办公大楼保安服务采购项目</w:t>
      </w:r>
    </w:p>
    <w:p w14:paraId="5A497FAB">
      <w:pPr>
        <w:spacing w:before="468" w:beforeLines="150"/>
        <w:jc w:val="center"/>
        <w:rPr>
          <w:rFonts w:ascii="宋体" w:hAnsi="宋体"/>
          <w:b/>
          <w:bCs/>
          <w:color w:val="auto"/>
          <w:sz w:val="80"/>
          <w:szCs w:val="80"/>
          <w:highlight w:val="none"/>
        </w:rPr>
      </w:pPr>
      <w:r>
        <w:rPr>
          <w:rFonts w:hint="eastAsia" w:ascii="宋体" w:hAnsi="宋体"/>
          <w:b/>
          <w:bCs/>
          <w:color w:val="auto"/>
          <w:sz w:val="80"/>
          <w:szCs w:val="80"/>
          <w:highlight w:val="none"/>
        </w:rPr>
        <w:t>响应</w:t>
      </w:r>
      <w:r>
        <w:rPr>
          <w:rFonts w:ascii="宋体" w:hAnsi="宋体"/>
          <w:b/>
          <w:bCs/>
          <w:color w:val="auto"/>
          <w:sz w:val="80"/>
          <w:szCs w:val="80"/>
          <w:highlight w:val="none"/>
        </w:rPr>
        <w:t>文件</w:t>
      </w:r>
      <w:bookmarkEnd w:id="47"/>
    </w:p>
    <w:p w14:paraId="50B3A474">
      <w:pPr>
        <w:spacing w:after="1560" w:afterLines="500"/>
        <w:jc w:val="center"/>
        <w:rPr>
          <w:rFonts w:ascii="宋体" w:hAnsi="宋体"/>
          <w:b/>
          <w:bCs/>
          <w:color w:val="auto"/>
          <w:highlight w:val="none"/>
        </w:rPr>
      </w:pPr>
      <w:bookmarkStart w:id="49" w:name="_Toc169799786"/>
      <w:r>
        <w:rPr>
          <w:rFonts w:ascii="宋体" w:hAnsi="宋体"/>
          <w:b/>
          <w:bCs/>
          <w:color w:val="auto"/>
          <w:sz w:val="44"/>
          <w:szCs w:val="48"/>
          <w:highlight w:val="none"/>
        </w:rPr>
        <w:t>（正本/副本）</w:t>
      </w:r>
      <w:bookmarkEnd w:id="49"/>
      <w:r>
        <w:rPr>
          <w:rFonts w:ascii="宋体" w:hAnsi="宋体"/>
          <w:b/>
          <w:bCs/>
          <w:color w:val="auto"/>
          <w:highlight w:val="none"/>
        </w:rPr>
        <w:br w:type="textWrapping"/>
      </w:r>
    </w:p>
    <w:p w14:paraId="16B8CE1C">
      <w:pPr>
        <w:keepNext w:val="0"/>
        <w:keepLines w:val="0"/>
        <w:pageBreakBefore w:val="0"/>
        <w:widowControl/>
        <w:kinsoku/>
        <w:wordWrap/>
        <w:overflowPunct/>
        <w:topLinePunct w:val="0"/>
        <w:autoSpaceDE/>
        <w:autoSpaceDN/>
        <w:bidi w:val="0"/>
        <w:adjustRightInd/>
        <w:snapToGrid/>
        <w:spacing w:before="3121" w:beforeLines="1000" w:line="360" w:lineRule="auto"/>
        <w:ind w:firstLine="1558" w:firstLineChars="485"/>
        <w:jc w:val="left"/>
        <w:textAlignment w:val="auto"/>
        <w:outlineLvl w:val="9"/>
        <w:rPr>
          <w:rFonts w:ascii="宋体" w:hAnsi="宋体"/>
          <w:color w:val="auto"/>
          <w:kern w:val="0"/>
          <w:sz w:val="32"/>
          <w:szCs w:val="32"/>
          <w:highlight w:val="none"/>
        </w:rPr>
      </w:pPr>
      <w:r>
        <w:rPr>
          <w:rFonts w:ascii="宋体" w:hAnsi="宋体"/>
          <w:b/>
          <w:color w:val="auto"/>
          <w:kern w:val="0"/>
          <w:sz w:val="32"/>
          <w:szCs w:val="32"/>
          <w:highlight w:val="none"/>
          <w:lang w:eastAsia="zh-Hans"/>
        </w:rPr>
        <w:t>项目编号：</w:t>
      </w:r>
      <w:r>
        <w:rPr>
          <w:rFonts w:hint="eastAsia" w:ascii="宋体" w:hAnsi="宋体"/>
          <w:b/>
          <w:color w:val="auto"/>
          <w:kern w:val="0"/>
          <w:sz w:val="32"/>
          <w:szCs w:val="32"/>
          <w:highlight w:val="none"/>
        </w:rPr>
        <w:t>ZHDGZC2025054</w:t>
      </w:r>
    </w:p>
    <w:p w14:paraId="4AC7C517">
      <w:pPr>
        <w:widowControl/>
        <w:spacing w:line="360" w:lineRule="auto"/>
        <w:ind w:firstLine="1558" w:firstLineChars="485"/>
        <w:jc w:val="left"/>
        <w:outlineLvl w:val="9"/>
        <w:rPr>
          <w:rFonts w:ascii="宋体" w:hAnsi="宋体"/>
          <w:color w:val="auto"/>
          <w:kern w:val="0"/>
          <w:sz w:val="24"/>
          <w:szCs w:val="24"/>
          <w:highlight w:val="none"/>
        </w:rPr>
      </w:pPr>
      <w:r>
        <w:rPr>
          <w:rFonts w:hint="eastAsia" w:ascii="宋体" w:hAnsi="宋体"/>
          <w:b/>
          <w:color w:val="auto"/>
          <w:kern w:val="0"/>
          <w:sz w:val="32"/>
          <w:szCs w:val="32"/>
          <w:highlight w:val="none"/>
        </w:rPr>
        <w:t>供应商</w:t>
      </w:r>
      <w:r>
        <w:rPr>
          <w:rFonts w:ascii="宋体" w:hAnsi="宋体"/>
          <w:b/>
          <w:color w:val="auto"/>
          <w:kern w:val="0"/>
          <w:sz w:val="32"/>
          <w:szCs w:val="32"/>
          <w:highlight w:val="none"/>
          <w:lang w:eastAsia="zh-Hans"/>
        </w:rPr>
        <w:t>名称</w:t>
      </w:r>
      <w:r>
        <w:rPr>
          <w:rFonts w:hint="eastAsia" w:ascii="宋体" w:hAnsi="宋体"/>
          <w:b/>
          <w:color w:val="auto"/>
          <w:kern w:val="0"/>
          <w:sz w:val="32"/>
          <w:szCs w:val="32"/>
          <w:highlight w:val="none"/>
          <w:lang w:eastAsia="zh-Hans"/>
        </w:rPr>
        <w:t>：</w:t>
      </w:r>
    </w:p>
    <w:p w14:paraId="6CE0D0AE">
      <w:pPr>
        <w:widowControl/>
        <w:spacing w:before="936" w:beforeLines="300"/>
        <w:jc w:val="center"/>
        <w:outlineLvl w:val="9"/>
        <w:rPr>
          <w:color w:val="auto"/>
          <w:kern w:val="0"/>
          <w:sz w:val="20"/>
          <w:szCs w:val="20"/>
          <w:highlight w:val="none"/>
          <w:lang w:eastAsia="zh-Hans"/>
        </w:rPr>
      </w:pPr>
      <w:r>
        <w:rPr>
          <w:rFonts w:ascii="宋体" w:hAnsi="宋体"/>
          <w:b/>
          <w:color w:val="auto"/>
          <w:kern w:val="0"/>
          <w:sz w:val="32"/>
          <w:szCs w:val="32"/>
          <w:highlight w:val="none"/>
          <w:lang w:eastAsia="zh-Hans"/>
        </w:rPr>
        <w:t xml:space="preserve"> 年 月 日</w:t>
      </w:r>
    </w:p>
    <w:bookmarkEnd w:id="48"/>
    <w:p w14:paraId="07B28E70">
      <w:pPr>
        <w:widowControl/>
        <w:jc w:val="left"/>
        <w:rPr>
          <w:color w:val="auto"/>
          <w:kern w:val="0"/>
          <w:sz w:val="20"/>
          <w:szCs w:val="20"/>
          <w:highlight w:val="none"/>
        </w:rPr>
      </w:pPr>
    </w:p>
    <w:p w14:paraId="680F0F77">
      <w:pPr>
        <w:pageBreakBefore/>
        <w:spacing w:after="156" w:afterLines="50"/>
        <w:jc w:val="center"/>
        <w:outlineLvl w:val="3"/>
        <w:rPr>
          <w:color w:val="auto"/>
          <w:kern w:val="0"/>
          <w:sz w:val="20"/>
          <w:szCs w:val="20"/>
          <w:highlight w:val="none"/>
          <w:lang w:eastAsia="zh-Hans"/>
        </w:rPr>
      </w:pPr>
      <w:r>
        <w:rPr>
          <w:rFonts w:hint="eastAsia"/>
          <w:b/>
          <w:color w:val="auto"/>
          <w:kern w:val="0"/>
          <w:sz w:val="32"/>
          <w:highlight w:val="none"/>
          <w:lang w:eastAsia="zh-Hans"/>
        </w:rPr>
        <w:t>响应</w:t>
      </w:r>
      <w:r>
        <w:rPr>
          <w:b/>
          <w:color w:val="auto"/>
          <w:kern w:val="0"/>
          <w:sz w:val="32"/>
          <w:highlight w:val="none"/>
          <w:lang w:eastAsia="zh-Hans"/>
        </w:rPr>
        <w:t>文件目录</w:t>
      </w:r>
    </w:p>
    <w:p w14:paraId="24D12B96">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rFonts w:hint="eastAsia"/>
          <w:color w:val="auto"/>
          <w:kern w:val="0"/>
          <w:sz w:val="21"/>
          <w:szCs w:val="21"/>
          <w:highlight w:val="none"/>
          <w:lang w:eastAsia="zh-Hans"/>
        </w:rPr>
        <w:t>响应承诺</w:t>
      </w:r>
      <w:r>
        <w:rPr>
          <w:color w:val="auto"/>
          <w:kern w:val="0"/>
          <w:sz w:val="21"/>
          <w:szCs w:val="21"/>
          <w:highlight w:val="none"/>
          <w:lang w:eastAsia="zh-Hans"/>
        </w:rPr>
        <w:t>函</w:t>
      </w:r>
    </w:p>
    <w:p w14:paraId="0781EDCA">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rFonts w:hint="eastAsia"/>
          <w:color w:val="auto"/>
          <w:kern w:val="0"/>
          <w:sz w:val="21"/>
          <w:szCs w:val="21"/>
          <w:highlight w:val="none"/>
          <w:lang w:eastAsia="zh-Hans"/>
        </w:rPr>
        <w:t>首次报价表</w:t>
      </w:r>
    </w:p>
    <w:p w14:paraId="0092BFB5">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rPr>
      </w:pPr>
      <w:r>
        <w:rPr>
          <w:rFonts w:hint="eastAsia"/>
          <w:color w:val="auto"/>
          <w:kern w:val="0"/>
          <w:sz w:val="21"/>
          <w:szCs w:val="21"/>
          <w:highlight w:val="none"/>
          <w:lang w:eastAsia="zh-Hans"/>
        </w:rPr>
        <w:t>中小企业声明函</w:t>
      </w:r>
    </w:p>
    <w:p w14:paraId="18D13542">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rPr>
      </w:pPr>
      <w:r>
        <w:rPr>
          <w:color w:val="auto"/>
          <w:kern w:val="0"/>
          <w:sz w:val="21"/>
          <w:szCs w:val="21"/>
          <w:highlight w:val="none"/>
          <w:lang w:eastAsia="zh-Hans"/>
        </w:rPr>
        <w:t>监狱企业</w:t>
      </w:r>
    </w:p>
    <w:p w14:paraId="2CF4E8CA">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rPr>
      </w:pPr>
      <w:r>
        <w:rPr>
          <w:color w:val="auto"/>
          <w:kern w:val="0"/>
          <w:sz w:val="21"/>
          <w:szCs w:val="21"/>
          <w:highlight w:val="none"/>
          <w:lang w:eastAsia="zh-Hans"/>
        </w:rPr>
        <w:t>残疾人福利性单位声明函</w:t>
      </w:r>
    </w:p>
    <w:p w14:paraId="4A935B1F">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rPr>
      </w:pPr>
      <w:r>
        <w:rPr>
          <w:color w:val="auto"/>
          <w:kern w:val="0"/>
          <w:sz w:val="21"/>
          <w:szCs w:val="21"/>
          <w:highlight w:val="none"/>
          <w:lang w:eastAsia="zh-Hans"/>
        </w:rPr>
        <w:t>政策适用性说明</w:t>
      </w:r>
    </w:p>
    <w:p w14:paraId="45E0E053">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color w:val="auto"/>
          <w:kern w:val="0"/>
          <w:sz w:val="21"/>
          <w:szCs w:val="21"/>
          <w:highlight w:val="none"/>
          <w:lang w:eastAsia="zh-Hans"/>
        </w:rPr>
        <w:t>法定代表人证明书</w:t>
      </w:r>
    </w:p>
    <w:p w14:paraId="5F0A9EE7">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color w:val="auto"/>
          <w:kern w:val="0"/>
          <w:sz w:val="21"/>
          <w:szCs w:val="21"/>
          <w:highlight w:val="none"/>
          <w:lang w:eastAsia="zh-Hans"/>
        </w:rPr>
        <w:t>法定代表人授权</w:t>
      </w:r>
      <w:r>
        <w:rPr>
          <w:rFonts w:hint="eastAsia"/>
          <w:color w:val="auto"/>
          <w:kern w:val="0"/>
          <w:sz w:val="21"/>
          <w:szCs w:val="21"/>
          <w:highlight w:val="none"/>
          <w:lang w:eastAsia="zh-Hans"/>
        </w:rPr>
        <w:t>委托</w:t>
      </w:r>
      <w:r>
        <w:rPr>
          <w:color w:val="auto"/>
          <w:kern w:val="0"/>
          <w:sz w:val="21"/>
          <w:szCs w:val="21"/>
          <w:highlight w:val="none"/>
          <w:lang w:eastAsia="zh-Hans"/>
        </w:rPr>
        <w:t>书</w:t>
      </w:r>
    </w:p>
    <w:p w14:paraId="5E81537C">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rPr>
      </w:pPr>
      <w:r>
        <w:rPr>
          <w:rFonts w:hint="eastAsia"/>
          <w:color w:val="auto"/>
          <w:kern w:val="0"/>
          <w:sz w:val="21"/>
          <w:szCs w:val="21"/>
          <w:highlight w:val="none"/>
        </w:rPr>
        <w:t>资格条件承诺函</w:t>
      </w:r>
    </w:p>
    <w:p w14:paraId="226C9F8E">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color w:val="auto"/>
          <w:kern w:val="0"/>
          <w:sz w:val="21"/>
          <w:szCs w:val="21"/>
          <w:highlight w:val="none"/>
          <w:lang w:eastAsia="zh-Hans"/>
        </w:rPr>
        <w:t>提供具有独立承担民事责任的能力的证明材料</w:t>
      </w:r>
    </w:p>
    <w:p w14:paraId="3C31C674">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rFonts w:hint="eastAsia"/>
          <w:color w:val="auto"/>
          <w:kern w:val="0"/>
          <w:sz w:val="21"/>
          <w:szCs w:val="21"/>
          <w:highlight w:val="none"/>
          <w:lang w:eastAsia="zh-Hans"/>
        </w:rPr>
        <w:t>拟投入本项目设备情况表</w:t>
      </w:r>
    </w:p>
    <w:p w14:paraId="5C972F00">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rPr>
      </w:pPr>
      <w:r>
        <w:rPr>
          <w:rFonts w:hint="eastAsia"/>
          <w:color w:val="auto"/>
          <w:kern w:val="0"/>
          <w:sz w:val="21"/>
          <w:szCs w:val="21"/>
          <w:highlight w:val="none"/>
          <w:lang w:eastAsia="zh-Hans"/>
        </w:rPr>
        <w:t>项目技术服务人员情况表</w:t>
      </w:r>
    </w:p>
    <w:p w14:paraId="2EF2EB31">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rFonts w:hint="eastAsia"/>
          <w:color w:val="auto"/>
          <w:kern w:val="0"/>
          <w:sz w:val="21"/>
          <w:szCs w:val="21"/>
          <w:highlight w:val="none"/>
          <w:lang w:eastAsia="zh-Hans"/>
        </w:rPr>
        <w:t>项目负责人简历表</w:t>
      </w:r>
    </w:p>
    <w:p w14:paraId="383588A0">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rFonts w:hint="eastAsia"/>
          <w:color w:val="auto"/>
          <w:kern w:val="0"/>
          <w:sz w:val="21"/>
          <w:szCs w:val="21"/>
          <w:highlight w:val="none"/>
          <w:lang w:eastAsia="zh-Hans"/>
        </w:rPr>
        <w:t>供应商业绩情况表</w:t>
      </w:r>
    </w:p>
    <w:p w14:paraId="78C72316">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rFonts w:hint="eastAsia"/>
          <w:color w:val="auto"/>
          <w:kern w:val="0"/>
          <w:sz w:val="21"/>
          <w:szCs w:val="21"/>
          <w:highlight w:val="none"/>
          <w:lang w:eastAsia="zh-Hans"/>
        </w:rPr>
        <w:t>技术和服务要求响应表</w:t>
      </w:r>
    </w:p>
    <w:p w14:paraId="0A99EF58">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rFonts w:hint="eastAsia"/>
          <w:color w:val="auto"/>
          <w:kern w:val="0"/>
          <w:sz w:val="21"/>
          <w:szCs w:val="21"/>
          <w:highlight w:val="none"/>
          <w:lang w:eastAsia="zh-Hans"/>
        </w:rPr>
        <w:t>商务条件响应表</w:t>
      </w:r>
    </w:p>
    <w:p w14:paraId="082762C3">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 w:val="21"/>
          <w:szCs w:val="21"/>
          <w:highlight w:val="none"/>
          <w:lang w:eastAsia="zh-Hans"/>
        </w:rPr>
      </w:pPr>
      <w:r>
        <w:rPr>
          <w:rFonts w:hint="eastAsia"/>
          <w:color w:val="auto"/>
          <w:kern w:val="0"/>
          <w:sz w:val="21"/>
          <w:szCs w:val="21"/>
          <w:highlight w:val="none"/>
          <w:lang w:eastAsia="zh-Hans"/>
        </w:rPr>
        <w:t>★号条款响应表</w:t>
      </w:r>
    </w:p>
    <w:p w14:paraId="4E7FA942">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rFonts w:hint="eastAsia"/>
          <w:color w:val="auto"/>
          <w:kern w:val="0"/>
          <w:sz w:val="21"/>
          <w:szCs w:val="21"/>
          <w:highlight w:val="none"/>
          <w:lang w:eastAsia="zh-Hans"/>
        </w:rPr>
        <w:t>各类证明材料</w:t>
      </w:r>
    </w:p>
    <w:p w14:paraId="128D1BDA">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rPr>
      </w:pPr>
      <w:r>
        <w:rPr>
          <w:rFonts w:hint="eastAsia"/>
          <w:color w:val="auto"/>
          <w:kern w:val="0"/>
          <w:sz w:val="21"/>
          <w:szCs w:val="21"/>
          <w:highlight w:val="none"/>
          <w:lang w:eastAsia="zh-Hans"/>
        </w:rPr>
        <w:t>采购代理服务费支付承诺书</w:t>
      </w:r>
    </w:p>
    <w:p w14:paraId="4A7229A0">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rFonts w:hint="eastAsia"/>
          <w:color w:val="auto"/>
          <w:kern w:val="0"/>
          <w:sz w:val="21"/>
          <w:szCs w:val="21"/>
          <w:highlight w:val="none"/>
          <w:lang w:eastAsia="zh-Hans"/>
        </w:rPr>
        <w:t>询问函、质疑函、投诉书格式</w:t>
      </w:r>
    </w:p>
    <w:p w14:paraId="41AC0ED3">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rFonts w:hint="eastAsia"/>
          <w:color w:val="auto"/>
          <w:kern w:val="0"/>
          <w:sz w:val="21"/>
          <w:szCs w:val="21"/>
          <w:highlight w:val="none"/>
          <w:lang w:eastAsia="zh-Hans"/>
        </w:rPr>
        <w:t>项目实施方案、服务质量保障措施、服务应急方案、保安人员配备及管理方案、人员应急预案和保障措施</w:t>
      </w:r>
      <w:r>
        <w:rPr>
          <w:color w:val="auto"/>
          <w:kern w:val="0"/>
          <w:sz w:val="21"/>
          <w:szCs w:val="21"/>
          <w:highlight w:val="none"/>
          <w:lang w:eastAsia="zh-Hans"/>
        </w:rPr>
        <w:t>等</w:t>
      </w:r>
    </w:p>
    <w:p w14:paraId="00C19504">
      <w:pPr>
        <w:widowControl/>
        <w:jc w:val="left"/>
        <w:rPr>
          <w:color w:val="auto"/>
          <w:kern w:val="0"/>
          <w:sz w:val="20"/>
          <w:szCs w:val="20"/>
          <w:highlight w:val="none"/>
        </w:rPr>
      </w:pPr>
    </w:p>
    <w:p w14:paraId="1D7E5E32">
      <w:pPr>
        <w:widowControl/>
        <w:jc w:val="left"/>
        <w:rPr>
          <w:color w:val="auto"/>
          <w:kern w:val="0"/>
          <w:sz w:val="20"/>
          <w:szCs w:val="20"/>
          <w:highlight w:val="none"/>
          <w:lang w:eastAsia="zh-Hans"/>
        </w:rPr>
      </w:pPr>
    </w:p>
    <w:p w14:paraId="13F0704C">
      <w:pPr>
        <w:pageBreakBefore/>
        <w:rPr>
          <w:rFonts w:ascii="宋体" w:hAnsi="宋体"/>
          <w:b/>
          <w:bCs/>
          <w:color w:val="auto"/>
          <w:highlight w:val="none"/>
        </w:rPr>
      </w:pPr>
      <w:r>
        <w:rPr>
          <w:rFonts w:hint="eastAsia" w:ascii="宋体" w:hAnsi="宋体"/>
          <w:b/>
          <w:bCs/>
          <w:color w:val="auto"/>
          <w:sz w:val="24"/>
          <w:szCs w:val="28"/>
          <w:highlight w:val="none"/>
        </w:rPr>
        <w:t>资格、符合性审查索引表格式</w:t>
      </w:r>
    </w:p>
    <w:p w14:paraId="0A10C135">
      <w:pPr>
        <w:keepLines/>
        <w:tabs>
          <w:tab w:val="left" w:pos="284"/>
          <w:tab w:val="left" w:pos="426"/>
          <w:tab w:val="left" w:pos="709"/>
        </w:tabs>
        <w:spacing w:before="156" w:beforeLines="50" w:after="156" w:afterLines="50"/>
        <w:jc w:val="center"/>
        <w:rPr>
          <w:rFonts w:ascii="宋体" w:hAnsi="宋体"/>
          <w:b/>
          <w:bCs/>
          <w:color w:val="auto"/>
          <w:szCs w:val="21"/>
          <w:highlight w:val="none"/>
        </w:rPr>
      </w:pPr>
      <w:r>
        <w:rPr>
          <w:rFonts w:hint="eastAsia" w:ascii="宋体" w:hAnsi="宋体"/>
          <w:b/>
          <w:bCs/>
          <w:color w:val="auto"/>
          <w:sz w:val="28"/>
          <w:szCs w:val="28"/>
          <w:highlight w:val="none"/>
        </w:rPr>
        <w:t>资格、符合性审查索引表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6CE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3FD0C2D1">
            <w:pPr>
              <w:spacing w:line="360" w:lineRule="auto"/>
              <w:jc w:val="left"/>
              <w:rPr>
                <w:rFonts w:ascii="宋体" w:hAnsi="宋体"/>
                <w:b/>
                <w:bCs/>
                <w:color w:val="auto"/>
                <w:spacing w:val="-10"/>
                <w:szCs w:val="21"/>
                <w:highlight w:val="none"/>
              </w:rPr>
            </w:pPr>
            <w:r>
              <w:rPr>
                <w:rFonts w:hint="eastAsia" w:ascii="宋体" w:hAnsi="宋体"/>
                <w:b/>
                <w:color w:val="auto"/>
                <w:spacing w:val="20"/>
                <w:sz w:val="24"/>
                <w:szCs w:val="24"/>
                <w:highlight w:val="none"/>
              </w:rPr>
              <w:t>资格性审查</w:t>
            </w:r>
          </w:p>
        </w:tc>
      </w:tr>
      <w:tr w14:paraId="436FA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045B728">
            <w:pPr>
              <w:spacing w:line="360" w:lineRule="auto"/>
              <w:jc w:val="center"/>
              <w:rPr>
                <w:rFonts w:ascii="宋体" w:hAnsi="宋体"/>
                <w:b/>
                <w:bCs/>
                <w:color w:val="auto"/>
                <w:szCs w:val="21"/>
                <w:highlight w:val="none"/>
              </w:rPr>
            </w:pPr>
            <w:r>
              <w:rPr>
                <w:rFonts w:hint="eastAsia" w:ascii="宋体" w:hAnsi="宋体"/>
                <w:b/>
                <w:bCs/>
                <w:color w:val="auto"/>
                <w:szCs w:val="21"/>
                <w:highlight w:val="none"/>
              </w:rPr>
              <w:t>序号</w:t>
            </w:r>
          </w:p>
        </w:tc>
        <w:tc>
          <w:tcPr>
            <w:tcW w:w="3124" w:type="pct"/>
            <w:tcBorders>
              <w:bottom w:val="single" w:color="auto" w:sz="4" w:space="0"/>
              <w:tl2br w:val="nil"/>
            </w:tcBorders>
            <w:vAlign w:val="center"/>
          </w:tcPr>
          <w:p w14:paraId="0D901722">
            <w:pPr>
              <w:spacing w:line="360" w:lineRule="auto"/>
              <w:ind w:left="211" w:hanging="211" w:hangingChars="100"/>
              <w:jc w:val="center"/>
              <w:rPr>
                <w:rFonts w:ascii="宋体" w:hAnsi="宋体"/>
                <w:b/>
                <w:bCs/>
                <w:color w:val="auto"/>
                <w:szCs w:val="21"/>
                <w:highlight w:val="none"/>
              </w:rPr>
            </w:pPr>
            <w:r>
              <w:rPr>
                <w:rFonts w:hint="eastAsia" w:ascii="宋体" w:hAnsi="宋体"/>
                <w:b/>
                <w:bCs/>
                <w:color w:val="auto"/>
                <w:szCs w:val="21"/>
                <w:highlight w:val="none"/>
              </w:rPr>
              <w:t>审查内容</w:t>
            </w:r>
          </w:p>
        </w:tc>
        <w:tc>
          <w:tcPr>
            <w:tcW w:w="1470" w:type="pct"/>
            <w:vAlign w:val="center"/>
          </w:tcPr>
          <w:p w14:paraId="6BD41D29">
            <w:pPr>
              <w:spacing w:line="360" w:lineRule="auto"/>
              <w:jc w:val="center"/>
              <w:rPr>
                <w:rFonts w:ascii="宋体" w:hAnsi="宋体"/>
                <w:b/>
                <w:bCs/>
                <w:color w:val="auto"/>
                <w:spacing w:val="-10"/>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11A4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E960A7">
            <w:pPr>
              <w:spacing w:line="360" w:lineRule="auto"/>
              <w:jc w:val="center"/>
              <w:rPr>
                <w:rFonts w:ascii="宋体" w:hAnsi="宋体"/>
                <w:bCs/>
                <w:color w:val="auto"/>
                <w:szCs w:val="21"/>
                <w:highlight w:val="none"/>
              </w:rPr>
            </w:pPr>
            <w:r>
              <w:rPr>
                <w:rFonts w:ascii="宋体" w:hAnsi="宋体"/>
                <w:bCs/>
                <w:color w:val="auto"/>
                <w:szCs w:val="21"/>
                <w:highlight w:val="none"/>
              </w:rPr>
              <w:t>1</w:t>
            </w:r>
          </w:p>
        </w:tc>
        <w:tc>
          <w:tcPr>
            <w:tcW w:w="3124" w:type="pct"/>
            <w:tcBorders>
              <w:tl2br w:val="nil"/>
            </w:tcBorders>
            <w:vAlign w:val="center"/>
          </w:tcPr>
          <w:p w14:paraId="102DBC17">
            <w:pPr>
              <w:spacing w:line="360" w:lineRule="auto"/>
              <w:jc w:val="center"/>
              <w:rPr>
                <w:rFonts w:ascii="宋体" w:hAnsi="宋体"/>
                <w:b/>
                <w:bCs/>
                <w:color w:val="auto"/>
                <w:szCs w:val="21"/>
                <w:highlight w:val="none"/>
              </w:rPr>
            </w:pPr>
          </w:p>
        </w:tc>
        <w:tc>
          <w:tcPr>
            <w:tcW w:w="1470" w:type="pct"/>
            <w:vAlign w:val="center"/>
          </w:tcPr>
          <w:p w14:paraId="45957487">
            <w:pPr>
              <w:spacing w:line="360" w:lineRule="auto"/>
              <w:jc w:val="center"/>
              <w:rPr>
                <w:rFonts w:ascii="宋体" w:hAnsi="宋体"/>
                <w:b/>
                <w:bCs/>
                <w:color w:val="auto"/>
                <w:szCs w:val="21"/>
                <w:highlight w:val="none"/>
              </w:rPr>
            </w:pPr>
          </w:p>
        </w:tc>
      </w:tr>
      <w:tr w14:paraId="2A76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607122D">
            <w:pPr>
              <w:spacing w:line="360" w:lineRule="auto"/>
              <w:jc w:val="center"/>
              <w:rPr>
                <w:rFonts w:ascii="宋体" w:hAnsi="宋体"/>
                <w:bCs/>
                <w:color w:val="auto"/>
                <w:szCs w:val="21"/>
                <w:highlight w:val="none"/>
              </w:rPr>
            </w:pPr>
            <w:r>
              <w:rPr>
                <w:rFonts w:ascii="宋体" w:hAnsi="宋体"/>
                <w:bCs/>
                <w:color w:val="auto"/>
                <w:szCs w:val="21"/>
                <w:highlight w:val="none"/>
              </w:rPr>
              <w:t>2</w:t>
            </w:r>
          </w:p>
        </w:tc>
        <w:tc>
          <w:tcPr>
            <w:tcW w:w="3124" w:type="pct"/>
            <w:vAlign w:val="center"/>
          </w:tcPr>
          <w:p w14:paraId="38512410">
            <w:pPr>
              <w:spacing w:line="360" w:lineRule="auto"/>
              <w:jc w:val="center"/>
              <w:rPr>
                <w:rFonts w:ascii="宋体" w:hAnsi="宋体"/>
                <w:b/>
                <w:bCs/>
                <w:color w:val="auto"/>
                <w:szCs w:val="21"/>
                <w:highlight w:val="none"/>
              </w:rPr>
            </w:pPr>
          </w:p>
        </w:tc>
        <w:tc>
          <w:tcPr>
            <w:tcW w:w="1470" w:type="pct"/>
            <w:vAlign w:val="center"/>
          </w:tcPr>
          <w:p w14:paraId="1BE139E1">
            <w:pPr>
              <w:spacing w:line="360" w:lineRule="auto"/>
              <w:jc w:val="center"/>
              <w:rPr>
                <w:rFonts w:ascii="宋体" w:hAnsi="宋体"/>
                <w:b/>
                <w:bCs/>
                <w:color w:val="auto"/>
                <w:szCs w:val="21"/>
                <w:highlight w:val="none"/>
              </w:rPr>
            </w:pPr>
          </w:p>
        </w:tc>
      </w:tr>
      <w:tr w14:paraId="1F7D2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7C3B9C">
            <w:pPr>
              <w:spacing w:line="360" w:lineRule="auto"/>
              <w:jc w:val="center"/>
              <w:rPr>
                <w:rFonts w:ascii="宋体" w:hAnsi="宋体"/>
                <w:bCs/>
                <w:color w:val="auto"/>
                <w:szCs w:val="21"/>
                <w:highlight w:val="none"/>
              </w:rPr>
            </w:pPr>
            <w:r>
              <w:rPr>
                <w:rFonts w:ascii="宋体" w:hAnsi="宋体"/>
                <w:bCs/>
                <w:color w:val="auto"/>
                <w:szCs w:val="21"/>
                <w:highlight w:val="none"/>
              </w:rPr>
              <w:t>3</w:t>
            </w:r>
          </w:p>
        </w:tc>
        <w:tc>
          <w:tcPr>
            <w:tcW w:w="3124" w:type="pct"/>
            <w:vAlign w:val="center"/>
          </w:tcPr>
          <w:p w14:paraId="4307901C">
            <w:pPr>
              <w:spacing w:line="360" w:lineRule="auto"/>
              <w:jc w:val="center"/>
              <w:rPr>
                <w:rFonts w:ascii="宋体" w:hAnsi="宋体"/>
                <w:b/>
                <w:bCs/>
                <w:color w:val="auto"/>
                <w:szCs w:val="21"/>
                <w:highlight w:val="none"/>
              </w:rPr>
            </w:pPr>
          </w:p>
        </w:tc>
        <w:tc>
          <w:tcPr>
            <w:tcW w:w="1470" w:type="pct"/>
            <w:vAlign w:val="center"/>
          </w:tcPr>
          <w:p w14:paraId="1430641B">
            <w:pPr>
              <w:spacing w:line="360" w:lineRule="auto"/>
              <w:jc w:val="center"/>
              <w:rPr>
                <w:rFonts w:ascii="宋体" w:hAnsi="宋体"/>
                <w:b/>
                <w:bCs/>
                <w:color w:val="auto"/>
                <w:szCs w:val="21"/>
                <w:highlight w:val="none"/>
              </w:rPr>
            </w:pPr>
          </w:p>
        </w:tc>
      </w:tr>
      <w:tr w14:paraId="69E1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ACAE6C">
            <w:pPr>
              <w:spacing w:line="360" w:lineRule="auto"/>
              <w:jc w:val="center"/>
              <w:rPr>
                <w:rFonts w:ascii="宋体" w:hAnsi="宋体"/>
                <w:bCs/>
                <w:color w:val="auto"/>
                <w:szCs w:val="21"/>
                <w:highlight w:val="none"/>
              </w:rPr>
            </w:pPr>
            <w:r>
              <w:rPr>
                <w:rFonts w:ascii="宋体" w:hAnsi="宋体"/>
                <w:bCs/>
                <w:color w:val="auto"/>
                <w:szCs w:val="21"/>
                <w:highlight w:val="none"/>
              </w:rPr>
              <w:t>…</w:t>
            </w:r>
          </w:p>
        </w:tc>
        <w:tc>
          <w:tcPr>
            <w:tcW w:w="3124" w:type="pct"/>
            <w:vAlign w:val="center"/>
          </w:tcPr>
          <w:p w14:paraId="61AC358E">
            <w:pPr>
              <w:spacing w:line="360" w:lineRule="auto"/>
              <w:jc w:val="center"/>
              <w:rPr>
                <w:rFonts w:ascii="宋体" w:hAnsi="宋体"/>
                <w:b/>
                <w:bCs/>
                <w:color w:val="auto"/>
                <w:szCs w:val="21"/>
                <w:highlight w:val="none"/>
              </w:rPr>
            </w:pPr>
          </w:p>
        </w:tc>
        <w:tc>
          <w:tcPr>
            <w:tcW w:w="1470" w:type="pct"/>
            <w:vAlign w:val="center"/>
          </w:tcPr>
          <w:p w14:paraId="268F7E00">
            <w:pPr>
              <w:spacing w:line="360" w:lineRule="auto"/>
              <w:jc w:val="center"/>
              <w:rPr>
                <w:rFonts w:ascii="宋体" w:hAnsi="宋体"/>
                <w:b/>
                <w:bCs/>
                <w:color w:val="auto"/>
                <w:szCs w:val="21"/>
                <w:highlight w:val="none"/>
              </w:rPr>
            </w:pPr>
          </w:p>
        </w:tc>
      </w:tr>
      <w:tr w14:paraId="1569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0D9E8539">
            <w:pPr>
              <w:spacing w:line="360" w:lineRule="auto"/>
              <w:jc w:val="left"/>
              <w:rPr>
                <w:rFonts w:ascii="宋体" w:hAnsi="宋体"/>
                <w:b/>
                <w:bCs/>
                <w:color w:val="auto"/>
                <w:szCs w:val="21"/>
                <w:highlight w:val="none"/>
              </w:rPr>
            </w:pPr>
            <w:r>
              <w:rPr>
                <w:rFonts w:hint="eastAsia" w:ascii="宋体" w:hAnsi="宋体"/>
                <w:b/>
                <w:bCs/>
                <w:color w:val="auto"/>
                <w:sz w:val="24"/>
                <w:szCs w:val="24"/>
                <w:highlight w:val="none"/>
              </w:rPr>
              <w:t>符合性审查</w:t>
            </w:r>
          </w:p>
        </w:tc>
      </w:tr>
      <w:tr w14:paraId="551B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F531C7B">
            <w:pPr>
              <w:spacing w:line="360" w:lineRule="auto"/>
              <w:jc w:val="center"/>
              <w:rPr>
                <w:rFonts w:ascii="宋体" w:hAnsi="宋体"/>
                <w:bCs/>
                <w:color w:val="auto"/>
                <w:szCs w:val="21"/>
                <w:highlight w:val="none"/>
              </w:rPr>
            </w:pPr>
            <w:r>
              <w:rPr>
                <w:rFonts w:hint="eastAsia" w:ascii="宋体" w:hAnsi="宋体"/>
                <w:b/>
                <w:bCs/>
                <w:color w:val="auto"/>
                <w:szCs w:val="21"/>
                <w:highlight w:val="none"/>
              </w:rPr>
              <w:t>序号</w:t>
            </w:r>
          </w:p>
        </w:tc>
        <w:tc>
          <w:tcPr>
            <w:tcW w:w="3124" w:type="pct"/>
            <w:vAlign w:val="center"/>
          </w:tcPr>
          <w:p w14:paraId="02784D7D">
            <w:pPr>
              <w:spacing w:line="360" w:lineRule="auto"/>
              <w:jc w:val="center"/>
              <w:rPr>
                <w:rFonts w:ascii="宋体" w:hAnsi="宋体"/>
                <w:b/>
                <w:bCs/>
                <w:color w:val="auto"/>
                <w:szCs w:val="21"/>
                <w:highlight w:val="none"/>
              </w:rPr>
            </w:pPr>
            <w:r>
              <w:rPr>
                <w:rFonts w:hint="eastAsia" w:ascii="宋体" w:hAnsi="宋体"/>
                <w:b/>
                <w:bCs/>
                <w:color w:val="auto"/>
                <w:szCs w:val="21"/>
                <w:highlight w:val="none"/>
              </w:rPr>
              <w:t>审查内容</w:t>
            </w:r>
          </w:p>
        </w:tc>
        <w:tc>
          <w:tcPr>
            <w:tcW w:w="1470" w:type="pct"/>
            <w:vAlign w:val="center"/>
          </w:tcPr>
          <w:p w14:paraId="5C416DBB">
            <w:pPr>
              <w:spacing w:line="360" w:lineRule="auto"/>
              <w:jc w:val="center"/>
              <w:rPr>
                <w:rFonts w:ascii="宋体" w:hAnsi="宋体"/>
                <w:b/>
                <w:bCs/>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112A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9B30F95">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24" w:type="pct"/>
            <w:vAlign w:val="center"/>
          </w:tcPr>
          <w:p w14:paraId="05698326">
            <w:pPr>
              <w:spacing w:line="360" w:lineRule="auto"/>
              <w:jc w:val="center"/>
              <w:rPr>
                <w:rFonts w:ascii="宋体" w:hAnsi="宋体"/>
                <w:b/>
                <w:bCs/>
                <w:color w:val="auto"/>
                <w:szCs w:val="21"/>
                <w:highlight w:val="none"/>
              </w:rPr>
            </w:pPr>
          </w:p>
        </w:tc>
        <w:tc>
          <w:tcPr>
            <w:tcW w:w="1470" w:type="pct"/>
            <w:vAlign w:val="center"/>
          </w:tcPr>
          <w:p w14:paraId="3BD90F3D">
            <w:pPr>
              <w:spacing w:line="360" w:lineRule="auto"/>
              <w:jc w:val="center"/>
              <w:rPr>
                <w:rFonts w:ascii="宋体" w:hAnsi="宋体"/>
                <w:b/>
                <w:bCs/>
                <w:color w:val="auto"/>
                <w:spacing w:val="-10"/>
                <w:szCs w:val="21"/>
                <w:highlight w:val="none"/>
              </w:rPr>
            </w:pPr>
          </w:p>
        </w:tc>
      </w:tr>
      <w:tr w14:paraId="6C828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2C26FBF">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24" w:type="pct"/>
            <w:vAlign w:val="center"/>
          </w:tcPr>
          <w:p w14:paraId="1845AC4F">
            <w:pPr>
              <w:spacing w:line="360" w:lineRule="auto"/>
              <w:jc w:val="center"/>
              <w:rPr>
                <w:rFonts w:ascii="宋体" w:hAnsi="宋体"/>
                <w:b/>
                <w:bCs/>
                <w:color w:val="auto"/>
                <w:szCs w:val="21"/>
                <w:highlight w:val="none"/>
              </w:rPr>
            </w:pPr>
          </w:p>
        </w:tc>
        <w:tc>
          <w:tcPr>
            <w:tcW w:w="1470" w:type="pct"/>
            <w:vAlign w:val="center"/>
          </w:tcPr>
          <w:p w14:paraId="43F015D6">
            <w:pPr>
              <w:spacing w:line="360" w:lineRule="auto"/>
              <w:jc w:val="center"/>
              <w:rPr>
                <w:rFonts w:ascii="宋体" w:hAnsi="宋体"/>
                <w:b/>
                <w:bCs/>
                <w:color w:val="auto"/>
                <w:spacing w:val="-10"/>
                <w:szCs w:val="21"/>
                <w:highlight w:val="none"/>
              </w:rPr>
            </w:pPr>
          </w:p>
        </w:tc>
      </w:tr>
      <w:tr w14:paraId="1EBA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5E8125A">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24" w:type="pct"/>
            <w:vAlign w:val="center"/>
          </w:tcPr>
          <w:p w14:paraId="1314FD03">
            <w:pPr>
              <w:spacing w:line="360" w:lineRule="auto"/>
              <w:jc w:val="center"/>
              <w:rPr>
                <w:rFonts w:ascii="宋体" w:hAnsi="宋体"/>
                <w:b/>
                <w:bCs/>
                <w:color w:val="auto"/>
                <w:szCs w:val="21"/>
                <w:highlight w:val="none"/>
              </w:rPr>
            </w:pPr>
          </w:p>
        </w:tc>
        <w:tc>
          <w:tcPr>
            <w:tcW w:w="1470" w:type="pct"/>
            <w:vAlign w:val="center"/>
          </w:tcPr>
          <w:p w14:paraId="273B084D">
            <w:pPr>
              <w:spacing w:line="360" w:lineRule="auto"/>
              <w:jc w:val="center"/>
              <w:rPr>
                <w:rFonts w:ascii="宋体" w:hAnsi="宋体"/>
                <w:b/>
                <w:bCs/>
                <w:color w:val="auto"/>
                <w:spacing w:val="-10"/>
                <w:szCs w:val="21"/>
                <w:highlight w:val="none"/>
              </w:rPr>
            </w:pPr>
          </w:p>
        </w:tc>
      </w:tr>
      <w:tr w14:paraId="0546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732B353">
            <w:pPr>
              <w:spacing w:line="360" w:lineRule="auto"/>
              <w:jc w:val="center"/>
              <w:rPr>
                <w:rFonts w:ascii="宋体" w:hAnsi="宋体"/>
                <w:color w:val="auto"/>
                <w:szCs w:val="21"/>
                <w:highlight w:val="none"/>
              </w:rPr>
            </w:pPr>
            <w:r>
              <w:rPr>
                <w:rFonts w:ascii="宋体" w:hAnsi="宋体"/>
                <w:color w:val="auto"/>
                <w:szCs w:val="21"/>
                <w:highlight w:val="none"/>
              </w:rPr>
              <w:t>…</w:t>
            </w:r>
          </w:p>
        </w:tc>
        <w:tc>
          <w:tcPr>
            <w:tcW w:w="3124" w:type="pct"/>
            <w:vAlign w:val="center"/>
          </w:tcPr>
          <w:p w14:paraId="1F166DC4">
            <w:pPr>
              <w:spacing w:line="360" w:lineRule="auto"/>
              <w:jc w:val="center"/>
              <w:rPr>
                <w:rFonts w:ascii="宋体" w:hAnsi="宋体"/>
                <w:b/>
                <w:bCs/>
                <w:color w:val="auto"/>
                <w:szCs w:val="21"/>
                <w:highlight w:val="none"/>
              </w:rPr>
            </w:pPr>
          </w:p>
        </w:tc>
        <w:tc>
          <w:tcPr>
            <w:tcW w:w="1470" w:type="pct"/>
            <w:vAlign w:val="center"/>
          </w:tcPr>
          <w:p w14:paraId="3A7DC049">
            <w:pPr>
              <w:spacing w:line="360" w:lineRule="auto"/>
              <w:jc w:val="center"/>
              <w:rPr>
                <w:rFonts w:ascii="宋体" w:hAnsi="宋体"/>
                <w:b/>
                <w:bCs/>
                <w:color w:val="auto"/>
                <w:spacing w:val="-10"/>
                <w:szCs w:val="21"/>
                <w:highlight w:val="none"/>
              </w:rPr>
            </w:pPr>
          </w:p>
        </w:tc>
      </w:tr>
    </w:tbl>
    <w:p w14:paraId="7CB58E6C">
      <w:pPr>
        <w:spacing w:before="156" w:beforeLines="50" w:line="360" w:lineRule="auto"/>
        <w:rPr>
          <w:rFonts w:ascii="宋体" w:hAnsi="宋体"/>
          <w:color w:val="auto"/>
          <w:spacing w:val="-4"/>
          <w:szCs w:val="21"/>
          <w:highlight w:val="none"/>
        </w:rPr>
      </w:pPr>
      <w:r>
        <w:rPr>
          <w:rFonts w:hint="eastAsia" w:ascii="宋体" w:hAnsi="宋体"/>
          <w:color w:val="auto"/>
          <w:spacing w:val="-4"/>
          <w:szCs w:val="21"/>
          <w:highlight w:val="none"/>
        </w:rPr>
        <w:t>注：</w:t>
      </w:r>
      <w:r>
        <w:rPr>
          <w:rFonts w:ascii="宋体" w:hAnsi="宋体"/>
          <w:color w:val="auto"/>
          <w:kern w:val="0"/>
          <w:szCs w:val="21"/>
          <w:highlight w:val="none"/>
          <w:lang w:eastAsia="zh-Hans"/>
        </w:rPr>
        <w:t>“</w:t>
      </w:r>
      <w:r>
        <w:rPr>
          <w:rFonts w:hint="eastAsia" w:ascii="宋体" w:hAnsi="宋体"/>
          <w:color w:val="auto"/>
          <w:szCs w:val="21"/>
          <w:highlight w:val="none"/>
        </w:rPr>
        <w:t>审查内容</w:t>
      </w:r>
      <w:r>
        <w:rPr>
          <w:rFonts w:ascii="宋体" w:hAnsi="宋体"/>
          <w:color w:val="auto"/>
          <w:kern w:val="0"/>
          <w:szCs w:val="21"/>
          <w:highlight w:val="none"/>
          <w:lang w:eastAsia="zh-Hans"/>
        </w:rPr>
        <w:t>”</w:t>
      </w:r>
      <w:r>
        <w:rPr>
          <w:rFonts w:hint="eastAsia" w:ascii="宋体" w:hAnsi="宋体"/>
          <w:color w:val="auto"/>
          <w:szCs w:val="21"/>
          <w:highlight w:val="none"/>
        </w:rPr>
        <w:t xml:space="preserve">按磋商文件《第四章 </w:t>
      </w:r>
      <w:r>
        <w:rPr>
          <w:rFonts w:ascii="宋体" w:hAnsi="宋体"/>
          <w:color w:val="auto"/>
          <w:szCs w:val="21"/>
          <w:highlight w:val="none"/>
        </w:rPr>
        <w:t>评审</w:t>
      </w:r>
      <w:r>
        <w:rPr>
          <w:rFonts w:hint="eastAsia" w:ascii="宋体" w:hAnsi="宋体"/>
          <w:color w:val="auto"/>
          <w:szCs w:val="21"/>
          <w:highlight w:val="none"/>
        </w:rPr>
        <w:t>》之</w:t>
      </w:r>
      <w:r>
        <w:rPr>
          <w:rFonts w:ascii="宋体" w:hAnsi="宋体"/>
          <w:b/>
          <w:bCs/>
          <w:color w:val="auto"/>
          <w:kern w:val="0"/>
          <w:szCs w:val="21"/>
          <w:highlight w:val="none"/>
          <w:u w:val="single"/>
          <w:lang w:eastAsia="zh-Hans"/>
        </w:rPr>
        <w:t>表一资格性审查表</w:t>
      </w:r>
      <w:r>
        <w:rPr>
          <w:rFonts w:hint="eastAsia" w:ascii="宋体" w:hAnsi="宋体"/>
          <w:b/>
          <w:bCs/>
          <w:color w:val="auto"/>
          <w:kern w:val="0"/>
          <w:szCs w:val="21"/>
          <w:highlight w:val="none"/>
          <w:u w:val="single"/>
          <w:lang w:eastAsia="zh-Hans"/>
        </w:rPr>
        <w:t>、</w:t>
      </w:r>
      <w:r>
        <w:rPr>
          <w:rFonts w:hint="eastAsia" w:ascii="宋体" w:hAnsi="宋体"/>
          <w:b/>
          <w:bCs/>
          <w:color w:val="auto"/>
          <w:szCs w:val="21"/>
          <w:highlight w:val="none"/>
          <w:u w:val="single"/>
        </w:rPr>
        <w:t>表二符合性审查表</w:t>
      </w:r>
      <w:r>
        <w:rPr>
          <w:rFonts w:hint="eastAsia" w:ascii="宋体" w:hAnsi="宋体"/>
          <w:color w:val="auto"/>
          <w:szCs w:val="21"/>
          <w:highlight w:val="none"/>
        </w:rPr>
        <w:t>相对应条款填写。</w:t>
      </w:r>
    </w:p>
    <w:p w14:paraId="5C25ADC2">
      <w:pPr>
        <w:pageBreakBefore/>
        <w:tabs>
          <w:tab w:val="left" w:pos="284"/>
          <w:tab w:val="left" w:pos="426"/>
          <w:tab w:val="left" w:pos="709"/>
        </w:tabs>
        <w:jc w:val="left"/>
        <w:rPr>
          <w:rFonts w:ascii="宋体" w:hAnsi="宋体"/>
          <w:b/>
          <w:bCs/>
          <w:color w:val="auto"/>
          <w:szCs w:val="21"/>
          <w:highlight w:val="none"/>
        </w:rPr>
      </w:pPr>
      <w:bookmarkStart w:id="50" w:name="_Hlk169787866"/>
      <w:r>
        <w:rPr>
          <w:rFonts w:ascii="宋体" w:hAnsi="宋体"/>
          <w:b/>
          <w:bCs/>
          <w:color w:val="auto"/>
          <w:sz w:val="24"/>
          <w:szCs w:val="24"/>
          <w:highlight w:val="none"/>
        </w:rPr>
        <w:t>详细评审</w:t>
      </w:r>
      <w:r>
        <w:rPr>
          <w:rFonts w:hint="eastAsia" w:ascii="宋体" w:hAnsi="宋体"/>
          <w:b/>
          <w:bCs/>
          <w:color w:val="auto"/>
          <w:sz w:val="24"/>
          <w:szCs w:val="24"/>
          <w:highlight w:val="none"/>
        </w:rPr>
        <w:t>索引表</w:t>
      </w:r>
      <w:bookmarkEnd w:id="50"/>
      <w:r>
        <w:rPr>
          <w:rFonts w:hint="eastAsia" w:ascii="宋体" w:hAnsi="宋体"/>
          <w:b/>
          <w:bCs/>
          <w:color w:val="auto"/>
          <w:sz w:val="24"/>
          <w:szCs w:val="24"/>
          <w:highlight w:val="none"/>
        </w:rPr>
        <w:t>格式</w:t>
      </w:r>
    </w:p>
    <w:p w14:paraId="2C87D44E">
      <w:pPr>
        <w:spacing w:before="312" w:beforeLines="100" w:after="312" w:afterLines="100"/>
        <w:jc w:val="center"/>
        <w:rPr>
          <w:rFonts w:ascii="宋体" w:hAnsi="宋体"/>
          <w:b/>
          <w:color w:val="auto"/>
          <w:spacing w:val="20"/>
          <w:szCs w:val="21"/>
          <w:highlight w:val="none"/>
        </w:rPr>
      </w:pPr>
      <w:r>
        <w:rPr>
          <w:rFonts w:ascii="宋体" w:hAnsi="宋体"/>
          <w:b/>
          <w:color w:val="auto"/>
          <w:spacing w:val="20"/>
          <w:sz w:val="28"/>
          <w:szCs w:val="28"/>
          <w:highlight w:val="none"/>
        </w:rPr>
        <w:t>详细评审</w:t>
      </w:r>
      <w:r>
        <w:rPr>
          <w:rFonts w:hint="eastAsia" w:ascii="宋体" w:hAnsi="宋体"/>
          <w:b/>
          <w:color w:val="auto"/>
          <w:spacing w:val="20"/>
          <w:sz w:val="28"/>
          <w:szCs w:val="28"/>
          <w:highlight w:val="none"/>
        </w:rPr>
        <w:t>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C8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1E86C3B">
            <w:pPr>
              <w:spacing w:line="360" w:lineRule="auto"/>
              <w:jc w:val="center"/>
              <w:rPr>
                <w:rFonts w:ascii="宋体" w:hAnsi="宋体"/>
                <w:b/>
                <w:color w:val="auto"/>
                <w:sz w:val="24"/>
                <w:szCs w:val="24"/>
                <w:highlight w:val="none"/>
              </w:rPr>
            </w:pPr>
            <w:r>
              <w:rPr>
                <w:rFonts w:hint="eastAsia" w:ascii="宋体"/>
                <w:b/>
                <w:color w:val="auto"/>
                <w:szCs w:val="21"/>
                <w:highlight w:val="none"/>
              </w:rPr>
              <w:t>商务评审细则</w:t>
            </w:r>
          </w:p>
        </w:tc>
      </w:tr>
      <w:tr w14:paraId="36A39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D06CF">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914" w:type="pct"/>
            <w:vAlign w:val="center"/>
          </w:tcPr>
          <w:p w14:paraId="33DB1E93">
            <w:pPr>
              <w:spacing w:line="360" w:lineRule="auto"/>
              <w:jc w:val="center"/>
              <w:rPr>
                <w:rFonts w:ascii="宋体" w:hAnsi="宋体"/>
                <w:b/>
                <w:color w:val="auto"/>
                <w:szCs w:val="21"/>
                <w:highlight w:val="none"/>
              </w:rPr>
            </w:pPr>
            <w:r>
              <w:rPr>
                <w:rFonts w:hint="eastAsia" w:ascii="宋体" w:hAnsi="宋体"/>
                <w:b/>
                <w:color w:val="auto"/>
                <w:szCs w:val="21"/>
                <w:highlight w:val="none"/>
              </w:rPr>
              <w:t>评分内容</w:t>
            </w:r>
          </w:p>
        </w:tc>
        <w:tc>
          <w:tcPr>
            <w:tcW w:w="1994" w:type="pct"/>
            <w:vAlign w:val="center"/>
          </w:tcPr>
          <w:p w14:paraId="7830AC0A">
            <w:pPr>
              <w:spacing w:line="360" w:lineRule="auto"/>
              <w:jc w:val="center"/>
              <w:rPr>
                <w:rFonts w:ascii="宋体" w:hAnsi="宋体"/>
                <w:b/>
                <w:color w:val="auto"/>
                <w:szCs w:val="21"/>
                <w:highlight w:val="none"/>
              </w:rPr>
            </w:pPr>
            <w:r>
              <w:rPr>
                <w:rFonts w:hint="eastAsia" w:ascii="宋体" w:hAnsi="宋体"/>
                <w:b/>
                <w:color w:val="auto"/>
                <w:szCs w:val="21"/>
                <w:highlight w:val="none"/>
              </w:rPr>
              <w:t>评分标准</w:t>
            </w:r>
          </w:p>
        </w:tc>
        <w:tc>
          <w:tcPr>
            <w:tcW w:w="1445" w:type="pct"/>
            <w:vAlign w:val="center"/>
          </w:tcPr>
          <w:p w14:paraId="7E44F623">
            <w:pPr>
              <w:spacing w:line="360" w:lineRule="auto"/>
              <w:jc w:val="center"/>
              <w:rPr>
                <w:rFonts w:ascii="宋体" w:hAnsi="宋体"/>
                <w:b/>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3039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DB0B627">
            <w:pPr>
              <w:spacing w:line="360" w:lineRule="auto"/>
              <w:jc w:val="center"/>
              <w:rPr>
                <w:rFonts w:ascii="宋体" w:hAnsi="宋体"/>
                <w:b/>
                <w:color w:val="auto"/>
                <w:szCs w:val="21"/>
                <w:highlight w:val="none"/>
              </w:rPr>
            </w:pPr>
          </w:p>
        </w:tc>
        <w:tc>
          <w:tcPr>
            <w:tcW w:w="914" w:type="pct"/>
            <w:vAlign w:val="center"/>
          </w:tcPr>
          <w:p w14:paraId="3F48D122">
            <w:pPr>
              <w:spacing w:line="360" w:lineRule="auto"/>
              <w:jc w:val="center"/>
              <w:rPr>
                <w:rFonts w:ascii="宋体" w:hAnsi="宋体"/>
                <w:b/>
                <w:color w:val="auto"/>
                <w:szCs w:val="21"/>
                <w:highlight w:val="none"/>
              </w:rPr>
            </w:pPr>
          </w:p>
        </w:tc>
        <w:tc>
          <w:tcPr>
            <w:tcW w:w="1994" w:type="pct"/>
            <w:vAlign w:val="center"/>
          </w:tcPr>
          <w:p w14:paraId="678BCC75">
            <w:pPr>
              <w:spacing w:line="360" w:lineRule="auto"/>
              <w:jc w:val="center"/>
              <w:rPr>
                <w:rFonts w:ascii="宋体" w:hAnsi="宋体"/>
                <w:b/>
                <w:color w:val="auto"/>
                <w:szCs w:val="21"/>
                <w:highlight w:val="none"/>
              </w:rPr>
            </w:pPr>
          </w:p>
        </w:tc>
        <w:tc>
          <w:tcPr>
            <w:tcW w:w="1445" w:type="pct"/>
            <w:vAlign w:val="center"/>
          </w:tcPr>
          <w:p w14:paraId="792F8CCD">
            <w:pPr>
              <w:spacing w:line="360" w:lineRule="auto"/>
              <w:jc w:val="center"/>
              <w:rPr>
                <w:rFonts w:ascii="宋体" w:hAnsi="宋体"/>
                <w:b/>
                <w:color w:val="auto"/>
                <w:szCs w:val="21"/>
                <w:highlight w:val="none"/>
              </w:rPr>
            </w:pPr>
          </w:p>
        </w:tc>
      </w:tr>
      <w:tr w14:paraId="2D1B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238CF1">
            <w:pPr>
              <w:spacing w:line="360" w:lineRule="auto"/>
              <w:jc w:val="center"/>
              <w:rPr>
                <w:rFonts w:ascii="宋体" w:hAnsi="宋体"/>
                <w:b/>
                <w:color w:val="auto"/>
                <w:szCs w:val="21"/>
                <w:highlight w:val="none"/>
              </w:rPr>
            </w:pPr>
          </w:p>
        </w:tc>
        <w:tc>
          <w:tcPr>
            <w:tcW w:w="914" w:type="pct"/>
            <w:vAlign w:val="center"/>
          </w:tcPr>
          <w:p w14:paraId="0DE2CA54">
            <w:pPr>
              <w:spacing w:line="360" w:lineRule="auto"/>
              <w:jc w:val="center"/>
              <w:rPr>
                <w:rFonts w:ascii="宋体" w:hAnsi="宋体"/>
                <w:b/>
                <w:color w:val="auto"/>
                <w:szCs w:val="21"/>
                <w:highlight w:val="none"/>
              </w:rPr>
            </w:pPr>
          </w:p>
        </w:tc>
        <w:tc>
          <w:tcPr>
            <w:tcW w:w="1994" w:type="pct"/>
            <w:vAlign w:val="center"/>
          </w:tcPr>
          <w:p w14:paraId="5078A4A6">
            <w:pPr>
              <w:spacing w:line="360" w:lineRule="auto"/>
              <w:jc w:val="center"/>
              <w:rPr>
                <w:rFonts w:ascii="宋体" w:hAnsi="宋体"/>
                <w:b/>
                <w:color w:val="auto"/>
                <w:szCs w:val="21"/>
                <w:highlight w:val="none"/>
              </w:rPr>
            </w:pPr>
          </w:p>
        </w:tc>
        <w:tc>
          <w:tcPr>
            <w:tcW w:w="1445" w:type="pct"/>
            <w:vAlign w:val="center"/>
          </w:tcPr>
          <w:p w14:paraId="3F514D9F">
            <w:pPr>
              <w:spacing w:line="360" w:lineRule="auto"/>
              <w:jc w:val="center"/>
              <w:rPr>
                <w:rFonts w:ascii="宋体" w:hAnsi="宋体"/>
                <w:b/>
                <w:color w:val="auto"/>
                <w:szCs w:val="21"/>
                <w:highlight w:val="none"/>
              </w:rPr>
            </w:pPr>
          </w:p>
        </w:tc>
      </w:tr>
      <w:tr w14:paraId="21E9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60A53B1">
            <w:pPr>
              <w:spacing w:line="360" w:lineRule="auto"/>
              <w:jc w:val="center"/>
              <w:rPr>
                <w:rFonts w:ascii="宋体" w:hAnsi="宋体"/>
                <w:b/>
                <w:color w:val="auto"/>
                <w:szCs w:val="21"/>
                <w:highlight w:val="none"/>
              </w:rPr>
            </w:pPr>
          </w:p>
        </w:tc>
        <w:tc>
          <w:tcPr>
            <w:tcW w:w="914" w:type="pct"/>
            <w:vAlign w:val="center"/>
          </w:tcPr>
          <w:p w14:paraId="253978E8">
            <w:pPr>
              <w:spacing w:line="360" w:lineRule="auto"/>
              <w:jc w:val="center"/>
              <w:rPr>
                <w:rFonts w:ascii="宋体" w:hAnsi="宋体"/>
                <w:b/>
                <w:color w:val="auto"/>
                <w:szCs w:val="21"/>
                <w:highlight w:val="none"/>
              </w:rPr>
            </w:pPr>
          </w:p>
        </w:tc>
        <w:tc>
          <w:tcPr>
            <w:tcW w:w="1994" w:type="pct"/>
            <w:vAlign w:val="center"/>
          </w:tcPr>
          <w:p w14:paraId="28E01A53">
            <w:pPr>
              <w:spacing w:line="360" w:lineRule="auto"/>
              <w:jc w:val="center"/>
              <w:rPr>
                <w:rFonts w:ascii="宋体" w:hAnsi="宋体"/>
                <w:b/>
                <w:color w:val="auto"/>
                <w:szCs w:val="21"/>
                <w:highlight w:val="none"/>
              </w:rPr>
            </w:pPr>
          </w:p>
        </w:tc>
        <w:tc>
          <w:tcPr>
            <w:tcW w:w="1445" w:type="pct"/>
            <w:vAlign w:val="center"/>
          </w:tcPr>
          <w:p w14:paraId="385EA4EA">
            <w:pPr>
              <w:spacing w:line="360" w:lineRule="auto"/>
              <w:jc w:val="center"/>
              <w:rPr>
                <w:rFonts w:ascii="宋体" w:hAnsi="宋体"/>
                <w:b/>
                <w:color w:val="auto"/>
                <w:szCs w:val="21"/>
                <w:highlight w:val="none"/>
              </w:rPr>
            </w:pPr>
          </w:p>
        </w:tc>
      </w:tr>
      <w:tr w14:paraId="23D0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4CB46FB">
            <w:pPr>
              <w:spacing w:line="360" w:lineRule="auto"/>
              <w:jc w:val="center"/>
              <w:rPr>
                <w:rFonts w:ascii="宋体" w:hAnsi="宋体"/>
                <w:b/>
                <w:color w:val="auto"/>
                <w:szCs w:val="21"/>
                <w:highlight w:val="none"/>
              </w:rPr>
            </w:pPr>
          </w:p>
        </w:tc>
        <w:tc>
          <w:tcPr>
            <w:tcW w:w="914" w:type="pct"/>
            <w:vAlign w:val="center"/>
          </w:tcPr>
          <w:p w14:paraId="556ED91C">
            <w:pPr>
              <w:spacing w:line="360" w:lineRule="auto"/>
              <w:jc w:val="center"/>
              <w:rPr>
                <w:rFonts w:ascii="宋体" w:hAnsi="宋体"/>
                <w:b/>
                <w:color w:val="auto"/>
                <w:szCs w:val="21"/>
                <w:highlight w:val="none"/>
              </w:rPr>
            </w:pPr>
          </w:p>
        </w:tc>
        <w:tc>
          <w:tcPr>
            <w:tcW w:w="1994" w:type="pct"/>
            <w:vAlign w:val="center"/>
          </w:tcPr>
          <w:p w14:paraId="188BDD6B">
            <w:pPr>
              <w:spacing w:line="360" w:lineRule="auto"/>
              <w:jc w:val="center"/>
              <w:rPr>
                <w:rFonts w:ascii="宋体" w:hAnsi="宋体"/>
                <w:b/>
                <w:color w:val="auto"/>
                <w:szCs w:val="21"/>
                <w:highlight w:val="none"/>
              </w:rPr>
            </w:pPr>
          </w:p>
        </w:tc>
        <w:tc>
          <w:tcPr>
            <w:tcW w:w="1445" w:type="pct"/>
            <w:vAlign w:val="center"/>
          </w:tcPr>
          <w:p w14:paraId="48BA07F8">
            <w:pPr>
              <w:spacing w:line="360" w:lineRule="auto"/>
              <w:jc w:val="center"/>
              <w:rPr>
                <w:rFonts w:ascii="宋体" w:hAnsi="宋体"/>
                <w:b/>
                <w:color w:val="auto"/>
                <w:szCs w:val="21"/>
                <w:highlight w:val="none"/>
              </w:rPr>
            </w:pPr>
          </w:p>
        </w:tc>
      </w:tr>
      <w:tr w14:paraId="1DC6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DCEEEE">
            <w:pPr>
              <w:spacing w:line="360" w:lineRule="auto"/>
              <w:jc w:val="center"/>
              <w:rPr>
                <w:rFonts w:ascii="宋体" w:hAnsi="宋体"/>
                <w:b/>
                <w:color w:val="auto"/>
                <w:sz w:val="24"/>
                <w:szCs w:val="24"/>
                <w:highlight w:val="none"/>
              </w:rPr>
            </w:pPr>
            <w:r>
              <w:rPr>
                <w:rFonts w:hint="eastAsia" w:ascii="宋体"/>
                <w:b/>
                <w:color w:val="auto"/>
                <w:szCs w:val="21"/>
                <w:highlight w:val="none"/>
              </w:rPr>
              <w:t>技术评审细则</w:t>
            </w:r>
          </w:p>
        </w:tc>
      </w:tr>
      <w:tr w14:paraId="0578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F6ED45">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914" w:type="pct"/>
            <w:vAlign w:val="center"/>
          </w:tcPr>
          <w:p w14:paraId="6EF96A1F">
            <w:pPr>
              <w:spacing w:line="360" w:lineRule="auto"/>
              <w:jc w:val="center"/>
              <w:rPr>
                <w:rFonts w:ascii="宋体" w:hAnsi="宋体"/>
                <w:b/>
                <w:color w:val="auto"/>
                <w:szCs w:val="21"/>
                <w:highlight w:val="none"/>
              </w:rPr>
            </w:pPr>
            <w:r>
              <w:rPr>
                <w:rFonts w:hint="eastAsia" w:ascii="宋体" w:hAnsi="宋体"/>
                <w:b/>
                <w:color w:val="auto"/>
                <w:szCs w:val="21"/>
                <w:highlight w:val="none"/>
              </w:rPr>
              <w:t>评分内容</w:t>
            </w:r>
          </w:p>
        </w:tc>
        <w:tc>
          <w:tcPr>
            <w:tcW w:w="1994" w:type="pct"/>
            <w:vAlign w:val="center"/>
          </w:tcPr>
          <w:p w14:paraId="7169236A">
            <w:pPr>
              <w:spacing w:line="360" w:lineRule="auto"/>
              <w:jc w:val="center"/>
              <w:rPr>
                <w:rFonts w:ascii="宋体" w:hAnsi="宋体"/>
                <w:b/>
                <w:color w:val="auto"/>
                <w:szCs w:val="21"/>
                <w:highlight w:val="none"/>
              </w:rPr>
            </w:pPr>
            <w:r>
              <w:rPr>
                <w:rFonts w:hint="eastAsia" w:ascii="宋体" w:hAnsi="宋体"/>
                <w:b/>
                <w:color w:val="auto"/>
                <w:szCs w:val="21"/>
                <w:highlight w:val="none"/>
              </w:rPr>
              <w:t>评分标准</w:t>
            </w:r>
          </w:p>
        </w:tc>
        <w:tc>
          <w:tcPr>
            <w:tcW w:w="1445" w:type="pct"/>
            <w:vAlign w:val="center"/>
          </w:tcPr>
          <w:p w14:paraId="698098F5">
            <w:pPr>
              <w:spacing w:line="360" w:lineRule="auto"/>
              <w:jc w:val="center"/>
              <w:rPr>
                <w:rFonts w:ascii="宋体" w:hAnsi="宋体"/>
                <w:b/>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536A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5557BD">
            <w:pPr>
              <w:spacing w:line="360" w:lineRule="auto"/>
              <w:jc w:val="center"/>
              <w:rPr>
                <w:rFonts w:ascii="宋体" w:hAnsi="宋体"/>
                <w:b/>
                <w:color w:val="auto"/>
                <w:szCs w:val="21"/>
                <w:highlight w:val="none"/>
              </w:rPr>
            </w:pPr>
          </w:p>
        </w:tc>
        <w:tc>
          <w:tcPr>
            <w:tcW w:w="914" w:type="pct"/>
            <w:vAlign w:val="center"/>
          </w:tcPr>
          <w:p w14:paraId="6413B404">
            <w:pPr>
              <w:spacing w:line="360" w:lineRule="auto"/>
              <w:jc w:val="center"/>
              <w:rPr>
                <w:rFonts w:ascii="宋体" w:hAnsi="宋体"/>
                <w:b/>
                <w:color w:val="auto"/>
                <w:szCs w:val="21"/>
                <w:highlight w:val="none"/>
              </w:rPr>
            </w:pPr>
          </w:p>
        </w:tc>
        <w:tc>
          <w:tcPr>
            <w:tcW w:w="1994" w:type="pct"/>
            <w:vAlign w:val="center"/>
          </w:tcPr>
          <w:p w14:paraId="62EDECCB">
            <w:pPr>
              <w:spacing w:line="360" w:lineRule="auto"/>
              <w:jc w:val="center"/>
              <w:rPr>
                <w:rFonts w:ascii="宋体" w:hAnsi="宋体"/>
                <w:b/>
                <w:color w:val="auto"/>
                <w:szCs w:val="21"/>
                <w:highlight w:val="none"/>
              </w:rPr>
            </w:pPr>
          </w:p>
        </w:tc>
        <w:tc>
          <w:tcPr>
            <w:tcW w:w="1445" w:type="pct"/>
            <w:vAlign w:val="center"/>
          </w:tcPr>
          <w:p w14:paraId="5CA224CD">
            <w:pPr>
              <w:spacing w:line="360" w:lineRule="auto"/>
              <w:jc w:val="center"/>
              <w:rPr>
                <w:rFonts w:ascii="宋体" w:hAnsi="宋体"/>
                <w:b/>
                <w:color w:val="auto"/>
                <w:szCs w:val="21"/>
                <w:highlight w:val="none"/>
              </w:rPr>
            </w:pPr>
          </w:p>
        </w:tc>
      </w:tr>
      <w:tr w14:paraId="2BF5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E63F242">
            <w:pPr>
              <w:spacing w:line="360" w:lineRule="auto"/>
              <w:jc w:val="center"/>
              <w:rPr>
                <w:rFonts w:ascii="宋体" w:hAnsi="宋体"/>
                <w:b/>
                <w:color w:val="auto"/>
                <w:szCs w:val="21"/>
                <w:highlight w:val="none"/>
              </w:rPr>
            </w:pPr>
          </w:p>
        </w:tc>
        <w:tc>
          <w:tcPr>
            <w:tcW w:w="914" w:type="pct"/>
            <w:vAlign w:val="center"/>
          </w:tcPr>
          <w:p w14:paraId="1B51B2D5">
            <w:pPr>
              <w:spacing w:line="360" w:lineRule="auto"/>
              <w:jc w:val="center"/>
              <w:rPr>
                <w:rFonts w:ascii="宋体" w:hAnsi="宋体"/>
                <w:b/>
                <w:color w:val="auto"/>
                <w:szCs w:val="21"/>
                <w:highlight w:val="none"/>
              </w:rPr>
            </w:pPr>
          </w:p>
        </w:tc>
        <w:tc>
          <w:tcPr>
            <w:tcW w:w="1994" w:type="pct"/>
            <w:vAlign w:val="center"/>
          </w:tcPr>
          <w:p w14:paraId="28465B97">
            <w:pPr>
              <w:spacing w:line="360" w:lineRule="auto"/>
              <w:jc w:val="center"/>
              <w:rPr>
                <w:rFonts w:ascii="宋体" w:hAnsi="宋体"/>
                <w:b/>
                <w:color w:val="auto"/>
                <w:szCs w:val="21"/>
                <w:highlight w:val="none"/>
              </w:rPr>
            </w:pPr>
          </w:p>
        </w:tc>
        <w:tc>
          <w:tcPr>
            <w:tcW w:w="1445" w:type="pct"/>
            <w:vAlign w:val="center"/>
          </w:tcPr>
          <w:p w14:paraId="2E346AE6">
            <w:pPr>
              <w:spacing w:line="360" w:lineRule="auto"/>
              <w:jc w:val="center"/>
              <w:rPr>
                <w:rFonts w:ascii="宋体" w:hAnsi="宋体"/>
                <w:b/>
                <w:color w:val="auto"/>
                <w:szCs w:val="21"/>
                <w:highlight w:val="none"/>
              </w:rPr>
            </w:pPr>
          </w:p>
        </w:tc>
      </w:tr>
      <w:tr w14:paraId="25FE9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7F1292">
            <w:pPr>
              <w:spacing w:line="360" w:lineRule="auto"/>
              <w:jc w:val="center"/>
              <w:rPr>
                <w:rFonts w:ascii="宋体" w:hAnsi="宋体"/>
                <w:b/>
                <w:color w:val="auto"/>
                <w:szCs w:val="21"/>
                <w:highlight w:val="none"/>
              </w:rPr>
            </w:pPr>
          </w:p>
        </w:tc>
        <w:tc>
          <w:tcPr>
            <w:tcW w:w="914" w:type="pct"/>
            <w:vAlign w:val="center"/>
          </w:tcPr>
          <w:p w14:paraId="52F838BD">
            <w:pPr>
              <w:spacing w:line="360" w:lineRule="auto"/>
              <w:jc w:val="center"/>
              <w:rPr>
                <w:rFonts w:ascii="宋体" w:hAnsi="宋体"/>
                <w:b/>
                <w:color w:val="auto"/>
                <w:szCs w:val="21"/>
                <w:highlight w:val="none"/>
              </w:rPr>
            </w:pPr>
          </w:p>
        </w:tc>
        <w:tc>
          <w:tcPr>
            <w:tcW w:w="1994" w:type="pct"/>
            <w:vAlign w:val="center"/>
          </w:tcPr>
          <w:p w14:paraId="17A5925D">
            <w:pPr>
              <w:spacing w:line="360" w:lineRule="auto"/>
              <w:jc w:val="center"/>
              <w:rPr>
                <w:rFonts w:ascii="宋体" w:hAnsi="宋体"/>
                <w:b/>
                <w:color w:val="auto"/>
                <w:szCs w:val="21"/>
                <w:highlight w:val="none"/>
              </w:rPr>
            </w:pPr>
          </w:p>
        </w:tc>
        <w:tc>
          <w:tcPr>
            <w:tcW w:w="1445" w:type="pct"/>
            <w:vAlign w:val="center"/>
          </w:tcPr>
          <w:p w14:paraId="45ECBC3F">
            <w:pPr>
              <w:spacing w:line="360" w:lineRule="auto"/>
              <w:jc w:val="center"/>
              <w:rPr>
                <w:rFonts w:ascii="宋体" w:hAnsi="宋体"/>
                <w:b/>
                <w:color w:val="auto"/>
                <w:szCs w:val="21"/>
                <w:highlight w:val="none"/>
              </w:rPr>
            </w:pPr>
          </w:p>
        </w:tc>
      </w:tr>
      <w:tr w14:paraId="5CBB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392C79D">
            <w:pPr>
              <w:spacing w:line="360" w:lineRule="auto"/>
              <w:jc w:val="center"/>
              <w:rPr>
                <w:rFonts w:ascii="宋体" w:hAnsi="宋体"/>
                <w:b/>
                <w:color w:val="auto"/>
                <w:szCs w:val="21"/>
                <w:highlight w:val="none"/>
              </w:rPr>
            </w:pPr>
          </w:p>
        </w:tc>
        <w:tc>
          <w:tcPr>
            <w:tcW w:w="914" w:type="pct"/>
            <w:vAlign w:val="center"/>
          </w:tcPr>
          <w:p w14:paraId="21009E77">
            <w:pPr>
              <w:spacing w:line="360" w:lineRule="auto"/>
              <w:jc w:val="center"/>
              <w:rPr>
                <w:rFonts w:ascii="宋体" w:hAnsi="宋体"/>
                <w:b/>
                <w:color w:val="auto"/>
                <w:szCs w:val="21"/>
                <w:highlight w:val="none"/>
              </w:rPr>
            </w:pPr>
          </w:p>
        </w:tc>
        <w:tc>
          <w:tcPr>
            <w:tcW w:w="1994" w:type="pct"/>
            <w:vAlign w:val="center"/>
          </w:tcPr>
          <w:p w14:paraId="2FCBF933">
            <w:pPr>
              <w:spacing w:line="360" w:lineRule="auto"/>
              <w:jc w:val="center"/>
              <w:rPr>
                <w:rFonts w:ascii="宋体" w:hAnsi="宋体"/>
                <w:b/>
                <w:color w:val="auto"/>
                <w:szCs w:val="21"/>
                <w:highlight w:val="none"/>
              </w:rPr>
            </w:pPr>
          </w:p>
        </w:tc>
        <w:tc>
          <w:tcPr>
            <w:tcW w:w="1445" w:type="pct"/>
            <w:vAlign w:val="center"/>
          </w:tcPr>
          <w:p w14:paraId="3F23D552">
            <w:pPr>
              <w:spacing w:line="360" w:lineRule="auto"/>
              <w:jc w:val="center"/>
              <w:rPr>
                <w:rFonts w:ascii="宋体" w:hAnsi="宋体"/>
                <w:b/>
                <w:color w:val="auto"/>
                <w:szCs w:val="21"/>
                <w:highlight w:val="none"/>
              </w:rPr>
            </w:pPr>
          </w:p>
        </w:tc>
      </w:tr>
      <w:tr w14:paraId="186C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0912986">
            <w:pPr>
              <w:spacing w:line="360" w:lineRule="auto"/>
              <w:jc w:val="center"/>
              <w:rPr>
                <w:rFonts w:ascii="宋体" w:hAnsi="宋体"/>
                <w:b/>
                <w:color w:val="auto"/>
                <w:szCs w:val="21"/>
                <w:highlight w:val="none"/>
              </w:rPr>
            </w:pPr>
          </w:p>
        </w:tc>
        <w:tc>
          <w:tcPr>
            <w:tcW w:w="914" w:type="pct"/>
            <w:vAlign w:val="center"/>
          </w:tcPr>
          <w:p w14:paraId="7BF2CB20">
            <w:pPr>
              <w:spacing w:line="360" w:lineRule="auto"/>
              <w:jc w:val="center"/>
              <w:rPr>
                <w:rFonts w:ascii="宋体" w:hAnsi="宋体"/>
                <w:b/>
                <w:color w:val="auto"/>
                <w:szCs w:val="21"/>
                <w:highlight w:val="none"/>
              </w:rPr>
            </w:pPr>
          </w:p>
        </w:tc>
        <w:tc>
          <w:tcPr>
            <w:tcW w:w="1994" w:type="pct"/>
            <w:vAlign w:val="center"/>
          </w:tcPr>
          <w:p w14:paraId="2C677579">
            <w:pPr>
              <w:spacing w:line="360" w:lineRule="auto"/>
              <w:jc w:val="center"/>
              <w:rPr>
                <w:rFonts w:ascii="宋体" w:hAnsi="宋体"/>
                <w:b/>
                <w:color w:val="auto"/>
                <w:szCs w:val="21"/>
                <w:highlight w:val="none"/>
              </w:rPr>
            </w:pPr>
          </w:p>
        </w:tc>
        <w:tc>
          <w:tcPr>
            <w:tcW w:w="1445" w:type="pct"/>
            <w:vAlign w:val="center"/>
          </w:tcPr>
          <w:p w14:paraId="18127DB3">
            <w:pPr>
              <w:spacing w:line="360" w:lineRule="auto"/>
              <w:jc w:val="center"/>
              <w:rPr>
                <w:rFonts w:ascii="宋体" w:hAnsi="宋体"/>
                <w:b/>
                <w:color w:val="auto"/>
                <w:szCs w:val="21"/>
                <w:highlight w:val="none"/>
              </w:rPr>
            </w:pPr>
          </w:p>
        </w:tc>
      </w:tr>
      <w:tr w14:paraId="35FB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5FC1BBC">
            <w:pPr>
              <w:spacing w:line="360" w:lineRule="auto"/>
              <w:jc w:val="center"/>
              <w:rPr>
                <w:rFonts w:ascii="宋体" w:hAnsi="宋体"/>
                <w:b/>
                <w:color w:val="auto"/>
                <w:szCs w:val="21"/>
                <w:highlight w:val="none"/>
              </w:rPr>
            </w:pPr>
          </w:p>
        </w:tc>
        <w:tc>
          <w:tcPr>
            <w:tcW w:w="914" w:type="pct"/>
            <w:vAlign w:val="center"/>
          </w:tcPr>
          <w:p w14:paraId="53C0CE04">
            <w:pPr>
              <w:spacing w:line="360" w:lineRule="auto"/>
              <w:jc w:val="center"/>
              <w:rPr>
                <w:rFonts w:ascii="宋体" w:hAnsi="宋体"/>
                <w:b/>
                <w:color w:val="auto"/>
                <w:szCs w:val="21"/>
                <w:highlight w:val="none"/>
              </w:rPr>
            </w:pPr>
          </w:p>
        </w:tc>
        <w:tc>
          <w:tcPr>
            <w:tcW w:w="1994" w:type="pct"/>
            <w:vAlign w:val="center"/>
          </w:tcPr>
          <w:p w14:paraId="26AC5DAD">
            <w:pPr>
              <w:spacing w:line="360" w:lineRule="auto"/>
              <w:jc w:val="center"/>
              <w:rPr>
                <w:rFonts w:ascii="宋体" w:hAnsi="宋体"/>
                <w:b/>
                <w:color w:val="auto"/>
                <w:szCs w:val="21"/>
                <w:highlight w:val="none"/>
              </w:rPr>
            </w:pPr>
          </w:p>
        </w:tc>
        <w:tc>
          <w:tcPr>
            <w:tcW w:w="1445" w:type="pct"/>
            <w:vAlign w:val="center"/>
          </w:tcPr>
          <w:p w14:paraId="3D9270BE">
            <w:pPr>
              <w:spacing w:line="360" w:lineRule="auto"/>
              <w:jc w:val="center"/>
              <w:rPr>
                <w:rFonts w:ascii="宋体" w:hAnsi="宋体"/>
                <w:b/>
                <w:color w:val="auto"/>
                <w:szCs w:val="21"/>
                <w:highlight w:val="none"/>
              </w:rPr>
            </w:pPr>
          </w:p>
        </w:tc>
      </w:tr>
    </w:tbl>
    <w:p w14:paraId="1EB37938">
      <w:pPr>
        <w:spacing w:before="156" w:beforeLines="50" w:line="360" w:lineRule="auto"/>
        <w:rPr>
          <w:rFonts w:ascii="宋体" w:hAnsi="宋体"/>
          <w:color w:val="auto"/>
          <w:szCs w:val="21"/>
          <w:highlight w:val="none"/>
        </w:rPr>
      </w:pPr>
      <w:r>
        <w:rPr>
          <w:rFonts w:hint="eastAsia" w:ascii="宋体" w:hAnsi="宋体"/>
          <w:color w:val="auto"/>
          <w:szCs w:val="21"/>
          <w:highlight w:val="none"/>
        </w:rPr>
        <w:t>注：按磋商文件</w:t>
      </w:r>
      <w:r>
        <w:rPr>
          <w:rFonts w:ascii="宋体" w:hAnsi="宋体"/>
          <w:color w:val="auto"/>
          <w:szCs w:val="21"/>
          <w:highlight w:val="none"/>
        </w:rPr>
        <w:t>《第四章 评审》之</w:t>
      </w:r>
      <w:r>
        <w:rPr>
          <w:rFonts w:ascii="宋体" w:hAnsi="宋体"/>
          <w:b/>
          <w:bCs/>
          <w:color w:val="auto"/>
          <w:szCs w:val="21"/>
          <w:highlight w:val="none"/>
          <w:u w:val="single"/>
        </w:rPr>
        <w:t>详细评审</w:t>
      </w:r>
      <w:r>
        <w:rPr>
          <w:rFonts w:hint="eastAsia" w:ascii="宋体" w:hAnsi="宋体"/>
          <w:b/>
          <w:bCs/>
          <w:color w:val="auto"/>
          <w:szCs w:val="21"/>
          <w:highlight w:val="none"/>
          <w:u w:val="single"/>
        </w:rPr>
        <w:t>表</w:t>
      </w:r>
      <w:r>
        <w:rPr>
          <w:rFonts w:hint="eastAsia" w:ascii="宋体" w:hAnsi="宋体"/>
          <w:color w:val="auto"/>
          <w:szCs w:val="21"/>
          <w:highlight w:val="none"/>
        </w:rPr>
        <w:t>相对应条款填写。</w:t>
      </w:r>
    </w:p>
    <w:p w14:paraId="663E264B">
      <w:pPr>
        <w:pageBreakBefore/>
        <w:rPr>
          <w:rFonts w:ascii="宋体" w:hAnsi="宋体"/>
          <w:b/>
          <w:bCs/>
          <w:color w:val="auto"/>
          <w:highlight w:val="none"/>
        </w:rPr>
      </w:pPr>
      <w:bookmarkStart w:id="51" w:name="_Toc169799787"/>
      <w:r>
        <w:rPr>
          <w:rFonts w:ascii="宋体" w:hAnsi="宋体"/>
          <w:b/>
          <w:bCs/>
          <w:color w:val="auto"/>
          <w:sz w:val="24"/>
          <w:szCs w:val="28"/>
          <w:highlight w:val="none"/>
        </w:rPr>
        <w:t>格式一：</w:t>
      </w:r>
      <w:bookmarkEnd w:id="51"/>
    </w:p>
    <w:p w14:paraId="794FF9FD">
      <w:pPr>
        <w:widowControl/>
        <w:spacing w:after="312" w:afterLines="100"/>
        <w:jc w:val="center"/>
        <w:outlineLvl w:val="3"/>
        <w:rPr>
          <w:color w:val="auto"/>
          <w:kern w:val="0"/>
          <w:sz w:val="20"/>
          <w:szCs w:val="20"/>
          <w:highlight w:val="none"/>
          <w:lang w:eastAsia="zh-Hans"/>
        </w:rPr>
      </w:pPr>
      <w:r>
        <w:rPr>
          <w:rFonts w:hint="eastAsia"/>
          <w:b/>
          <w:color w:val="auto"/>
          <w:kern w:val="0"/>
          <w:sz w:val="32"/>
          <w:highlight w:val="none"/>
          <w:lang w:eastAsia="zh-Hans"/>
        </w:rPr>
        <w:t>响应承诺</w:t>
      </w:r>
      <w:r>
        <w:rPr>
          <w:b/>
          <w:color w:val="auto"/>
          <w:kern w:val="0"/>
          <w:sz w:val="32"/>
          <w:highlight w:val="none"/>
          <w:lang w:eastAsia="zh-Hans"/>
        </w:rPr>
        <w:t>函</w:t>
      </w:r>
    </w:p>
    <w:p w14:paraId="0C364A96">
      <w:pPr>
        <w:widowControl/>
        <w:spacing w:after="156" w:afterLines="50"/>
        <w:jc w:val="left"/>
        <w:rPr>
          <w:b/>
          <w:bCs/>
          <w:color w:val="auto"/>
          <w:kern w:val="0"/>
          <w:sz w:val="20"/>
          <w:szCs w:val="20"/>
          <w:highlight w:val="none"/>
          <w:lang w:eastAsia="zh-Hans"/>
        </w:rPr>
      </w:pPr>
      <w:r>
        <w:rPr>
          <w:b/>
          <w:bCs/>
          <w:color w:val="auto"/>
          <w:kern w:val="0"/>
          <w:sz w:val="20"/>
          <w:szCs w:val="20"/>
          <w:highlight w:val="none"/>
          <w:lang w:eastAsia="zh-Hans"/>
        </w:rPr>
        <w:t>致</w:t>
      </w:r>
      <w:r>
        <w:rPr>
          <w:rFonts w:hint="eastAsia"/>
          <w:b/>
          <w:bCs/>
          <w:color w:val="auto"/>
          <w:kern w:val="0"/>
          <w:sz w:val="20"/>
          <w:szCs w:val="20"/>
          <w:highlight w:val="none"/>
          <w:lang w:eastAsia="zh-Hans"/>
        </w:rPr>
        <w:t>：</w:t>
      </w:r>
      <w:r>
        <w:rPr>
          <w:b/>
          <w:bCs/>
          <w:color w:val="auto"/>
          <w:kern w:val="0"/>
          <w:sz w:val="20"/>
          <w:szCs w:val="20"/>
          <w:highlight w:val="none"/>
          <w:lang w:eastAsia="zh-Hans"/>
        </w:rPr>
        <w:t>广东智汇城市招标采购有限公司</w:t>
      </w:r>
    </w:p>
    <w:p w14:paraId="19D810B8">
      <w:pPr>
        <w:widowControl/>
        <w:snapToGrid w:val="0"/>
        <w:spacing w:line="360" w:lineRule="auto"/>
        <w:ind w:firstLine="200"/>
        <w:contextualSpacing/>
        <w:jc w:val="left"/>
        <w:rPr>
          <w:color w:val="auto"/>
          <w:kern w:val="0"/>
          <w:szCs w:val="21"/>
          <w:highlight w:val="none"/>
          <w:lang w:eastAsia="zh-Hans"/>
        </w:rPr>
      </w:pPr>
      <w:r>
        <w:rPr>
          <w:color w:val="auto"/>
          <w:kern w:val="0"/>
          <w:szCs w:val="21"/>
          <w:highlight w:val="none"/>
          <w:lang w:eastAsia="zh-Hans"/>
        </w:rPr>
        <w:t>你方组织的</w:t>
      </w:r>
      <w:r>
        <w:rPr>
          <w:rFonts w:hint="eastAsia"/>
          <w:color w:val="auto"/>
          <w:kern w:val="0"/>
          <w:szCs w:val="21"/>
          <w:highlight w:val="none"/>
          <w:u w:val="single"/>
        </w:rPr>
        <w:t xml:space="preserve">    （项目名称）       </w:t>
      </w:r>
      <w:r>
        <w:rPr>
          <w:color w:val="auto"/>
          <w:kern w:val="0"/>
          <w:szCs w:val="21"/>
          <w:highlight w:val="none"/>
          <w:lang w:eastAsia="zh-Hans"/>
        </w:rPr>
        <w:t>的</w:t>
      </w:r>
      <w:r>
        <w:rPr>
          <w:rFonts w:hint="eastAsia"/>
          <w:color w:val="auto"/>
          <w:kern w:val="0"/>
          <w:szCs w:val="21"/>
          <w:highlight w:val="none"/>
          <w:lang w:eastAsia="zh-Hans"/>
        </w:rPr>
        <w:t>竞争性磋商（</w:t>
      </w:r>
      <w:r>
        <w:rPr>
          <w:color w:val="auto"/>
          <w:kern w:val="0"/>
          <w:szCs w:val="21"/>
          <w:highlight w:val="none"/>
          <w:lang w:eastAsia="zh-Hans"/>
        </w:rPr>
        <w:t>项目编号为：</w:t>
      </w:r>
      <w:r>
        <w:rPr>
          <w:rFonts w:hint="eastAsia"/>
          <w:color w:val="auto"/>
          <w:kern w:val="0"/>
          <w:szCs w:val="21"/>
          <w:highlight w:val="none"/>
          <w:u w:val="single"/>
        </w:rPr>
        <w:t xml:space="preserve">               </w:t>
      </w:r>
      <w:r>
        <w:rPr>
          <w:rFonts w:hint="eastAsia"/>
          <w:color w:val="auto"/>
          <w:kern w:val="0"/>
          <w:szCs w:val="21"/>
          <w:highlight w:val="none"/>
        </w:rPr>
        <w:t>）</w:t>
      </w:r>
      <w:r>
        <w:rPr>
          <w:color w:val="auto"/>
          <w:kern w:val="0"/>
          <w:szCs w:val="21"/>
          <w:highlight w:val="none"/>
          <w:lang w:eastAsia="zh-Hans"/>
        </w:rPr>
        <w:t>，我方愿参与</w:t>
      </w:r>
      <w:r>
        <w:rPr>
          <w:rFonts w:hint="eastAsia"/>
          <w:color w:val="auto"/>
          <w:kern w:val="0"/>
          <w:szCs w:val="21"/>
          <w:highlight w:val="none"/>
          <w:lang w:eastAsia="zh-Hans"/>
        </w:rPr>
        <w:t>响应</w:t>
      </w:r>
      <w:r>
        <w:rPr>
          <w:color w:val="auto"/>
          <w:kern w:val="0"/>
          <w:szCs w:val="21"/>
          <w:highlight w:val="none"/>
          <w:lang w:eastAsia="zh-Hans"/>
        </w:rPr>
        <w:t>。</w:t>
      </w:r>
    </w:p>
    <w:p w14:paraId="11062D7A">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我方确认收到贵方提供的</w:t>
      </w:r>
      <w:r>
        <w:rPr>
          <w:rFonts w:hint="eastAsia" w:ascii="宋体" w:hAnsi="宋体"/>
          <w:color w:val="auto"/>
          <w:kern w:val="0"/>
          <w:szCs w:val="21"/>
          <w:highlight w:val="none"/>
          <w:u w:val="single"/>
        </w:rPr>
        <w:t xml:space="preserve">      （项目名称）        </w:t>
      </w:r>
      <w:r>
        <w:rPr>
          <w:rFonts w:ascii="宋体" w:hAnsi="宋体"/>
          <w:color w:val="auto"/>
          <w:kern w:val="0"/>
          <w:szCs w:val="21"/>
          <w:highlight w:val="none"/>
          <w:lang w:eastAsia="zh-Hans"/>
        </w:rPr>
        <w:t>的</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的全部内容。</w:t>
      </w:r>
    </w:p>
    <w:p w14:paraId="350B5180">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我方在参与</w:t>
      </w:r>
      <w:r>
        <w:rPr>
          <w:color w:val="auto"/>
          <w:highlight w:val="none"/>
        </w:rPr>
        <w:t>响应</w:t>
      </w:r>
      <w:r>
        <w:rPr>
          <w:rFonts w:ascii="宋体" w:hAnsi="宋体"/>
          <w:color w:val="auto"/>
          <w:kern w:val="0"/>
          <w:szCs w:val="21"/>
          <w:highlight w:val="none"/>
          <w:lang w:eastAsia="zh-Hans"/>
        </w:rPr>
        <w:t>前已详细研究了</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的所有内容，包括澄清、修改文件（如果有）和所有已提供的参考资料以及有关附件，我方完全明白并认为此</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没有倾向性，也不存在排斥潜在供应商的内容，我方同意</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的相关条款，放弃对</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提出误解和质疑的一切权力。</w:t>
      </w:r>
    </w:p>
    <w:p w14:paraId="0E426D7A">
      <w:pPr>
        <w:widowControl/>
        <w:snapToGrid w:val="0"/>
        <w:spacing w:line="360" w:lineRule="auto"/>
        <w:contextualSpacing/>
        <w:jc w:val="left"/>
        <w:rPr>
          <w:color w:val="auto"/>
          <w:kern w:val="0"/>
          <w:sz w:val="20"/>
          <w:szCs w:val="20"/>
          <w:highlight w:val="none"/>
          <w:lang w:eastAsia="zh-Hans"/>
        </w:rPr>
      </w:pP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lang w:eastAsia="zh-Hans"/>
        </w:rPr>
        <w:t>(</w:t>
      </w:r>
      <w:r>
        <w:rPr>
          <w:rFonts w:hint="eastAsia" w:ascii="宋体" w:hAnsi="宋体"/>
          <w:color w:val="auto"/>
          <w:kern w:val="0"/>
          <w:szCs w:val="21"/>
          <w:highlight w:val="none"/>
          <w:u w:val="single"/>
          <w:lang w:eastAsia="zh-Hans"/>
        </w:rPr>
        <w:t>供应商名称</w:t>
      </w:r>
      <w:r>
        <w:rPr>
          <w:rFonts w:ascii="宋体" w:hAnsi="宋体"/>
          <w:color w:val="auto"/>
          <w:kern w:val="0"/>
          <w:szCs w:val="21"/>
          <w:highlight w:val="none"/>
          <w:u w:val="single"/>
          <w:lang w:eastAsia="zh-Hans"/>
        </w:rPr>
        <w:t>)</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作为</w:t>
      </w: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正式授权</w:t>
      </w: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lang w:eastAsia="zh-Hans"/>
        </w:rPr>
        <w:t>(授权代表全名,职务)</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代表我方全权处理有关本</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的一切事宜。</w:t>
      </w:r>
    </w:p>
    <w:p w14:paraId="256E89DC">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我方已完全明白</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的所有条款要求，并申明如下：</w:t>
      </w:r>
    </w:p>
    <w:p w14:paraId="73CAE7E0">
      <w:pPr>
        <w:pStyle w:val="74"/>
        <w:snapToGrid w:val="0"/>
        <w:spacing w:line="360" w:lineRule="auto"/>
        <w:ind w:firstLine="210" w:firstLineChars="100"/>
        <w:contextualSpacing/>
        <w:rPr>
          <w:rFonts w:hint="default"/>
          <w:color w:val="auto"/>
          <w:sz w:val="21"/>
          <w:szCs w:val="21"/>
          <w:highlight w:val="none"/>
        </w:rPr>
      </w:pPr>
      <w:r>
        <w:rPr>
          <w:rFonts w:ascii="宋体" w:hAnsi="宋体" w:eastAsia="宋体" w:cs="Times New Roman"/>
          <w:color w:val="auto"/>
          <w:sz w:val="21"/>
          <w:szCs w:val="21"/>
          <w:highlight w:val="none"/>
        </w:rPr>
        <w:t>（一）</w:t>
      </w:r>
      <w:r>
        <w:rPr>
          <w:color w:val="auto"/>
          <w:sz w:val="21"/>
          <w:szCs w:val="21"/>
          <w:highlight w:val="none"/>
        </w:rPr>
        <w:t>按磋商文件提供的全部货物（工程、服务）与相关服务的磋商总价详见《首次报价表》。</w:t>
      </w:r>
    </w:p>
    <w:p w14:paraId="798D9901">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（二）本</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文件的有效期为从提交响应文件的截止之日起90日历天。如</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，有效期将延至合同终止日为止。在此提交的资格证明文件均至</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截止日有效，如有在</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有效期内失效的，我方承诺在</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后补齐一切手续，保证所有资格证明文件能在签订采购合同时直至采购合同终止日有效。</w:t>
      </w:r>
    </w:p>
    <w:p w14:paraId="4833C5FB">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（三）</w:t>
      </w:r>
      <w:r>
        <w:rPr>
          <w:rFonts w:hint="eastAsia" w:ascii="宋体" w:hAnsi="宋体"/>
          <w:color w:val="auto"/>
          <w:kern w:val="0"/>
          <w:szCs w:val="21"/>
          <w:highlight w:val="none"/>
          <w:lang w:eastAsia="zh-Hans"/>
        </w:rPr>
        <w:t>我方明白并同意，在规定的开启日之后，响应有效期之内撤回响应或成交后不按规定与采购人签订合同或不提交履约保证金, 则贵方将不予退还响应保证金。</w:t>
      </w:r>
    </w:p>
    <w:p w14:paraId="053F0986">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（四）我方愿意向贵方提供任何与本项报价有关的数据、情况和技术资料。若贵方需要，我方愿意提供我方作出的一切承诺的证明材料。</w:t>
      </w:r>
    </w:p>
    <w:p w14:paraId="5E5D1D43">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（五）</w:t>
      </w:r>
      <w:r>
        <w:rPr>
          <w:rFonts w:hint="eastAsia" w:ascii="宋体" w:hAnsi="宋体"/>
          <w:color w:val="auto"/>
          <w:kern w:val="0"/>
          <w:szCs w:val="21"/>
          <w:highlight w:val="none"/>
          <w:lang w:eastAsia="zh-Hans"/>
        </w:rPr>
        <w:t>我方理解贵方不一定接受最低磋商价或任何贵方可能收到的响应。</w:t>
      </w:r>
    </w:p>
    <w:p w14:paraId="35388D66">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lang w:eastAsia="zh-Hans"/>
        </w:rPr>
        <w:t>（六）我方如果</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将严格履行合同规定的责任和义务，保证于合同签字生效后按照约定时间完成项目，并交付采购人验收。</w:t>
      </w:r>
    </w:p>
    <w:p w14:paraId="559557C6">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（七）我方作为法律、财务和运作上独立于采购人、采购代理机构的</w:t>
      </w: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，在此保证所提交的所有文件和全部说明是真实的和正确的。</w:t>
      </w:r>
    </w:p>
    <w:p w14:paraId="5D5518FA">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（八）</w:t>
      </w:r>
      <w:r>
        <w:rPr>
          <w:rFonts w:hint="eastAsia" w:ascii="宋体" w:hAnsi="宋体"/>
          <w:color w:val="auto"/>
          <w:kern w:val="0"/>
          <w:szCs w:val="21"/>
          <w:highlight w:val="none"/>
          <w:lang w:eastAsia="zh-Hans"/>
        </w:rPr>
        <w:t>我方磋商报价已包含应向知识产权所有权人支付的所有相关税费，并保证采购人在中国使用我方提供的货物时，如有第三方提出侵犯其知识产权主张的，责任由我方承担。</w:t>
      </w:r>
    </w:p>
    <w:p w14:paraId="24AC04B1">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九</w:t>
      </w:r>
      <w:r>
        <w:rPr>
          <w:rFonts w:ascii="宋体" w:hAnsi="宋体"/>
          <w:color w:val="auto"/>
          <w:kern w:val="0"/>
          <w:szCs w:val="21"/>
          <w:highlight w:val="none"/>
          <w:lang w:eastAsia="zh-Hans"/>
        </w:rPr>
        <w:t>）我方对在本函及响应文件中所作的所有承诺承担法律责任。</w:t>
      </w:r>
    </w:p>
    <w:p w14:paraId="763CB3EB">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十</w:t>
      </w: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我方如果成交，</w:t>
      </w:r>
      <w:r>
        <w:rPr>
          <w:rFonts w:ascii="宋体" w:hAnsi="宋体"/>
          <w:color w:val="auto"/>
          <w:kern w:val="0"/>
          <w:szCs w:val="21"/>
          <w:highlight w:val="none"/>
          <w:lang w:eastAsia="zh-Hans"/>
        </w:rPr>
        <w:t>同意按</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规定向采购代理机构缴纳</w:t>
      </w:r>
      <w:r>
        <w:rPr>
          <w:rFonts w:hint="eastAsia" w:ascii="宋体" w:hAnsi="宋体"/>
          <w:color w:val="auto"/>
          <w:kern w:val="0"/>
          <w:szCs w:val="21"/>
          <w:highlight w:val="none"/>
          <w:lang w:val="en-US" w:eastAsia="zh-CN"/>
        </w:rPr>
        <w:t>采购</w:t>
      </w:r>
      <w:r>
        <w:rPr>
          <w:rFonts w:hint="eastAsia" w:ascii="宋体" w:hAnsi="宋体"/>
          <w:color w:val="auto"/>
          <w:kern w:val="0"/>
          <w:szCs w:val="21"/>
          <w:highlight w:val="none"/>
          <w:lang w:eastAsia="zh-Hans"/>
        </w:rPr>
        <w:t>代理</w:t>
      </w:r>
      <w:r>
        <w:rPr>
          <w:rFonts w:ascii="宋体" w:hAnsi="宋体"/>
          <w:color w:val="auto"/>
          <w:kern w:val="0"/>
          <w:szCs w:val="21"/>
          <w:highlight w:val="none"/>
          <w:lang w:eastAsia="zh-Hans"/>
        </w:rPr>
        <w:t>服务费。</w:t>
      </w:r>
    </w:p>
    <w:p w14:paraId="11CF325D">
      <w:pPr>
        <w:widowControl/>
        <w:snapToGrid w:val="0"/>
        <w:spacing w:line="360" w:lineRule="auto"/>
        <w:ind w:firstLine="198"/>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（十一）</w:t>
      </w:r>
      <w:r>
        <w:rPr>
          <w:rFonts w:ascii="宋体" w:hAnsi="宋体"/>
          <w:color w:val="auto"/>
          <w:kern w:val="0"/>
          <w:szCs w:val="21"/>
          <w:highlight w:val="none"/>
          <w:lang w:eastAsia="zh-Hans"/>
        </w:rPr>
        <w:t>所有与本</w:t>
      </w:r>
      <w:r>
        <w:rPr>
          <w:rFonts w:hint="eastAsia" w:ascii="宋体" w:hAnsi="宋体"/>
          <w:color w:val="auto"/>
          <w:kern w:val="0"/>
          <w:szCs w:val="21"/>
          <w:highlight w:val="none"/>
          <w:lang w:eastAsia="zh-Hans"/>
        </w:rPr>
        <w:t>磋商</w:t>
      </w:r>
      <w:r>
        <w:rPr>
          <w:rFonts w:ascii="宋体" w:hAnsi="宋体"/>
          <w:color w:val="auto"/>
          <w:kern w:val="0"/>
          <w:szCs w:val="21"/>
          <w:highlight w:val="none"/>
          <w:lang w:eastAsia="zh-Hans"/>
        </w:rPr>
        <w:t>有关的函件请发往下列地址：</w:t>
      </w:r>
    </w:p>
    <w:p w14:paraId="54CBD427">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地 址：</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邮政编码：</w:t>
      </w:r>
      <w:r>
        <w:rPr>
          <w:rFonts w:hint="eastAsia" w:ascii="宋体" w:hAnsi="宋体"/>
          <w:color w:val="auto"/>
          <w:kern w:val="0"/>
          <w:szCs w:val="21"/>
          <w:highlight w:val="none"/>
          <w:u w:val="single"/>
        </w:rPr>
        <w:t xml:space="preserve">                               </w:t>
      </w:r>
    </w:p>
    <w:p w14:paraId="2A96C91E">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电 话：</w:t>
      </w:r>
      <w:r>
        <w:rPr>
          <w:rFonts w:hint="eastAsia" w:ascii="宋体" w:hAnsi="宋体"/>
          <w:color w:val="auto"/>
          <w:kern w:val="0"/>
          <w:szCs w:val="21"/>
          <w:highlight w:val="none"/>
          <w:u w:val="single"/>
        </w:rPr>
        <w:t xml:space="preserve">                                </w:t>
      </w:r>
    </w:p>
    <w:p w14:paraId="75AE3B6B">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传 真：</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电子邮箱：</w:t>
      </w:r>
      <w:r>
        <w:rPr>
          <w:rFonts w:hint="eastAsia" w:ascii="宋体" w:hAnsi="宋体"/>
          <w:color w:val="auto"/>
          <w:kern w:val="0"/>
          <w:szCs w:val="21"/>
          <w:highlight w:val="none"/>
          <w:u w:val="single"/>
        </w:rPr>
        <w:t xml:space="preserve">                               </w:t>
      </w:r>
    </w:p>
    <w:p w14:paraId="382A689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代表姓名</w:t>
      </w:r>
      <w:r>
        <w:rPr>
          <w:rFonts w:hint="eastAsia" w:ascii="宋体" w:hAnsi="宋体"/>
          <w:color w:val="auto"/>
          <w:kern w:val="0"/>
          <w:szCs w:val="21"/>
          <w:highlight w:val="none"/>
          <w:lang w:eastAsia="zh-Hans"/>
        </w:rPr>
        <w:t>：</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职 务：</w:t>
      </w:r>
      <w:r>
        <w:rPr>
          <w:rFonts w:hint="eastAsia" w:ascii="宋体" w:hAnsi="宋体"/>
          <w:color w:val="auto"/>
          <w:kern w:val="0"/>
          <w:szCs w:val="21"/>
          <w:highlight w:val="none"/>
          <w:u w:val="single"/>
        </w:rPr>
        <w:t xml:space="preserve">                                  </w:t>
      </w:r>
    </w:p>
    <w:p w14:paraId="4DFA3D58">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法定代表人（或法定代表人授权代表）签字或盖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hint="eastAsia" w:ascii="宋体" w:hAnsi="宋体"/>
          <w:color w:val="auto"/>
          <w:kern w:val="0"/>
          <w:szCs w:val="21"/>
          <w:highlight w:val="none"/>
          <w:u w:val="single"/>
        </w:rPr>
        <w:t xml:space="preserve">                              </w:t>
      </w:r>
    </w:p>
    <w:p w14:paraId="14103B6D">
      <w:pPr>
        <w:widowControl/>
        <w:snapToGrid w:val="0"/>
        <w:spacing w:line="360" w:lineRule="auto"/>
        <w:contextualSpacing/>
        <w:jc w:val="left"/>
        <w:rPr>
          <w:rFonts w:ascii="宋体" w:hAnsi="宋体"/>
          <w:color w:val="auto"/>
          <w:kern w:val="0"/>
          <w:szCs w:val="21"/>
          <w:highlight w:val="none"/>
          <w:u w:val="single"/>
        </w:rPr>
      </w:pP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名称（盖章）：</w:t>
      </w:r>
      <w:r>
        <w:rPr>
          <w:rFonts w:hint="eastAsia" w:ascii="宋体" w:hAnsi="宋体"/>
          <w:color w:val="auto"/>
          <w:kern w:val="0"/>
          <w:szCs w:val="21"/>
          <w:highlight w:val="none"/>
          <w:u w:val="single"/>
        </w:rPr>
        <w:t xml:space="preserve">                                  </w:t>
      </w:r>
    </w:p>
    <w:p w14:paraId="4DC49200">
      <w:pPr>
        <w:widowControl/>
        <w:snapToGrid w:val="0"/>
        <w:spacing w:line="360" w:lineRule="auto"/>
        <w:contextualSpacing/>
        <w:jc w:val="left"/>
        <w:rPr>
          <w:color w:val="auto"/>
          <w:kern w:val="0"/>
          <w:sz w:val="20"/>
          <w:szCs w:val="20"/>
          <w:highlight w:val="none"/>
          <w:lang w:eastAsia="zh-Hans"/>
        </w:rPr>
      </w:pPr>
      <w:r>
        <w:rPr>
          <w:rFonts w:ascii="宋体" w:hAnsi="宋体"/>
          <w:color w:val="auto"/>
          <w:kern w:val="0"/>
          <w:szCs w:val="21"/>
          <w:highlight w:val="none"/>
          <w:lang w:eastAsia="zh-Hans"/>
        </w:rPr>
        <w:t>日期：</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年</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月</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0921D5D5">
      <w:pPr>
        <w:widowControl/>
        <w:snapToGrid w:val="0"/>
        <w:spacing w:line="360" w:lineRule="auto"/>
        <w:contextualSpacing/>
        <w:jc w:val="left"/>
        <w:rPr>
          <w:color w:val="auto"/>
          <w:kern w:val="0"/>
          <w:sz w:val="20"/>
          <w:szCs w:val="20"/>
          <w:highlight w:val="none"/>
          <w:lang w:eastAsia="zh-Hans"/>
        </w:rPr>
      </w:pPr>
    </w:p>
    <w:p w14:paraId="7214F8F5">
      <w:pPr>
        <w:pageBreakBefore/>
        <w:rPr>
          <w:color w:val="auto"/>
          <w:kern w:val="0"/>
          <w:sz w:val="20"/>
          <w:szCs w:val="20"/>
          <w:highlight w:val="none"/>
          <w:lang w:eastAsia="zh-Hans"/>
        </w:rPr>
      </w:pPr>
      <w:bookmarkStart w:id="52" w:name="_Toc169799788"/>
      <w:r>
        <w:rPr>
          <w:rFonts w:ascii="宋体" w:hAnsi="宋体"/>
          <w:b/>
          <w:bCs/>
          <w:color w:val="auto"/>
          <w:sz w:val="24"/>
          <w:szCs w:val="28"/>
          <w:highlight w:val="none"/>
        </w:rPr>
        <w:t>格式二：</w:t>
      </w:r>
      <w:bookmarkEnd w:id="52"/>
    </w:p>
    <w:p w14:paraId="299FD221">
      <w:pPr>
        <w:widowControl/>
        <w:jc w:val="center"/>
        <w:outlineLvl w:val="3"/>
        <w:rPr>
          <w:color w:val="auto"/>
          <w:kern w:val="0"/>
          <w:sz w:val="20"/>
          <w:szCs w:val="20"/>
          <w:highlight w:val="none"/>
          <w:lang w:eastAsia="zh-Hans"/>
        </w:rPr>
      </w:pPr>
      <w:r>
        <w:rPr>
          <w:rFonts w:hint="eastAsia"/>
          <w:b/>
          <w:color w:val="auto"/>
          <w:kern w:val="0"/>
          <w:sz w:val="32"/>
          <w:highlight w:val="none"/>
          <w:lang w:eastAsia="zh-Hans"/>
        </w:rPr>
        <w:t>首次报价表</w:t>
      </w:r>
      <w:r>
        <w:rPr>
          <w:color w:val="auto"/>
          <w:kern w:val="0"/>
          <w:sz w:val="20"/>
          <w:szCs w:val="20"/>
          <w:highlight w:val="none"/>
          <w:lang w:eastAsia="zh-Hans"/>
        </w:rPr>
        <w:br w:type="textWrapping"/>
      </w:r>
    </w:p>
    <w:p w14:paraId="734D1107">
      <w:pPr>
        <w:widowControl/>
        <w:snapToGrid w:val="0"/>
        <w:spacing w:line="360" w:lineRule="auto"/>
        <w:contextualSpacing/>
        <w:jc w:val="left"/>
        <w:rPr>
          <w:color w:val="auto"/>
          <w:kern w:val="0"/>
          <w:szCs w:val="21"/>
          <w:highlight w:val="none"/>
          <w:lang w:eastAsia="zh-Hans"/>
        </w:rPr>
      </w:pPr>
      <w:r>
        <w:rPr>
          <w:color w:val="auto"/>
          <w:kern w:val="0"/>
          <w:szCs w:val="21"/>
          <w:highlight w:val="none"/>
          <w:lang w:eastAsia="zh-Hans"/>
        </w:rPr>
        <w:t>项目编号：</w:t>
      </w:r>
    </w:p>
    <w:p w14:paraId="6E933FF6">
      <w:pPr>
        <w:widowControl/>
        <w:snapToGrid w:val="0"/>
        <w:spacing w:line="360" w:lineRule="auto"/>
        <w:contextualSpacing/>
        <w:jc w:val="left"/>
        <w:rPr>
          <w:color w:val="auto"/>
          <w:kern w:val="0"/>
          <w:szCs w:val="21"/>
          <w:highlight w:val="none"/>
          <w:lang w:eastAsia="zh-Hans"/>
        </w:rPr>
      </w:pPr>
      <w:r>
        <w:rPr>
          <w:color w:val="auto"/>
          <w:kern w:val="0"/>
          <w:szCs w:val="21"/>
          <w:highlight w:val="none"/>
          <w:lang w:eastAsia="zh-Hans"/>
        </w:rPr>
        <w:t>项目名称：</w:t>
      </w:r>
    </w:p>
    <w:p w14:paraId="2209BB7A">
      <w:pPr>
        <w:widowControl/>
        <w:snapToGrid w:val="0"/>
        <w:spacing w:line="360" w:lineRule="auto"/>
        <w:contextualSpacing/>
        <w:jc w:val="left"/>
        <w:rPr>
          <w:color w:val="auto"/>
          <w:kern w:val="0"/>
          <w:szCs w:val="21"/>
          <w:highlight w:val="none"/>
        </w:rPr>
      </w:pPr>
      <w:r>
        <w:rPr>
          <w:rFonts w:hint="eastAsia"/>
          <w:color w:val="auto"/>
          <w:kern w:val="0"/>
          <w:szCs w:val="21"/>
          <w:highlight w:val="none"/>
          <w:lang w:eastAsia="zh-Hans"/>
        </w:rPr>
        <w:t>供应商</w:t>
      </w:r>
      <w:r>
        <w:rPr>
          <w:color w:val="auto"/>
          <w:kern w:val="0"/>
          <w:szCs w:val="21"/>
          <w:highlight w:val="none"/>
          <w:lang w:eastAsia="zh-Hans"/>
        </w:rPr>
        <w:t>名称：</w:t>
      </w:r>
    </w:p>
    <w:tbl>
      <w:tblPr>
        <w:tblStyle w:val="2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544118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7EE548CF">
            <w:pPr>
              <w:overflowPunct w:val="0"/>
              <w:adjustRightInd w:val="0"/>
              <w:snapToGrid w:val="0"/>
              <w:spacing w:line="360" w:lineRule="auto"/>
              <w:contextualSpacing/>
              <w:jc w:val="center"/>
              <w:rPr>
                <w:rFonts w:ascii="宋体" w:hAnsi="宋体"/>
                <w:b/>
                <w:color w:val="auto"/>
                <w:szCs w:val="21"/>
                <w:highlight w:val="none"/>
              </w:rPr>
            </w:pPr>
            <w:r>
              <w:rPr>
                <w:rFonts w:hint="eastAsia" w:ascii="宋体" w:hAnsi="宋体"/>
                <w:b/>
                <w:color w:val="auto"/>
                <w:szCs w:val="21"/>
                <w:highlight w:val="none"/>
              </w:rPr>
              <w:t>序号</w:t>
            </w:r>
          </w:p>
        </w:tc>
        <w:tc>
          <w:tcPr>
            <w:tcW w:w="2244" w:type="pct"/>
            <w:tcBorders>
              <w:top w:val="single" w:color="auto" w:sz="4" w:space="0"/>
              <w:left w:val="single" w:color="auto" w:sz="4" w:space="0"/>
              <w:right w:val="single" w:color="auto" w:sz="4" w:space="0"/>
            </w:tcBorders>
            <w:vAlign w:val="center"/>
          </w:tcPr>
          <w:p w14:paraId="3D272A8E">
            <w:pPr>
              <w:overflowPunct w:val="0"/>
              <w:adjustRightInd w:val="0"/>
              <w:snapToGrid w:val="0"/>
              <w:spacing w:line="360" w:lineRule="auto"/>
              <w:contextualSpacing/>
              <w:jc w:val="center"/>
              <w:rPr>
                <w:rFonts w:ascii="宋体" w:hAnsi="宋体"/>
                <w:b/>
                <w:color w:val="auto"/>
                <w:szCs w:val="21"/>
                <w:highlight w:val="none"/>
              </w:rPr>
            </w:pPr>
            <w:r>
              <w:rPr>
                <w:rFonts w:hint="eastAsia" w:ascii="宋体" w:hAnsi="宋体"/>
                <w:b/>
                <w:color w:val="auto"/>
                <w:szCs w:val="21"/>
                <w:highlight w:val="none"/>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22985F15">
            <w:pPr>
              <w:overflowPunct w:val="0"/>
              <w:adjustRightInd w:val="0"/>
              <w:snapToGrid w:val="0"/>
              <w:spacing w:line="360" w:lineRule="auto"/>
              <w:contextualSpacing/>
              <w:jc w:val="center"/>
              <w:rPr>
                <w:rFonts w:ascii="宋体" w:hAnsi="宋体"/>
                <w:b/>
                <w:color w:val="auto"/>
                <w:szCs w:val="21"/>
                <w:highlight w:val="none"/>
              </w:rPr>
            </w:pPr>
            <w:r>
              <w:rPr>
                <w:rFonts w:hint="eastAsia" w:ascii="宋体" w:hAnsi="宋体"/>
                <w:b/>
                <w:color w:val="auto"/>
                <w:szCs w:val="21"/>
                <w:highlight w:val="none"/>
              </w:rPr>
              <w:t>总报价（单位：元）</w:t>
            </w:r>
          </w:p>
        </w:tc>
        <w:tc>
          <w:tcPr>
            <w:tcW w:w="615" w:type="pct"/>
            <w:tcBorders>
              <w:top w:val="single" w:color="auto" w:sz="4" w:space="0"/>
              <w:left w:val="single" w:color="auto" w:sz="4" w:space="0"/>
              <w:right w:val="single" w:color="auto" w:sz="4" w:space="0"/>
            </w:tcBorders>
            <w:vAlign w:val="center"/>
          </w:tcPr>
          <w:p w14:paraId="4A8465C5">
            <w:pPr>
              <w:overflowPunct w:val="0"/>
              <w:adjustRightInd w:val="0"/>
              <w:snapToGrid w:val="0"/>
              <w:spacing w:line="360" w:lineRule="auto"/>
              <w:contextualSpacing/>
              <w:jc w:val="center"/>
              <w:rPr>
                <w:rFonts w:ascii="宋体" w:hAnsi="宋体"/>
                <w:b/>
                <w:color w:val="auto"/>
                <w:szCs w:val="21"/>
                <w:highlight w:val="none"/>
              </w:rPr>
            </w:pPr>
            <w:r>
              <w:rPr>
                <w:rFonts w:hint="eastAsia" w:ascii="宋体" w:hAnsi="宋体"/>
                <w:b/>
                <w:color w:val="auto"/>
                <w:szCs w:val="21"/>
                <w:highlight w:val="none"/>
              </w:rPr>
              <w:t>备注</w:t>
            </w:r>
          </w:p>
        </w:tc>
      </w:tr>
      <w:tr w14:paraId="029E33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606128F8">
            <w:pPr>
              <w:overflowPunct w:val="0"/>
              <w:adjustRightInd w:val="0"/>
              <w:snapToGrid w:val="0"/>
              <w:spacing w:line="360" w:lineRule="auto"/>
              <w:contextualSpacing/>
              <w:jc w:val="center"/>
              <w:rPr>
                <w:rFonts w:ascii="宋体" w:hAnsi="宋体"/>
                <w:color w:val="auto"/>
                <w:szCs w:val="21"/>
                <w:highlight w:val="none"/>
              </w:rPr>
            </w:pPr>
            <w:r>
              <w:rPr>
                <w:rFonts w:ascii="宋体" w:hAnsi="宋体"/>
                <w:color w:val="auto"/>
                <w:szCs w:val="21"/>
                <w:highlight w:val="none"/>
              </w:rPr>
              <w:t>1</w:t>
            </w:r>
          </w:p>
        </w:tc>
        <w:tc>
          <w:tcPr>
            <w:tcW w:w="2244" w:type="pct"/>
            <w:tcBorders>
              <w:top w:val="single" w:color="auto" w:sz="4" w:space="0"/>
              <w:left w:val="single" w:color="auto" w:sz="4" w:space="0"/>
              <w:bottom w:val="single" w:color="auto" w:sz="4" w:space="0"/>
              <w:right w:val="single" w:color="auto" w:sz="4" w:space="0"/>
            </w:tcBorders>
            <w:vAlign w:val="center"/>
          </w:tcPr>
          <w:p w14:paraId="0A6D8A4A">
            <w:pPr>
              <w:overflowPunct w:val="0"/>
              <w:adjustRightInd w:val="0"/>
              <w:snapToGrid w:val="0"/>
              <w:spacing w:line="360" w:lineRule="auto"/>
              <w:contextualSpacing/>
              <w:jc w:val="center"/>
              <w:rPr>
                <w:rFonts w:ascii="宋体" w:hAnsi="宋体"/>
                <w:color w:val="auto"/>
                <w:szCs w:val="21"/>
                <w:highlight w:val="none"/>
              </w:rPr>
            </w:pPr>
          </w:p>
        </w:tc>
        <w:tc>
          <w:tcPr>
            <w:tcW w:w="1745" w:type="pct"/>
            <w:tcBorders>
              <w:top w:val="single" w:color="auto" w:sz="4" w:space="0"/>
              <w:left w:val="single" w:color="auto" w:sz="4" w:space="0"/>
              <w:bottom w:val="single" w:color="auto" w:sz="4" w:space="0"/>
              <w:right w:val="single" w:color="auto" w:sz="4" w:space="0"/>
            </w:tcBorders>
            <w:vAlign w:val="center"/>
          </w:tcPr>
          <w:p w14:paraId="275EE458">
            <w:pPr>
              <w:overflowPunct w:val="0"/>
              <w:adjustRightInd w:val="0"/>
              <w:snapToGrid w:val="0"/>
              <w:spacing w:line="360" w:lineRule="auto"/>
              <w:contextualSpacing/>
              <w:jc w:val="left"/>
              <w:rPr>
                <w:rFonts w:ascii="宋体" w:hAnsi="宋体"/>
                <w:color w:val="auto"/>
                <w:szCs w:val="21"/>
                <w:highlight w:val="none"/>
              </w:rPr>
            </w:pPr>
            <w:r>
              <w:rPr>
                <w:rFonts w:hint="eastAsia" w:ascii="宋体" w:hAnsi="宋体"/>
                <w:color w:val="auto"/>
                <w:szCs w:val="21"/>
                <w:highlight w:val="none"/>
              </w:rPr>
              <w:t>大写：</w:t>
            </w:r>
            <w:r>
              <w:rPr>
                <w:rFonts w:ascii="宋体" w:hAnsi="宋体"/>
                <w:color w:val="auto"/>
                <w:szCs w:val="21"/>
                <w:highlight w:val="none"/>
                <w:u w:val="single"/>
              </w:rPr>
              <w:t xml:space="preserve">                    </w:t>
            </w:r>
          </w:p>
          <w:p w14:paraId="7E6AC4EE">
            <w:pPr>
              <w:overflowPunct w:val="0"/>
              <w:adjustRightInd w:val="0"/>
              <w:snapToGrid w:val="0"/>
              <w:spacing w:line="360" w:lineRule="auto"/>
              <w:contextualSpacing/>
              <w:jc w:val="left"/>
              <w:rPr>
                <w:rFonts w:ascii="宋体" w:hAnsi="宋体"/>
                <w:color w:val="auto"/>
                <w:szCs w:val="21"/>
                <w:highlight w:val="none"/>
              </w:rPr>
            </w:pPr>
            <w:r>
              <w:rPr>
                <w:rFonts w:hint="eastAsia" w:ascii="宋体" w:hAnsi="宋体"/>
                <w:color w:val="auto"/>
                <w:szCs w:val="21"/>
                <w:highlight w:val="none"/>
              </w:rPr>
              <w:t>小写：</w:t>
            </w:r>
            <w:r>
              <w:rPr>
                <w:rFonts w:ascii="宋体" w:hAnsi="宋体"/>
                <w:color w:val="auto"/>
                <w:szCs w:val="21"/>
                <w:highlight w:val="none"/>
                <w:u w:val="single"/>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6111CACE">
            <w:pPr>
              <w:overflowPunct w:val="0"/>
              <w:adjustRightInd w:val="0"/>
              <w:snapToGrid w:val="0"/>
              <w:spacing w:line="360" w:lineRule="auto"/>
              <w:contextualSpacing/>
              <w:jc w:val="center"/>
              <w:rPr>
                <w:rFonts w:ascii="宋体" w:hAnsi="宋体"/>
                <w:color w:val="auto"/>
                <w:szCs w:val="21"/>
                <w:highlight w:val="none"/>
              </w:rPr>
            </w:pPr>
          </w:p>
        </w:tc>
      </w:tr>
    </w:tbl>
    <w:p w14:paraId="0A380512">
      <w:pPr>
        <w:widowControl/>
        <w:snapToGrid w:val="0"/>
        <w:spacing w:line="360" w:lineRule="auto"/>
        <w:contextualSpacing/>
        <w:jc w:val="left"/>
        <w:rPr>
          <w:color w:val="auto"/>
          <w:kern w:val="0"/>
          <w:szCs w:val="21"/>
          <w:highlight w:val="none"/>
        </w:rPr>
      </w:pPr>
    </w:p>
    <w:p w14:paraId="0259196F">
      <w:pPr>
        <w:widowControl/>
        <w:snapToGrid w:val="0"/>
        <w:spacing w:line="360" w:lineRule="auto"/>
        <w:contextualSpacing/>
        <w:jc w:val="left"/>
        <w:rPr>
          <w:color w:val="auto"/>
          <w:kern w:val="0"/>
          <w:szCs w:val="21"/>
          <w:highlight w:val="none"/>
        </w:rPr>
      </w:pPr>
    </w:p>
    <w:p w14:paraId="27C5741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w:t>
      </w:r>
    </w:p>
    <w:p w14:paraId="047A3F7C">
      <w:pPr>
        <w:pStyle w:val="70"/>
        <w:keepNext w:val="0"/>
        <w:keepLines w:val="0"/>
        <w:pageBreakBefore w:val="0"/>
        <w:widowControl w:val="0"/>
        <w:numPr>
          <w:ilvl w:val="0"/>
          <w:numId w:val="94"/>
        </w:numPr>
        <w:kinsoku/>
        <w:wordWrap/>
        <w:overflowPunct/>
        <w:topLinePunct w:val="0"/>
        <w:autoSpaceDE/>
        <w:autoSpaceDN/>
        <w:bidi w:val="0"/>
        <w:adjustRightInd/>
        <w:snapToGrid/>
        <w:spacing w:line="36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w:t>
      </w:r>
      <w:r>
        <w:rPr>
          <w:rFonts w:hint="eastAsia" w:ascii="宋体" w:hAnsi="宋体" w:eastAsia="宋体" w:cs="宋体"/>
          <w:color w:val="auto"/>
          <w:sz w:val="21"/>
          <w:szCs w:val="21"/>
          <w:highlight w:val="none"/>
          <w:lang w:val="en-US" w:eastAsia="zh-CN"/>
        </w:rPr>
        <w:t>报</w:t>
      </w:r>
      <w:r>
        <w:rPr>
          <w:rFonts w:hint="eastAsia" w:ascii="宋体" w:hAnsi="宋体" w:eastAsia="宋体" w:cs="宋体"/>
          <w:color w:val="auto"/>
          <w:sz w:val="21"/>
          <w:szCs w:val="21"/>
          <w:highlight w:val="none"/>
        </w:rPr>
        <w:t>价栏须用文字和数字两种方式表示</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总</w:t>
      </w:r>
      <w:r>
        <w:rPr>
          <w:rFonts w:hint="eastAsia" w:ascii="宋体" w:hAnsi="宋体" w:eastAsia="宋体" w:cs="宋体"/>
          <w:color w:val="auto"/>
          <w:sz w:val="21"/>
          <w:szCs w:val="21"/>
          <w:highlight w:val="none"/>
          <w:lang w:val="en-US" w:eastAsia="zh-CN"/>
        </w:rPr>
        <w:t>报</w:t>
      </w:r>
      <w:r>
        <w:rPr>
          <w:rFonts w:hint="eastAsia" w:ascii="宋体" w:hAnsi="宋体" w:eastAsia="宋体" w:cs="宋体"/>
          <w:color w:val="auto"/>
          <w:sz w:val="21"/>
          <w:szCs w:val="21"/>
          <w:highlight w:val="none"/>
        </w:rPr>
        <w:t>价</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最多保留两位小数</w:t>
      </w:r>
      <w:r>
        <w:rPr>
          <w:rFonts w:hint="eastAsia" w:ascii="宋体" w:hAnsi="宋体" w:eastAsia="宋体" w:cs="宋体"/>
          <w:color w:val="auto"/>
          <w:sz w:val="21"/>
          <w:szCs w:val="21"/>
          <w:highlight w:val="none"/>
          <w:lang w:eastAsia="zh-CN"/>
        </w:rPr>
        <w:t>；</w:t>
      </w:r>
    </w:p>
    <w:p w14:paraId="42D0986D">
      <w:pPr>
        <w:pStyle w:val="70"/>
        <w:keepNext w:val="0"/>
        <w:keepLines w:val="0"/>
        <w:pageBreakBefore w:val="0"/>
        <w:widowControl w:val="0"/>
        <w:numPr>
          <w:ilvl w:val="0"/>
          <w:numId w:val="94"/>
        </w:numPr>
        <w:kinsoku/>
        <w:wordWrap/>
        <w:overflowPunct/>
        <w:topLinePunct w:val="0"/>
        <w:autoSpaceDE/>
        <w:autoSpaceDN/>
        <w:bidi w:val="0"/>
        <w:adjustRightInd/>
        <w:snapToGrid/>
        <w:spacing w:line="36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首次报价</w:t>
      </w:r>
      <w:r>
        <w:rPr>
          <w:rFonts w:hint="eastAsia" w:ascii="宋体" w:hAnsi="宋体" w:eastAsia="宋体" w:cs="宋体"/>
          <w:color w:val="auto"/>
          <w:sz w:val="21"/>
          <w:szCs w:val="21"/>
          <w:highlight w:val="none"/>
        </w:rPr>
        <w:t>表内容与</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文件中相应内容不一致的，以</w:t>
      </w:r>
      <w:r>
        <w:rPr>
          <w:rFonts w:hint="eastAsia" w:ascii="宋体" w:hAnsi="宋体" w:eastAsia="宋体" w:cs="宋体"/>
          <w:color w:val="auto"/>
          <w:sz w:val="21"/>
          <w:szCs w:val="21"/>
          <w:highlight w:val="none"/>
          <w:lang w:val="en-US" w:eastAsia="zh-CN"/>
        </w:rPr>
        <w:t>首次报价</w:t>
      </w:r>
      <w:r>
        <w:rPr>
          <w:rFonts w:hint="eastAsia" w:ascii="宋体" w:hAnsi="宋体" w:eastAsia="宋体" w:cs="宋体"/>
          <w:color w:val="auto"/>
          <w:sz w:val="21"/>
          <w:szCs w:val="21"/>
          <w:highlight w:val="none"/>
        </w:rPr>
        <w:t>表为准</w:t>
      </w:r>
      <w:r>
        <w:rPr>
          <w:rFonts w:hint="eastAsia" w:ascii="宋体" w:hAnsi="宋体" w:eastAsia="宋体" w:cs="宋体"/>
          <w:color w:val="auto"/>
          <w:sz w:val="21"/>
          <w:szCs w:val="21"/>
          <w:highlight w:val="none"/>
          <w:lang w:eastAsia="zh-CN"/>
        </w:rPr>
        <w:t>；</w:t>
      </w:r>
    </w:p>
    <w:p w14:paraId="72E9C903">
      <w:pPr>
        <w:pStyle w:val="70"/>
        <w:keepNext w:val="0"/>
        <w:keepLines w:val="0"/>
        <w:pageBreakBefore w:val="0"/>
        <w:widowControl w:val="0"/>
        <w:numPr>
          <w:ilvl w:val="0"/>
          <w:numId w:val="94"/>
        </w:numPr>
        <w:kinsoku/>
        <w:wordWrap/>
        <w:overflowPunct/>
        <w:topLinePunct w:val="0"/>
        <w:autoSpaceDE/>
        <w:autoSpaceDN/>
        <w:bidi w:val="0"/>
        <w:adjustRightInd/>
        <w:snapToGrid/>
        <w:spacing w:line="36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大写金额和小写金额不一致的，以大写金额为准</w:t>
      </w:r>
      <w:r>
        <w:rPr>
          <w:rFonts w:hint="eastAsia" w:ascii="宋体" w:hAnsi="宋体" w:cs="宋体"/>
          <w:color w:val="auto"/>
          <w:sz w:val="21"/>
          <w:szCs w:val="21"/>
          <w:highlight w:val="none"/>
          <w:lang w:eastAsia="zh-CN"/>
        </w:rPr>
        <w:t>。</w:t>
      </w:r>
    </w:p>
    <w:p w14:paraId="7B2CF6D1">
      <w:pPr>
        <w:keepNext w:val="0"/>
        <w:keepLines w:val="0"/>
        <w:pageBreakBefore w:val="0"/>
        <w:widowControl/>
        <w:kinsoku/>
        <w:wordWrap/>
        <w:overflowPunct/>
        <w:topLinePunct w:val="0"/>
        <w:autoSpaceDE/>
        <w:autoSpaceDN/>
        <w:bidi w:val="0"/>
        <w:adjustRightInd/>
        <w:snapToGrid w:val="0"/>
        <w:spacing w:line="360" w:lineRule="auto"/>
        <w:contextualSpacing/>
        <w:jc w:val="left"/>
        <w:textAlignment w:val="auto"/>
        <w:rPr>
          <w:color w:val="auto"/>
          <w:kern w:val="0"/>
          <w:szCs w:val="21"/>
          <w:highlight w:val="none"/>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54DB4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0CAAAA5B">
            <w:pPr>
              <w:overflowPunct w:val="0"/>
              <w:adjustRightInd w:val="0"/>
              <w:snapToGrid w:val="0"/>
              <w:spacing w:line="360" w:lineRule="auto"/>
              <w:contextualSpacing/>
              <w:rPr>
                <w:rFonts w:ascii="宋体" w:hAnsi="宋体"/>
                <w:color w:val="auto"/>
                <w:szCs w:val="21"/>
                <w:highlight w:val="none"/>
              </w:rPr>
            </w:pPr>
          </w:p>
          <w:p w14:paraId="666987E5">
            <w:pPr>
              <w:overflowPunct w:val="0"/>
              <w:adjustRightInd w:val="0"/>
              <w:snapToGrid w:val="0"/>
              <w:spacing w:line="360" w:lineRule="auto"/>
              <w:contextualSpacing/>
              <w:rPr>
                <w:rFonts w:ascii="宋体" w:hAnsi="宋体"/>
                <w:color w:val="auto"/>
                <w:szCs w:val="21"/>
                <w:highlight w:val="none"/>
              </w:rPr>
            </w:pPr>
          </w:p>
          <w:p w14:paraId="222732F9">
            <w:pPr>
              <w:overflowPunct w:val="0"/>
              <w:adjustRightInd w:val="0"/>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供应商名称（加盖公章）：</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p>
        </w:tc>
      </w:tr>
      <w:tr w14:paraId="2AC80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7AD0793D">
            <w:p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法定代表人（或被授权人）签字或盖私章：</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p>
        </w:tc>
      </w:tr>
      <w:tr w14:paraId="04D1A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F2486F">
            <w:p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日期：</w:t>
            </w:r>
            <w:r>
              <w:rPr>
                <w:rFonts w:ascii="宋体" w:hAnsi="宋体"/>
                <w:color w:val="auto"/>
                <w:szCs w:val="21"/>
                <w:highlight w:val="none"/>
              </w:rPr>
              <w:t xml:space="preserve">    年   月   日</w:t>
            </w:r>
          </w:p>
        </w:tc>
      </w:tr>
    </w:tbl>
    <w:p w14:paraId="791DD63B">
      <w:pPr>
        <w:widowControl/>
        <w:snapToGrid w:val="0"/>
        <w:spacing w:line="360" w:lineRule="auto"/>
        <w:contextualSpacing/>
        <w:jc w:val="left"/>
        <w:rPr>
          <w:color w:val="auto"/>
          <w:kern w:val="0"/>
          <w:sz w:val="20"/>
          <w:szCs w:val="20"/>
          <w:highlight w:val="none"/>
          <w:lang w:eastAsia="zh-Hans"/>
        </w:rPr>
      </w:pPr>
    </w:p>
    <w:p w14:paraId="08B07E56">
      <w:pPr>
        <w:widowControl/>
        <w:jc w:val="left"/>
        <w:rPr>
          <w:color w:val="auto"/>
          <w:kern w:val="0"/>
          <w:sz w:val="20"/>
          <w:szCs w:val="20"/>
          <w:highlight w:val="none"/>
          <w:lang w:eastAsia="zh-Hans"/>
        </w:rPr>
      </w:pPr>
    </w:p>
    <w:p w14:paraId="13835997">
      <w:pPr>
        <w:pageBreakBefore/>
        <w:rPr>
          <w:rFonts w:ascii="宋体" w:hAnsi="宋体"/>
          <w:color w:val="auto"/>
          <w:kern w:val="0"/>
          <w:szCs w:val="21"/>
          <w:highlight w:val="none"/>
          <w:lang w:eastAsia="zh-Hans"/>
        </w:rPr>
      </w:pPr>
      <w:bookmarkStart w:id="53" w:name="_Toc169799790"/>
      <w:r>
        <w:rPr>
          <w:rFonts w:ascii="宋体" w:hAnsi="宋体"/>
          <w:b/>
          <w:bCs/>
          <w:color w:val="auto"/>
          <w:sz w:val="24"/>
          <w:szCs w:val="28"/>
          <w:highlight w:val="none"/>
        </w:rPr>
        <w:t>格式</w:t>
      </w:r>
      <w:r>
        <w:rPr>
          <w:rFonts w:hint="eastAsia" w:ascii="宋体" w:hAnsi="宋体"/>
          <w:b/>
          <w:bCs/>
          <w:color w:val="auto"/>
          <w:sz w:val="24"/>
          <w:szCs w:val="28"/>
          <w:highlight w:val="none"/>
          <w:lang w:eastAsia="zh-CN"/>
        </w:rPr>
        <w:t>三</w:t>
      </w:r>
      <w:r>
        <w:rPr>
          <w:rFonts w:ascii="宋体" w:hAnsi="宋体"/>
          <w:b/>
          <w:bCs/>
          <w:color w:val="auto"/>
          <w:sz w:val="24"/>
          <w:szCs w:val="28"/>
          <w:highlight w:val="none"/>
        </w:rPr>
        <w:t>：</w:t>
      </w:r>
      <w:bookmarkEnd w:id="53"/>
    </w:p>
    <w:p w14:paraId="5EE5C866">
      <w:pPr>
        <w:keepNext w:val="0"/>
        <w:keepLines w:val="0"/>
        <w:pageBreakBefore w:val="0"/>
        <w:widowControl/>
        <w:kinsoku/>
        <w:wordWrap/>
        <w:overflowPunct/>
        <w:topLinePunct w:val="0"/>
        <w:autoSpaceDE/>
        <w:autoSpaceDN/>
        <w:bidi w:val="0"/>
        <w:adjustRightInd/>
        <w:snapToGrid/>
        <w:jc w:val="left"/>
        <w:textAlignment w:val="auto"/>
        <w:rPr>
          <w:rFonts w:ascii="宋体" w:hAnsi="宋体"/>
          <w:color w:val="auto"/>
          <w:kern w:val="0"/>
          <w:szCs w:val="21"/>
          <w:highlight w:val="none"/>
          <w:lang w:eastAsia="zh-Hans"/>
        </w:rPr>
      </w:pPr>
      <w:r>
        <w:rPr>
          <w:rFonts w:ascii="宋体" w:hAnsi="宋体"/>
          <w:color w:val="auto"/>
          <w:kern w:val="0"/>
          <w:szCs w:val="21"/>
          <w:highlight w:val="none"/>
          <w:lang w:eastAsia="zh-Hans"/>
        </w:rPr>
        <w:t>中小企业声明函（承建本项目工程为中小企业或者承接本项目服务为中小企业时提交本函，所属行业应符合采购文件中明确的本项目所属行业）</w:t>
      </w:r>
    </w:p>
    <w:p w14:paraId="3045EC2A">
      <w:pPr>
        <w:widowControl/>
        <w:spacing w:before="156" w:beforeLines="50" w:after="156" w:afterLines="50"/>
        <w:jc w:val="center"/>
        <w:outlineLvl w:val="3"/>
        <w:rPr>
          <w:rFonts w:ascii="宋体" w:hAnsi="宋体"/>
          <w:color w:val="auto"/>
          <w:kern w:val="0"/>
          <w:szCs w:val="21"/>
          <w:highlight w:val="none"/>
          <w:lang w:eastAsia="zh-Hans"/>
        </w:rPr>
      </w:pPr>
      <w:r>
        <w:rPr>
          <w:rFonts w:ascii="宋体" w:hAnsi="宋体"/>
          <w:b/>
          <w:color w:val="auto"/>
          <w:kern w:val="0"/>
          <w:sz w:val="32"/>
          <w:szCs w:val="32"/>
          <w:highlight w:val="none"/>
          <w:lang w:eastAsia="zh-Hans"/>
        </w:rPr>
        <w:t>中小企业声明函（工程、服务）</w:t>
      </w:r>
    </w:p>
    <w:p w14:paraId="0581CB72">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本公司（联合体）郑重声明，根据《政府采购促进中小企业发展管理办法》（财库﹝2020﹞46号）的规定，本公司（联合体）参加</w:t>
      </w:r>
      <w:r>
        <w:rPr>
          <w:rFonts w:ascii="宋体" w:hAnsi="宋体"/>
          <w:color w:val="auto"/>
          <w:kern w:val="0"/>
          <w:szCs w:val="21"/>
          <w:highlight w:val="none"/>
          <w:u w:val="single"/>
          <w:lang w:eastAsia="zh-Hans"/>
        </w:rPr>
        <w:t>（单位名称）</w:t>
      </w:r>
      <w:r>
        <w:rPr>
          <w:rFonts w:ascii="宋体" w:hAnsi="宋体"/>
          <w:color w:val="auto"/>
          <w:kern w:val="0"/>
          <w:szCs w:val="21"/>
          <w:highlight w:val="none"/>
          <w:lang w:eastAsia="zh-Hans"/>
        </w:rPr>
        <w:t>的</w:t>
      </w:r>
      <w:r>
        <w:rPr>
          <w:rFonts w:ascii="宋体" w:hAnsi="宋体"/>
          <w:color w:val="auto"/>
          <w:kern w:val="0"/>
          <w:szCs w:val="21"/>
          <w:highlight w:val="none"/>
          <w:u w:val="single"/>
          <w:lang w:eastAsia="zh-Hans"/>
        </w:rPr>
        <w:t>（项目名称）</w:t>
      </w:r>
      <w:r>
        <w:rPr>
          <w:rFonts w:ascii="宋体" w:hAnsi="宋体"/>
          <w:color w:val="auto"/>
          <w:kern w:val="0"/>
          <w:szCs w:val="21"/>
          <w:highlight w:val="none"/>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F669321">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1.</w:t>
      </w:r>
      <w:r>
        <w:rPr>
          <w:rFonts w:ascii="宋体" w:hAnsi="宋体"/>
          <w:color w:val="auto"/>
          <w:kern w:val="0"/>
          <w:szCs w:val="21"/>
          <w:highlight w:val="none"/>
          <w:u w:val="single"/>
          <w:lang w:eastAsia="zh-Hans"/>
        </w:rPr>
        <w:t>（标的名称）</w:t>
      </w:r>
      <w:r>
        <w:rPr>
          <w:rFonts w:ascii="宋体" w:hAnsi="宋体"/>
          <w:color w:val="auto"/>
          <w:kern w:val="0"/>
          <w:szCs w:val="21"/>
          <w:highlight w:val="none"/>
          <w:lang w:eastAsia="zh-Hans"/>
        </w:rPr>
        <w:t>，属于</w:t>
      </w:r>
      <w:r>
        <w:rPr>
          <w:rFonts w:ascii="宋体" w:hAnsi="宋体"/>
          <w:color w:val="auto"/>
          <w:kern w:val="0"/>
          <w:szCs w:val="21"/>
          <w:highlight w:val="none"/>
          <w:u w:val="single"/>
          <w:lang w:eastAsia="zh-Hans"/>
        </w:rPr>
        <w:t>（采购文件中明确的所属行业）</w:t>
      </w:r>
      <w:r>
        <w:rPr>
          <w:rFonts w:ascii="宋体" w:hAnsi="宋体"/>
          <w:color w:val="auto"/>
          <w:kern w:val="0"/>
          <w:szCs w:val="21"/>
          <w:highlight w:val="none"/>
          <w:lang w:eastAsia="zh-Hans"/>
        </w:rPr>
        <w:t>行业；承建（承接）企业为</w:t>
      </w:r>
      <w:r>
        <w:rPr>
          <w:rFonts w:ascii="宋体" w:hAnsi="宋体"/>
          <w:color w:val="auto"/>
          <w:kern w:val="0"/>
          <w:szCs w:val="21"/>
          <w:highlight w:val="none"/>
          <w:u w:val="single"/>
          <w:lang w:eastAsia="zh-Hans"/>
        </w:rPr>
        <w:t>（企业名称）</w:t>
      </w:r>
      <w:r>
        <w:rPr>
          <w:rFonts w:ascii="宋体" w:hAnsi="宋体"/>
          <w:color w:val="auto"/>
          <w:kern w:val="0"/>
          <w:szCs w:val="21"/>
          <w:highlight w:val="none"/>
          <w:lang w:eastAsia="zh-Hans"/>
        </w:rPr>
        <w:t>，从业人员___________人，营业收入为______________万元，资产总额为_____________万元1，属于</w:t>
      </w:r>
      <w:r>
        <w:rPr>
          <w:rFonts w:ascii="宋体" w:hAnsi="宋体"/>
          <w:color w:val="auto"/>
          <w:kern w:val="0"/>
          <w:szCs w:val="21"/>
          <w:highlight w:val="none"/>
          <w:u w:val="single"/>
          <w:lang w:eastAsia="zh-Hans"/>
        </w:rPr>
        <w:t>（中型企业、小型企业、微型企业）</w:t>
      </w:r>
      <w:r>
        <w:rPr>
          <w:rFonts w:ascii="宋体" w:hAnsi="宋体"/>
          <w:color w:val="auto"/>
          <w:kern w:val="0"/>
          <w:szCs w:val="21"/>
          <w:highlight w:val="none"/>
          <w:lang w:eastAsia="zh-Hans"/>
        </w:rPr>
        <w:t>；</w:t>
      </w:r>
    </w:p>
    <w:p w14:paraId="7D273419">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2.</w:t>
      </w:r>
      <w:r>
        <w:rPr>
          <w:rFonts w:ascii="宋体" w:hAnsi="宋体"/>
          <w:color w:val="auto"/>
          <w:kern w:val="0"/>
          <w:szCs w:val="21"/>
          <w:highlight w:val="none"/>
          <w:u w:val="single"/>
          <w:lang w:eastAsia="zh-Hans"/>
        </w:rPr>
        <w:t>（标的名称）</w:t>
      </w:r>
      <w:r>
        <w:rPr>
          <w:rFonts w:ascii="宋体" w:hAnsi="宋体"/>
          <w:color w:val="auto"/>
          <w:kern w:val="0"/>
          <w:szCs w:val="21"/>
          <w:highlight w:val="none"/>
          <w:lang w:eastAsia="zh-Hans"/>
        </w:rPr>
        <w:t>，属于</w:t>
      </w:r>
      <w:r>
        <w:rPr>
          <w:rFonts w:ascii="宋体" w:hAnsi="宋体"/>
          <w:color w:val="auto"/>
          <w:kern w:val="0"/>
          <w:szCs w:val="21"/>
          <w:highlight w:val="none"/>
          <w:u w:val="single"/>
          <w:lang w:eastAsia="zh-Hans"/>
        </w:rPr>
        <w:t>（采购文件中明确的所属行业）</w:t>
      </w:r>
      <w:r>
        <w:rPr>
          <w:rFonts w:ascii="宋体" w:hAnsi="宋体"/>
          <w:color w:val="auto"/>
          <w:kern w:val="0"/>
          <w:szCs w:val="21"/>
          <w:highlight w:val="none"/>
          <w:lang w:eastAsia="zh-Hans"/>
        </w:rPr>
        <w:t>行业；承建（承接）企业为</w:t>
      </w:r>
      <w:r>
        <w:rPr>
          <w:rFonts w:ascii="宋体" w:hAnsi="宋体"/>
          <w:color w:val="auto"/>
          <w:kern w:val="0"/>
          <w:szCs w:val="21"/>
          <w:highlight w:val="none"/>
          <w:u w:val="single"/>
          <w:lang w:eastAsia="zh-Hans"/>
        </w:rPr>
        <w:t>（企业名称）</w:t>
      </w:r>
      <w:r>
        <w:rPr>
          <w:rFonts w:ascii="宋体" w:hAnsi="宋体"/>
          <w:color w:val="auto"/>
          <w:kern w:val="0"/>
          <w:szCs w:val="21"/>
          <w:highlight w:val="none"/>
          <w:lang w:eastAsia="zh-Hans"/>
        </w:rPr>
        <w:t>，从业人员__________________人，营业收入为__________________万元，资产总额为__________________万元</w:t>
      </w:r>
      <w:r>
        <w:rPr>
          <w:rFonts w:ascii="宋体" w:hAnsi="宋体"/>
          <w:color w:val="auto"/>
          <w:kern w:val="0"/>
          <w:szCs w:val="21"/>
          <w:highlight w:val="none"/>
          <w:vertAlign w:val="superscript"/>
          <w:lang w:eastAsia="zh-Hans"/>
        </w:rPr>
        <w:t>1</w:t>
      </w:r>
      <w:r>
        <w:rPr>
          <w:rFonts w:ascii="宋体" w:hAnsi="宋体"/>
          <w:color w:val="auto"/>
          <w:kern w:val="0"/>
          <w:szCs w:val="21"/>
          <w:highlight w:val="none"/>
          <w:lang w:eastAsia="zh-Hans"/>
        </w:rPr>
        <w:t>，属于</w:t>
      </w:r>
      <w:r>
        <w:rPr>
          <w:rFonts w:ascii="宋体" w:hAnsi="宋体"/>
          <w:color w:val="auto"/>
          <w:kern w:val="0"/>
          <w:szCs w:val="21"/>
          <w:highlight w:val="none"/>
          <w:u w:val="single"/>
          <w:lang w:eastAsia="zh-Hans"/>
        </w:rPr>
        <w:t>（中型企业、小型企业、微型企业）</w:t>
      </w:r>
      <w:r>
        <w:rPr>
          <w:rFonts w:ascii="宋体" w:hAnsi="宋体"/>
          <w:color w:val="auto"/>
          <w:kern w:val="0"/>
          <w:szCs w:val="21"/>
          <w:highlight w:val="none"/>
          <w:lang w:eastAsia="zh-Hans"/>
        </w:rPr>
        <w:t>；</w:t>
      </w:r>
    </w:p>
    <w:p w14:paraId="64069E7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6CFB018A">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以上企业，不属于大企业的分支机构，不存在控股股东为大企业的情形，也不存在与大企业的负责人为同一人的情形。</w:t>
      </w:r>
    </w:p>
    <w:p w14:paraId="74770D0E">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本企业对上述声明内容的真实性负责。如有虚假，将依法承担相应责任。</w:t>
      </w:r>
    </w:p>
    <w:p w14:paraId="163CD118">
      <w:pPr>
        <w:widowControl/>
        <w:spacing w:before="780" w:beforeLines="250"/>
        <w:ind w:right="840" w:firstLine="4676" w:firstLineChars="2227"/>
        <w:rPr>
          <w:rFonts w:ascii="宋体" w:hAnsi="宋体"/>
          <w:color w:val="auto"/>
          <w:kern w:val="0"/>
          <w:szCs w:val="21"/>
          <w:highlight w:val="none"/>
          <w:lang w:eastAsia="zh-Hans"/>
        </w:rPr>
      </w:pPr>
      <w:r>
        <w:rPr>
          <w:rFonts w:ascii="宋体" w:hAnsi="宋体"/>
          <w:color w:val="auto"/>
          <w:kern w:val="0"/>
          <w:szCs w:val="21"/>
          <w:highlight w:val="none"/>
          <w:lang w:eastAsia="zh-Hans"/>
        </w:rPr>
        <w:t>企业名称（盖章）：__________________</w:t>
      </w:r>
    </w:p>
    <w:p w14:paraId="362E34B3">
      <w:pPr>
        <w:widowControl/>
        <w:ind w:right="840" w:firstLine="4676" w:firstLineChars="2227"/>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25A88C99">
      <w:pPr>
        <w:widowControl/>
        <w:spacing w:before="2184" w:beforeLines="700"/>
        <w:jc w:val="left"/>
        <w:rPr>
          <w:rFonts w:ascii="宋体" w:hAnsi="宋体"/>
          <w:color w:val="auto"/>
          <w:kern w:val="0"/>
          <w:szCs w:val="21"/>
          <w:highlight w:val="none"/>
          <w:lang w:eastAsia="zh-Hans"/>
        </w:rPr>
      </w:pPr>
      <w:r>
        <w:rPr>
          <w:rFonts w:ascii="宋体" w:hAnsi="宋体"/>
          <w:color w:val="auto"/>
          <w:kern w:val="0"/>
          <w:szCs w:val="21"/>
          <w:highlight w:val="none"/>
          <w:lang w:eastAsia="zh-Hans"/>
        </w:rPr>
        <w:t>1：从业人员、营业收入、资产总额填报上一年度数据，无上一年度数据的新成立企业可不填报。</w:t>
      </w:r>
    </w:p>
    <w:p w14:paraId="4E268DB1">
      <w:pPr>
        <w:widowControl/>
        <w:jc w:val="left"/>
        <w:rPr>
          <w:rFonts w:ascii="宋体" w:hAnsi="宋体"/>
          <w:color w:val="auto"/>
          <w:kern w:val="0"/>
          <w:szCs w:val="21"/>
          <w:highlight w:val="none"/>
          <w:lang w:eastAsia="zh-Hans"/>
        </w:rPr>
      </w:pPr>
    </w:p>
    <w:p w14:paraId="38169D69">
      <w:pPr>
        <w:pageBreakBefore/>
        <w:rPr>
          <w:rFonts w:ascii="宋体" w:hAnsi="宋体"/>
          <w:color w:val="auto"/>
          <w:kern w:val="0"/>
          <w:szCs w:val="21"/>
          <w:highlight w:val="none"/>
          <w:lang w:eastAsia="zh-Hans"/>
        </w:rPr>
      </w:pPr>
      <w:bookmarkStart w:id="54" w:name="_Toc169799791"/>
      <w:r>
        <w:rPr>
          <w:rFonts w:ascii="宋体" w:hAnsi="宋体"/>
          <w:b/>
          <w:bCs/>
          <w:color w:val="auto"/>
          <w:sz w:val="24"/>
          <w:szCs w:val="28"/>
          <w:highlight w:val="none"/>
        </w:rPr>
        <w:t>格式</w:t>
      </w:r>
      <w:r>
        <w:rPr>
          <w:rFonts w:hint="eastAsia" w:ascii="宋体" w:hAnsi="宋体"/>
          <w:b/>
          <w:bCs/>
          <w:color w:val="auto"/>
          <w:sz w:val="24"/>
          <w:szCs w:val="28"/>
          <w:highlight w:val="none"/>
          <w:lang w:eastAsia="zh-CN"/>
        </w:rPr>
        <w:t>四</w:t>
      </w:r>
      <w:r>
        <w:rPr>
          <w:rFonts w:ascii="宋体" w:hAnsi="宋体"/>
          <w:b/>
          <w:bCs/>
          <w:color w:val="auto"/>
          <w:sz w:val="24"/>
          <w:szCs w:val="28"/>
          <w:highlight w:val="none"/>
        </w:rPr>
        <w:t>：</w:t>
      </w:r>
      <w:bookmarkEnd w:id="54"/>
    </w:p>
    <w:p w14:paraId="56A1A461">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（以下格式文件由供应商根据需要选用）</w:t>
      </w:r>
    </w:p>
    <w:p w14:paraId="122BF1E9">
      <w:pPr>
        <w:widowControl/>
        <w:spacing w:line="360" w:lineRule="auto"/>
        <w:jc w:val="center"/>
        <w:outlineLvl w:val="3"/>
        <w:rPr>
          <w:rFonts w:ascii="宋体" w:hAnsi="宋体"/>
          <w:color w:val="auto"/>
          <w:kern w:val="0"/>
          <w:szCs w:val="21"/>
          <w:highlight w:val="none"/>
          <w:lang w:eastAsia="zh-Hans"/>
        </w:rPr>
      </w:pPr>
      <w:r>
        <w:rPr>
          <w:rFonts w:ascii="宋体" w:hAnsi="宋体"/>
          <w:b/>
          <w:color w:val="auto"/>
          <w:kern w:val="0"/>
          <w:sz w:val="32"/>
          <w:szCs w:val="32"/>
          <w:highlight w:val="none"/>
          <w:lang w:eastAsia="zh-Hans"/>
        </w:rPr>
        <w:t>监狱企业</w:t>
      </w:r>
    </w:p>
    <w:p w14:paraId="3AEC34DD">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提供由监狱管理局、戒毒管理局（含新疆生产建设兵团）出具的属于监狱企业的证明文件。</w:t>
      </w:r>
    </w:p>
    <w:p w14:paraId="12B4C520">
      <w:pPr>
        <w:widowControl/>
        <w:spacing w:line="360" w:lineRule="auto"/>
        <w:jc w:val="left"/>
        <w:rPr>
          <w:rFonts w:ascii="宋体" w:hAnsi="宋体"/>
          <w:color w:val="auto"/>
          <w:kern w:val="0"/>
          <w:szCs w:val="21"/>
          <w:highlight w:val="none"/>
          <w:lang w:eastAsia="zh-Hans"/>
        </w:rPr>
      </w:pPr>
    </w:p>
    <w:p w14:paraId="3BFB1100">
      <w:pPr>
        <w:keepNext w:val="0"/>
        <w:keepLines/>
        <w:pageBreakBefore/>
        <w:widowControl w:val="0"/>
        <w:kinsoku/>
        <w:wordWrap/>
        <w:overflowPunct/>
        <w:topLinePunct w:val="0"/>
        <w:autoSpaceDE/>
        <w:autoSpaceDN/>
        <w:bidi w:val="0"/>
        <w:adjustRightInd/>
        <w:snapToGrid/>
        <w:spacing w:before="468" w:beforeLines="150" w:line="360" w:lineRule="auto"/>
        <w:textAlignment w:val="auto"/>
        <w:rPr>
          <w:rFonts w:ascii="宋体" w:hAnsi="宋体"/>
          <w:color w:val="auto"/>
          <w:kern w:val="0"/>
          <w:szCs w:val="21"/>
          <w:highlight w:val="none"/>
          <w:lang w:eastAsia="zh-Hans"/>
        </w:rPr>
      </w:pPr>
      <w:bookmarkStart w:id="55" w:name="_Toc169799792"/>
      <w:r>
        <w:rPr>
          <w:rFonts w:ascii="宋体" w:hAnsi="宋体"/>
          <w:b/>
          <w:bCs/>
          <w:color w:val="auto"/>
          <w:sz w:val="24"/>
          <w:szCs w:val="28"/>
          <w:highlight w:val="none"/>
        </w:rPr>
        <w:t>格式</w:t>
      </w:r>
      <w:r>
        <w:rPr>
          <w:rFonts w:hint="eastAsia" w:ascii="宋体" w:hAnsi="宋体"/>
          <w:b/>
          <w:bCs/>
          <w:color w:val="auto"/>
          <w:sz w:val="24"/>
          <w:szCs w:val="28"/>
          <w:highlight w:val="none"/>
          <w:lang w:eastAsia="zh-CN"/>
        </w:rPr>
        <w:t>五</w:t>
      </w:r>
      <w:r>
        <w:rPr>
          <w:rFonts w:ascii="宋体" w:hAnsi="宋体"/>
          <w:b/>
          <w:bCs/>
          <w:color w:val="auto"/>
          <w:sz w:val="24"/>
          <w:szCs w:val="28"/>
          <w:highlight w:val="none"/>
        </w:rPr>
        <w:t>：</w:t>
      </w:r>
      <w:bookmarkEnd w:id="55"/>
    </w:p>
    <w:p w14:paraId="29C80591">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（以下格式文件由供应商根据需要选用）</w:t>
      </w:r>
    </w:p>
    <w:p w14:paraId="798A59F9">
      <w:pPr>
        <w:widowControl/>
        <w:spacing w:before="156" w:beforeLines="50" w:line="360" w:lineRule="auto"/>
        <w:jc w:val="center"/>
        <w:outlineLvl w:val="3"/>
        <w:rPr>
          <w:rFonts w:ascii="宋体" w:hAnsi="宋体"/>
          <w:color w:val="auto"/>
          <w:kern w:val="0"/>
          <w:szCs w:val="21"/>
          <w:highlight w:val="none"/>
          <w:lang w:eastAsia="zh-Hans"/>
        </w:rPr>
      </w:pPr>
      <w:r>
        <w:rPr>
          <w:rFonts w:ascii="宋体" w:hAnsi="宋体"/>
          <w:b/>
          <w:color w:val="auto"/>
          <w:kern w:val="0"/>
          <w:sz w:val="32"/>
          <w:szCs w:val="32"/>
          <w:highlight w:val="none"/>
          <w:lang w:eastAsia="zh-Hans"/>
        </w:rPr>
        <w:t>残疾人福利性单位声明函</w:t>
      </w:r>
    </w:p>
    <w:p w14:paraId="4BAA9E8A">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B91025A">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本单位对上述声明的真实性负责。如有虚假，将依法承担相应责任。</w:t>
      </w:r>
    </w:p>
    <w:p w14:paraId="11881397">
      <w:pPr>
        <w:widowControl/>
        <w:snapToGrid w:val="0"/>
        <w:spacing w:line="360" w:lineRule="auto"/>
        <w:ind w:right="840"/>
        <w:contextualSpacing/>
        <w:jc w:val="right"/>
        <w:rPr>
          <w:rFonts w:ascii="宋体" w:hAnsi="宋体"/>
          <w:color w:val="auto"/>
          <w:kern w:val="0"/>
          <w:szCs w:val="21"/>
          <w:highlight w:val="none"/>
        </w:rPr>
      </w:pPr>
    </w:p>
    <w:p w14:paraId="351417F4">
      <w:pPr>
        <w:widowControl/>
        <w:tabs>
          <w:tab w:val="left" w:pos="4395"/>
        </w:tabs>
        <w:snapToGrid w:val="0"/>
        <w:spacing w:before="624" w:beforeLines="200" w:line="360" w:lineRule="auto"/>
        <w:ind w:right="629" w:firstLine="4109" w:firstLineChars="195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单位名称（盖章）：__________________</w:t>
      </w:r>
    </w:p>
    <w:p w14:paraId="5EE7BCC9">
      <w:pPr>
        <w:widowControl/>
        <w:tabs>
          <w:tab w:val="left" w:pos="4395"/>
        </w:tabs>
        <w:snapToGrid w:val="0"/>
        <w:spacing w:before="312" w:beforeLines="100" w:line="360" w:lineRule="auto"/>
        <w:ind w:right="1680" w:firstLine="4109" w:firstLineChars="195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日期： 年 月 日</w:t>
      </w:r>
    </w:p>
    <w:p w14:paraId="7B42605B">
      <w:pPr>
        <w:pageBreakBefore/>
        <w:rPr>
          <w:color w:val="auto"/>
          <w:kern w:val="0"/>
          <w:szCs w:val="21"/>
          <w:highlight w:val="none"/>
          <w:lang w:eastAsia="zh-Hans"/>
        </w:rPr>
      </w:pPr>
      <w:bookmarkStart w:id="56" w:name="_Toc169799793"/>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六</w:t>
      </w:r>
      <w:r>
        <w:rPr>
          <w:rFonts w:ascii="宋体" w:hAnsi="宋体"/>
          <w:b/>
          <w:bCs/>
          <w:color w:val="auto"/>
          <w:sz w:val="24"/>
          <w:szCs w:val="28"/>
          <w:highlight w:val="none"/>
        </w:rPr>
        <w:t>：</w:t>
      </w:r>
      <w:bookmarkEnd w:id="56"/>
    </w:p>
    <w:p w14:paraId="3C776E22">
      <w:pPr>
        <w:widowControl/>
        <w:spacing w:after="156" w:afterLines="50"/>
        <w:jc w:val="center"/>
        <w:outlineLvl w:val="3"/>
        <w:rPr>
          <w:color w:val="auto"/>
          <w:kern w:val="0"/>
          <w:sz w:val="20"/>
          <w:szCs w:val="20"/>
          <w:highlight w:val="none"/>
          <w:lang w:eastAsia="zh-Hans"/>
        </w:rPr>
      </w:pPr>
      <w:r>
        <w:rPr>
          <w:b/>
          <w:color w:val="auto"/>
          <w:kern w:val="0"/>
          <w:sz w:val="32"/>
          <w:highlight w:val="none"/>
          <w:lang w:eastAsia="zh-Hans"/>
        </w:rPr>
        <w:t>政策适用性说明</w:t>
      </w:r>
    </w:p>
    <w:p w14:paraId="4CC8D78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按照政府采购有关政策的要求，在本次的技术方案中，采用符合政策的小型或微型企业产品、节能产品、环境标志产品，主要产品与核心技术介绍说明如下：</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539AE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0024E2F">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序号</w:t>
            </w:r>
          </w:p>
        </w:tc>
        <w:tc>
          <w:tcPr>
            <w:tcW w:w="954" w:type="pct"/>
            <w:vAlign w:val="center"/>
          </w:tcPr>
          <w:p w14:paraId="037E34A0">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主要产品/技术名称（规格型号、注册商标）</w:t>
            </w:r>
          </w:p>
        </w:tc>
        <w:tc>
          <w:tcPr>
            <w:tcW w:w="614" w:type="pct"/>
            <w:vAlign w:val="center"/>
          </w:tcPr>
          <w:p w14:paraId="1BB57F8C">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制造商(开发商)</w:t>
            </w:r>
          </w:p>
        </w:tc>
        <w:tc>
          <w:tcPr>
            <w:tcW w:w="614" w:type="pct"/>
            <w:vAlign w:val="center"/>
          </w:tcPr>
          <w:p w14:paraId="1CEAD1CA">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制造商企业类型</w:t>
            </w:r>
          </w:p>
        </w:tc>
        <w:tc>
          <w:tcPr>
            <w:tcW w:w="613" w:type="pct"/>
            <w:vAlign w:val="center"/>
          </w:tcPr>
          <w:p w14:paraId="777EE123">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节能产品</w:t>
            </w:r>
          </w:p>
        </w:tc>
        <w:tc>
          <w:tcPr>
            <w:tcW w:w="614" w:type="pct"/>
            <w:vAlign w:val="center"/>
          </w:tcPr>
          <w:p w14:paraId="598FE2BD">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环境标志产品</w:t>
            </w:r>
          </w:p>
        </w:tc>
        <w:tc>
          <w:tcPr>
            <w:tcW w:w="540" w:type="pct"/>
            <w:vAlign w:val="center"/>
          </w:tcPr>
          <w:p w14:paraId="7FFA6391">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认证证书编号</w:t>
            </w:r>
          </w:p>
        </w:tc>
        <w:tc>
          <w:tcPr>
            <w:tcW w:w="624" w:type="pct"/>
            <w:vAlign w:val="center"/>
          </w:tcPr>
          <w:p w14:paraId="43CABBFE">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该产品报价在总报价中占比（%）</w:t>
            </w:r>
          </w:p>
        </w:tc>
      </w:tr>
      <w:tr w14:paraId="7519F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7853EA83">
            <w:pPr>
              <w:widowControl/>
              <w:snapToGrid w:val="0"/>
              <w:spacing w:line="276"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954" w:type="pct"/>
            <w:vAlign w:val="center"/>
          </w:tcPr>
          <w:p w14:paraId="46589C26">
            <w:pPr>
              <w:snapToGrid w:val="0"/>
              <w:spacing w:line="360" w:lineRule="auto"/>
              <w:contextualSpacing/>
              <w:jc w:val="center"/>
              <w:rPr>
                <w:rFonts w:ascii="宋体" w:hAnsi="宋体"/>
                <w:color w:val="auto"/>
                <w:szCs w:val="21"/>
                <w:highlight w:val="none"/>
              </w:rPr>
            </w:pPr>
          </w:p>
        </w:tc>
        <w:tc>
          <w:tcPr>
            <w:tcW w:w="614" w:type="pct"/>
            <w:vAlign w:val="center"/>
          </w:tcPr>
          <w:p w14:paraId="506B41AF">
            <w:pPr>
              <w:snapToGrid w:val="0"/>
              <w:spacing w:line="360" w:lineRule="auto"/>
              <w:contextualSpacing/>
              <w:jc w:val="center"/>
              <w:rPr>
                <w:rFonts w:ascii="宋体" w:hAnsi="宋体"/>
                <w:color w:val="auto"/>
                <w:szCs w:val="21"/>
                <w:highlight w:val="none"/>
              </w:rPr>
            </w:pPr>
          </w:p>
        </w:tc>
        <w:tc>
          <w:tcPr>
            <w:tcW w:w="614" w:type="pct"/>
            <w:vAlign w:val="center"/>
          </w:tcPr>
          <w:p w14:paraId="3DC3B549">
            <w:pPr>
              <w:snapToGrid w:val="0"/>
              <w:spacing w:line="360" w:lineRule="auto"/>
              <w:contextualSpacing/>
              <w:jc w:val="center"/>
              <w:rPr>
                <w:rFonts w:ascii="宋体" w:hAnsi="宋体"/>
                <w:color w:val="auto"/>
                <w:szCs w:val="21"/>
                <w:highlight w:val="none"/>
              </w:rPr>
            </w:pPr>
          </w:p>
        </w:tc>
        <w:tc>
          <w:tcPr>
            <w:tcW w:w="613" w:type="pct"/>
            <w:vAlign w:val="center"/>
          </w:tcPr>
          <w:p w14:paraId="180E7BC7">
            <w:pPr>
              <w:snapToGrid w:val="0"/>
              <w:spacing w:line="360" w:lineRule="auto"/>
              <w:contextualSpacing/>
              <w:jc w:val="center"/>
              <w:rPr>
                <w:rFonts w:ascii="宋体" w:hAnsi="宋体"/>
                <w:color w:val="auto"/>
                <w:szCs w:val="21"/>
                <w:highlight w:val="none"/>
              </w:rPr>
            </w:pPr>
          </w:p>
        </w:tc>
        <w:tc>
          <w:tcPr>
            <w:tcW w:w="614" w:type="pct"/>
            <w:vAlign w:val="center"/>
          </w:tcPr>
          <w:p w14:paraId="7EAF34FD">
            <w:pPr>
              <w:snapToGrid w:val="0"/>
              <w:spacing w:line="360" w:lineRule="auto"/>
              <w:contextualSpacing/>
              <w:jc w:val="center"/>
              <w:rPr>
                <w:rFonts w:ascii="宋体" w:hAnsi="宋体"/>
                <w:color w:val="auto"/>
                <w:szCs w:val="21"/>
                <w:highlight w:val="none"/>
              </w:rPr>
            </w:pPr>
          </w:p>
        </w:tc>
        <w:tc>
          <w:tcPr>
            <w:tcW w:w="540" w:type="pct"/>
            <w:vAlign w:val="center"/>
          </w:tcPr>
          <w:p w14:paraId="2290DADA">
            <w:pPr>
              <w:snapToGrid w:val="0"/>
              <w:spacing w:line="360" w:lineRule="auto"/>
              <w:contextualSpacing/>
              <w:jc w:val="center"/>
              <w:rPr>
                <w:rFonts w:ascii="宋体" w:hAnsi="宋体"/>
                <w:color w:val="auto"/>
                <w:szCs w:val="21"/>
                <w:highlight w:val="none"/>
              </w:rPr>
            </w:pPr>
          </w:p>
        </w:tc>
        <w:tc>
          <w:tcPr>
            <w:tcW w:w="624" w:type="pct"/>
            <w:vAlign w:val="center"/>
          </w:tcPr>
          <w:p w14:paraId="2A28AA4C">
            <w:pPr>
              <w:snapToGrid w:val="0"/>
              <w:spacing w:line="360" w:lineRule="auto"/>
              <w:contextualSpacing/>
              <w:jc w:val="center"/>
              <w:rPr>
                <w:rFonts w:ascii="宋体" w:hAnsi="宋体"/>
                <w:color w:val="auto"/>
                <w:szCs w:val="21"/>
                <w:highlight w:val="none"/>
              </w:rPr>
            </w:pPr>
          </w:p>
        </w:tc>
      </w:tr>
      <w:tr w14:paraId="074A6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0E29688">
            <w:pPr>
              <w:widowControl/>
              <w:snapToGrid w:val="0"/>
              <w:spacing w:line="276"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954" w:type="pct"/>
            <w:vAlign w:val="center"/>
          </w:tcPr>
          <w:p w14:paraId="0FB59462">
            <w:pPr>
              <w:snapToGrid w:val="0"/>
              <w:spacing w:line="360" w:lineRule="auto"/>
              <w:contextualSpacing/>
              <w:jc w:val="center"/>
              <w:rPr>
                <w:rFonts w:ascii="宋体" w:hAnsi="宋体"/>
                <w:color w:val="auto"/>
                <w:szCs w:val="21"/>
                <w:highlight w:val="none"/>
              </w:rPr>
            </w:pPr>
          </w:p>
        </w:tc>
        <w:tc>
          <w:tcPr>
            <w:tcW w:w="614" w:type="pct"/>
            <w:vAlign w:val="center"/>
          </w:tcPr>
          <w:p w14:paraId="440A3730">
            <w:pPr>
              <w:snapToGrid w:val="0"/>
              <w:spacing w:line="360" w:lineRule="auto"/>
              <w:contextualSpacing/>
              <w:jc w:val="center"/>
              <w:rPr>
                <w:rFonts w:ascii="宋体" w:hAnsi="宋体"/>
                <w:color w:val="auto"/>
                <w:szCs w:val="21"/>
                <w:highlight w:val="none"/>
              </w:rPr>
            </w:pPr>
          </w:p>
        </w:tc>
        <w:tc>
          <w:tcPr>
            <w:tcW w:w="614" w:type="pct"/>
            <w:vAlign w:val="center"/>
          </w:tcPr>
          <w:p w14:paraId="56F40BA2">
            <w:pPr>
              <w:snapToGrid w:val="0"/>
              <w:spacing w:line="360" w:lineRule="auto"/>
              <w:contextualSpacing/>
              <w:jc w:val="center"/>
              <w:rPr>
                <w:rFonts w:ascii="宋体" w:hAnsi="宋体"/>
                <w:color w:val="auto"/>
                <w:szCs w:val="21"/>
                <w:highlight w:val="none"/>
              </w:rPr>
            </w:pPr>
          </w:p>
        </w:tc>
        <w:tc>
          <w:tcPr>
            <w:tcW w:w="613" w:type="pct"/>
            <w:vAlign w:val="center"/>
          </w:tcPr>
          <w:p w14:paraId="6B6F2A41">
            <w:pPr>
              <w:snapToGrid w:val="0"/>
              <w:spacing w:line="360" w:lineRule="auto"/>
              <w:contextualSpacing/>
              <w:jc w:val="center"/>
              <w:rPr>
                <w:rFonts w:ascii="宋体" w:hAnsi="宋体"/>
                <w:color w:val="auto"/>
                <w:szCs w:val="21"/>
                <w:highlight w:val="none"/>
              </w:rPr>
            </w:pPr>
          </w:p>
        </w:tc>
        <w:tc>
          <w:tcPr>
            <w:tcW w:w="614" w:type="pct"/>
            <w:vAlign w:val="center"/>
          </w:tcPr>
          <w:p w14:paraId="22B4E8BD">
            <w:pPr>
              <w:snapToGrid w:val="0"/>
              <w:spacing w:line="360" w:lineRule="auto"/>
              <w:contextualSpacing/>
              <w:jc w:val="center"/>
              <w:rPr>
                <w:rFonts w:ascii="宋体" w:hAnsi="宋体"/>
                <w:color w:val="auto"/>
                <w:szCs w:val="21"/>
                <w:highlight w:val="none"/>
              </w:rPr>
            </w:pPr>
          </w:p>
        </w:tc>
        <w:tc>
          <w:tcPr>
            <w:tcW w:w="540" w:type="pct"/>
            <w:vAlign w:val="center"/>
          </w:tcPr>
          <w:p w14:paraId="11516E82">
            <w:pPr>
              <w:snapToGrid w:val="0"/>
              <w:spacing w:line="360" w:lineRule="auto"/>
              <w:contextualSpacing/>
              <w:jc w:val="center"/>
              <w:rPr>
                <w:rFonts w:ascii="宋体" w:hAnsi="宋体"/>
                <w:color w:val="auto"/>
                <w:szCs w:val="21"/>
                <w:highlight w:val="none"/>
              </w:rPr>
            </w:pPr>
          </w:p>
        </w:tc>
        <w:tc>
          <w:tcPr>
            <w:tcW w:w="624" w:type="pct"/>
            <w:vAlign w:val="center"/>
          </w:tcPr>
          <w:p w14:paraId="7C092E84">
            <w:pPr>
              <w:snapToGrid w:val="0"/>
              <w:spacing w:line="360" w:lineRule="auto"/>
              <w:contextualSpacing/>
              <w:jc w:val="center"/>
              <w:rPr>
                <w:rFonts w:ascii="宋体" w:hAnsi="宋体"/>
                <w:color w:val="auto"/>
                <w:szCs w:val="21"/>
                <w:highlight w:val="none"/>
              </w:rPr>
            </w:pPr>
          </w:p>
        </w:tc>
      </w:tr>
      <w:tr w14:paraId="08BDA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D6F71F4">
            <w:pPr>
              <w:widowControl/>
              <w:snapToGrid w:val="0"/>
              <w:spacing w:line="276"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954" w:type="pct"/>
            <w:vAlign w:val="center"/>
          </w:tcPr>
          <w:p w14:paraId="47737D8C">
            <w:pPr>
              <w:snapToGrid w:val="0"/>
              <w:spacing w:line="360" w:lineRule="auto"/>
              <w:contextualSpacing/>
              <w:jc w:val="center"/>
              <w:rPr>
                <w:rFonts w:ascii="宋体" w:hAnsi="宋体"/>
                <w:color w:val="auto"/>
                <w:szCs w:val="21"/>
                <w:highlight w:val="none"/>
              </w:rPr>
            </w:pPr>
          </w:p>
        </w:tc>
        <w:tc>
          <w:tcPr>
            <w:tcW w:w="614" w:type="pct"/>
            <w:vAlign w:val="center"/>
          </w:tcPr>
          <w:p w14:paraId="34A450E2">
            <w:pPr>
              <w:snapToGrid w:val="0"/>
              <w:spacing w:line="360" w:lineRule="auto"/>
              <w:contextualSpacing/>
              <w:jc w:val="center"/>
              <w:rPr>
                <w:rFonts w:ascii="宋体" w:hAnsi="宋体"/>
                <w:color w:val="auto"/>
                <w:szCs w:val="21"/>
                <w:highlight w:val="none"/>
              </w:rPr>
            </w:pPr>
          </w:p>
        </w:tc>
        <w:tc>
          <w:tcPr>
            <w:tcW w:w="614" w:type="pct"/>
            <w:vAlign w:val="center"/>
          </w:tcPr>
          <w:p w14:paraId="1EBFAC98">
            <w:pPr>
              <w:snapToGrid w:val="0"/>
              <w:spacing w:line="360" w:lineRule="auto"/>
              <w:contextualSpacing/>
              <w:jc w:val="center"/>
              <w:rPr>
                <w:rFonts w:ascii="宋体" w:hAnsi="宋体"/>
                <w:color w:val="auto"/>
                <w:szCs w:val="21"/>
                <w:highlight w:val="none"/>
              </w:rPr>
            </w:pPr>
          </w:p>
        </w:tc>
        <w:tc>
          <w:tcPr>
            <w:tcW w:w="613" w:type="pct"/>
            <w:vAlign w:val="center"/>
          </w:tcPr>
          <w:p w14:paraId="3A4D096D">
            <w:pPr>
              <w:snapToGrid w:val="0"/>
              <w:spacing w:line="360" w:lineRule="auto"/>
              <w:contextualSpacing/>
              <w:jc w:val="center"/>
              <w:rPr>
                <w:rFonts w:ascii="宋体" w:hAnsi="宋体"/>
                <w:color w:val="auto"/>
                <w:szCs w:val="21"/>
                <w:highlight w:val="none"/>
              </w:rPr>
            </w:pPr>
          </w:p>
        </w:tc>
        <w:tc>
          <w:tcPr>
            <w:tcW w:w="614" w:type="pct"/>
            <w:vAlign w:val="center"/>
          </w:tcPr>
          <w:p w14:paraId="386F7C01">
            <w:pPr>
              <w:snapToGrid w:val="0"/>
              <w:spacing w:line="360" w:lineRule="auto"/>
              <w:contextualSpacing/>
              <w:jc w:val="center"/>
              <w:rPr>
                <w:rFonts w:ascii="宋体" w:hAnsi="宋体"/>
                <w:color w:val="auto"/>
                <w:szCs w:val="21"/>
                <w:highlight w:val="none"/>
              </w:rPr>
            </w:pPr>
          </w:p>
        </w:tc>
        <w:tc>
          <w:tcPr>
            <w:tcW w:w="540" w:type="pct"/>
            <w:vAlign w:val="center"/>
          </w:tcPr>
          <w:p w14:paraId="27F5114D">
            <w:pPr>
              <w:snapToGrid w:val="0"/>
              <w:spacing w:line="360" w:lineRule="auto"/>
              <w:contextualSpacing/>
              <w:jc w:val="center"/>
              <w:rPr>
                <w:rFonts w:ascii="宋体" w:hAnsi="宋体"/>
                <w:color w:val="auto"/>
                <w:szCs w:val="21"/>
                <w:highlight w:val="none"/>
              </w:rPr>
            </w:pPr>
          </w:p>
        </w:tc>
        <w:tc>
          <w:tcPr>
            <w:tcW w:w="624" w:type="pct"/>
            <w:vAlign w:val="center"/>
          </w:tcPr>
          <w:p w14:paraId="7FA56FC4">
            <w:pPr>
              <w:snapToGrid w:val="0"/>
              <w:spacing w:line="360" w:lineRule="auto"/>
              <w:contextualSpacing/>
              <w:jc w:val="center"/>
              <w:rPr>
                <w:rFonts w:ascii="宋体" w:hAnsi="宋体"/>
                <w:color w:val="auto"/>
                <w:szCs w:val="21"/>
                <w:highlight w:val="none"/>
              </w:rPr>
            </w:pPr>
          </w:p>
        </w:tc>
      </w:tr>
      <w:tr w14:paraId="29AB6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EA0667A">
            <w:pPr>
              <w:widowControl/>
              <w:snapToGrid w:val="0"/>
              <w:spacing w:line="276"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954" w:type="pct"/>
            <w:vAlign w:val="center"/>
          </w:tcPr>
          <w:p w14:paraId="1A88461E">
            <w:pPr>
              <w:snapToGrid w:val="0"/>
              <w:spacing w:line="360" w:lineRule="auto"/>
              <w:contextualSpacing/>
              <w:jc w:val="center"/>
              <w:rPr>
                <w:rFonts w:ascii="宋体" w:hAnsi="宋体"/>
                <w:color w:val="auto"/>
                <w:szCs w:val="21"/>
                <w:highlight w:val="none"/>
              </w:rPr>
            </w:pPr>
          </w:p>
        </w:tc>
        <w:tc>
          <w:tcPr>
            <w:tcW w:w="614" w:type="pct"/>
            <w:vAlign w:val="center"/>
          </w:tcPr>
          <w:p w14:paraId="78F6A0AC">
            <w:pPr>
              <w:snapToGrid w:val="0"/>
              <w:spacing w:line="360" w:lineRule="auto"/>
              <w:contextualSpacing/>
              <w:jc w:val="center"/>
              <w:rPr>
                <w:rFonts w:ascii="宋体" w:hAnsi="宋体"/>
                <w:color w:val="auto"/>
                <w:szCs w:val="21"/>
                <w:highlight w:val="none"/>
              </w:rPr>
            </w:pPr>
          </w:p>
        </w:tc>
        <w:tc>
          <w:tcPr>
            <w:tcW w:w="614" w:type="pct"/>
            <w:vAlign w:val="center"/>
          </w:tcPr>
          <w:p w14:paraId="287ED408">
            <w:pPr>
              <w:snapToGrid w:val="0"/>
              <w:spacing w:line="360" w:lineRule="auto"/>
              <w:contextualSpacing/>
              <w:jc w:val="center"/>
              <w:rPr>
                <w:rFonts w:ascii="宋体" w:hAnsi="宋体"/>
                <w:color w:val="auto"/>
                <w:szCs w:val="21"/>
                <w:highlight w:val="none"/>
              </w:rPr>
            </w:pPr>
          </w:p>
        </w:tc>
        <w:tc>
          <w:tcPr>
            <w:tcW w:w="613" w:type="pct"/>
            <w:vAlign w:val="center"/>
          </w:tcPr>
          <w:p w14:paraId="2498FFF7">
            <w:pPr>
              <w:snapToGrid w:val="0"/>
              <w:spacing w:line="360" w:lineRule="auto"/>
              <w:contextualSpacing/>
              <w:jc w:val="center"/>
              <w:rPr>
                <w:rFonts w:ascii="宋体" w:hAnsi="宋体"/>
                <w:color w:val="auto"/>
                <w:szCs w:val="21"/>
                <w:highlight w:val="none"/>
              </w:rPr>
            </w:pPr>
          </w:p>
        </w:tc>
        <w:tc>
          <w:tcPr>
            <w:tcW w:w="614" w:type="pct"/>
            <w:vAlign w:val="center"/>
          </w:tcPr>
          <w:p w14:paraId="1CA05E08">
            <w:pPr>
              <w:snapToGrid w:val="0"/>
              <w:spacing w:line="360" w:lineRule="auto"/>
              <w:contextualSpacing/>
              <w:jc w:val="center"/>
              <w:rPr>
                <w:rFonts w:ascii="宋体" w:hAnsi="宋体"/>
                <w:color w:val="auto"/>
                <w:szCs w:val="21"/>
                <w:highlight w:val="none"/>
              </w:rPr>
            </w:pPr>
          </w:p>
        </w:tc>
        <w:tc>
          <w:tcPr>
            <w:tcW w:w="540" w:type="pct"/>
            <w:vAlign w:val="center"/>
          </w:tcPr>
          <w:p w14:paraId="4F440E54">
            <w:pPr>
              <w:snapToGrid w:val="0"/>
              <w:spacing w:line="360" w:lineRule="auto"/>
              <w:contextualSpacing/>
              <w:jc w:val="center"/>
              <w:rPr>
                <w:rFonts w:ascii="宋体" w:hAnsi="宋体"/>
                <w:color w:val="auto"/>
                <w:szCs w:val="21"/>
                <w:highlight w:val="none"/>
              </w:rPr>
            </w:pPr>
          </w:p>
        </w:tc>
        <w:tc>
          <w:tcPr>
            <w:tcW w:w="624" w:type="pct"/>
            <w:vAlign w:val="center"/>
          </w:tcPr>
          <w:p w14:paraId="00E699EA">
            <w:pPr>
              <w:snapToGrid w:val="0"/>
              <w:spacing w:line="360" w:lineRule="auto"/>
              <w:contextualSpacing/>
              <w:jc w:val="center"/>
              <w:rPr>
                <w:rFonts w:ascii="宋体" w:hAnsi="宋体"/>
                <w:color w:val="auto"/>
                <w:szCs w:val="21"/>
                <w:highlight w:val="none"/>
              </w:rPr>
            </w:pPr>
          </w:p>
        </w:tc>
      </w:tr>
      <w:tr w14:paraId="74CD9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EB42ECA">
            <w:pPr>
              <w:widowControl/>
              <w:snapToGrid w:val="0"/>
              <w:spacing w:line="276"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5</w:t>
            </w:r>
          </w:p>
        </w:tc>
        <w:tc>
          <w:tcPr>
            <w:tcW w:w="954" w:type="pct"/>
            <w:vAlign w:val="center"/>
          </w:tcPr>
          <w:p w14:paraId="5173C3CD">
            <w:pPr>
              <w:snapToGrid w:val="0"/>
              <w:spacing w:line="360" w:lineRule="auto"/>
              <w:contextualSpacing/>
              <w:jc w:val="center"/>
              <w:rPr>
                <w:rFonts w:ascii="宋体" w:hAnsi="宋体"/>
                <w:color w:val="auto"/>
                <w:szCs w:val="21"/>
                <w:highlight w:val="none"/>
              </w:rPr>
            </w:pPr>
          </w:p>
        </w:tc>
        <w:tc>
          <w:tcPr>
            <w:tcW w:w="614" w:type="pct"/>
            <w:vAlign w:val="center"/>
          </w:tcPr>
          <w:p w14:paraId="612B6B72">
            <w:pPr>
              <w:snapToGrid w:val="0"/>
              <w:spacing w:line="360" w:lineRule="auto"/>
              <w:contextualSpacing/>
              <w:jc w:val="center"/>
              <w:rPr>
                <w:rFonts w:ascii="宋体" w:hAnsi="宋体"/>
                <w:color w:val="auto"/>
                <w:szCs w:val="21"/>
                <w:highlight w:val="none"/>
              </w:rPr>
            </w:pPr>
          </w:p>
        </w:tc>
        <w:tc>
          <w:tcPr>
            <w:tcW w:w="614" w:type="pct"/>
            <w:vAlign w:val="center"/>
          </w:tcPr>
          <w:p w14:paraId="59C5E003">
            <w:pPr>
              <w:snapToGrid w:val="0"/>
              <w:spacing w:line="360" w:lineRule="auto"/>
              <w:contextualSpacing/>
              <w:jc w:val="center"/>
              <w:rPr>
                <w:rFonts w:ascii="宋体" w:hAnsi="宋体"/>
                <w:color w:val="auto"/>
                <w:szCs w:val="21"/>
                <w:highlight w:val="none"/>
              </w:rPr>
            </w:pPr>
          </w:p>
        </w:tc>
        <w:tc>
          <w:tcPr>
            <w:tcW w:w="613" w:type="pct"/>
            <w:vAlign w:val="center"/>
          </w:tcPr>
          <w:p w14:paraId="172FA6A3">
            <w:pPr>
              <w:snapToGrid w:val="0"/>
              <w:spacing w:line="360" w:lineRule="auto"/>
              <w:contextualSpacing/>
              <w:jc w:val="center"/>
              <w:rPr>
                <w:rFonts w:ascii="宋体" w:hAnsi="宋体"/>
                <w:color w:val="auto"/>
                <w:szCs w:val="21"/>
                <w:highlight w:val="none"/>
              </w:rPr>
            </w:pPr>
          </w:p>
        </w:tc>
        <w:tc>
          <w:tcPr>
            <w:tcW w:w="614" w:type="pct"/>
            <w:vAlign w:val="center"/>
          </w:tcPr>
          <w:p w14:paraId="1A188300">
            <w:pPr>
              <w:snapToGrid w:val="0"/>
              <w:spacing w:line="360" w:lineRule="auto"/>
              <w:contextualSpacing/>
              <w:jc w:val="center"/>
              <w:rPr>
                <w:rFonts w:ascii="宋体" w:hAnsi="宋体"/>
                <w:color w:val="auto"/>
                <w:szCs w:val="21"/>
                <w:highlight w:val="none"/>
              </w:rPr>
            </w:pPr>
          </w:p>
        </w:tc>
        <w:tc>
          <w:tcPr>
            <w:tcW w:w="540" w:type="pct"/>
            <w:vAlign w:val="center"/>
          </w:tcPr>
          <w:p w14:paraId="39664AED">
            <w:pPr>
              <w:snapToGrid w:val="0"/>
              <w:spacing w:line="360" w:lineRule="auto"/>
              <w:contextualSpacing/>
              <w:jc w:val="center"/>
              <w:rPr>
                <w:rFonts w:ascii="宋体" w:hAnsi="宋体"/>
                <w:color w:val="auto"/>
                <w:szCs w:val="21"/>
                <w:highlight w:val="none"/>
              </w:rPr>
            </w:pPr>
          </w:p>
        </w:tc>
        <w:tc>
          <w:tcPr>
            <w:tcW w:w="624" w:type="pct"/>
            <w:vAlign w:val="center"/>
          </w:tcPr>
          <w:p w14:paraId="24553B38">
            <w:pPr>
              <w:snapToGrid w:val="0"/>
              <w:spacing w:line="360" w:lineRule="auto"/>
              <w:contextualSpacing/>
              <w:jc w:val="center"/>
              <w:rPr>
                <w:rFonts w:ascii="宋体" w:hAnsi="宋体"/>
                <w:color w:val="auto"/>
                <w:szCs w:val="21"/>
                <w:highlight w:val="none"/>
              </w:rPr>
            </w:pPr>
          </w:p>
        </w:tc>
      </w:tr>
      <w:tr w14:paraId="2CE8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DB3E134">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w:t>
            </w:r>
          </w:p>
        </w:tc>
        <w:tc>
          <w:tcPr>
            <w:tcW w:w="954" w:type="pct"/>
            <w:vAlign w:val="center"/>
          </w:tcPr>
          <w:p w14:paraId="48D33EAA">
            <w:pPr>
              <w:snapToGrid w:val="0"/>
              <w:spacing w:line="360" w:lineRule="auto"/>
              <w:contextualSpacing/>
              <w:jc w:val="center"/>
              <w:rPr>
                <w:rFonts w:ascii="宋体" w:hAnsi="宋体"/>
                <w:color w:val="auto"/>
                <w:szCs w:val="21"/>
                <w:highlight w:val="none"/>
              </w:rPr>
            </w:pPr>
          </w:p>
        </w:tc>
        <w:tc>
          <w:tcPr>
            <w:tcW w:w="614" w:type="pct"/>
            <w:vAlign w:val="center"/>
          </w:tcPr>
          <w:p w14:paraId="6B17D121">
            <w:pPr>
              <w:snapToGrid w:val="0"/>
              <w:spacing w:line="360" w:lineRule="auto"/>
              <w:contextualSpacing/>
              <w:jc w:val="center"/>
              <w:rPr>
                <w:rFonts w:ascii="宋体" w:hAnsi="宋体"/>
                <w:color w:val="auto"/>
                <w:szCs w:val="21"/>
                <w:highlight w:val="none"/>
              </w:rPr>
            </w:pPr>
          </w:p>
        </w:tc>
        <w:tc>
          <w:tcPr>
            <w:tcW w:w="614" w:type="pct"/>
            <w:vAlign w:val="center"/>
          </w:tcPr>
          <w:p w14:paraId="0BBEC2DF">
            <w:pPr>
              <w:snapToGrid w:val="0"/>
              <w:spacing w:line="360" w:lineRule="auto"/>
              <w:contextualSpacing/>
              <w:jc w:val="center"/>
              <w:rPr>
                <w:rFonts w:ascii="宋体" w:hAnsi="宋体"/>
                <w:color w:val="auto"/>
                <w:szCs w:val="21"/>
                <w:highlight w:val="none"/>
              </w:rPr>
            </w:pPr>
          </w:p>
        </w:tc>
        <w:tc>
          <w:tcPr>
            <w:tcW w:w="613" w:type="pct"/>
            <w:vAlign w:val="center"/>
          </w:tcPr>
          <w:p w14:paraId="30469D6F">
            <w:pPr>
              <w:snapToGrid w:val="0"/>
              <w:spacing w:line="360" w:lineRule="auto"/>
              <w:contextualSpacing/>
              <w:jc w:val="center"/>
              <w:rPr>
                <w:rFonts w:ascii="宋体" w:hAnsi="宋体"/>
                <w:color w:val="auto"/>
                <w:szCs w:val="21"/>
                <w:highlight w:val="none"/>
              </w:rPr>
            </w:pPr>
          </w:p>
        </w:tc>
        <w:tc>
          <w:tcPr>
            <w:tcW w:w="614" w:type="pct"/>
            <w:vAlign w:val="center"/>
          </w:tcPr>
          <w:p w14:paraId="20127C8C">
            <w:pPr>
              <w:snapToGrid w:val="0"/>
              <w:spacing w:line="360" w:lineRule="auto"/>
              <w:contextualSpacing/>
              <w:jc w:val="center"/>
              <w:rPr>
                <w:rFonts w:ascii="宋体" w:hAnsi="宋体"/>
                <w:color w:val="auto"/>
                <w:szCs w:val="21"/>
                <w:highlight w:val="none"/>
              </w:rPr>
            </w:pPr>
          </w:p>
        </w:tc>
        <w:tc>
          <w:tcPr>
            <w:tcW w:w="540" w:type="pct"/>
            <w:vAlign w:val="center"/>
          </w:tcPr>
          <w:p w14:paraId="0040DCCE">
            <w:pPr>
              <w:snapToGrid w:val="0"/>
              <w:spacing w:line="360" w:lineRule="auto"/>
              <w:contextualSpacing/>
              <w:jc w:val="center"/>
              <w:rPr>
                <w:rFonts w:ascii="宋体" w:hAnsi="宋体"/>
                <w:color w:val="auto"/>
                <w:szCs w:val="21"/>
                <w:highlight w:val="none"/>
              </w:rPr>
            </w:pPr>
          </w:p>
        </w:tc>
        <w:tc>
          <w:tcPr>
            <w:tcW w:w="624" w:type="pct"/>
            <w:vAlign w:val="center"/>
          </w:tcPr>
          <w:p w14:paraId="53638B6C">
            <w:pPr>
              <w:snapToGrid w:val="0"/>
              <w:spacing w:line="360" w:lineRule="auto"/>
              <w:contextualSpacing/>
              <w:jc w:val="center"/>
              <w:rPr>
                <w:rFonts w:ascii="宋体" w:hAnsi="宋体"/>
                <w:color w:val="auto"/>
                <w:szCs w:val="21"/>
                <w:highlight w:val="none"/>
              </w:rPr>
            </w:pPr>
          </w:p>
        </w:tc>
      </w:tr>
    </w:tbl>
    <w:p w14:paraId="73063AF0">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注：</w:t>
      </w:r>
    </w:p>
    <w:p w14:paraId="510FEDD1">
      <w:pPr>
        <w:widowControl/>
        <w:snapToGrid w:val="0"/>
        <w:spacing w:line="360" w:lineRule="auto"/>
        <w:contextualSpacing/>
        <w:jc w:val="left"/>
        <w:rPr>
          <w:rFonts w:ascii="宋体" w:hAnsi="宋体"/>
          <w:color w:val="auto"/>
          <w:kern w:val="0"/>
          <w:szCs w:val="21"/>
          <w:highlight w:val="none"/>
        </w:rPr>
      </w:pPr>
      <w:r>
        <w:rPr>
          <w:rFonts w:hint="eastAsia" w:ascii="宋体" w:hAnsi="宋体"/>
          <w:color w:val="auto"/>
          <w:kern w:val="0"/>
          <w:szCs w:val="21"/>
          <w:highlight w:val="none"/>
        </w:rPr>
        <w:t>1.</w:t>
      </w:r>
      <w:r>
        <w:rPr>
          <w:rFonts w:ascii="宋体" w:hAnsi="宋体"/>
          <w:color w:val="auto"/>
          <w:kern w:val="0"/>
          <w:szCs w:val="21"/>
          <w:highlight w:val="none"/>
        </w:rPr>
        <w:t>制造商为小型或微型企业时才需要填“制造商企业类型”栏，填写内容为“小型”或“微型”；</w:t>
      </w:r>
    </w:p>
    <w:p w14:paraId="6B2342AA">
      <w:pPr>
        <w:widowControl/>
        <w:snapToGrid w:val="0"/>
        <w:spacing w:line="360" w:lineRule="auto"/>
        <w:contextualSpacing/>
        <w:jc w:val="left"/>
        <w:rPr>
          <w:rFonts w:ascii="宋体" w:hAnsi="宋体"/>
          <w:color w:val="auto"/>
          <w:kern w:val="0"/>
          <w:szCs w:val="21"/>
          <w:highlight w:val="none"/>
        </w:rPr>
      </w:pPr>
      <w:r>
        <w:rPr>
          <w:rFonts w:hint="eastAsia" w:ascii="宋体" w:hAnsi="宋体"/>
          <w:color w:val="auto"/>
          <w:kern w:val="0"/>
          <w:szCs w:val="21"/>
          <w:highlight w:val="none"/>
        </w:rPr>
        <w:t>2.</w:t>
      </w:r>
      <w:r>
        <w:rPr>
          <w:rFonts w:ascii="宋体" w:hAnsi="宋体"/>
          <w:color w:val="auto"/>
          <w:kern w:val="0"/>
          <w:szCs w:val="21"/>
          <w:highlight w:val="none"/>
        </w:rPr>
        <w:t>节能产品须填写认证证书编号，并提供</w:t>
      </w:r>
      <w:r>
        <w:rPr>
          <w:rFonts w:hint="eastAsia" w:ascii="宋体" w:hAnsi="宋体"/>
          <w:color w:val="auto"/>
          <w:kern w:val="0"/>
          <w:szCs w:val="21"/>
          <w:highlight w:val="none"/>
        </w:rPr>
        <w:t>响应</w:t>
      </w:r>
      <w:r>
        <w:rPr>
          <w:rFonts w:ascii="宋体" w:hAnsi="宋体"/>
          <w:color w:val="auto"/>
          <w:kern w:val="0"/>
          <w:szCs w:val="21"/>
          <w:highlight w:val="none"/>
        </w:rPr>
        <w:t>产品的节能产品认证证书复印件加盖供应商公章；</w:t>
      </w:r>
    </w:p>
    <w:p w14:paraId="42C1687F">
      <w:pPr>
        <w:widowControl/>
        <w:snapToGrid w:val="0"/>
        <w:spacing w:line="360" w:lineRule="auto"/>
        <w:contextualSpacing/>
        <w:jc w:val="left"/>
        <w:rPr>
          <w:rFonts w:ascii="宋体" w:hAnsi="宋体"/>
          <w:color w:val="auto"/>
          <w:kern w:val="0"/>
          <w:szCs w:val="21"/>
          <w:highlight w:val="none"/>
        </w:rPr>
      </w:pPr>
      <w:r>
        <w:rPr>
          <w:rFonts w:hint="eastAsia" w:ascii="宋体" w:hAnsi="宋体"/>
          <w:color w:val="auto"/>
          <w:kern w:val="0"/>
          <w:szCs w:val="21"/>
          <w:highlight w:val="none"/>
        </w:rPr>
        <w:t>3.</w:t>
      </w:r>
      <w:r>
        <w:rPr>
          <w:rFonts w:ascii="宋体" w:hAnsi="宋体"/>
          <w:color w:val="auto"/>
          <w:kern w:val="0"/>
          <w:szCs w:val="21"/>
          <w:highlight w:val="none"/>
        </w:rPr>
        <w:t>环保标志产品须填写认证证书编号，并提供</w:t>
      </w:r>
      <w:r>
        <w:rPr>
          <w:rFonts w:hint="eastAsia" w:ascii="宋体" w:hAnsi="宋体"/>
          <w:color w:val="auto"/>
          <w:kern w:val="0"/>
          <w:szCs w:val="21"/>
          <w:highlight w:val="none"/>
        </w:rPr>
        <w:t>响应</w:t>
      </w:r>
      <w:r>
        <w:rPr>
          <w:rFonts w:ascii="宋体" w:hAnsi="宋体"/>
          <w:color w:val="auto"/>
          <w:kern w:val="0"/>
          <w:szCs w:val="21"/>
          <w:highlight w:val="none"/>
        </w:rPr>
        <w:t>产品的环保标志产品认证证书复印件加盖供应商公章。</w:t>
      </w:r>
    </w:p>
    <w:p w14:paraId="10D2A9FB">
      <w:pPr>
        <w:widowControl/>
        <w:snapToGrid w:val="0"/>
        <w:spacing w:after="1092" w:afterLines="350" w:line="360" w:lineRule="auto"/>
        <w:contextualSpacing/>
        <w:jc w:val="left"/>
        <w:rPr>
          <w:rFonts w:ascii="宋体" w:hAnsi="宋体"/>
          <w:color w:val="auto"/>
          <w:kern w:val="0"/>
          <w:szCs w:val="21"/>
          <w:highlight w:val="none"/>
        </w:rPr>
      </w:pPr>
      <w:r>
        <w:rPr>
          <w:rFonts w:hint="eastAsia" w:ascii="宋体" w:hAnsi="宋体"/>
          <w:color w:val="auto"/>
          <w:kern w:val="0"/>
          <w:szCs w:val="21"/>
          <w:highlight w:val="none"/>
        </w:rPr>
        <w:t>4.</w:t>
      </w:r>
      <w:r>
        <w:rPr>
          <w:rFonts w:ascii="宋体" w:hAnsi="宋体"/>
          <w:color w:val="auto"/>
          <w:kern w:val="0"/>
          <w:szCs w:val="21"/>
          <w:highlight w:val="none"/>
        </w:rPr>
        <w:t>以上证明资料未按要求提供或未提供完整的，视为未提供处理。</w:t>
      </w:r>
    </w:p>
    <w:p w14:paraId="72AD92D5">
      <w:pPr>
        <w:widowControl/>
        <w:snapToGrid w:val="0"/>
        <w:spacing w:line="360" w:lineRule="auto"/>
        <w:contextualSpacing/>
        <w:jc w:val="left"/>
        <w:rPr>
          <w:rFonts w:ascii="宋体" w:hAnsi="宋体"/>
          <w:color w:val="auto"/>
          <w:kern w:val="0"/>
          <w:szCs w:val="21"/>
          <w:highlight w:val="none"/>
        </w:rPr>
      </w:pPr>
    </w:p>
    <w:p w14:paraId="40E9D827">
      <w:pPr>
        <w:widowControl/>
        <w:snapToGrid w:val="0"/>
        <w:spacing w:line="360" w:lineRule="auto"/>
        <w:contextualSpacing/>
        <w:jc w:val="left"/>
        <w:rPr>
          <w:rFonts w:ascii="宋体" w:hAnsi="宋体"/>
          <w:color w:val="auto"/>
          <w:kern w:val="0"/>
          <w:szCs w:val="21"/>
          <w:highlight w:val="none"/>
        </w:rPr>
      </w:pPr>
    </w:p>
    <w:p w14:paraId="7CCFAD7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463F942A">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27C1C0C6">
      <w:pPr>
        <w:pageBreakBefore/>
        <w:rPr>
          <w:color w:val="auto"/>
          <w:kern w:val="0"/>
          <w:sz w:val="20"/>
          <w:szCs w:val="20"/>
          <w:highlight w:val="none"/>
          <w:lang w:eastAsia="zh-Hans"/>
        </w:rPr>
      </w:pPr>
      <w:bookmarkStart w:id="57" w:name="_Toc169799795"/>
      <w:r>
        <w:rPr>
          <w:rFonts w:ascii="宋体" w:hAnsi="宋体"/>
          <w:b/>
          <w:bCs/>
          <w:color w:val="auto"/>
          <w:sz w:val="24"/>
          <w:szCs w:val="28"/>
          <w:highlight w:val="none"/>
        </w:rPr>
        <w:t>格式</w:t>
      </w:r>
      <w:r>
        <w:rPr>
          <w:rFonts w:hint="eastAsia" w:ascii="宋体" w:hAnsi="宋体"/>
          <w:b/>
          <w:bCs/>
          <w:color w:val="auto"/>
          <w:sz w:val="24"/>
          <w:szCs w:val="28"/>
          <w:highlight w:val="none"/>
          <w:lang w:eastAsia="zh-CN"/>
        </w:rPr>
        <w:t>七</w:t>
      </w:r>
      <w:r>
        <w:rPr>
          <w:rFonts w:ascii="宋体" w:hAnsi="宋体"/>
          <w:b/>
          <w:bCs/>
          <w:color w:val="auto"/>
          <w:sz w:val="24"/>
          <w:szCs w:val="28"/>
          <w:highlight w:val="none"/>
        </w:rPr>
        <w:t>：</w:t>
      </w:r>
      <w:bookmarkEnd w:id="57"/>
    </w:p>
    <w:p w14:paraId="4F0D4039">
      <w:pPr>
        <w:widowControl/>
        <w:spacing w:before="156" w:beforeLines="50" w:after="312" w:afterLines="100"/>
        <w:jc w:val="center"/>
        <w:outlineLvl w:val="3"/>
        <w:rPr>
          <w:color w:val="auto"/>
          <w:kern w:val="0"/>
          <w:sz w:val="20"/>
          <w:szCs w:val="20"/>
          <w:highlight w:val="none"/>
          <w:lang w:eastAsia="zh-Hans"/>
        </w:rPr>
      </w:pPr>
      <w:r>
        <w:rPr>
          <w:b/>
          <w:color w:val="auto"/>
          <w:kern w:val="0"/>
          <w:sz w:val="32"/>
          <w:highlight w:val="none"/>
          <w:lang w:eastAsia="zh-Hans"/>
        </w:rPr>
        <w:t>法定代表人证明书</w:t>
      </w:r>
    </w:p>
    <w:p w14:paraId="4A65B1CF">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现任我单位</w:t>
      </w:r>
      <w:r>
        <w:rPr>
          <w:rFonts w:hint="eastAsia" w:ascii="宋体" w:hAnsi="宋体"/>
          <w:color w:val="auto"/>
          <w:kern w:val="0"/>
          <w:szCs w:val="21"/>
          <w:highlight w:val="none"/>
        </w:rPr>
        <w:t xml:space="preserve"> </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职务，为法定代表人，特此证明。</w:t>
      </w:r>
    </w:p>
    <w:p w14:paraId="3A6329A4">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有效期限：</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lang w:eastAsia="zh-Hans"/>
        </w:rPr>
        <w:t xml:space="preserve">   </w:t>
      </w:r>
    </w:p>
    <w:p w14:paraId="09415172">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附：代表人性别：</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年龄：</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 身份证号码：</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p>
    <w:p w14:paraId="29DE463A">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统一社会信用代码</w:t>
      </w:r>
      <w:r>
        <w:rPr>
          <w:rFonts w:ascii="宋体" w:hAnsi="宋体"/>
          <w:color w:val="auto"/>
          <w:kern w:val="0"/>
          <w:szCs w:val="21"/>
          <w:highlight w:val="none"/>
          <w:lang w:eastAsia="zh-Hans"/>
        </w:rPr>
        <w:t>：</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企业类型：</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p>
    <w:p w14:paraId="4F38E14E">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经营范围：</w:t>
      </w:r>
      <w:r>
        <w:rPr>
          <w:rFonts w:hint="eastAsia" w:ascii="宋体" w:hAnsi="宋体"/>
          <w:color w:val="auto"/>
          <w:kern w:val="0"/>
          <w:szCs w:val="21"/>
          <w:highlight w:val="none"/>
          <w:u w:val="single"/>
        </w:rPr>
        <w:t xml:space="preserve">                                                                       </w:t>
      </w:r>
    </w:p>
    <w:p w14:paraId="54285D0E">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w:t>
      </w:r>
      <w:r>
        <w:rPr>
          <w:rFonts w:hint="eastAsia" w:ascii="宋体" w:hAnsi="宋体"/>
          <w:color w:val="auto"/>
          <w:kern w:val="0"/>
          <w:szCs w:val="21"/>
          <w:highlight w:val="none"/>
          <w:u w:val="single"/>
        </w:rPr>
        <w:t xml:space="preserve">                                                         </w:t>
      </w:r>
    </w:p>
    <w:p w14:paraId="2B86B542">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p>
    <w:p w14:paraId="69E47047">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法定代表人（签字或盖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hint="eastAsia" w:ascii="宋体" w:hAnsi="宋体"/>
          <w:color w:val="auto"/>
          <w:kern w:val="0"/>
          <w:szCs w:val="21"/>
          <w:highlight w:val="none"/>
          <w:u w:val="single"/>
        </w:rPr>
        <w:t xml:space="preserve">                                                     </w:t>
      </w:r>
    </w:p>
    <w:p w14:paraId="7BB442AF">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职务：</w:t>
      </w:r>
      <w:r>
        <w:rPr>
          <w:rFonts w:hint="eastAsia" w:ascii="宋体" w:hAnsi="宋体"/>
          <w:color w:val="auto"/>
          <w:kern w:val="0"/>
          <w:szCs w:val="21"/>
          <w:highlight w:val="none"/>
          <w:u w:val="single"/>
        </w:rPr>
        <w:t xml:space="preserve">                     </w:t>
      </w:r>
    </w:p>
    <w:p w14:paraId="4D6F2D2F">
      <w:pPr>
        <w:widowControl/>
        <w:spacing w:line="360" w:lineRule="auto"/>
        <w:jc w:val="left"/>
        <w:rPr>
          <w:color w:val="auto"/>
          <w:kern w:val="0"/>
          <w:sz w:val="20"/>
          <w:szCs w:val="20"/>
          <w:highlight w:val="none"/>
          <w:lang w:eastAsia="zh-Hans"/>
        </w:rPr>
      </w:pPr>
      <w:r>
        <w:rPr>
          <w:rFonts w:ascii="宋体" w:hAnsi="宋体"/>
          <w:color w:val="auto"/>
          <w:kern w:val="0"/>
          <w:szCs w:val="21"/>
          <w:highlight w:val="none"/>
          <w:lang w:eastAsia="zh-Hans"/>
        </w:rPr>
        <w:t>日期：</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 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3D25366C">
      <w:pPr>
        <w:spacing w:before="156" w:beforeLines="50" w:after="156" w:afterLines="50" w:line="360" w:lineRule="auto"/>
        <w:rPr>
          <w:rFonts w:ascii="宋体" w:hAnsi="宋体"/>
          <w:color w:val="auto"/>
          <w:szCs w:val="21"/>
          <w:highlight w:val="none"/>
        </w:rPr>
      </w:pPr>
    </w:p>
    <w:p w14:paraId="57A5989C">
      <w:pPr>
        <w:spacing w:before="156" w:beforeLines="50" w:after="156" w:afterLines="50" w:line="360" w:lineRule="auto"/>
        <w:rPr>
          <w:rFonts w:ascii="宋体" w:hAnsi="宋体"/>
          <w:color w:val="auto"/>
          <w:szCs w:val="21"/>
          <w:highlight w:val="none"/>
        </w:rPr>
      </w:pPr>
      <w:r>
        <w:rPr>
          <w:rFonts w:hint="eastAsia" w:ascii="宋体" w:hAnsi="宋体"/>
          <w:color w:val="auto"/>
          <w:szCs w:val="21"/>
          <w:highlight w:val="none"/>
        </w:rPr>
        <w:t>须附：法定代表人有效期内身份证复印件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1310DFD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6DC8E8A">
            <w:pPr>
              <w:pStyle w:val="4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5654ECE5">
            <w:pPr>
              <w:pStyle w:val="4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0967FBFF">
      <w:pPr>
        <w:widowControl/>
        <w:jc w:val="left"/>
        <w:rPr>
          <w:color w:val="auto"/>
          <w:kern w:val="0"/>
          <w:sz w:val="20"/>
          <w:szCs w:val="20"/>
          <w:highlight w:val="none"/>
          <w:lang w:eastAsia="zh-Hans"/>
        </w:rPr>
      </w:pPr>
    </w:p>
    <w:p w14:paraId="753B24A6">
      <w:pPr>
        <w:pageBreakBefore/>
        <w:rPr>
          <w:color w:val="auto"/>
          <w:kern w:val="0"/>
          <w:sz w:val="20"/>
          <w:szCs w:val="20"/>
          <w:highlight w:val="none"/>
          <w:lang w:eastAsia="zh-Hans"/>
        </w:rPr>
      </w:pPr>
      <w:bookmarkStart w:id="58" w:name="_Toc169799796"/>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八</w:t>
      </w:r>
      <w:r>
        <w:rPr>
          <w:rFonts w:ascii="宋体" w:hAnsi="宋体"/>
          <w:b/>
          <w:bCs/>
          <w:color w:val="auto"/>
          <w:sz w:val="24"/>
          <w:szCs w:val="28"/>
          <w:highlight w:val="none"/>
        </w:rPr>
        <w:t>：</w:t>
      </w:r>
      <w:bookmarkEnd w:id="58"/>
    </w:p>
    <w:p w14:paraId="78F9EB4A">
      <w:pPr>
        <w:widowControl/>
        <w:spacing w:before="156" w:beforeLines="50" w:after="312" w:afterLines="100"/>
        <w:jc w:val="center"/>
        <w:outlineLvl w:val="3"/>
        <w:rPr>
          <w:color w:val="auto"/>
          <w:kern w:val="0"/>
          <w:sz w:val="20"/>
          <w:szCs w:val="20"/>
          <w:highlight w:val="none"/>
          <w:lang w:eastAsia="zh-Hans"/>
        </w:rPr>
      </w:pPr>
      <w:r>
        <w:rPr>
          <w:b/>
          <w:color w:val="auto"/>
          <w:kern w:val="0"/>
          <w:sz w:val="32"/>
          <w:highlight w:val="none"/>
          <w:lang w:eastAsia="zh-Hans"/>
        </w:rPr>
        <w:t>法定代表人授权</w:t>
      </w:r>
      <w:r>
        <w:rPr>
          <w:rFonts w:hint="eastAsia"/>
          <w:b/>
          <w:color w:val="auto"/>
          <w:kern w:val="0"/>
          <w:sz w:val="32"/>
          <w:highlight w:val="none"/>
          <w:lang w:eastAsia="zh-Hans"/>
        </w:rPr>
        <w:t>委托</w:t>
      </w:r>
      <w:r>
        <w:rPr>
          <w:b/>
          <w:color w:val="auto"/>
          <w:kern w:val="0"/>
          <w:sz w:val="32"/>
          <w:highlight w:val="none"/>
          <w:lang w:eastAsia="zh-Hans"/>
        </w:rPr>
        <w:t>书</w:t>
      </w:r>
    </w:p>
    <w:p w14:paraId="26C460CF">
      <w:pPr>
        <w:spacing w:before="468" w:beforeLines="150" w:after="312" w:afterLines="100" w:line="360" w:lineRule="auto"/>
        <w:rPr>
          <w:rFonts w:ascii="宋体" w:hAnsi="宋体"/>
          <w:b/>
          <w:color w:val="auto"/>
          <w:highlight w:val="none"/>
        </w:rPr>
      </w:pPr>
      <w:r>
        <w:rPr>
          <w:rFonts w:hint="eastAsia" w:ascii="宋体" w:hAnsi="宋体"/>
          <w:b/>
          <w:color w:val="auto"/>
          <w:highlight w:val="none"/>
        </w:rPr>
        <w:t>广东智汇城市招标采购有限公司：</w:t>
      </w:r>
    </w:p>
    <w:p w14:paraId="56C2A077">
      <w:pPr>
        <w:pStyle w:val="49"/>
        <w:snapToGrid w:val="0"/>
        <w:spacing w:line="360" w:lineRule="auto"/>
        <w:ind w:firstLine="450" w:firstLineChars="0"/>
        <w:contextualSpacing/>
        <w:rPr>
          <w:rFonts w:ascii="宋体" w:eastAsia="宋体"/>
          <w:color w:val="auto"/>
          <w:sz w:val="21"/>
          <w:szCs w:val="21"/>
          <w:highlight w:val="none"/>
        </w:rPr>
      </w:pPr>
      <w:r>
        <w:rPr>
          <w:rFonts w:hint="eastAsia" w:ascii="宋体" w:eastAsia="宋体"/>
          <w:color w:val="auto"/>
          <w:sz w:val="21"/>
          <w:szCs w:val="21"/>
          <w:highlight w:val="none"/>
        </w:rPr>
        <w:t>本人</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（姓名）</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系</w:t>
      </w:r>
      <w:r>
        <w:rPr>
          <w:rFonts w:ascii="宋体" w:eastAsia="宋体"/>
          <w:color w:val="auto"/>
          <w:sz w:val="21"/>
          <w:szCs w:val="21"/>
          <w:highlight w:val="none"/>
          <w:u w:val="single"/>
        </w:rPr>
        <w:t xml:space="preserve">     （供应商名称）    </w:t>
      </w:r>
      <w:r>
        <w:rPr>
          <w:rFonts w:hint="eastAsia" w:ascii="宋体" w:eastAsia="宋体"/>
          <w:color w:val="auto"/>
          <w:sz w:val="21"/>
          <w:szCs w:val="21"/>
          <w:highlight w:val="none"/>
        </w:rPr>
        <w:t>的法定代表人，现委托</w:t>
      </w:r>
      <w:r>
        <w:rPr>
          <w:rFonts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ascii="宋体" w:eastAsia="宋体"/>
          <w:color w:val="auto"/>
          <w:sz w:val="21"/>
          <w:szCs w:val="21"/>
          <w:highlight w:val="none"/>
          <w:u w:val="single"/>
        </w:rPr>
        <w:t xml:space="preserve">     （项目名称） </w:t>
      </w:r>
      <w:r>
        <w:rPr>
          <w:rFonts w:hint="eastAsia" w:ascii="宋体" w:eastAsia="宋体"/>
          <w:color w:val="auto"/>
          <w:sz w:val="21"/>
          <w:szCs w:val="21"/>
          <w:highlight w:val="none"/>
        </w:rPr>
        <w:t>（项目编号：</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）响应文件、签订合同和处理有关事宜，其法律后果由我方承担。</w:t>
      </w:r>
    </w:p>
    <w:p w14:paraId="0392E913">
      <w:pPr>
        <w:pStyle w:val="49"/>
        <w:snapToGrid w:val="0"/>
        <w:spacing w:line="360" w:lineRule="auto"/>
        <w:ind w:firstLine="428" w:firstLineChars="204"/>
        <w:contextualSpacing/>
        <w:rPr>
          <w:rFonts w:ascii="宋体" w:eastAsia="宋体"/>
          <w:color w:val="auto"/>
          <w:sz w:val="21"/>
          <w:szCs w:val="21"/>
          <w:highlight w:val="none"/>
        </w:rPr>
      </w:pPr>
      <w:r>
        <w:rPr>
          <w:rFonts w:hint="eastAsia" w:ascii="宋体" w:eastAsia="宋体"/>
          <w:color w:val="auto"/>
          <w:sz w:val="21"/>
          <w:szCs w:val="21"/>
          <w:highlight w:val="none"/>
        </w:rPr>
        <w:t>本委托书于</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日签字生效，特此证明。</w:t>
      </w:r>
    </w:p>
    <w:p w14:paraId="36042A5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kern w:val="0"/>
          <w:szCs w:val="21"/>
          <w:highlight w:val="none"/>
          <w:lang w:eastAsia="zh-Hans"/>
        </w:rPr>
        <w:t>加</w:t>
      </w:r>
      <w:r>
        <w:rPr>
          <w:rFonts w:ascii="宋体" w:hAnsi="宋体"/>
          <w:color w:val="auto"/>
          <w:kern w:val="0"/>
          <w:szCs w:val="21"/>
          <w:highlight w:val="none"/>
          <w:lang w:eastAsia="zh-Hans"/>
        </w:rPr>
        <w:t>盖</w:t>
      </w:r>
      <w:r>
        <w:rPr>
          <w:rFonts w:hint="eastAsia" w:ascii="宋体" w:hAnsi="宋体"/>
          <w:color w:val="auto"/>
          <w:kern w:val="0"/>
          <w:szCs w:val="21"/>
          <w:highlight w:val="none"/>
          <w:lang w:eastAsia="zh-Hans"/>
        </w:rPr>
        <w:t>公</w:t>
      </w:r>
      <w:r>
        <w:rPr>
          <w:rFonts w:ascii="宋体" w:hAnsi="宋体"/>
          <w:color w:val="auto"/>
          <w:kern w:val="0"/>
          <w:szCs w:val="21"/>
          <w:highlight w:val="none"/>
          <w:lang w:eastAsia="zh-Hans"/>
        </w:rPr>
        <w:t>章）：</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p>
    <w:p w14:paraId="58D8F41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p>
    <w:p w14:paraId="16180D5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法定代表人（签字或盖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p>
    <w:p w14:paraId="33C3877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职务：</w:t>
      </w:r>
      <w:r>
        <w:rPr>
          <w:rFonts w:ascii="宋体"/>
          <w:color w:val="auto"/>
          <w:szCs w:val="21"/>
          <w:highlight w:val="none"/>
          <w:u w:val="single"/>
        </w:rPr>
        <w:t xml:space="preserve">   </w:t>
      </w:r>
      <w:r>
        <w:rPr>
          <w:rFonts w:hint="eastAsia" w:ascii="宋体"/>
          <w:color w:val="auto"/>
          <w:szCs w:val="21"/>
          <w:highlight w:val="none"/>
          <w:u w:val="single"/>
        </w:rPr>
        <w:t xml:space="preserve">                                                 </w:t>
      </w:r>
    </w:p>
    <w:p w14:paraId="6F2F9133">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被授权人（签字或盖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ascii="宋体"/>
          <w:color w:val="auto"/>
          <w:szCs w:val="21"/>
          <w:highlight w:val="none"/>
          <w:u w:val="single"/>
        </w:rPr>
        <w:t xml:space="preserve">   </w:t>
      </w:r>
      <w:r>
        <w:rPr>
          <w:rFonts w:hint="eastAsia" w:ascii="宋体"/>
          <w:color w:val="auto"/>
          <w:szCs w:val="21"/>
          <w:highlight w:val="none"/>
          <w:u w:val="single"/>
        </w:rPr>
        <w:t xml:space="preserve">                             </w:t>
      </w:r>
    </w:p>
    <w:p w14:paraId="0EE2569A">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职务：</w:t>
      </w:r>
      <w:r>
        <w:rPr>
          <w:rFonts w:ascii="宋体"/>
          <w:color w:val="auto"/>
          <w:szCs w:val="21"/>
          <w:highlight w:val="none"/>
          <w:u w:val="single"/>
        </w:rPr>
        <w:t xml:space="preserve">   </w:t>
      </w:r>
      <w:r>
        <w:rPr>
          <w:rFonts w:hint="eastAsia" w:ascii="宋体"/>
          <w:color w:val="auto"/>
          <w:szCs w:val="21"/>
          <w:highlight w:val="none"/>
          <w:u w:val="single"/>
        </w:rPr>
        <w:t xml:space="preserve">                                                 </w:t>
      </w:r>
    </w:p>
    <w:p w14:paraId="1C211C34">
      <w:pPr>
        <w:pStyle w:val="49"/>
        <w:snapToGrid w:val="0"/>
        <w:spacing w:line="360" w:lineRule="auto"/>
        <w:ind w:firstLine="0" w:firstLineChars="0"/>
        <w:contextualSpacing/>
        <w:rPr>
          <w:rFonts w:ascii="黑体" w:hAnsi="黑体" w:eastAsia="黑体"/>
          <w:color w:val="auto"/>
          <w:sz w:val="21"/>
          <w:szCs w:val="21"/>
          <w:highlight w:val="none"/>
        </w:rPr>
      </w:pPr>
      <w:r>
        <w:rPr>
          <w:rFonts w:ascii="宋体" w:eastAsia="宋体"/>
          <w:color w:val="auto"/>
          <w:kern w:val="0"/>
          <w:sz w:val="21"/>
          <w:szCs w:val="21"/>
          <w:highlight w:val="none"/>
          <w:lang w:eastAsia="zh-Hans"/>
        </w:rPr>
        <w:t xml:space="preserve">日期：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年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月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日</w:t>
      </w:r>
    </w:p>
    <w:p w14:paraId="3D43AA97">
      <w:pPr>
        <w:pStyle w:val="49"/>
        <w:spacing w:line="360" w:lineRule="auto"/>
        <w:ind w:firstLine="0" w:firstLineChars="0"/>
        <w:rPr>
          <w:rFonts w:ascii="宋体" w:eastAsia="宋体"/>
          <w:color w:val="auto"/>
          <w:sz w:val="21"/>
          <w:szCs w:val="21"/>
          <w:highlight w:val="none"/>
        </w:rPr>
      </w:pPr>
    </w:p>
    <w:p w14:paraId="67F4496E">
      <w:pPr>
        <w:spacing w:after="156" w:afterLines="50" w:line="360" w:lineRule="auto"/>
        <w:rPr>
          <w:rFonts w:ascii="宋体" w:hAnsi="宋体"/>
          <w:color w:val="auto"/>
          <w:szCs w:val="21"/>
          <w:highlight w:val="none"/>
        </w:rPr>
      </w:pPr>
      <w:r>
        <w:rPr>
          <w:rFonts w:hint="eastAsia" w:ascii="宋体" w:hAnsi="宋体"/>
          <w:color w:val="auto"/>
          <w:szCs w:val="21"/>
          <w:highlight w:val="none"/>
        </w:rPr>
        <w:t>须附：被授权人有效期内身份证复印件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CC0BD8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1B1F45A">
            <w:pPr>
              <w:pStyle w:val="4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42F7F00B">
            <w:pPr>
              <w:pStyle w:val="4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49347EBF">
      <w:pPr>
        <w:widowControl/>
        <w:jc w:val="left"/>
        <w:rPr>
          <w:color w:val="auto"/>
          <w:kern w:val="0"/>
          <w:sz w:val="20"/>
          <w:szCs w:val="20"/>
          <w:highlight w:val="none"/>
          <w:lang w:eastAsia="zh-Hans"/>
        </w:rPr>
      </w:pPr>
    </w:p>
    <w:p w14:paraId="34B92EE4">
      <w:pPr>
        <w:pageBreakBefore/>
        <w:rPr>
          <w:rFonts w:ascii="宋体" w:hAnsi="宋体"/>
          <w:b/>
          <w:bCs/>
          <w:color w:val="auto"/>
          <w:highlight w:val="none"/>
        </w:rPr>
      </w:pPr>
      <w:r>
        <w:rPr>
          <w:rFonts w:hint="eastAsia" w:ascii="宋体" w:hAnsi="宋体"/>
          <w:b/>
          <w:bCs/>
          <w:color w:val="auto"/>
          <w:sz w:val="24"/>
          <w:szCs w:val="28"/>
          <w:highlight w:val="none"/>
        </w:rPr>
        <w:t>格式</w:t>
      </w:r>
      <w:r>
        <w:rPr>
          <w:rFonts w:hint="eastAsia" w:ascii="宋体" w:hAnsi="宋体"/>
          <w:b/>
          <w:bCs/>
          <w:color w:val="auto"/>
          <w:sz w:val="24"/>
          <w:szCs w:val="28"/>
          <w:highlight w:val="none"/>
          <w:lang w:val="en-US" w:eastAsia="zh-CN"/>
        </w:rPr>
        <w:t>九</w:t>
      </w:r>
      <w:r>
        <w:rPr>
          <w:rFonts w:hint="eastAsia" w:ascii="宋体" w:hAnsi="宋体"/>
          <w:b/>
          <w:bCs/>
          <w:color w:val="auto"/>
          <w:sz w:val="24"/>
          <w:szCs w:val="28"/>
          <w:highlight w:val="none"/>
        </w:rPr>
        <w:t>：</w:t>
      </w:r>
    </w:p>
    <w:p w14:paraId="3F48B593">
      <w:pPr>
        <w:spacing w:before="156" w:beforeLines="50" w:after="312" w:afterLines="100" w:line="360" w:lineRule="auto"/>
        <w:jc w:val="center"/>
        <w:rPr>
          <w:rFonts w:ascii="宋体" w:hAnsi="宋体"/>
          <w:b/>
          <w:color w:val="auto"/>
          <w:sz w:val="30"/>
          <w:szCs w:val="30"/>
          <w:highlight w:val="none"/>
        </w:rPr>
      </w:pPr>
      <w:r>
        <w:rPr>
          <w:rFonts w:hint="eastAsia" w:ascii="宋体" w:hAnsi="宋体"/>
          <w:b/>
          <w:color w:val="auto"/>
          <w:sz w:val="32"/>
          <w:szCs w:val="32"/>
          <w:highlight w:val="none"/>
        </w:rPr>
        <w:t>资格条件承诺函</w:t>
      </w:r>
    </w:p>
    <w:p w14:paraId="636A8C96">
      <w:pPr>
        <w:adjustRightInd w:val="0"/>
        <w:snapToGrid w:val="0"/>
        <w:spacing w:line="360" w:lineRule="auto"/>
        <w:rPr>
          <w:rFonts w:ascii="宋体" w:hAnsi="宋体"/>
          <w:b/>
          <w:color w:val="auto"/>
          <w:szCs w:val="21"/>
          <w:highlight w:val="none"/>
        </w:rPr>
      </w:pPr>
      <w:r>
        <w:rPr>
          <w:rFonts w:hint="eastAsia" w:ascii="宋体" w:hAnsi="宋体"/>
          <w:b/>
          <w:color w:val="auto"/>
          <w:szCs w:val="21"/>
          <w:highlight w:val="none"/>
        </w:rPr>
        <w:t>广东智汇城市招标采购有限公司：</w:t>
      </w:r>
    </w:p>
    <w:p w14:paraId="09A03B93">
      <w:pPr>
        <w:adjustRightInd w:val="0"/>
        <w:snapToGrid w:val="0"/>
        <w:spacing w:before="156" w:beforeLines="50" w:line="360" w:lineRule="auto"/>
        <w:ind w:firstLine="424" w:firstLineChars="202"/>
        <w:rPr>
          <w:rFonts w:ascii="宋体" w:hAnsi="宋体"/>
          <w:color w:val="auto"/>
          <w:szCs w:val="21"/>
          <w:highlight w:val="none"/>
        </w:rPr>
      </w:pPr>
      <w:r>
        <w:rPr>
          <w:rFonts w:hint="eastAsia" w:ascii="宋体" w:hAnsi="宋体"/>
          <w:color w:val="auto"/>
          <w:szCs w:val="21"/>
          <w:highlight w:val="none"/>
        </w:rPr>
        <w:t xml:space="preserve">关于贵公司 </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日发布</w:t>
      </w:r>
      <w:r>
        <w:rPr>
          <w:rFonts w:hint="eastAsia" w:ascii="宋体" w:hAnsi="宋体"/>
          <w:color w:val="auto"/>
          <w:szCs w:val="21"/>
          <w:highlight w:val="none"/>
          <w:u w:val="single"/>
        </w:rPr>
        <w:t xml:space="preserve">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w:t>
      </w:r>
      <w:r>
        <w:rPr>
          <w:rFonts w:hint="eastAsia" w:ascii="宋体" w:hAnsi="宋体"/>
          <w:color w:val="auto"/>
          <w:szCs w:val="21"/>
          <w:highlight w:val="none"/>
        </w:rPr>
        <w:t>）的采购公告，我方愿意参加磋商，并承诺：</w:t>
      </w:r>
    </w:p>
    <w:p w14:paraId="631A2B26">
      <w:pPr>
        <w:pStyle w:val="70"/>
        <w:widowControl/>
        <w:numPr>
          <w:ilvl w:val="0"/>
          <w:numId w:val="95"/>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具有良好的商业信誉和健全的财务会计制度。</w:t>
      </w:r>
    </w:p>
    <w:p w14:paraId="7DF64C35">
      <w:pPr>
        <w:pStyle w:val="70"/>
        <w:widowControl/>
        <w:numPr>
          <w:ilvl w:val="0"/>
          <w:numId w:val="95"/>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具有履行合同所必需的设备和专业技术能力。</w:t>
      </w:r>
    </w:p>
    <w:p w14:paraId="6CD693AC">
      <w:pPr>
        <w:pStyle w:val="70"/>
        <w:widowControl/>
        <w:numPr>
          <w:ilvl w:val="0"/>
          <w:numId w:val="95"/>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有依法缴纳税收和社会保障资金的良好记录。</w:t>
      </w:r>
    </w:p>
    <w:p w14:paraId="7EEC2897">
      <w:pPr>
        <w:pStyle w:val="70"/>
        <w:widowControl/>
        <w:numPr>
          <w:ilvl w:val="0"/>
          <w:numId w:val="95"/>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4DE137A">
      <w:pPr>
        <w:pStyle w:val="70"/>
        <w:widowControl/>
        <w:numPr>
          <w:ilvl w:val="0"/>
          <w:numId w:val="95"/>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法律、行政法规规定的其他条件。</w:t>
      </w:r>
    </w:p>
    <w:p w14:paraId="169E1B72">
      <w:pPr>
        <w:pStyle w:val="70"/>
        <w:widowControl/>
        <w:numPr>
          <w:ilvl w:val="0"/>
          <w:numId w:val="95"/>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承诺单位负责人为同一人或者存在直接控股、管理关系的不同供应商，不得同时参加本采购项目（或采购包）投标。</w:t>
      </w:r>
    </w:p>
    <w:p w14:paraId="4A8F9C03">
      <w:pPr>
        <w:pStyle w:val="70"/>
        <w:widowControl/>
        <w:numPr>
          <w:ilvl w:val="0"/>
          <w:numId w:val="95"/>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承诺为本项目提供整体设计、规范编制或者项目管理、监理、检测等服务的供应商，不得再参与本项目</w:t>
      </w:r>
      <w:r>
        <w:rPr>
          <w:rFonts w:hint="eastAsia" w:ascii="宋体" w:hAnsi="宋体" w:cs="宋体"/>
          <w:color w:val="auto"/>
          <w:kern w:val="0"/>
          <w:szCs w:val="21"/>
          <w:highlight w:val="none"/>
          <w:lang w:val="en-US" w:eastAsia="zh-CN"/>
        </w:rPr>
        <w:t>响应</w:t>
      </w:r>
      <w:r>
        <w:rPr>
          <w:rFonts w:hint="eastAsia" w:ascii="宋体" w:hAnsi="宋体" w:cs="宋体"/>
          <w:color w:val="auto"/>
          <w:kern w:val="0"/>
          <w:szCs w:val="21"/>
          <w:highlight w:val="none"/>
        </w:rPr>
        <w:t>。</w:t>
      </w:r>
    </w:p>
    <w:p w14:paraId="0260F064">
      <w:pPr>
        <w:adjustRightInd w:val="0"/>
        <w:snapToGrid w:val="0"/>
        <w:spacing w:line="360" w:lineRule="auto"/>
        <w:ind w:firstLine="424" w:firstLineChars="202"/>
        <w:rPr>
          <w:rFonts w:ascii="宋体" w:hAnsi="宋体"/>
          <w:color w:val="auto"/>
          <w:szCs w:val="21"/>
          <w:highlight w:val="none"/>
        </w:rPr>
      </w:pPr>
      <w:r>
        <w:rPr>
          <w:rFonts w:hint="eastAsia" w:ascii="宋体" w:hAnsi="宋体"/>
          <w:color w:val="auto"/>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5BF2E2E0">
      <w:pPr>
        <w:adjustRightInd w:val="0"/>
        <w:snapToGrid w:val="0"/>
        <w:spacing w:before="156" w:beforeLines="50" w:line="360" w:lineRule="auto"/>
        <w:ind w:firstLine="420"/>
        <w:rPr>
          <w:rFonts w:ascii="宋体" w:hAnsi="宋体"/>
          <w:color w:val="auto"/>
          <w:szCs w:val="21"/>
          <w:highlight w:val="none"/>
        </w:rPr>
      </w:pPr>
      <w:r>
        <w:rPr>
          <w:rFonts w:hint="eastAsia" w:ascii="宋体" w:hAnsi="宋体"/>
          <w:color w:val="auto"/>
          <w:szCs w:val="21"/>
          <w:highlight w:val="none"/>
        </w:rPr>
        <w:t>特此承诺。</w:t>
      </w:r>
    </w:p>
    <w:p w14:paraId="0FF68E36">
      <w:pPr>
        <w:rPr>
          <w:rFonts w:ascii="宋体" w:hAnsi="宋体"/>
          <w:color w:val="auto"/>
          <w:szCs w:val="21"/>
          <w:highlight w:val="none"/>
        </w:rPr>
      </w:pPr>
    </w:p>
    <w:p w14:paraId="00BA6824">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0A39DB3D">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89C6270">
      <w:pPr>
        <w:rPr>
          <w:rFonts w:ascii="宋体" w:hAnsi="宋体"/>
          <w:color w:val="auto"/>
          <w:szCs w:val="21"/>
          <w:highlight w:val="none"/>
        </w:rPr>
      </w:pPr>
    </w:p>
    <w:p w14:paraId="52795FA1">
      <w:pPr>
        <w:pageBreakBefore/>
        <w:rPr>
          <w:color w:val="auto"/>
          <w:kern w:val="0"/>
          <w:szCs w:val="21"/>
          <w:highlight w:val="none"/>
          <w:lang w:eastAsia="zh-Hans"/>
        </w:rPr>
      </w:pPr>
      <w:bookmarkStart w:id="59" w:name="_Toc169799798"/>
      <w:r>
        <w:rPr>
          <w:rFonts w:ascii="宋体" w:hAnsi="宋体"/>
          <w:b/>
          <w:bCs/>
          <w:color w:val="auto"/>
          <w:sz w:val="24"/>
          <w:szCs w:val="28"/>
          <w:highlight w:val="none"/>
        </w:rPr>
        <w:t>格式</w:t>
      </w:r>
      <w:r>
        <w:rPr>
          <w:rFonts w:hint="eastAsia" w:ascii="宋体" w:hAnsi="宋体"/>
          <w:b/>
          <w:bCs/>
          <w:color w:val="auto"/>
          <w:sz w:val="24"/>
          <w:szCs w:val="28"/>
          <w:highlight w:val="none"/>
        </w:rPr>
        <w:t>十</w:t>
      </w:r>
      <w:r>
        <w:rPr>
          <w:rFonts w:ascii="宋体" w:hAnsi="宋体"/>
          <w:b/>
          <w:bCs/>
          <w:color w:val="auto"/>
          <w:sz w:val="24"/>
          <w:szCs w:val="28"/>
          <w:highlight w:val="none"/>
        </w:rPr>
        <w:t>：</w:t>
      </w:r>
      <w:bookmarkEnd w:id="59"/>
    </w:p>
    <w:p w14:paraId="15568C17">
      <w:pPr>
        <w:widowControl/>
        <w:spacing w:before="156" w:beforeLines="50"/>
        <w:jc w:val="center"/>
        <w:outlineLvl w:val="3"/>
        <w:rPr>
          <w:color w:val="auto"/>
          <w:kern w:val="0"/>
          <w:sz w:val="20"/>
          <w:szCs w:val="20"/>
          <w:highlight w:val="none"/>
        </w:rPr>
      </w:pPr>
      <w:r>
        <w:rPr>
          <w:b/>
          <w:color w:val="auto"/>
          <w:kern w:val="0"/>
          <w:sz w:val="28"/>
          <w:szCs w:val="21"/>
          <w:highlight w:val="none"/>
          <w:lang w:eastAsia="zh-Hans"/>
        </w:rPr>
        <w:t>提供具有独立承担民事责任的能力的证明材料</w:t>
      </w:r>
    </w:p>
    <w:p w14:paraId="344917B6">
      <w:pPr>
        <w:widowControl/>
        <w:jc w:val="left"/>
        <w:rPr>
          <w:color w:val="auto"/>
          <w:kern w:val="0"/>
          <w:sz w:val="20"/>
          <w:szCs w:val="20"/>
          <w:highlight w:val="none"/>
          <w:lang w:eastAsia="zh-Hans"/>
        </w:rPr>
      </w:pPr>
    </w:p>
    <w:p w14:paraId="731F7449">
      <w:pPr>
        <w:pageBreakBefore/>
        <w:rPr>
          <w:rFonts w:ascii="宋体" w:hAnsi="宋体"/>
          <w:b/>
          <w:bCs/>
          <w:color w:val="auto"/>
          <w:highlight w:val="none"/>
        </w:rPr>
      </w:pPr>
      <w:r>
        <w:rPr>
          <w:rFonts w:hint="eastAsia" w:ascii="宋体" w:hAnsi="宋体"/>
          <w:b/>
          <w:bCs/>
          <w:color w:val="auto"/>
          <w:sz w:val="24"/>
          <w:szCs w:val="28"/>
          <w:highlight w:val="none"/>
        </w:rPr>
        <w:t>格式十</w:t>
      </w:r>
      <w:r>
        <w:rPr>
          <w:rFonts w:hint="eastAsia" w:ascii="宋体" w:hAnsi="宋体"/>
          <w:b/>
          <w:bCs/>
          <w:color w:val="auto"/>
          <w:sz w:val="24"/>
          <w:szCs w:val="28"/>
          <w:highlight w:val="none"/>
          <w:lang w:eastAsia="zh-CN"/>
        </w:rPr>
        <w:t>一</w:t>
      </w:r>
      <w:r>
        <w:rPr>
          <w:rFonts w:hint="eastAsia" w:ascii="宋体" w:hAnsi="宋体"/>
          <w:b/>
          <w:bCs/>
          <w:color w:val="auto"/>
          <w:sz w:val="24"/>
          <w:szCs w:val="28"/>
          <w:highlight w:val="none"/>
        </w:rPr>
        <w:t>：</w:t>
      </w:r>
    </w:p>
    <w:p w14:paraId="18BD0630">
      <w:pPr>
        <w:spacing w:after="156" w:afterLines="50" w:line="360" w:lineRule="auto"/>
        <w:jc w:val="center"/>
        <w:rPr>
          <w:rFonts w:ascii="宋体" w:hAnsi="宋体"/>
          <w:b/>
          <w:color w:val="auto"/>
          <w:sz w:val="22"/>
          <w:highlight w:val="none"/>
        </w:rPr>
      </w:pPr>
      <w:r>
        <w:rPr>
          <w:rFonts w:hint="eastAsia" w:ascii="宋体" w:hAnsi="宋体"/>
          <w:b/>
          <w:color w:val="auto"/>
          <w:sz w:val="32"/>
          <w:szCs w:val="32"/>
          <w:highlight w:val="none"/>
        </w:rPr>
        <w:t>拟投入本项目设备情况表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69EA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26A3280B">
            <w:pPr>
              <w:jc w:val="center"/>
              <w:rPr>
                <w:rFonts w:ascii="宋体" w:hAnsi="宋体"/>
                <w:b/>
                <w:bCs/>
                <w:color w:val="auto"/>
                <w:szCs w:val="21"/>
                <w:highlight w:val="none"/>
              </w:rPr>
            </w:pPr>
            <w:r>
              <w:rPr>
                <w:rFonts w:hint="eastAsia" w:ascii="宋体" w:hAnsi="宋体"/>
                <w:b/>
                <w:bCs/>
                <w:color w:val="auto"/>
                <w:szCs w:val="21"/>
                <w:highlight w:val="none"/>
              </w:rPr>
              <w:t>序号</w:t>
            </w:r>
          </w:p>
        </w:tc>
        <w:tc>
          <w:tcPr>
            <w:tcW w:w="1563" w:type="pct"/>
            <w:vAlign w:val="center"/>
          </w:tcPr>
          <w:p w14:paraId="5C440835">
            <w:pPr>
              <w:jc w:val="center"/>
              <w:rPr>
                <w:rFonts w:ascii="宋体" w:hAnsi="宋体"/>
                <w:b/>
                <w:bCs/>
                <w:color w:val="auto"/>
                <w:szCs w:val="21"/>
                <w:highlight w:val="none"/>
              </w:rPr>
            </w:pPr>
            <w:r>
              <w:rPr>
                <w:rFonts w:hint="eastAsia" w:ascii="宋体" w:hAnsi="宋体"/>
                <w:b/>
                <w:bCs/>
                <w:color w:val="auto"/>
                <w:szCs w:val="21"/>
                <w:highlight w:val="none"/>
              </w:rPr>
              <w:t>名称</w:t>
            </w:r>
          </w:p>
        </w:tc>
        <w:tc>
          <w:tcPr>
            <w:tcW w:w="1164" w:type="pct"/>
            <w:vAlign w:val="center"/>
          </w:tcPr>
          <w:p w14:paraId="38FBCDC5">
            <w:pPr>
              <w:jc w:val="center"/>
              <w:rPr>
                <w:rFonts w:ascii="宋体" w:hAnsi="宋体"/>
                <w:b/>
                <w:bCs/>
                <w:color w:val="auto"/>
                <w:szCs w:val="21"/>
                <w:highlight w:val="none"/>
              </w:rPr>
            </w:pPr>
            <w:r>
              <w:rPr>
                <w:rFonts w:hint="eastAsia" w:ascii="宋体" w:hAnsi="宋体"/>
                <w:b/>
                <w:bCs/>
                <w:color w:val="auto"/>
                <w:szCs w:val="21"/>
                <w:highlight w:val="none"/>
              </w:rPr>
              <w:t>规格型号</w:t>
            </w:r>
          </w:p>
        </w:tc>
        <w:tc>
          <w:tcPr>
            <w:tcW w:w="732" w:type="pct"/>
            <w:vAlign w:val="center"/>
          </w:tcPr>
          <w:p w14:paraId="2F11C35A">
            <w:pPr>
              <w:jc w:val="center"/>
              <w:rPr>
                <w:rFonts w:ascii="宋体" w:hAnsi="宋体"/>
                <w:b/>
                <w:bCs/>
                <w:color w:val="auto"/>
                <w:szCs w:val="21"/>
                <w:highlight w:val="none"/>
              </w:rPr>
            </w:pPr>
            <w:r>
              <w:rPr>
                <w:rFonts w:hint="eastAsia" w:ascii="宋体" w:hAnsi="宋体"/>
                <w:b/>
                <w:bCs/>
                <w:color w:val="auto"/>
                <w:szCs w:val="21"/>
                <w:highlight w:val="none"/>
              </w:rPr>
              <w:t>数量</w:t>
            </w:r>
          </w:p>
        </w:tc>
        <w:tc>
          <w:tcPr>
            <w:tcW w:w="1009" w:type="pct"/>
            <w:vAlign w:val="center"/>
          </w:tcPr>
          <w:p w14:paraId="578023CB">
            <w:pPr>
              <w:jc w:val="center"/>
              <w:rPr>
                <w:rFonts w:ascii="宋体" w:hAnsi="宋体"/>
                <w:b/>
                <w:bCs/>
                <w:color w:val="auto"/>
                <w:szCs w:val="21"/>
                <w:highlight w:val="none"/>
              </w:rPr>
            </w:pPr>
            <w:r>
              <w:rPr>
                <w:rFonts w:hint="eastAsia" w:ascii="宋体" w:hAnsi="宋体"/>
                <w:b/>
                <w:bCs/>
                <w:color w:val="auto"/>
                <w:szCs w:val="21"/>
                <w:highlight w:val="none"/>
              </w:rPr>
              <w:t>备注</w:t>
            </w:r>
          </w:p>
        </w:tc>
      </w:tr>
      <w:tr w14:paraId="1B51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518BACA7">
            <w:pPr>
              <w:jc w:val="center"/>
              <w:rPr>
                <w:rFonts w:ascii="宋体" w:hAnsi="宋体"/>
                <w:color w:val="auto"/>
                <w:szCs w:val="21"/>
                <w:highlight w:val="none"/>
              </w:rPr>
            </w:pPr>
          </w:p>
        </w:tc>
        <w:tc>
          <w:tcPr>
            <w:tcW w:w="1563" w:type="pct"/>
            <w:vAlign w:val="center"/>
          </w:tcPr>
          <w:p w14:paraId="766B6CEA">
            <w:pPr>
              <w:jc w:val="center"/>
              <w:rPr>
                <w:rFonts w:ascii="宋体" w:hAnsi="宋体"/>
                <w:color w:val="auto"/>
                <w:szCs w:val="21"/>
                <w:highlight w:val="none"/>
              </w:rPr>
            </w:pPr>
          </w:p>
        </w:tc>
        <w:tc>
          <w:tcPr>
            <w:tcW w:w="1164" w:type="pct"/>
            <w:vAlign w:val="center"/>
          </w:tcPr>
          <w:p w14:paraId="123E3C94">
            <w:pPr>
              <w:jc w:val="center"/>
              <w:rPr>
                <w:rFonts w:ascii="宋体" w:hAnsi="宋体"/>
                <w:color w:val="auto"/>
                <w:szCs w:val="21"/>
                <w:highlight w:val="none"/>
              </w:rPr>
            </w:pPr>
          </w:p>
        </w:tc>
        <w:tc>
          <w:tcPr>
            <w:tcW w:w="732" w:type="pct"/>
            <w:vAlign w:val="center"/>
          </w:tcPr>
          <w:p w14:paraId="78A6BF12">
            <w:pPr>
              <w:jc w:val="center"/>
              <w:rPr>
                <w:rFonts w:ascii="宋体" w:hAnsi="宋体"/>
                <w:color w:val="auto"/>
                <w:szCs w:val="21"/>
                <w:highlight w:val="none"/>
              </w:rPr>
            </w:pPr>
          </w:p>
        </w:tc>
        <w:tc>
          <w:tcPr>
            <w:tcW w:w="1009" w:type="pct"/>
            <w:vAlign w:val="center"/>
          </w:tcPr>
          <w:p w14:paraId="2FFD166B">
            <w:pPr>
              <w:jc w:val="center"/>
              <w:rPr>
                <w:rFonts w:ascii="宋体" w:hAnsi="宋体"/>
                <w:color w:val="auto"/>
                <w:szCs w:val="21"/>
                <w:highlight w:val="none"/>
              </w:rPr>
            </w:pPr>
          </w:p>
        </w:tc>
      </w:tr>
      <w:tr w14:paraId="53F5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BD39E12">
            <w:pPr>
              <w:jc w:val="center"/>
              <w:rPr>
                <w:rFonts w:ascii="宋体" w:hAnsi="宋体"/>
                <w:color w:val="auto"/>
                <w:szCs w:val="21"/>
                <w:highlight w:val="none"/>
              </w:rPr>
            </w:pPr>
          </w:p>
        </w:tc>
        <w:tc>
          <w:tcPr>
            <w:tcW w:w="1563" w:type="pct"/>
            <w:vAlign w:val="center"/>
          </w:tcPr>
          <w:p w14:paraId="7063EA22">
            <w:pPr>
              <w:jc w:val="center"/>
              <w:rPr>
                <w:rFonts w:ascii="宋体" w:hAnsi="宋体"/>
                <w:color w:val="auto"/>
                <w:szCs w:val="21"/>
                <w:highlight w:val="none"/>
              </w:rPr>
            </w:pPr>
          </w:p>
        </w:tc>
        <w:tc>
          <w:tcPr>
            <w:tcW w:w="1164" w:type="pct"/>
            <w:vAlign w:val="center"/>
          </w:tcPr>
          <w:p w14:paraId="441A1323">
            <w:pPr>
              <w:jc w:val="center"/>
              <w:rPr>
                <w:rFonts w:ascii="宋体" w:hAnsi="宋体"/>
                <w:color w:val="auto"/>
                <w:szCs w:val="21"/>
                <w:highlight w:val="none"/>
              </w:rPr>
            </w:pPr>
          </w:p>
        </w:tc>
        <w:tc>
          <w:tcPr>
            <w:tcW w:w="732" w:type="pct"/>
            <w:vAlign w:val="center"/>
          </w:tcPr>
          <w:p w14:paraId="375CF810">
            <w:pPr>
              <w:jc w:val="center"/>
              <w:rPr>
                <w:rFonts w:ascii="宋体" w:hAnsi="宋体"/>
                <w:color w:val="auto"/>
                <w:szCs w:val="21"/>
                <w:highlight w:val="none"/>
              </w:rPr>
            </w:pPr>
          </w:p>
        </w:tc>
        <w:tc>
          <w:tcPr>
            <w:tcW w:w="1009" w:type="pct"/>
            <w:vAlign w:val="center"/>
          </w:tcPr>
          <w:p w14:paraId="04A54932">
            <w:pPr>
              <w:jc w:val="center"/>
              <w:rPr>
                <w:rFonts w:ascii="宋体" w:hAnsi="宋体"/>
                <w:color w:val="auto"/>
                <w:szCs w:val="21"/>
                <w:highlight w:val="none"/>
              </w:rPr>
            </w:pPr>
          </w:p>
        </w:tc>
      </w:tr>
      <w:tr w14:paraId="3D3B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2DFD51A">
            <w:pPr>
              <w:jc w:val="center"/>
              <w:rPr>
                <w:rFonts w:ascii="宋体" w:hAnsi="宋体"/>
                <w:color w:val="auto"/>
                <w:szCs w:val="21"/>
                <w:highlight w:val="none"/>
              </w:rPr>
            </w:pPr>
          </w:p>
        </w:tc>
        <w:tc>
          <w:tcPr>
            <w:tcW w:w="1563" w:type="pct"/>
            <w:vAlign w:val="center"/>
          </w:tcPr>
          <w:p w14:paraId="2FFEF2BB">
            <w:pPr>
              <w:jc w:val="center"/>
              <w:rPr>
                <w:rFonts w:ascii="宋体" w:hAnsi="宋体"/>
                <w:color w:val="auto"/>
                <w:szCs w:val="21"/>
                <w:highlight w:val="none"/>
              </w:rPr>
            </w:pPr>
          </w:p>
        </w:tc>
        <w:tc>
          <w:tcPr>
            <w:tcW w:w="1164" w:type="pct"/>
            <w:vAlign w:val="center"/>
          </w:tcPr>
          <w:p w14:paraId="62B2B0D2">
            <w:pPr>
              <w:jc w:val="center"/>
              <w:rPr>
                <w:rFonts w:ascii="宋体" w:hAnsi="宋体"/>
                <w:color w:val="auto"/>
                <w:szCs w:val="21"/>
                <w:highlight w:val="none"/>
              </w:rPr>
            </w:pPr>
          </w:p>
        </w:tc>
        <w:tc>
          <w:tcPr>
            <w:tcW w:w="732" w:type="pct"/>
            <w:vAlign w:val="center"/>
          </w:tcPr>
          <w:p w14:paraId="7C364DAA">
            <w:pPr>
              <w:jc w:val="center"/>
              <w:rPr>
                <w:rFonts w:ascii="宋体" w:hAnsi="宋体"/>
                <w:color w:val="auto"/>
                <w:szCs w:val="21"/>
                <w:highlight w:val="none"/>
              </w:rPr>
            </w:pPr>
          </w:p>
        </w:tc>
        <w:tc>
          <w:tcPr>
            <w:tcW w:w="1009" w:type="pct"/>
            <w:vAlign w:val="center"/>
          </w:tcPr>
          <w:p w14:paraId="4A4E69BE">
            <w:pPr>
              <w:jc w:val="center"/>
              <w:rPr>
                <w:rFonts w:ascii="宋体" w:hAnsi="宋体"/>
                <w:color w:val="auto"/>
                <w:szCs w:val="21"/>
                <w:highlight w:val="none"/>
              </w:rPr>
            </w:pPr>
          </w:p>
        </w:tc>
      </w:tr>
      <w:tr w14:paraId="7851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0018D79">
            <w:pPr>
              <w:jc w:val="center"/>
              <w:rPr>
                <w:rFonts w:ascii="宋体" w:hAnsi="宋体"/>
                <w:color w:val="auto"/>
                <w:szCs w:val="21"/>
                <w:highlight w:val="none"/>
              </w:rPr>
            </w:pPr>
          </w:p>
        </w:tc>
        <w:tc>
          <w:tcPr>
            <w:tcW w:w="1563" w:type="pct"/>
            <w:vAlign w:val="center"/>
          </w:tcPr>
          <w:p w14:paraId="469D2177">
            <w:pPr>
              <w:jc w:val="center"/>
              <w:rPr>
                <w:rFonts w:ascii="宋体" w:hAnsi="宋体"/>
                <w:color w:val="auto"/>
                <w:szCs w:val="21"/>
                <w:highlight w:val="none"/>
              </w:rPr>
            </w:pPr>
          </w:p>
        </w:tc>
        <w:tc>
          <w:tcPr>
            <w:tcW w:w="1164" w:type="pct"/>
            <w:vAlign w:val="center"/>
          </w:tcPr>
          <w:p w14:paraId="1519A926">
            <w:pPr>
              <w:jc w:val="center"/>
              <w:rPr>
                <w:rFonts w:ascii="宋体" w:hAnsi="宋体"/>
                <w:color w:val="auto"/>
                <w:szCs w:val="21"/>
                <w:highlight w:val="none"/>
              </w:rPr>
            </w:pPr>
          </w:p>
        </w:tc>
        <w:tc>
          <w:tcPr>
            <w:tcW w:w="732" w:type="pct"/>
            <w:vAlign w:val="center"/>
          </w:tcPr>
          <w:p w14:paraId="147AE542">
            <w:pPr>
              <w:jc w:val="center"/>
              <w:rPr>
                <w:rFonts w:ascii="宋体" w:hAnsi="宋体"/>
                <w:color w:val="auto"/>
                <w:szCs w:val="21"/>
                <w:highlight w:val="none"/>
              </w:rPr>
            </w:pPr>
          </w:p>
        </w:tc>
        <w:tc>
          <w:tcPr>
            <w:tcW w:w="1009" w:type="pct"/>
            <w:vAlign w:val="center"/>
          </w:tcPr>
          <w:p w14:paraId="49B9CF45">
            <w:pPr>
              <w:jc w:val="center"/>
              <w:rPr>
                <w:rFonts w:ascii="宋体" w:hAnsi="宋体"/>
                <w:color w:val="auto"/>
                <w:szCs w:val="21"/>
                <w:highlight w:val="none"/>
              </w:rPr>
            </w:pPr>
          </w:p>
        </w:tc>
      </w:tr>
      <w:tr w14:paraId="379B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7443800">
            <w:pPr>
              <w:jc w:val="center"/>
              <w:rPr>
                <w:rFonts w:ascii="宋体" w:hAnsi="宋体"/>
                <w:color w:val="auto"/>
                <w:szCs w:val="21"/>
                <w:highlight w:val="none"/>
              </w:rPr>
            </w:pPr>
          </w:p>
        </w:tc>
        <w:tc>
          <w:tcPr>
            <w:tcW w:w="1563" w:type="pct"/>
            <w:vAlign w:val="center"/>
          </w:tcPr>
          <w:p w14:paraId="3F254851">
            <w:pPr>
              <w:jc w:val="center"/>
              <w:rPr>
                <w:rFonts w:ascii="宋体" w:hAnsi="宋体"/>
                <w:color w:val="auto"/>
                <w:szCs w:val="21"/>
                <w:highlight w:val="none"/>
              </w:rPr>
            </w:pPr>
          </w:p>
        </w:tc>
        <w:tc>
          <w:tcPr>
            <w:tcW w:w="1164" w:type="pct"/>
            <w:vAlign w:val="center"/>
          </w:tcPr>
          <w:p w14:paraId="14542FFC">
            <w:pPr>
              <w:jc w:val="center"/>
              <w:rPr>
                <w:rFonts w:ascii="宋体" w:hAnsi="宋体"/>
                <w:color w:val="auto"/>
                <w:szCs w:val="21"/>
                <w:highlight w:val="none"/>
              </w:rPr>
            </w:pPr>
          </w:p>
        </w:tc>
        <w:tc>
          <w:tcPr>
            <w:tcW w:w="732" w:type="pct"/>
            <w:vAlign w:val="center"/>
          </w:tcPr>
          <w:p w14:paraId="7CC180E1">
            <w:pPr>
              <w:jc w:val="center"/>
              <w:rPr>
                <w:rFonts w:ascii="宋体" w:hAnsi="宋体"/>
                <w:color w:val="auto"/>
                <w:szCs w:val="21"/>
                <w:highlight w:val="none"/>
              </w:rPr>
            </w:pPr>
          </w:p>
        </w:tc>
        <w:tc>
          <w:tcPr>
            <w:tcW w:w="1009" w:type="pct"/>
            <w:vAlign w:val="center"/>
          </w:tcPr>
          <w:p w14:paraId="267A29A2">
            <w:pPr>
              <w:jc w:val="center"/>
              <w:rPr>
                <w:rFonts w:ascii="宋体" w:hAnsi="宋体"/>
                <w:color w:val="auto"/>
                <w:szCs w:val="21"/>
                <w:highlight w:val="none"/>
              </w:rPr>
            </w:pPr>
          </w:p>
        </w:tc>
      </w:tr>
      <w:tr w14:paraId="4D54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25D64FA">
            <w:pPr>
              <w:jc w:val="center"/>
              <w:rPr>
                <w:rFonts w:ascii="宋体" w:hAnsi="宋体"/>
                <w:color w:val="auto"/>
                <w:szCs w:val="21"/>
                <w:highlight w:val="none"/>
              </w:rPr>
            </w:pPr>
          </w:p>
        </w:tc>
        <w:tc>
          <w:tcPr>
            <w:tcW w:w="1563" w:type="pct"/>
            <w:vAlign w:val="center"/>
          </w:tcPr>
          <w:p w14:paraId="03F7C495">
            <w:pPr>
              <w:jc w:val="center"/>
              <w:rPr>
                <w:rFonts w:ascii="宋体" w:hAnsi="宋体"/>
                <w:color w:val="auto"/>
                <w:szCs w:val="21"/>
                <w:highlight w:val="none"/>
              </w:rPr>
            </w:pPr>
          </w:p>
        </w:tc>
        <w:tc>
          <w:tcPr>
            <w:tcW w:w="1164" w:type="pct"/>
            <w:vAlign w:val="center"/>
          </w:tcPr>
          <w:p w14:paraId="533D420C">
            <w:pPr>
              <w:jc w:val="center"/>
              <w:rPr>
                <w:rFonts w:ascii="宋体" w:hAnsi="宋体"/>
                <w:color w:val="auto"/>
                <w:szCs w:val="21"/>
                <w:highlight w:val="none"/>
              </w:rPr>
            </w:pPr>
          </w:p>
        </w:tc>
        <w:tc>
          <w:tcPr>
            <w:tcW w:w="732" w:type="pct"/>
            <w:vAlign w:val="center"/>
          </w:tcPr>
          <w:p w14:paraId="701BAFDB">
            <w:pPr>
              <w:jc w:val="center"/>
              <w:rPr>
                <w:rFonts w:ascii="宋体" w:hAnsi="宋体"/>
                <w:color w:val="auto"/>
                <w:szCs w:val="21"/>
                <w:highlight w:val="none"/>
              </w:rPr>
            </w:pPr>
          </w:p>
        </w:tc>
        <w:tc>
          <w:tcPr>
            <w:tcW w:w="1009" w:type="pct"/>
            <w:vAlign w:val="center"/>
          </w:tcPr>
          <w:p w14:paraId="71365B2B">
            <w:pPr>
              <w:jc w:val="center"/>
              <w:rPr>
                <w:rFonts w:ascii="宋体" w:hAnsi="宋体"/>
                <w:color w:val="auto"/>
                <w:szCs w:val="21"/>
                <w:highlight w:val="none"/>
              </w:rPr>
            </w:pPr>
          </w:p>
        </w:tc>
      </w:tr>
      <w:tr w14:paraId="44A3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B388EEC">
            <w:pPr>
              <w:jc w:val="center"/>
              <w:rPr>
                <w:rFonts w:ascii="宋体" w:hAnsi="宋体"/>
                <w:color w:val="auto"/>
                <w:szCs w:val="21"/>
                <w:highlight w:val="none"/>
              </w:rPr>
            </w:pPr>
          </w:p>
        </w:tc>
        <w:tc>
          <w:tcPr>
            <w:tcW w:w="1563" w:type="pct"/>
            <w:vAlign w:val="center"/>
          </w:tcPr>
          <w:p w14:paraId="03CFBB38">
            <w:pPr>
              <w:jc w:val="center"/>
              <w:rPr>
                <w:rFonts w:ascii="宋体" w:hAnsi="宋体"/>
                <w:color w:val="auto"/>
                <w:szCs w:val="21"/>
                <w:highlight w:val="none"/>
              </w:rPr>
            </w:pPr>
          </w:p>
        </w:tc>
        <w:tc>
          <w:tcPr>
            <w:tcW w:w="1164" w:type="pct"/>
            <w:vAlign w:val="center"/>
          </w:tcPr>
          <w:p w14:paraId="534E11C2">
            <w:pPr>
              <w:jc w:val="center"/>
              <w:rPr>
                <w:rFonts w:ascii="宋体" w:hAnsi="宋体"/>
                <w:color w:val="auto"/>
                <w:szCs w:val="21"/>
                <w:highlight w:val="none"/>
              </w:rPr>
            </w:pPr>
          </w:p>
        </w:tc>
        <w:tc>
          <w:tcPr>
            <w:tcW w:w="732" w:type="pct"/>
            <w:vAlign w:val="center"/>
          </w:tcPr>
          <w:p w14:paraId="750C2514">
            <w:pPr>
              <w:jc w:val="center"/>
              <w:rPr>
                <w:rFonts w:ascii="宋体" w:hAnsi="宋体"/>
                <w:color w:val="auto"/>
                <w:szCs w:val="21"/>
                <w:highlight w:val="none"/>
              </w:rPr>
            </w:pPr>
          </w:p>
        </w:tc>
        <w:tc>
          <w:tcPr>
            <w:tcW w:w="1009" w:type="pct"/>
            <w:vAlign w:val="center"/>
          </w:tcPr>
          <w:p w14:paraId="6DF755CA">
            <w:pPr>
              <w:jc w:val="center"/>
              <w:rPr>
                <w:rFonts w:ascii="宋体" w:hAnsi="宋体"/>
                <w:color w:val="auto"/>
                <w:szCs w:val="21"/>
                <w:highlight w:val="none"/>
              </w:rPr>
            </w:pPr>
          </w:p>
        </w:tc>
      </w:tr>
      <w:tr w14:paraId="7EE66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2C411F6">
            <w:pPr>
              <w:jc w:val="center"/>
              <w:rPr>
                <w:rFonts w:ascii="宋体" w:hAnsi="宋体"/>
                <w:color w:val="auto"/>
                <w:szCs w:val="21"/>
                <w:highlight w:val="none"/>
              </w:rPr>
            </w:pPr>
          </w:p>
        </w:tc>
        <w:tc>
          <w:tcPr>
            <w:tcW w:w="1563" w:type="pct"/>
            <w:vAlign w:val="center"/>
          </w:tcPr>
          <w:p w14:paraId="76F1EF84">
            <w:pPr>
              <w:jc w:val="center"/>
              <w:rPr>
                <w:rFonts w:ascii="宋体" w:hAnsi="宋体"/>
                <w:color w:val="auto"/>
                <w:szCs w:val="21"/>
                <w:highlight w:val="none"/>
              </w:rPr>
            </w:pPr>
          </w:p>
        </w:tc>
        <w:tc>
          <w:tcPr>
            <w:tcW w:w="1164" w:type="pct"/>
            <w:vAlign w:val="center"/>
          </w:tcPr>
          <w:p w14:paraId="3A7EA366">
            <w:pPr>
              <w:jc w:val="center"/>
              <w:rPr>
                <w:rFonts w:ascii="宋体" w:hAnsi="宋体"/>
                <w:color w:val="auto"/>
                <w:szCs w:val="21"/>
                <w:highlight w:val="none"/>
              </w:rPr>
            </w:pPr>
          </w:p>
        </w:tc>
        <w:tc>
          <w:tcPr>
            <w:tcW w:w="732" w:type="pct"/>
            <w:vAlign w:val="center"/>
          </w:tcPr>
          <w:p w14:paraId="274F510E">
            <w:pPr>
              <w:jc w:val="center"/>
              <w:rPr>
                <w:rFonts w:ascii="宋体" w:hAnsi="宋体"/>
                <w:color w:val="auto"/>
                <w:szCs w:val="21"/>
                <w:highlight w:val="none"/>
              </w:rPr>
            </w:pPr>
          </w:p>
        </w:tc>
        <w:tc>
          <w:tcPr>
            <w:tcW w:w="1009" w:type="pct"/>
            <w:vAlign w:val="center"/>
          </w:tcPr>
          <w:p w14:paraId="28E54720">
            <w:pPr>
              <w:jc w:val="center"/>
              <w:rPr>
                <w:rFonts w:ascii="宋体" w:hAnsi="宋体"/>
                <w:color w:val="auto"/>
                <w:szCs w:val="21"/>
                <w:highlight w:val="none"/>
              </w:rPr>
            </w:pPr>
          </w:p>
        </w:tc>
      </w:tr>
    </w:tbl>
    <w:p w14:paraId="6786ED25">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3E449043">
      <w:pPr>
        <w:spacing w:line="360" w:lineRule="auto"/>
        <w:rPr>
          <w:rFonts w:ascii="黑体" w:hAnsi="黑体" w:eastAsia="黑体"/>
          <w:color w:val="auto"/>
          <w:szCs w:val="21"/>
          <w:highlight w:val="none"/>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75F42CA">
      <w:pPr>
        <w:pageBreakBefore/>
        <w:rPr>
          <w:rFonts w:ascii="宋体" w:hAnsi="宋体"/>
          <w:b/>
          <w:bCs/>
          <w:color w:val="auto"/>
          <w:szCs w:val="21"/>
          <w:highlight w:val="none"/>
        </w:rPr>
      </w:pPr>
      <w:r>
        <w:rPr>
          <w:rFonts w:hint="eastAsia" w:ascii="宋体" w:hAnsi="宋体"/>
          <w:b/>
          <w:bCs/>
          <w:color w:val="auto"/>
          <w:sz w:val="24"/>
          <w:szCs w:val="28"/>
          <w:highlight w:val="none"/>
        </w:rPr>
        <w:t>格式十</w:t>
      </w:r>
      <w:r>
        <w:rPr>
          <w:rFonts w:hint="eastAsia" w:ascii="宋体" w:hAnsi="宋体"/>
          <w:b/>
          <w:bCs/>
          <w:color w:val="auto"/>
          <w:sz w:val="24"/>
          <w:szCs w:val="28"/>
          <w:highlight w:val="none"/>
          <w:lang w:val="en-US" w:eastAsia="zh-CN"/>
        </w:rPr>
        <w:t>二</w:t>
      </w:r>
      <w:r>
        <w:rPr>
          <w:rFonts w:hint="eastAsia" w:ascii="宋体" w:hAnsi="宋体"/>
          <w:b/>
          <w:bCs/>
          <w:color w:val="auto"/>
          <w:sz w:val="24"/>
          <w:szCs w:val="28"/>
          <w:highlight w:val="none"/>
        </w:rPr>
        <w:t>：</w:t>
      </w:r>
    </w:p>
    <w:p w14:paraId="4C92212A">
      <w:pPr>
        <w:spacing w:after="156" w:afterLines="50" w:line="360" w:lineRule="auto"/>
        <w:jc w:val="center"/>
        <w:rPr>
          <w:rFonts w:ascii="宋体" w:hAnsi="宋体"/>
          <w:b/>
          <w:color w:val="auto"/>
          <w:spacing w:val="20"/>
          <w:sz w:val="30"/>
          <w:szCs w:val="30"/>
          <w:highlight w:val="none"/>
        </w:rPr>
      </w:pPr>
      <w:r>
        <w:rPr>
          <w:rFonts w:hint="eastAsia" w:ascii="宋体" w:hAnsi="宋体"/>
          <w:b/>
          <w:color w:val="auto"/>
          <w:sz w:val="32"/>
          <w:szCs w:val="32"/>
          <w:highlight w:val="none"/>
        </w:rPr>
        <w:t>项目技术服务人员情况表</w:t>
      </w:r>
    </w:p>
    <w:tbl>
      <w:tblPr>
        <w:tblStyle w:val="2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1D7CD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D0F23AC">
            <w:pPr>
              <w:jc w:val="center"/>
              <w:rPr>
                <w:rFonts w:ascii="宋体" w:hAnsi="宋体"/>
                <w:b/>
                <w:bCs/>
                <w:color w:val="auto"/>
                <w:szCs w:val="21"/>
                <w:highlight w:val="none"/>
              </w:rPr>
            </w:pPr>
            <w:r>
              <w:rPr>
                <w:rFonts w:hint="eastAsia" w:ascii="宋体" w:hAnsi="宋体"/>
                <w:b/>
                <w:bCs/>
                <w:color w:val="auto"/>
                <w:szCs w:val="21"/>
                <w:highlight w:val="none"/>
              </w:rPr>
              <w:t>序号</w:t>
            </w:r>
          </w:p>
        </w:tc>
        <w:tc>
          <w:tcPr>
            <w:tcW w:w="653" w:type="pct"/>
            <w:vAlign w:val="center"/>
          </w:tcPr>
          <w:p w14:paraId="68D84809">
            <w:pPr>
              <w:jc w:val="center"/>
              <w:rPr>
                <w:rFonts w:ascii="宋体" w:hAnsi="宋体"/>
                <w:b/>
                <w:bCs/>
                <w:color w:val="auto"/>
                <w:szCs w:val="21"/>
                <w:highlight w:val="none"/>
              </w:rPr>
            </w:pPr>
            <w:r>
              <w:rPr>
                <w:rFonts w:hint="eastAsia" w:ascii="宋体" w:hAnsi="宋体"/>
                <w:b/>
                <w:bCs/>
                <w:color w:val="auto"/>
                <w:szCs w:val="21"/>
                <w:highlight w:val="none"/>
              </w:rPr>
              <w:t>姓名</w:t>
            </w:r>
          </w:p>
        </w:tc>
        <w:tc>
          <w:tcPr>
            <w:tcW w:w="739" w:type="pct"/>
            <w:vAlign w:val="center"/>
          </w:tcPr>
          <w:p w14:paraId="4C507735">
            <w:pPr>
              <w:jc w:val="center"/>
              <w:rPr>
                <w:rFonts w:ascii="宋体" w:hAnsi="宋体"/>
                <w:b/>
                <w:bCs/>
                <w:color w:val="auto"/>
                <w:szCs w:val="21"/>
                <w:highlight w:val="none"/>
              </w:rPr>
            </w:pPr>
            <w:r>
              <w:rPr>
                <w:rFonts w:hint="eastAsia" w:ascii="宋体" w:hAnsi="宋体"/>
                <w:b/>
                <w:bCs/>
                <w:color w:val="auto"/>
                <w:szCs w:val="21"/>
                <w:highlight w:val="none"/>
              </w:rPr>
              <w:t>职位</w:t>
            </w:r>
          </w:p>
        </w:tc>
        <w:tc>
          <w:tcPr>
            <w:tcW w:w="1081" w:type="pct"/>
            <w:vAlign w:val="center"/>
          </w:tcPr>
          <w:p w14:paraId="45FA0259">
            <w:pPr>
              <w:jc w:val="center"/>
              <w:rPr>
                <w:rFonts w:ascii="宋体" w:hAnsi="宋体"/>
                <w:b/>
                <w:bCs/>
                <w:color w:val="auto"/>
                <w:szCs w:val="21"/>
                <w:highlight w:val="none"/>
              </w:rPr>
            </w:pPr>
            <w:r>
              <w:rPr>
                <w:rFonts w:hint="eastAsia" w:ascii="宋体" w:hAnsi="宋体"/>
                <w:b/>
                <w:bCs/>
                <w:color w:val="auto"/>
                <w:szCs w:val="21"/>
                <w:highlight w:val="none"/>
              </w:rPr>
              <w:t>持何种资格证件</w:t>
            </w:r>
          </w:p>
        </w:tc>
        <w:tc>
          <w:tcPr>
            <w:tcW w:w="830" w:type="pct"/>
            <w:vAlign w:val="center"/>
          </w:tcPr>
          <w:p w14:paraId="2338DEDC">
            <w:pPr>
              <w:jc w:val="center"/>
              <w:rPr>
                <w:rFonts w:ascii="宋体" w:hAnsi="宋体"/>
                <w:b/>
                <w:bCs/>
                <w:color w:val="auto"/>
                <w:szCs w:val="21"/>
                <w:highlight w:val="none"/>
              </w:rPr>
            </w:pPr>
            <w:r>
              <w:rPr>
                <w:rFonts w:hint="eastAsia" w:ascii="宋体" w:hAnsi="宋体"/>
                <w:b/>
                <w:bCs/>
                <w:color w:val="auto"/>
                <w:szCs w:val="21"/>
                <w:highlight w:val="none"/>
              </w:rPr>
              <w:t>发证时间</w:t>
            </w:r>
          </w:p>
        </w:tc>
        <w:tc>
          <w:tcPr>
            <w:tcW w:w="582" w:type="pct"/>
            <w:vAlign w:val="center"/>
          </w:tcPr>
          <w:p w14:paraId="57CA5F2F">
            <w:pPr>
              <w:jc w:val="center"/>
              <w:rPr>
                <w:rFonts w:ascii="宋体" w:hAnsi="宋体"/>
                <w:b/>
                <w:bCs/>
                <w:color w:val="auto"/>
                <w:szCs w:val="21"/>
                <w:highlight w:val="none"/>
              </w:rPr>
            </w:pPr>
            <w:r>
              <w:rPr>
                <w:rFonts w:hint="eastAsia" w:ascii="宋体" w:hAnsi="宋体"/>
                <w:b/>
                <w:bCs/>
                <w:color w:val="auto"/>
                <w:szCs w:val="21"/>
                <w:highlight w:val="none"/>
              </w:rPr>
              <w:t>学历</w:t>
            </w:r>
          </w:p>
        </w:tc>
        <w:tc>
          <w:tcPr>
            <w:tcW w:w="699" w:type="pct"/>
            <w:vAlign w:val="center"/>
          </w:tcPr>
          <w:p w14:paraId="09B26FEF">
            <w:pPr>
              <w:jc w:val="center"/>
              <w:rPr>
                <w:rFonts w:ascii="宋体" w:hAnsi="宋体"/>
                <w:b/>
                <w:bCs/>
                <w:color w:val="auto"/>
                <w:szCs w:val="21"/>
                <w:highlight w:val="none"/>
              </w:rPr>
            </w:pPr>
            <w:r>
              <w:rPr>
                <w:rFonts w:hint="eastAsia" w:ascii="宋体" w:hAnsi="宋体"/>
                <w:b/>
                <w:bCs/>
                <w:color w:val="auto"/>
                <w:szCs w:val="21"/>
                <w:highlight w:val="none"/>
              </w:rPr>
              <w:t>经验年限</w:t>
            </w:r>
          </w:p>
        </w:tc>
      </w:tr>
      <w:tr w14:paraId="58A6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A427E6">
            <w:pPr>
              <w:jc w:val="center"/>
              <w:rPr>
                <w:rFonts w:ascii="宋体" w:hAnsi="宋体"/>
                <w:color w:val="auto"/>
                <w:szCs w:val="21"/>
                <w:highlight w:val="none"/>
              </w:rPr>
            </w:pPr>
          </w:p>
        </w:tc>
        <w:tc>
          <w:tcPr>
            <w:tcW w:w="653" w:type="pct"/>
            <w:vAlign w:val="center"/>
          </w:tcPr>
          <w:p w14:paraId="669B98DD">
            <w:pPr>
              <w:jc w:val="center"/>
              <w:rPr>
                <w:rFonts w:ascii="宋体" w:hAnsi="宋体"/>
                <w:color w:val="auto"/>
                <w:szCs w:val="21"/>
                <w:highlight w:val="none"/>
              </w:rPr>
            </w:pPr>
          </w:p>
        </w:tc>
        <w:tc>
          <w:tcPr>
            <w:tcW w:w="739" w:type="pct"/>
            <w:vAlign w:val="center"/>
          </w:tcPr>
          <w:p w14:paraId="7A444F37">
            <w:pPr>
              <w:jc w:val="center"/>
              <w:rPr>
                <w:rFonts w:ascii="宋体" w:hAnsi="宋体"/>
                <w:color w:val="auto"/>
                <w:szCs w:val="21"/>
                <w:highlight w:val="none"/>
              </w:rPr>
            </w:pPr>
          </w:p>
        </w:tc>
        <w:tc>
          <w:tcPr>
            <w:tcW w:w="1081" w:type="pct"/>
            <w:vAlign w:val="center"/>
          </w:tcPr>
          <w:p w14:paraId="299FF7A1">
            <w:pPr>
              <w:jc w:val="center"/>
              <w:rPr>
                <w:rFonts w:ascii="宋体" w:hAnsi="宋体"/>
                <w:color w:val="auto"/>
                <w:szCs w:val="21"/>
                <w:highlight w:val="none"/>
              </w:rPr>
            </w:pPr>
          </w:p>
        </w:tc>
        <w:tc>
          <w:tcPr>
            <w:tcW w:w="830" w:type="pct"/>
          </w:tcPr>
          <w:p w14:paraId="78EB9EB2">
            <w:pPr>
              <w:jc w:val="center"/>
              <w:rPr>
                <w:rFonts w:ascii="宋体" w:hAnsi="宋体"/>
                <w:color w:val="auto"/>
                <w:szCs w:val="21"/>
                <w:highlight w:val="none"/>
              </w:rPr>
            </w:pPr>
          </w:p>
        </w:tc>
        <w:tc>
          <w:tcPr>
            <w:tcW w:w="582" w:type="pct"/>
            <w:vAlign w:val="center"/>
          </w:tcPr>
          <w:p w14:paraId="0234103F">
            <w:pPr>
              <w:jc w:val="center"/>
              <w:rPr>
                <w:rFonts w:ascii="宋体" w:hAnsi="宋体"/>
                <w:color w:val="auto"/>
                <w:szCs w:val="21"/>
                <w:highlight w:val="none"/>
              </w:rPr>
            </w:pPr>
          </w:p>
        </w:tc>
        <w:tc>
          <w:tcPr>
            <w:tcW w:w="699" w:type="pct"/>
          </w:tcPr>
          <w:p w14:paraId="226004D9">
            <w:pPr>
              <w:jc w:val="center"/>
              <w:rPr>
                <w:rFonts w:ascii="宋体" w:hAnsi="宋体"/>
                <w:color w:val="auto"/>
                <w:szCs w:val="21"/>
                <w:highlight w:val="none"/>
              </w:rPr>
            </w:pPr>
          </w:p>
        </w:tc>
      </w:tr>
      <w:tr w14:paraId="3F7EF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17A29D8">
            <w:pPr>
              <w:jc w:val="center"/>
              <w:rPr>
                <w:rFonts w:ascii="宋体" w:hAnsi="宋体"/>
                <w:color w:val="auto"/>
                <w:szCs w:val="21"/>
                <w:highlight w:val="none"/>
              </w:rPr>
            </w:pPr>
          </w:p>
        </w:tc>
        <w:tc>
          <w:tcPr>
            <w:tcW w:w="653" w:type="pct"/>
            <w:vAlign w:val="center"/>
          </w:tcPr>
          <w:p w14:paraId="16A40E53">
            <w:pPr>
              <w:jc w:val="center"/>
              <w:rPr>
                <w:rFonts w:ascii="宋体" w:hAnsi="宋体"/>
                <w:color w:val="auto"/>
                <w:szCs w:val="21"/>
                <w:highlight w:val="none"/>
              </w:rPr>
            </w:pPr>
          </w:p>
        </w:tc>
        <w:tc>
          <w:tcPr>
            <w:tcW w:w="739" w:type="pct"/>
            <w:vAlign w:val="center"/>
          </w:tcPr>
          <w:p w14:paraId="2EC64B3D">
            <w:pPr>
              <w:jc w:val="center"/>
              <w:rPr>
                <w:rFonts w:ascii="宋体" w:hAnsi="宋体"/>
                <w:color w:val="auto"/>
                <w:szCs w:val="21"/>
                <w:highlight w:val="none"/>
              </w:rPr>
            </w:pPr>
          </w:p>
        </w:tc>
        <w:tc>
          <w:tcPr>
            <w:tcW w:w="1081" w:type="pct"/>
            <w:vAlign w:val="center"/>
          </w:tcPr>
          <w:p w14:paraId="084128C6">
            <w:pPr>
              <w:jc w:val="center"/>
              <w:rPr>
                <w:rFonts w:ascii="宋体" w:hAnsi="宋体"/>
                <w:color w:val="auto"/>
                <w:szCs w:val="21"/>
                <w:highlight w:val="none"/>
              </w:rPr>
            </w:pPr>
          </w:p>
        </w:tc>
        <w:tc>
          <w:tcPr>
            <w:tcW w:w="830" w:type="pct"/>
          </w:tcPr>
          <w:p w14:paraId="46C5DD97">
            <w:pPr>
              <w:jc w:val="center"/>
              <w:rPr>
                <w:rFonts w:ascii="宋体" w:hAnsi="宋体"/>
                <w:color w:val="auto"/>
                <w:szCs w:val="21"/>
                <w:highlight w:val="none"/>
              </w:rPr>
            </w:pPr>
          </w:p>
        </w:tc>
        <w:tc>
          <w:tcPr>
            <w:tcW w:w="582" w:type="pct"/>
            <w:vAlign w:val="center"/>
          </w:tcPr>
          <w:p w14:paraId="2FD2C365">
            <w:pPr>
              <w:jc w:val="center"/>
              <w:rPr>
                <w:rFonts w:ascii="宋体" w:hAnsi="宋体"/>
                <w:color w:val="auto"/>
                <w:szCs w:val="21"/>
                <w:highlight w:val="none"/>
              </w:rPr>
            </w:pPr>
          </w:p>
        </w:tc>
        <w:tc>
          <w:tcPr>
            <w:tcW w:w="699" w:type="pct"/>
          </w:tcPr>
          <w:p w14:paraId="439ED5DA">
            <w:pPr>
              <w:jc w:val="center"/>
              <w:rPr>
                <w:rFonts w:ascii="宋体" w:hAnsi="宋体"/>
                <w:color w:val="auto"/>
                <w:szCs w:val="21"/>
                <w:highlight w:val="none"/>
              </w:rPr>
            </w:pPr>
          </w:p>
        </w:tc>
      </w:tr>
      <w:tr w14:paraId="60067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4B2DD45">
            <w:pPr>
              <w:jc w:val="center"/>
              <w:rPr>
                <w:rFonts w:ascii="宋体" w:hAnsi="宋体"/>
                <w:color w:val="auto"/>
                <w:szCs w:val="21"/>
                <w:highlight w:val="none"/>
              </w:rPr>
            </w:pPr>
          </w:p>
        </w:tc>
        <w:tc>
          <w:tcPr>
            <w:tcW w:w="653" w:type="pct"/>
            <w:vAlign w:val="center"/>
          </w:tcPr>
          <w:p w14:paraId="5CDF538A">
            <w:pPr>
              <w:jc w:val="center"/>
              <w:rPr>
                <w:rFonts w:ascii="宋体" w:hAnsi="宋体"/>
                <w:color w:val="auto"/>
                <w:szCs w:val="21"/>
                <w:highlight w:val="none"/>
              </w:rPr>
            </w:pPr>
          </w:p>
        </w:tc>
        <w:tc>
          <w:tcPr>
            <w:tcW w:w="739" w:type="pct"/>
            <w:vAlign w:val="center"/>
          </w:tcPr>
          <w:p w14:paraId="7E94CD2A">
            <w:pPr>
              <w:jc w:val="center"/>
              <w:rPr>
                <w:rFonts w:ascii="宋体" w:hAnsi="宋体"/>
                <w:color w:val="auto"/>
                <w:szCs w:val="21"/>
                <w:highlight w:val="none"/>
              </w:rPr>
            </w:pPr>
          </w:p>
        </w:tc>
        <w:tc>
          <w:tcPr>
            <w:tcW w:w="1081" w:type="pct"/>
            <w:vAlign w:val="center"/>
          </w:tcPr>
          <w:p w14:paraId="2D8FC403">
            <w:pPr>
              <w:jc w:val="center"/>
              <w:rPr>
                <w:rFonts w:ascii="宋体" w:hAnsi="宋体"/>
                <w:color w:val="auto"/>
                <w:szCs w:val="21"/>
                <w:highlight w:val="none"/>
              </w:rPr>
            </w:pPr>
          </w:p>
        </w:tc>
        <w:tc>
          <w:tcPr>
            <w:tcW w:w="830" w:type="pct"/>
          </w:tcPr>
          <w:p w14:paraId="7F5F7563">
            <w:pPr>
              <w:jc w:val="center"/>
              <w:rPr>
                <w:rFonts w:ascii="宋体" w:hAnsi="宋体"/>
                <w:color w:val="auto"/>
                <w:szCs w:val="21"/>
                <w:highlight w:val="none"/>
              </w:rPr>
            </w:pPr>
          </w:p>
        </w:tc>
        <w:tc>
          <w:tcPr>
            <w:tcW w:w="582" w:type="pct"/>
            <w:vAlign w:val="center"/>
          </w:tcPr>
          <w:p w14:paraId="0C27500D">
            <w:pPr>
              <w:jc w:val="center"/>
              <w:rPr>
                <w:rFonts w:ascii="宋体" w:hAnsi="宋体"/>
                <w:color w:val="auto"/>
                <w:szCs w:val="21"/>
                <w:highlight w:val="none"/>
              </w:rPr>
            </w:pPr>
          </w:p>
        </w:tc>
        <w:tc>
          <w:tcPr>
            <w:tcW w:w="699" w:type="pct"/>
          </w:tcPr>
          <w:p w14:paraId="5B36CA94">
            <w:pPr>
              <w:jc w:val="center"/>
              <w:rPr>
                <w:rFonts w:ascii="宋体" w:hAnsi="宋体"/>
                <w:color w:val="auto"/>
                <w:szCs w:val="21"/>
                <w:highlight w:val="none"/>
              </w:rPr>
            </w:pPr>
          </w:p>
        </w:tc>
      </w:tr>
      <w:tr w14:paraId="299EA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22AC42D">
            <w:pPr>
              <w:jc w:val="center"/>
              <w:rPr>
                <w:rFonts w:ascii="宋体" w:hAnsi="宋体"/>
                <w:color w:val="auto"/>
                <w:szCs w:val="21"/>
                <w:highlight w:val="none"/>
              </w:rPr>
            </w:pPr>
          </w:p>
        </w:tc>
        <w:tc>
          <w:tcPr>
            <w:tcW w:w="653" w:type="pct"/>
            <w:vAlign w:val="center"/>
          </w:tcPr>
          <w:p w14:paraId="6DB4D9BF">
            <w:pPr>
              <w:jc w:val="center"/>
              <w:rPr>
                <w:rFonts w:ascii="宋体" w:hAnsi="宋体"/>
                <w:color w:val="auto"/>
                <w:szCs w:val="21"/>
                <w:highlight w:val="none"/>
              </w:rPr>
            </w:pPr>
          </w:p>
        </w:tc>
        <w:tc>
          <w:tcPr>
            <w:tcW w:w="739" w:type="pct"/>
            <w:vAlign w:val="center"/>
          </w:tcPr>
          <w:p w14:paraId="4E1267B3">
            <w:pPr>
              <w:jc w:val="center"/>
              <w:rPr>
                <w:rFonts w:ascii="宋体" w:hAnsi="宋体"/>
                <w:color w:val="auto"/>
                <w:szCs w:val="21"/>
                <w:highlight w:val="none"/>
              </w:rPr>
            </w:pPr>
          </w:p>
        </w:tc>
        <w:tc>
          <w:tcPr>
            <w:tcW w:w="1081" w:type="pct"/>
            <w:vAlign w:val="center"/>
          </w:tcPr>
          <w:p w14:paraId="33212CD9">
            <w:pPr>
              <w:jc w:val="center"/>
              <w:rPr>
                <w:rFonts w:ascii="宋体" w:hAnsi="宋体"/>
                <w:color w:val="auto"/>
                <w:szCs w:val="21"/>
                <w:highlight w:val="none"/>
              </w:rPr>
            </w:pPr>
          </w:p>
        </w:tc>
        <w:tc>
          <w:tcPr>
            <w:tcW w:w="830" w:type="pct"/>
          </w:tcPr>
          <w:p w14:paraId="1AC24D1D">
            <w:pPr>
              <w:jc w:val="center"/>
              <w:rPr>
                <w:rFonts w:ascii="宋体" w:hAnsi="宋体"/>
                <w:color w:val="auto"/>
                <w:szCs w:val="21"/>
                <w:highlight w:val="none"/>
              </w:rPr>
            </w:pPr>
          </w:p>
        </w:tc>
        <w:tc>
          <w:tcPr>
            <w:tcW w:w="582" w:type="pct"/>
            <w:vAlign w:val="center"/>
          </w:tcPr>
          <w:p w14:paraId="2B150191">
            <w:pPr>
              <w:jc w:val="center"/>
              <w:rPr>
                <w:rFonts w:ascii="宋体" w:hAnsi="宋体"/>
                <w:color w:val="auto"/>
                <w:szCs w:val="21"/>
                <w:highlight w:val="none"/>
              </w:rPr>
            </w:pPr>
          </w:p>
        </w:tc>
        <w:tc>
          <w:tcPr>
            <w:tcW w:w="699" w:type="pct"/>
          </w:tcPr>
          <w:p w14:paraId="5FE9DBB6">
            <w:pPr>
              <w:jc w:val="center"/>
              <w:rPr>
                <w:rFonts w:ascii="宋体" w:hAnsi="宋体"/>
                <w:color w:val="auto"/>
                <w:szCs w:val="21"/>
                <w:highlight w:val="none"/>
              </w:rPr>
            </w:pPr>
          </w:p>
        </w:tc>
      </w:tr>
      <w:tr w14:paraId="0F92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7434355">
            <w:pPr>
              <w:jc w:val="center"/>
              <w:rPr>
                <w:rFonts w:ascii="宋体" w:hAnsi="宋体"/>
                <w:color w:val="auto"/>
                <w:szCs w:val="21"/>
                <w:highlight w:val="none"/>
              </w:rPr>
            </w:pPr>
          </w:p>
        </w:tc>
        <w:tc>
          <w:tcPr>
            <w:tcW w:w="653" w:type="pct"/>
            <w:vAlign w:val="center"/>
          </w:tcPr>
          <w:p w14:paraId="7A7AE82C">
            <w:pPr>
              <w:jc w:val="center"/>
              <w:rPr>
                <w:rFonts w:ascii="宋体" w:hAnsi="宋体"/>
                <w:color w:val="auto"/>
                <w:szCs w:val="21"/>
                <w:highlight w:val="none"/>
              </w:rPr>
            </w:pPr>
          </w:p>
        </w:tc>
        <w:tc>
          <w:tcPr>
            <w:tcW w:w="739" w:type="pct"/>
            <w:vAlign w:val="center"/>
          </w:tcPr>
          <w:p w14:paraId="5829C716">
            <w:pPr>
              <w:jc w:val="center"/>
              <w:rPr>
                <w:rFonts w:ascii="宋体" w:hAnsi="宋体"/>
                <w:color w:val="auto"/>
                <w:szCs w:val="21"/>
                <w:highlight w:val="none"/>
              </w:rPr>
            </w:pPr>
          </w:p>
        </w:tc>
        <w:tc>
          <w:tcPr>
            <w:tcW w:w="1081" w:type="pct"/>
            <w:vAlign w:val="center"/>
          </w:tcPr>
          <w:p w14:paraId="55C76E6F">
            <w:pPr>
              <w:widowControl/>
              <w:tabs>
                <w:tab w:val="right" w:leader="dot" w:pos="8302"/>
              </w:tabs>
              <w:jc w:val="center"/>
              <w:rPr>
                <w:rFonts w:ascii="宋体" w:hAnsi="宋体"/>
                <w:color w:val="auto"/>
                <w:kern w:val="0"/>
                <w:szCs w:val="21"/>
                <w:highlight w:val="none"/>
              </w:rPr>
            </w:pPr>
          </w:p>
        </w:tc>
        <w:tc>
          <w:tcPr>
            <w:tcW w:w="830" w:type="pct"/>
          </w:tcPr>
          <w:p w14:paraId="5EE47130">
            <w:pPr>
              <w:jc w:val="center"/>
              <w:rPr>
                <w:rFonts w:ascii="宋体" w:hAnsi="宋体"/>
                <w:color w:val="auto"/>
                <w:szCs w:val="21"/>
                <w:highlight w:val="none"/>
              </w:rPr>
            </w:pPr>
          </w:p>
        </w:tc>
        <w:tc>
          <w:tcPr>
            <w:tcW w:w="582" w:type="pct"/>
            <w:vAlign w:val="center"/>
          </w:tcPr>
          <w:p w14:paraId="7CD7289C">
            <w:pPr>
              <w:jc w:val="center"/>
              <w:rPr>
                <w:rFonts w:ascii="宋体" w:hAnsi="宋体"/>
                <w:color w:val="auto"/>
                <w:szCs w:val="21"/>
                <w:highlight w:val="none"/>
              </w:rPr>
            </w:pPr>
          </w:p>
        </w:tc>
        <w:tc>
          <w:tcPr>
            <w:tcW w:w="699" w:type="pct"/>
          </w:tcPr>
          <w:p w14:paraId="653DD145">
            <w:pPr>
              <w:jc w:val="center"/>
              <w:rPr>
                <w:rFonts w:ascii="宋体" w:hAnsi="宋体"/>
                <w:color w:val="auto"/>
                <w:szCs w:val="21"/>
                <w:highlight w:val="none"/>
              </w:rPr>
            </w:pPr>
          </w:p>
        </w:tc>
      </w:tr>
      <w:tr w14:paraId="122F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D97930">
            <w:pPr>
              <w:jc w:val="center"/>
              <w:rPr>
                <w:rFonts w:ascii="宋体" w:hAnsi="宋体"/>
                <w:color w:val="auto"/>
                <w:szCs w:val="21"/>
                <w:highlight w:val="none"/>
              </w:rPr>
            </w:pPr>
          </w:p>
        </w:tc>
        <w:tc>
          <w:tcPr>
            <w:tcW w:w="653" w:type="pct"/>
            <w:vAlign w:val="center"/>
          </w:tcPr>
          <w:p w14:paraId="100B181B">
            <w:pPr>
              <w:jc w:val="center"/>
              <w:rPr>
                <w:rFonts w:ascii="宋体" w:hAnsi="宋体"/>
                <w:color w:val="auto"/>
                <w:szCs w:val="21"/>
                <w:highlight w:val="none"/>
              </w:rPr>
            </w:pPr>
          </w:p>
        </w:tc>
        <w:tc>
          <w:tcPr>
            <w:tcW w:w="739" w:type="pct"/>
            <w:vAlign w:val="center"/>
          </w:tcPr>
          <w:p w14:paraId="14A88C6B">
            <w:pPr>
              <w:jc w:val="center"/>
              <w:rPr>
                <w:rFonts w:ascii="宋体" w:hAnsi="宋体"/>
                <w:color w:val="auto"/>
                <w:szCs w:val="21"/>
                <w:highlight w:val="none"/>
              </w:rPr>
            </w:pPr>
          </w:p>
        </w:tc>
        <w:tc>
          <w:tcPr>
            <w:tcW w:w="1081" w:type="pct"/>
            <w:vAlign w:val="center"/>
          </w:tcPr>
          <w:p w14:paraId="211F98B9">
            <w:pPr>
              <w:widowControl/>
              <w:tabs>
                <w:tab w:val="right" w:leader="dot" w:pos="8302"/>
              </w:tabs>
              <w:jc w:val="center"/>
              <w:rPr>
                <w:rFonts w:ascii="宋体" w:hAnsi="宋体"/>
                <w:color w:val="auto"/>
                <w:kern w:val="0"/>
                <w:szCs w:val="21"/>
                <w:highlight w:val="none"/>
              </w:rPr>
            </w:pPr>
          </w:p>
        </w:tc>
        <w:tc>
          <w:tcPr>
            <w:tcW w:w="830" w:type="pct"/>
          </w:tcPr>
          <w:p w14:paraId="5432BF5B">
            <w:pPr>
              <w:jc w:val="center"/>
              <w:rPr>
                <w:rFonts w:ascii="宋体" w:hAnsi="宋体"/>
                <w:color w:val="auto"/>
                <w:szCs w:val="21"/>
                <w:highlight w:val="none"/>
              </w:rPr>
            </w:pPr>
          </w:p>
        </w:tc>
        <w:tc>
          <w:tcPr>
            <w:tcW w:w="582" w:type="pct"/>
            <w:vAlign w:val="center"/>
          </w:tcPr>
          <w:p w14:paraId="39E3F135">
            <w:pPr>
              <w:jc w:val="center"/>
              <w:rPr>
                <w:rFonts w:ascii="宋体" w:hAnsi="宋体"/>
                <w:color w:val="auto"/>
                <w:szCs w:val="21"/>
                <w:highlight w:val="none"/>
              </w:rPr>
            </w:pPr>
          </w:p>
        </w:tc>
        <w:tc>
          <w:tcPr>
            <w:tcW w:w="699" w:type="pct"/>
          </w:tcPr>
          <w:p w14:paraId="78A94E59">
            <w:pPr>
              <w:jc w:val="center"/>
              <w:rPr>
                <w:rFonts w:ascii="宋体" w:hAnsi="宋体"/>
                <w:color w:val="auto"/>
                <w:szCs w:val="21"/>
                <w:highlight w:val="none"/>
              </w:rPr>
            </w:pPr>
          </w:p>
        </w:tc>
      </w:tr>
      <w:tr w14:paraId="228C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AFAA9EE">
            <w:pPr>
              <w:jc w:val="center"/>
              <w:rPr>
                <w:rFonts w:ascii="宋体" w:hAnsi="宋体"/>
                <w:color w:val="auto"/>
                <w:szCs w:val="21"/>
                <w:highlight w:val="none"/>
              </w:rPr>
            </w:pPr>
          </w:p>
        </w:tc>
        <w:tc>
          <w:tcPr>
            <w:tcW w:w="653" w:type="pct"/>
            <w:vAlign w:val="center"/>
          </w:tcPr>
          <w:p w14:paraId="0D55F9B6">
            <w:pPr>
              <w:jc w:val="center"/>
              <w:rPr>
                <w:rFonts w:ascii="宋体" w:hAnsi="宋体"/>
                <w:color w:val="auto"/>
                <w:szCs w:val="21"/>
                <w:highlight w:val="none"/>
              </w:rPr>
            </w:pPr>
          </w:p>
        </w:tc>
        <w:tc>
          <w:tcPr>
            <w:tcW w:w="739" w:type="pct"/>
            <w:vAlign w:val="center"/>
          </w:tcPr>
          <w:p w14:paraId="36598453">
            <w:pPr>
              <w:jc w:val="center"/>
              <w:rPr>
                <w:rFonts w:ascii="宋体" w:hAnsi="宋体"/>
                <w:color w:val="auto"/>
                <w:szCs w:val="21"/>
                <w:highlight w:val="none"/>
              </w:rPr>
            </w:pPr>
          </w:p>
        </w:tc>
        <w:tc>
          <w:tcPr>
            <w:tcW w:w="1081" w:type="pct"/>
            <w:vAlign w:val="center"/>
          </w:tcPr>
          <w:p w14:paraId="23362963">
            <w:pPr>
              <w:jc w:val="center"/>
              <w:rPr>
                <w:rFonts w:ascii="宋体" w:hAnsi="宋体"/>
                <w:color w:val="auto"/>
                <w:szCs w:val="21"/>
                <w:highlight w:val="none"/>
              </w:rPr>
            </w:pPr>
          </w:p>
        </w:tc>
        <w:tc>
          <w:tcPr>
            <w:tcW w:w="830" w:type="pct"/>
          </w:tcPr>
          <w:p w14:paraId="6FDE8E82">
            <w:pPr>
              <w:jc w:val="center"/>
              <w:rPr>
                <w:rFonts w:ascii="宋体" w:hAnsi="宋体"/>
                <w:color w:val="auto"/>
                <w:szCs w:val="21"/>
                <w:highlight w:val="none"/>
              </w:rPr>
            </w:pPr>
          </w:p>
        </w:tc>
        <w:tc>
          <w:tcPr>
            <w:tcW w:w="582" w:type="pct"/>
            <w:vAlign w:val="center"/>
          </w:tcPr>
          <w:p w14:paraId="480DFF5F">
            <w:pPr>
              <w:jc w:val="center"/>
              <w:rPr>
                <w:rFonts w:ascii="宋体" w:hAnsi="宋体"/>
                <w:color w:val="auto"/>
                <w:szCs w:val="21"/>
                <w:highlight w:val="none"/>
              </w:rPr>
            </w:pPr>
          </w:p>
        </w:tc>
        <w:tc>
          <w:tcPr>
            <w:tcW w:w="699" w:type="pct"/>
          </w:tcPr>
          <w:p w14:paraId="5C0AB9F3">
            <w:pPr>
              <w:jc w:val="center"/>
              <w:rPr>
                <w:rFonts w:ascii="宋体" w:hAnsi="宋体"/>
                <w:color w:val="auto"/>
                <w:szCs w:val="21"/>
                <w:highlight w:val="none"/>
              </w:rPr>
            </w:pPr>
          </w:p>
        </w:tc>
      </w:tr>
      <w:tr w14:paraId="20A4A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0D5AB">
            <w:pPr>
              <w:jc w:val="center"/>
              <w:rPr>
                <w:rFonts w:ascii="宋体" w:hAnsi="宋体"/>
                <w:color w:val="auto"/>
                <w:szCs w:val="21"/>
                <w:highlight w:val="none"/>
              </w:rPr>
            </w:pPr>
          </w:p>
        </w:tc>
        <w:tc>
          <w:tcPr>
            <w:tcW w:w="653" w:type="pct"/>
            <w:vAlign w:val="center"/>
          </w:tcPr>
          <w:p w14:paraId="1AC1ABFC">
            <w:pPr>
              <w:jc w:val="center"/>
              <w:rPr>
                <w:rFonts w:ascii="宋体" w:hAnsi="宋体"/>
                <w:color w:val="auto"/>
                <w:szCs w:val="21"/>
                <w:highlight w:val="none"/>
              </w:rPr>
            </w:pPr>
          </w:p>
        </w:tc>
        <w:tc>
          <w:tcPr>
            <w:tcW w:w="739" w:type="pct"/>
            <w:vAlign w:val="center"/>
          </w:tcPr>
          <w:p w14:paraId="12EF9221">
            <w:pPr>
              <w:jc w:val="center"/>
              <w:rPr>
                <w:rFonts w:ascii="宋体" w:hAnsi="宋体"/>
                <w:color w:val="auto"/>
                <w:szCs w:val="21"/>
                <w:highlight w:val="none"/>
              </w:rPr>
            </w:pPr>
          </w:p>
        </w:tc>
        <w:tc>
          <w:tcPr>
            <w:tcW w:w="1081" w:type="pct"/>
            <w:vAlign w:val="center"/>
          </w:tcPr>
          <w:p w14:paraId="0BC5BC94">
            <w:pPr>
              <w:jc w:val="center"/>
              <w:rPr>
                <w:rFonts w:ascii="宋体" w:hAnsi="宋体"/>
                <w:color w:val="auto"/>
                <w:szCs w:val="21"/>
                <w:highlight w:val="none"/>
              </w:rPr>
            </w:pPr>
          </w:p>
        </w:tc>
        <w:tc>
          <w:tcPr>
            <w:tcW w:w="830" w:type="pct"/>
          </w:tcPr>
          <w:p w14:paraId="3BE04345">
            <w:pPr>
              <w:jc w:val="center"/>
              <w:rPr>
                <w:rFonts w:ascii="宋体" w:hAnsi="宋体"/>
                <w:color w:val="auto"/>
                <w:szCs w:val="21"/>
                <w:highlight w:val="none"/>
              </w:rPr>
            </w:pPr>
          </w:p>
        </w:tc>
        <w:tc>
          <w:tcPr>
            <w:tcW w:w="582" w:type="pct"/>
            <w:vAlign w:val="center"/>
          </w:tcPr>
          <w:p w14:paraId="25818F2D">
            <w:pPr>
              <w:jc w:val="center"/>
              <w:rPr>
                <w:rFonts w:ascii="宋体" w:hAnsi="宋体"/>
                <w:color w:val="auto"/>
                <w:szCs w:val="21"/>
                <w:highlight w:val="none"/>
              </w:rPr>
            </w:pPr>
          </w:p>
        </w:tc>
        <w:tc>
          <w:tcPr>
            <w:tcW w:w="699" w:type="pct"/>
          </w:tcPr>
          <w:p w14:paraId="765E7468">
            <w:pPr>
              <w:jc w:val="center"/>
              <w:rPr>
                <w:rFonts w:ascii="宋体" w:hAnsi="宋体"/>
                <w:color w:val="auto"/>
                <w:szCs w:val="21"/>
                <w:highlight w:val="none"/>
              </w:rPr>
            </w:pPr>
          </w:p>
        </w:tc>
      </w:tr>
    </w:tbl>
    <w:p w14:paraId="680486F3">
      <w:pPr>
        <w:spacing w:line="360" w:lineRule="auto"/>
        <w:rPr>
          <w:rFonts w:ascii="黑体" w:hAnsi="黑体" w:eastAsia="黑体"/>
          <w:color w:val="auto"/>
          <w:highlight w:val="none"/>
        </w:rPr>
      </w:pPr>
    </w:p>
    <w:p w14:paraId="10B9F5A4">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4911547E">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38E33D4A">
      <w:pPr>
        <w:spacing w:line="360" w:lineRule="auto"/>
        <w:rPr>
          <w:rFonts w:ascii="黑体" w:hAnsi="黑体" w:eastAsia="黑体"/>
          <w:color w:val="auto"/>
          <w:highlight w:val="none"/>
        </w:rPr>
      </w:pPr>
    </w:p>
    <w:p w14:paraId="00B31FB8">
      <w:pPr>
        <w:pageBreakBefore/>
        <w:rPr>
          <w:rFonts w:ascii="宋体" w:hAnsi="宋体"/>
          <w:b/>
          <w:bCs/>
          <w:color w:val="auto"/>
          <w:highlight w:val="none"/>
        </w:rPr>
      </w:pPr>
      <w:r>
        <w:rPr>
          <w:rFonts w:hint="eastAsia" w:ascii="宋体" w:hAnsi="宋体"/>
          <w:b/>
          <w:bCs/>
          <w:color w:val="auto"/>
          <w:sz w:val="24"/>
          <w:szCs w:val="28"/>
          <w:highlight w:val="none"/>
        </w:rPr>
        <w:t>格式十</w:t>
      </w:r>
      <w:r>
        <w:rPr>
          <w:rFonts w:hint="eastAsia" w:ascii="宋体" w:hAnsi="宋体"/>
          <w:b/>
          <w:bCs/>
          <w:color w:val="auto"/>
          <w:sz w:val="24"/>
          <w:szCs w:val="28"/>
          <w:highlight w:val="none"/>
          <w:lang w:eastAsia="zh-CN"/>
        </w:rPr>
        <w:t>三</w:t>
      </w:r>
      <w:r>
        <w:rPr>
          <w:rFonts w:hint="eastAsia" w:ascii="宋体" w:hAnsi="宋体"/>
          <w:b/>
          <w:bCs/>
          <w:color w:val="auto"/>
          <w:sz w:val="24"/>
          <w:szCs w:val="28"/>
          <w:highlight w:val="none"/>
        </w:rPr>
        <w:t>：</w:t>
      </w:r>
    </w:p>
    <w:p w14:paraId="72D49588">
      <w:pPr>
        <w:spacing w:after="156" w:afterLines="50" w:line="360" w:lineRule="auto"/>
        <w:jc w:val="center"/>
        <w:rPr>
          <w:rFonts w:ascii="宋体" w:hAnsi="宋体"/>
          <w:b/>
          <w:color w:val="auto"/>
          <w:sz w:val="28"/>
          <w:szCs w:val="28"/>
          <w:highlight w:val="none"/>
        </w:rPr>
      </w:pPr>
      <w:r>
        <w:rPr>
          <w:rFonts w:hint="eastAsia" w:ascii="宋体" w:hAnsi="宋体"/>
          <w:b/>
          <w:color w:val="auto"/>
          <w:sz w:val="32"/>
          <w:szCs w:val="32"/>
          <w:highlight w:val="none"/>
        </w:rPr>
        <w:t>项目负责人简历表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7A5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60796B61">
            <w:pPr>
              <w:jc w:val="center"/>
              <w:rPr>
                <w:rFonts w:ascii="宋体" w:hAnsi="宋体"/>
                <w:color w:val="auto"/>
                <w:szCs w:val="21"/>
                <w:highlight w:val="none"/>
              </w:rPr>
            </w:pPr>
            <w:r>
              <w:rPr>
                <w:rFonts w:hint="eastAsia" w:ascii="宋体" w:hAnsi="宋体"/>
                <w:color w:val="auto"/>
                <w:szCs w:val="21"/>
                <w:highlight w:val="none"/>
              </w:rPr>
              <w:t>姓名</w:t>
            </w:r>
          </w:p>
        </w:tc>
        <w:tc>
          <w:tcPr>
            <w:tcW w:w="1493" w:type="pct"/>
            <w:gridSpan w:val="4"/>
            <w:vAlign w:val="center"/>
          </w:tcPr>
          <w:p w14:paraId="2D19600D">
            <w:pPr>
              <w:jc w:val="center"/>
              <w:rPr>
                <w:rFonts w:ascii="宋体" w:hAnsi="宋体"/>
                <w:color w:val="auto"/>
                <w:szCs w:val="21"/>
                <w:highlight w:val="none"/>
              </w:rPr>
            </w:pPr>
          </w:p>
        </w:tc>
        <w:tc>
          <w:tcPr>
            <w:tcW w:w="480" w:type="pct"/>
            <w:vAlign w:val="center"/>
          </w:tcPr>
          <w:p w14:paraId="41869735">
            <w:pPr>
              <w:jc w:val="center"/>
              <w:rPr>
                <w:rFonts w:ascii="宋体" w:hAnsi="宋体"/>
                <w:color w:val="auto"/>
                <w:szCs w:val="21"/>
                <w:highlight w:val="none"/>
              </w:rPr>
            </w:pPr>
            <w:r>
              <w:rPr>
                <w:rFonts w:hint="eastAsia" w:ascii="宋体" w:hAnsi="宋体"/>
                <w:color w:val="auto"/>
                <w:szCs w:val="21"/>
                <w:highlight w:val="none"/>
              </w:rPr>
              <w:t>性别</w:t>
            </w:r>
          </w:p>
        </w:tc>
        <w:tc>
          <w:tcPr>
            <w:tcW w:w="962" w:type="pct"/>
            <w:gridSpan w:val="3"/>
            <w:vAlign w:val="center"/>
          </w:tcPr>
          <w:p w14:paraId="6363A6D7">
            <w:pPr>
              <w:jc w:val="center"/>
              <w:rPr>
                <w:rFonts w:ascii="宋体" w:hAnsi="宋体"/>
                <w:color w:val="auto"/>
                <w:szCs w:val="21"/>
                <w:highlight w:val="none"/>
              </w:rPr>
            </w:pPr>
          </w:p>
        </w:tc>
        <w:tc>
          <w:tcPr>
            <w:tcW w:w="617" w:type="pct"/>
            <w:gridSpan w:val="2"/>
            <w:vAlign w:val="center"/>
          </w:tcPr>
          <w:p w14:paraId="0104771A">
            <w:pPr>
              <w:jc w:val="center"/>
              <w:rPr>
                <w:rFonts w:ascii="宋体" w:hAnsi="宋体"/>
                <w:color w:val="auto"/>
                <w:szCs w:val="21"/>
                <w:highlight w:val="none"/>
              </w:rPr>
            </w:pPr>
            <w:r>
              <w:rPr>
                <w:rFonts w:hint="eastAsia" w:ascii="宋体" w:hAnsi="宋体"/>
                <w:color w:val="auto"/>
                <w:szCs w:val="21"/>
                <w:highlight w:val="none"/>
              </w:rPr>
              <w:t>年龄</w:t>
            </w:r>
          </w:p>
        </w:tc>
        <w:tc>
          <w:tcPr>
            <w:tcW w:w="1030" w:type="pct"/>
            <w:gridSpan w:val="2"/>
            <w:vAlign w:val="center"/>
          </w:tcPr>
          <w:p w14:paraId="2359D0A0">
            <w:pPr>
              <w:jc w:val="center"/>
              <w:rPr>
                <w:rFonts w:ascii="宋体" w:hAnsi="宋体"/>
                <w:color w:val="auto"/>
                <w:szCs w:val="21"/>
                <w:highlight w:val="none"/>
              </w:rPr>
            </w:pPr>
          </w:p>
        </w:tc>
      </w:tr>
      <w:tr w14:paraId="7691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DCB057C">
            <w:pPr>
              <w:jc w:val="center"/>
              <w:rPr>
                <w:rFonts w:ascii="宋体" w:hAnsi="宋体"/>
                <w:color w:val="auto"/>
                <w:szCs w:val="21"/>
                <w:highlight w:val="none"/>
              </w:rPr>
            </w:pPr>
            <w:r>
              <w:rPr>
                <w:rFonts w:hint="eastAsia" w:ascii="宋体" w:hAnsi="宋体"/>
                <w:color w:val="auto"/>
                <w:szCs w:val="21"/>
                <w:highlight w:val="none"/>
              </w:rPr>
              <w:t>职务</w:t>
            </w:r>
          </w:p>
        </w:tc>
        <w:tc>
          <w:tcPr>
            <w:tcW w:w="1493" w:type="pct"/>
            <w:gridSpan w:val="4"/>
            <w:vAlign w:val="center"/>
          </w:tcPr>
          <w:p w14:paraId="609E3279">
            <w:pPr>
              <w:jc w:val="center"/>
              <w:rPr>
                <w:rFonts w:ascii="宋体" w:hAnsi="宋体"/>
                <w:color w:val="auto"/>
                <w:szCs w:val="21"/>
                <w:highlight w:val="none"/>
              </w:rPr>
            </w:pPr>
          </w:p>
        </w:tc>
        <w:tc>
          <w:tcPr>
            <w:tcW w:w="480" w:type="pct"/>
            <w:vAlign w:val="center"/>
          </w:tcPr>
          <w:p w14:paraId="3003304A">
            <w:pPr>
              <w:jc w:val="center"/>
              <w:rPr>
                <w:rFonts w:ascii="宋体" w:hAnsi="宋体"/>
                <w:color w:val="auto"/>
                <w:szCs w:val="21"/>
                <w:highlight w:val="none"/>
              </w:rPr>
            </w:pPr>
            <w:r>
              <w:rPr>
                <w:rFonts w:hint="eastAsia" w:ascii="宋体" w:hAnsi="宋体"/>
                <w:color w:val="auto"/>
                <w:szCs w:val="21"/>
                <w:highlight w:val="none"/>
              </w:rPr>
              <w:t>职称</w:t>
            </w:r>
          </w:p>
        </w:tc>
        <w:tc>
          <w:tcPr>
            <w:tcW w:w="962" w:type="pct"/>
            <w:gridSpan w:val="3"/>
            <w:vAlign w:val="center"/>
          </w:tcPr>
          <w:p w14:paraId="056042AE">
            <w:pPr>
              <w:jc w:val="center"/>
              <w:rPr>
                <w:rFonts w:ascii="宋体" w:hAnsi="宋体"/>
                <w:color w:val="auto"/>
                <w:szCs w:val="21"/>
                <w:highlight w:val="none"/>
              </w:rPr>
            </w:pPr>
          </w:p>
        </w:tc>
        <w:tc>
          <w:tcPr>
            <w:tcW w:w="617" w:type="pct"/>
            <w:gridSpan w:val="2"/>
            <w:vAlign w:val="center"/>
          </w:tcPr>
          <w:p w14:paraId="58EABEBD">
            <w:pPr>
              <w:jc w:val="center"/>
              <w:rPr>
                <w:rFonts w:ascii="宋体" w:hAnsi="宋体"/>
                <w:color w:val="auto"/>
                <w:szCs w:val="21"/>
                <w:highlight w:val="none"/>
              </w:rPr>
            </w:pPr>
            <w:r>
              <w:rPr>
                <w:rFonts w:hint="eastAsia" w:ascii="宋体" w:hAnsi="宋体"/>
                <w:color w:val="auto"/>
                <w:szCs w:val="21"/>
                <w:highlight w:val="none"/>
              </w:rPr>
              <w:t>学历</w:t>
            </w:r>
          </w:p>
        </w:tc>
        <w:tc>
          <w:tcPr>
            <w:tcW w:w="1030" w:type="pct"/>
            <w:gridSpan w:val="2"/>
            <w:vAlign w:val="center"/>
          </w:tcPr>
          <w:p w14:paraId="40A434F9">
            <w:pPr>
              <w:jc w:val="center"/>
              <w:rPr>
                <w:rFonts w:ascii="宋体" w:hAnsi="宋体"/>
                <w:color w:val="auto"/>
                <w:szCs w:val="21"/>
                <w:highlight w:val="none"/>
              </w:rPr>
            </w:pPr>
          </w:p>
        </w:tc>
      </w:tr>
      <w:tr w14:paraId="05AF1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349C59C4">
            <w:pPr>
              <w:jc w:val="center"/>
              <w:rPr>
                <w:rFonts w:ascii="宋体" w:hAnsi="宋体"/>
                <w:color w:val="auto"/>
                <w:szCs w:val="21"/>
                <w:highlight w:val="none"/>
              </w:rPr>
            </w:pPr>
            <w:r>
              <w:rPr>
                <w:rFonts w:hint="eastAsia" w:ascii="宋体" w:hAnsi="宋体"/>
                <w:color w:val="auto"/>
                <w:szCs w:val="21"/>
                <w:highlight w:val="none"/>
              </w:rPr>
              <w:t>参加工作时间</w:t>
            </w:r>
          </w:p>
        </w:tc>
        <w:tc>
          <w:tcPr>
            <w:tcW w:w="1081" w:type="pct"/>
            <w:gridSpan w:val="4"/>
            <w:vAlign w:val="center"/>
          </w:tcPr>
          <w:p w14:paraId="6D2C8EF0">
            <w:pPr>
              <w:jc w:val="center"/>
              <w:rPr>
                <w:rFonts w:ascii="宋体" w:hAnsi="宋体"/>
                <w:color w:val="auto"/>
                <w:szCs w:val="21"/>
                <w:highlight w:val="none"/>
              </w:rPr>
            </w:pPr>
          </w:p>
        </w:tc>
        <w:tc>
          <w:tcPr>
            <w:tcW w:w="1502" w:type="pct"/>
            <w:gridSpan w:val="5"/>
            <w:vAlign w:val="center"/>
          </w:tcPr>
          <w:p w14:paraId="61748C1D">
            <w:pPr>
              <w:jc w:val="center"/>
              <w:rPr>
                <w:rFonts w:ascii="宋体" w:hAnsi="宋体"/>
                <w:color w:val="auto"/>
                <w:szCs w:val="21"/>
                <w:highlight w:val="none"/>
              </w:rPr>
            </w:pPr>
            <w:r>
              <w:rPr>
                <w:rFonts w:hint="eastAsia" w:ascii="宋体" w:hAnsi="宋体"/>
                <w:color w:val="auto"/>
                <w:szCs w:val="21"/>
                <w:highlight w:val="none"/>
              </w:rPr>
              <w:t>相关经验年限</w:t>
            </w:r>
          </w:p>
        </w:tc>
        <w:tc>
          <w:tcPr>
            <w:tcW w:w="796" w:type="pct"/>
            <w:vAlign w:val="center"/>
          </w:tcPr>
          <w:p w14:paraId="4F302959">
            <w:pPr>
              <w:jc w:val="center"/>
              <w:rPr>
                <w:rFonts w:ascii="宋体" w:hAnsi="宋体"/>
                <w:color w:val="auto"/>
                <w:szCs w:val="21"/>
                <w:highlight w:val="none"/>
              </w:rPr>
            </w:pPr>
          </w:p>
        </w:tc>
      </w:tr>
      <w:tr w14:paraId="6A87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9D19EE4">
            <w:pPr>
              <w:jc w:val="center"/>
              <w:rPr>
                <w:rFonts w:ascii="宋体" w:hAnsi="宋体"/>
                <w:color w:val="auto"/>
                <w:szCs w:val="21"/>
                <w:highlight w:val="none"/>
              </w:rPr>
            </w:pPr>
            <w:r>
              <w:rPr>
                <w:rFonts w:hint="eastAsia" w:ascii="宋体" w:hAnsi="宋体"/>
                <w:color w:val="auto"/>
                <w:szCs w:val="21"/>
                <w:highlight w:val="none"/>
              </w:rPr>
              <w:t>资格证书名称、编号</w:t>
            </w:r>
          </w:p>
        </w:tc>
        <w:tc>
          <w:tcPr>
            <w:tcW w:w="3379" w:type="pct"/>
            <w:gridSpan w:val="10"/>
            <w:vAlign w:val="center"/>
          </w:tcPr>
          <w:p w14:paraId="69C94C78">
            <w:pPr>
              <w:jc w:val="center"/>
              <w:rPr>
                <w:rFonts w:ascii="宋体" w:hAnsi="宋体"/>
                <w:color w:val="auto"/>
                <w:szCs w:val="21"/>
                <w:highlight w:val="none"/>
              </w:rPr>
            </w:pPr>
          </w:p>
        </w:tc>
      </w:tr>
      <w:tr w14:paraId="0040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6C75DA32">
            <w:pPr>
              <w:jc w:val="center"/>
              <w:rPr>
                <w:rFonts w:ascii="宋体" w:hAnsi="宋体"/>
                <w:color w:val="auto"/>
                <w:szCs w:val="21"/>
                <w:highlight w:val="none"/>
              </w:rPr>
            </w:pPr>
            <w:r>
              <w:rPr>
                <w:rFonts w:hint="eastAsia" w:ascii="宋体" w:hAnsi="宋体"/>
                <w:color w:val="auto"/>
                <w:szCs w:val="21"/>
                <w:highlight w:val="none"/>
              </w:rPr>
              <w:t>目前在任及以往服务项目情况</w:t>
            </w:r>
          </w:p>
        </w:tc>
      </w:tr>
      <w:tr w14:paraId="6405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B5C27AC">
            <w:pPr>
              <w:jc w:val="center"/>
              <w:rPr>
                <w:rFonts w:ascii="宋体" w:hAnsi="宋体"/>
                <w:color w:val="auto"/>
                <w:szCs w:val="21"/>
                <w:highlight w:val="none"/>
              </w:rPr>
            </w:pPr>
            <w:r>
              <w:rPr>
                <w:rFonts w:hint="eastAsia" w:ascii="宋体" w:hAnsi="宋体"/>
                <w:color w:val="auto"/>
                <w:szCs w:val="21"/>
                <w:highlight w:val="none"/>
              </w:rPr>
              <w:t>采购人</w:t>
            </w:r>
          </w:p>
        </w:tc>
        <w:tc>
          <w:tcPr>
            <w:tcW w:w="962" w:type="pct"/>
            <w:gridSpan w:val="2"/>
            <w:vAlign w:val="center"/>
          </w:tcPr>
          <w:p w14:paraId="296AD5E4">
            <w:pPr>
              <w:jc w:val="center"/>
              <w:rPr>
                <w:rFonts w:ascii="宋体" w:hAnsi="宋体"/>
                <w:color w:val="auto"/>
                <w:szCs w:val="21"/>
                <w:highlight w:val="none"/>
              </w:rPr>
            </w:pPr>
            <w:r>
              <w:rPr>
                <w:rFonts w:hint="eastAsia" w:ascii="宋体" w:hAnsi="宋体"/>
                <w:color w:val="auto"/>
                <w:szCs w:val="21"/>
                <w:highlight w:val="none"/>
              </w:rPr>
              <w:t>项目名称</w:t>
            </w:r>
          </w:p>
        </w:tc>
        <w:tc>
          <w:tcPr>
            <w:tcW w:w="903" w:type="pct"/>
            <w:gridSpan w:val="4"/>
            <w:vAlign w:val="center"/>
          </w:tcPr>
          <w:p w14:paraId="029C5CFB">
            <w:pPr>
              <w:jc w:val="center"/>
              <w:rPr>
                <w:rFonts w:ascii="宋体" w:hAnsi="宋体"/>
                <w:color w:val="auto"/>
                <w:szCs w:val="21"/>
                <w:highlight w:val="none"/>
              </w:rPr>
            </w:pPr>
            <w:r>
              <w:rPr>
                <w:rFonts w:hint="eastAsia" w:ascii="宋体" w:hAnsi="宋体"/>
                <w:color w:val="auto"/>
                <w:szCs w:val="21"/>
                <w:highlight w:val="none"/>
              </w:rPr>
              <w:t>项目规模</w:t>
            </w:r>
          </w:p>
        </w:tc>
        <w:tc>
          <w:tcPr>
            <w:tcW w:w="892" w:type="pct"/>
            <w:gridSpan w:val="2"/>
            <w:vAlign w:val="center"/>
          </w:tcPr>
          <w:p w14:paraId="43A7B1CB">
            <w:pPr>
              <w:jc w:val="center"/>
              <w:rPr>
                <w:rFonts w:ascii="宋体" w:hAnsi="宋体"/>
                <w:color w:val="auto"/>
                <w:szCs w:val="21"/>
                <w:highlight w:val="none"/>
              </w:rPr>
            </w:pPr>
            <w:r>
              <w:rPr>
                <w:rFonts w:hint="eastAsia" w:ascii="宋体" w:hAnsi="宋体"/>
                <w:color w:val="auto"/>
                <w:szCs w:val="21"/>
                <w:highlight w:val="none"/>
              </w:rPr>
              <w:t>所任职务</w:t>
            </w:r>
          </w:p>
        </w:tc>
        <w:tc>
          <w:tcPr>
            <w:tcW w:w="1399" w:type="pct"/>
            <w:gridSpan w:val="3"/>
            <w:vAlign w:val="center"/>
          </w:tcPr>
          <w:p w14:paraId="135CA3D3">
            <w:pPr>
              <w:jc w:val="center"/>
              <w:rPr>
                <w:rFonts w:ascii="宋体" w:hAnsi="宋体"/>
                <w:color w:val="auto"/>
                <w:szCs w:val="21"/>
                <w:highlight w:val="none"/>
              </w:rPr>
            </w:pPr>
            <w:r>
              <w:rPr>
                <w:rFonts w:hint="eastAsia" w:ascii="宋体" w:hAnsi="宋体"/>
                <w:color w:val="auto"/>
                <w:szCs w:val="21"/>
                <w:highlight w:val="none"/>
              </w:rPr>
              <w:t>起止时间</w:t>
            </w:r>
          </w:p>
        </w:tc>
      </w:tr>
      <w:tr w14:paraId="5CBC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45BFDCC">
            <w:pPr>
              <w:jc w:val="center"/>
              <w:rPr>
                <w:rFonts w:ascii="宋体" w:hAnsi="宋体"/>
                <w:color w:val="auto"/>
                <w:szCs w:val="21"/>
                <w:highlight w:val="none"/>
              </w:rPr>
            </w:pPr>
          </w:p>
        </w:tc>
        <w:tc>
          <w:tcPr>
            <w:tcW w:w="962" w:type="pct"/>
            <w:gridSpan w:val="2"/>
            <w:vAlign w:val="center"/>
          </w:tcPr>
          <w:p w14:paraId="1824539A">
            <w:pPr>
              <w:jc w:val="center"/>
              <w:rPr>
                <w:rFonts w:ascii="宋体" w:hAnsi="宋体"/>
                <w:color w:val="auto"/>
                <w:szCs w:val="21"/>
                <w:highlight w:val="none"/>
              </w:rPr>
            </w:pPr>
          </w:p>
        </w:tc>
        <w:tc>
          <w:tcPr>
            <w:tcW w:w="903" w:type="pct"/>
            <w:gridSpan w:val="4"/>
            <w:vAlign w:val="center"/>
          </w:tcPr>
          <w:p w14:paraId="44A80247">
            <w:pPr>
              <w:jc w:val="center"/>
              <w:rPr>
                <w:rFonts w:ascii="宋体" w:hAnsi="宋体"/>
                <w:color w:val="auto"/>
                <w:szCs w:val="21"/>
                <w:highlight w:val="none"/>
              </w:rPr>
            </w:pPr>
          </w:p>
        </w:tc>
        <w:tc>
          <w:tcPr>
            <w:tcW w:w="892" w:type="pct"/>
            <w:gridSpan w:val="2"/>
            <w:vAlign w:val="center"/>
          </w:tcPr>
          <w:p w14:paraId="7C6C34A2">
            <w:pPr>
              <w:jc w:val="center"/>
              <w:rPr>
                <w:rFonts w:ascii="宋体" w:hAnsi="宋体"/>
                <w:color w:val="auto"/>
                <w:szCs w:val="21"/>
                <w:highlight w:val="none"/>
              </w:rPr>
            </w:pPr>
          </w:p>
        </w:tc>
        <w:tc>
          <w:tcPr>
            <w:tcW w:w="1399" w:type="pct"/>
            <w:gridSpan w:val="3"/>
            <w:vAlign w:val="center"/>
          </w:tcPr>
          <w:p w14:paraId="5E2C18B2">
            <w:pPr>
              <w:jc w:val="center"/>
              <w:rPr>
                <w:rFonts w:ascii="宋体" w:hAnsi="宋体"/>
                <w:color w:val="auto"/>
                <w:szCs w:val="21"/>
                <w:highlight w:val="none"/>
              </w:rPr>
            </w:pPr>
          </w:p>
        </w:tc>
      </w:tr>
      <w:tr w14:paraId="1A02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E601965">
            <w:pPr>
              <w:jc w:val="center"/>
              <w:rPr>
                <w:rFonts w:ascii="宋体" w:hAnsi="宋体"/>
                <w:color w:val="auto"/>
                <w:szCs w:val="21"/>
                <w:highlight w:val="none"/>
              </w:rPr>
            </w:pPr>
          </w:p>
        </w:tc>
        <w:tc>
          <w:tcPr>
            <w:tcW w:w="962" w:type="pct"/>
            <w:gridSpan w:val="2"/>
            <w:vAlign w:val="center"/>
          </w:tcPr>
          <w:p w14:paraId="07BB14FB">
            <w:pPr>
              <w:jc w:val="center"/>
              <w:rPr>
                <w:rFonts w:ascii="宋体" w:hAnsi="宋体"/>
                <w:color w:val="auto"/>
                <w:szCs w:val="21"/>
                <w:highlight w:val="none"/>
              </w:rPr>
            </w:pPr>
          </w:p>
        </w:tc>
        <w:tc>
          <w:tcPr>
            <w:tcW w:w="903" w:type="pct"/>
            <w:gridSpan w:val="4"/>
            <w:vAlign w:val="center"/>
          </w:tcPr>
          <w:p w14:paraId="2F209A21">
            <w:pPr>
              <w:jc w:val="center"/>
              <w:rPr>
                <w:rFonts w:ascii="宋体" w:hAnsi="宋体"/>
                <w:color w:val="auto"/>
                <w:szCs w:val="21"/>
                <w:highlight w:val="none"/>
              </w:rPr>
            </w:pPr>
          </w:p>
        </w:tc>
        <w:tc>
          <w:tcPr>
            <w:tcW w:w="892" w:type="pct"/>
            <w:gridSpan w:val="2"/>
            <w:vAlign w:val="center"/>
          </w:tcPr>
          <w:p w14:paraId="10C5BFA1">
            <w:pPr>
              <w:jc w:val="center"/>
              <w:rPr>
                <w:rFonts w:ascii="宋体" w:hAnsi="宋体"/>
                <w:color w:val="auto"/>
                <w:szCs w:val="21"/>
                <w:highlight w:val="none"/>
              </w:rPr>
            </w:pPr>
          </w:p>
        </w:tc>
        <w:tc>
          <w:tcPr>
            <w:tcW w:w="1399" w:type="pct"/>
            <w:gridSpan w:val="3"/>
            <w:vAlign w:val="center"/>
          </w:tcPr>
          <w:p w14:paraId="0D553C96">
            <w:pPr>
              <w:jc w:val="center"/>
              <w:rPr>
                <w:rFonts w:ascii="宋体" w:hAnsi="宋体"/>
                <w:color w:val="auto"/>
                <w:szCs w:val="21"/>
                <w:highlight w:val="none"/>
              </w:rPr>
            </w:pPr>
          </w:p>
        </w:tc>
      </w:tr>
      <w:tr w14:paraId="45FB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B3B159B">
            <w:pPr>
              <w:jc w:val="center"/>
              <w:rPr>
                <w:rFonts w:ascii="宋体" w:hAnsi="宋体"/>
                <w:color w:val="auto"/>
                <w:szCs w:val="21"/>
                <w:highlight w:val="none"/>
              </w:rPr>
            </w:pPr>
          </w:p>
        </w:tc>
        <w:tc>
          <w:tcPr>
            <w:tcW w:w="962" w:type="pct"/>
            <w:gridSpan w:val="2"/>
            <w:vAlign w:val="center"/>
          </w:tcPr>
          <w:p w14:paraId="04B8C5A3">
            <w:pPr>
              <w:jc w:val="center"/>
              <w:rPr>
                <w:rFonts w:ascii="宋体" w:hAnsi="宋体"/>
                <w:color w:val="auto"/>
                <w:szCs w:val="21"/>
                <w:highlight w:val="none"/>
              </w:rPr>
            </w:pPr>
          </w:p>
        </w:tc>
        <w:tc>
          <w:tcPr>
            <w:tcW w:w="903" w:type="pct"/>
            <w:gridSpan w:val="4"/>
            <w:vAlign w:val="center"/>
          </w:tcPr>
          <w:p w14:paraId="3F82A806">
            <w:pPr>
              <w:jc w:val="center"/>
              <w:rPr>
                <w:rFonts w:ascii="宋体" w:hAnsi="宋体"/>
                <w:color w:val="auto"/>
                <w:szCs w:val="21"/>
                <w:highlight w:val="none"/>
              </w:rPr>
            </w:pPr>
          </w:p>
        </w:tc>
        <w:tc>
          <w:tcPr>
            <w:tcW w:w="892" w:type="pct"/>
            <w:gridSpan w:val="2"/>
            <w:vAlign w:val="center"/>
          </w:tcPr>
          <w:p w14:paraId="1274D5A9">
            <w:pPr>
              <w:jc w:val="center"/>
              <w:rPr>
                <w:rFonts w:ascii="宋体" w:hAnsi="宋体"/>
                <w:color w:val="auto"/>
                <w:szCs w:val="21"/>
                <w:highlight w:val="none"/>
              </w:rPr>
            </w:pPr>
          </w:p>
        </w:tc>
        <w:tc>
          <w:tcPr>
            <w:tcW w:w="1399" w:type="pct"/>
            <w:gridSpan w:val="3"/>
            <w:vAlign w:val="center"/>
          </w:tcPr>
          <w:p w14:paraId="273561F4">
            <w:pPr>
              <w:jc w:val="center"/>
              <w:rPr>
                <w:rFonts w:ascii="宋体" w:hAnsi="宋体"/>
                <w:color w:val="auto"/>
                <w:szCs w:val="21"/>
                <w:highlight w:val="none"/>
              </w:rPr>
            </w:pPr>
          </w:p>
        </w:tc>
      </w:tr>
      <w:tr w14:paraId="0909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F19109A">
            <w:pPr>
              <w:jc w:val="center"/>
              <w:rPr>
                <w:rFonts w:ascii="宋体" w:hAnsi="宋体"/>
                <w:color w:val="auto"/>
                <w:szCs w:val="21"/>
                <w:highlight w:val="none"/>
              </w:rPr>
            </w:pPr>
          </w:p>
        </w:tc>
        <w:tc>
          <w:tcPr>
            <w:tcW w:w="962" w:type="pct"/>
            <w:gridSpan w:val="2"/>
            <w:vAlign w:val="center"/>
          </w:tcPr>
          <w:p w14:paraId="5F9EBAEF">
            <w:pPr>
              <w:jc w:val="center"/>
              <w:rPr>
                <w:rFonts w:ascii="宋体" w:hAnsi="宋体"/>
                <w:color w:val="auto"/>
                <w:szCs w:val="21"/>
                <w:highlight w:val="none"/>
              </w:rPr>
            </w:pPr>
          </w:p>
        </w:tc>
        <w:tc>
          <w:tcPr>
            <w:tcW w:w="903" w:type="pct"/>
            <w:gridSpan w:val="4"/>
            <w:vAlign w:val="center"/>
          </w:tcPr>
          <w:p w14:paraId="67765E9B">
            <w:pPr>
              <w:jc w:val="center"/>
              <w:rPr>
                <w:rFonts w:ascii="宋体" w:hAnsi="宋体"/>
                <w:color w:val="auto"/>
                <w:szCs w:val="21"/>
                <w:highlight w:val="none"/>
              </w:rPr>
            </w:pPr>
          </w:p>
        </w:tc>
        <w:tc>
          <w:tcPr>
            <w:tcW w:w="892" w:type="pct"/>
            <w:gridSpan w:val="2"/>
            <w:vAlign w:val="center"/>
          </w:tcPr>
          <w:p w14:paraId="43183CD8">
            <w:pPr>
              <w:jc w:val="center"/>
              <w:rPr>
                <w:rFonts w:ascii="宋体" w:hAnsi="宋体"/>
                <w:color w:val="auto"/>
                <w:szCs w:val="21"/>
                <w:highlight w:val="none"/>
              </w:rPr>
            </w:pPr>
          </w:p>
        </w:tc>
        <w:tc>
          <w:tcPr>
            <w:tcW w:w="1399" w:type="pct"/>
            <w:gridSpan w:val="3"/>
            <w:vAlign w:val="center"/>
          </w:tcPr>
          <w:p w14:paraId="13E310D3">
            <w:pPr>
              <w:jc w:val="center"/>
              <w:rPr>
                <w:rFonts w:ascii="宋体" w:hAnsi="宋体"/>
                <w:color w:val="auto"/>
                <w:szCs w:val="21"/>
                <w:highlight w:val="none"/>
              </w:rPr>
            </w:pPr>
          </w:p>
        </w:tc>
      </w:tr>
      <w:tr w14:paraId="2C2A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F2155A4">
            <w:pPr>
              <w:jc w:val="center"/>
              <w:rPr>
                <w:rFonts w:ascii="宋体" w:hAnsi="宋体"/>
                <w:color w:val="auto"/>
                <w:szCs w:val="21"/>
                <w:highlight w:val="none"/>
              </w:rPr>
            </w:pPr>
          </w:p>
        </w:tc>
        <w:tc>
          <w:tcPr>
            <w:tcW w:w="962" w:type="pct"/>
            <w:gridSpan w:val="2"/>
            <w:vAlign w:val="center"/>
          </w:tcPr>
          <w:p w14:paraId="7CDF5B00">
            <w:pPr>
              <w:jc w:val="center"/>
              <w:rPr>
                <w:rFonts w:ascii="宋体" w:hAnsi="宋体"/>
                <w:color w:val="auto"/>
                <w:szCs w:val="21"/>
                <w:highlight w:val="none"/>
              </w:rPr>
            </w:pPr>
          </w:p>
        </w:tc>
        <w:tc>
          <w:tcPr>
            <w:tcW w:w="903" w:type="pct"/>
            <w:gridSpan w:val="4"/>
            <w:vAlign w:val="center"/>
          </w:tcPr>
          <w:p w14:paraId="1FB31AD2">
            <w:pPr>
              <w:jc w:val="center"/>
              <w:rPr>
                <w:rFonts w:ascii="宋体" w:hAnsi="宋体"/>
                <w:color w:val="auto"/>
                <w:szCs w:val="21"/>
                <w:highlight w:val="none"/>
              </w:rPr>
            </w:pPr>
          </w:p>
        </w:tc>
        <w:tc>
          <w:tcPr>
            <w:tcW w:w="892" w:type="pct"/>
            <w:gridSpan w:val="2"/>
            <w:vAlign w:val="center"/>
          </w:tcPr>
          <w:p w14:paraId="35189BAB">
            <w:pPr>
              <w:jc w:val="center"/>
              <w:rPr>
                <w:rFonts w:ascii="宋体" w:hAnsi="宋体"/>
                <w:color w:val="auto"/>
                <w:szCs w:val="21"/>
                <w:highlight w:val="none"/>
              </w:rPr>
            </w:pPr>
          </w:p>
        </w:tc>
        <w:tc>
          <w:tcPr>
            <w:tcW w:w="1399" w:type="pct"/>
            <w:gridSpan w:val="3"/>
            <w:vAlign w:val="center"/>
          </w:tcPr>
          <w:p w14:paraId="0C18BD80">
            <w:pPr>
              <w:jc w:val="center"/>
              <w:rPr>
                <w:rFonts w:ascii="宋体" w:hAnsi="宋体"/>
                <w:color w:val="auto"/>
                <w:szCs w:val="21"/>
                <w:highlight w:val="none"/>
              </w:rPr>
            </w:pPr>
          </w:p>
        </w:tc>
      </w:tr>
    </w:tbl>
    <w:p w14:paraId="771CAABF">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21CF6962">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2D0AA227">
      <w:pPr>
        <w:pageBreakBefore/>
        <w:rPr>
          <w:color w:val="auto"/>
          <w:kern w:val="0"/>
          <w:sz w:val="20"/>
          <w:szCs w:val="20"/>
          <w:highlight w:val="none"/>
        </w:rPr>
      </w:pPr>
      <w:bookmarkStart w:id="60" w:name="_Toc169799799"/>
      <w:r>
        <w:rPr>
          <w:rFonts w:ascii="宋体" w:hAnsi="宋体"/>
          <w:b/>
          <w:bCs/>
          <w:color w:val="auto"/>
          <w:sz w:val="24"/>
          <w:szCs w:val="28"/>
          <w:highlight w:val="none"/>
        </w:rPr>
        <w:t>格式十</w:t>
      </w:r>
      <w:r>
        <w:rPr>
          <w:rFonts w:hint="eastAsia" w:ascii="宋体" w:hAnsi="宋体"/>
          <w:b/>
          <w:bCs/>
          <w:color w:val="auto"/>
          <w:sz w:val="24"/>
          <w:szCs w:val="28"/>
          <w:highlight w:val="none"/>
          <w:lang w:eastAsia="zh-CN"/>
        </w:rPr>
        <w:t>四</w:t>
      </w:r>
      <w:r>
        <w:rPr>
          <w:rFonts w:ascii="宋体" w:hAnsi="宋体"/>
          <w:b/>
          <w:bCs/>
          <w:color w:val="auto"/>
          <w:sz w:val="24"/>
          <w:szCs w:val="28"/>
          <w:highlight w:val="none"/>
        </w:rPr>
        <w:t>：</w:t>
      </w:r>
      <w:bookmarkEnd w:id="60"/>
    </w:p>
    <w:p w14:paraId="0BFB8BF0">
      <w:pPr>
        <w:widowControl/>
        <w:spacing w:after="156" w:afterLines="50"/>
        <w:jc w:val="center"/>
        <w:outlineLvl w:val="3"/>
        <w:rPr>
          <w:color w:val="auto"/>
          <w:kern w:val="0"/>
          <w:sz w:val="20"/>
          <w:szCs w:val="20"/>
          <w:highlight w:val="none"/>
          <w:lang w:eastAsia="zh-Hans"/>
        </w:rPr>
      </w:pPr>
      <w:r>
        <w:rPr>
          <w:b/>
          <w:color w:val="auto"/>
          <w:kern w:val="0"/>
          <w:sz w:val="32"/>
          <w:highlight w:val="none"/>
          <w:lang w:eastAsia="zh-Hans"/>
        </w:rPr>
        <w:t>供应商业绩情况表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07B49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4C341A87">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644" w:type="pct"/>
            <w:vAlign w:val="center"/>
          </w:tcPr>
          <w:p w14:paraId="05EA8A8F">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客户名称</w:t>
            </w:r>
          </w:p>
        </w:tc>
        <w:tc>
          <w:tcPr>
            <w:tcW w:w="773" w:type="pct"/>
            <w:vAlign w:val="center"/>
          </w:tcPr>
          <w:p w14:paraId="11D23771">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项目名称</w:t>
            </w:r>
          </w:p>
        </w:tc>
        <w:tc>
          <w:tcPr>
            <w:tcW w:w="696" w:type="pct"/>
            <w:vAlign w:val="center"/>
          </w:tcPr>
          <w:p w14:paraId="48A592F6">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合同金额（万元）</w:t>
            </w:r>
          </w:p>
        </w:tc>
        <w:tc>
          <w:tcPr>
            <w:tcW w:w="603" w:type="pct"/>
          </w:tcPr>
          <w:p w14:paraId="1303C7F4">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签订合同时间</w:t>
            </w:r>
          </w:p>
        </w:tc>
        <w:tc>
          <w:tcPr>
            <w:tcW w:w="766" w:type="pct"/>
            <w:vAlign w:val="center"/>
          </w:tcPr>
          <w:p w14:paraId="131A944A">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竣工验收报告时间</w:t>
            </w:r>
          </w:p>
        </w:tc>
        <w:tc>
          <w:tcPr>
            <w:tcW w:w="1165" w:type="pct"/>
            <w:vAlign w:val="center"/>
          </w:tcPr>
          <w:p w14:paraId="7DB79AA5">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联系人及电话</w:t>
            </w:r>
          </w:p>
        </w:tc>
      </w:tr>
      <w:tr w14:paraId="01C8A6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36CD1554">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644" w:type="pct"/>
          </w:tcPr>
          <w:p w14:paraId="74B80464">
            <w:pPr>
              <w:rPr>
                <w:rFonts w:ascii="宋体" w:hAnsi="宋体"/>
                <w:color w:val="auto"/>
                <w:szCs w:val="21"/>
                <w:highlight w:val="none"/>
              </w:rPr>
            </w:pPr>
          </w:p>
        </w:tc>
        <w:tc>
          <w:tcPr>
            <w:tcW w:w="773" w:type="pct"/>
          </w:tcPr>
          <w:p w14:paraId="528D581A">
            <w:pPr>
              <w:rPr>
                <w:rFonts w:ascii="宋体" w:hAnsi="宋体"/>
                <w:color w:val="auto"/>
                <w:szCs w:val="21"/>
                <w:highlight w:val="none"/>
              </w:rPr>
            </w:pPr>
          </w:p>
        </w:tc>
        <w:tc>
          <w:tcPr>
            <w:tcW w:w="696" w:type="pct"/>
          </w:tcPr>
          <w:p w14:paraId="1379CD51">
            <w:pPr>
              <w:rPr>
                <w:rFonts w:ascii="宋体" w:hAnsi="宋体"/>
                <w:color w:val="auto"/>
                <w:szCs w:val="21"/>
                <w:highlight w:val="none"/>
              </w:rPr>
            </w:pPr>
          </w:p>
        </w:tc>
        <w:tc>
          <w:tcPr>
            <w:tcW w:w="603" w:type="pct"/>
          </w:tcPr>
          <w:p w14:paraId="42C6572B">
            <w:pPr>
              <w:rPr>
                <w:rFonts w:ascii="宋体" w:hAnsi="宋体"/>
                <w:color w:val="auto"/>
                <w:szCs w:val="21"/>
                <w:highlight w:val="none"/>
              </w:rPr>
            </w:pPr>
          </w:p>
        </w:tc>
        <w:tc>
          <w:tcPr>
            <w:tcW w:w="766" w:type="pct"/>
          </w:tcPr>
          <w:p w14:paraId="4E0AF60B">
            <w:pPr>
              <w:rPr>
                <w:rFonts w:ascii="宋体" w:hAnsi="宋体"/>
                <w:color w:val="auto"/>
                <w:szCs w:val="21"/>
                <w:highlight w:val="none"/>
              </w:rPr>
            </w:pPr>
          </w:p>
        </w:tc>
        <w:tc>
          <w:tcPr>
            <w:tcW w:w="1165" w:type="pct"/>
          </w:tcPr>
          <w:p w14:paraId="158DF3A4">
            <w:pPr>
              <w:rPr>
                <w:rFonts w:ascii="宋体" w:hAnsi="宋体"/>
                <w:color w:val="auto"/>
                <w:szCs w:val="21"/>
                <w:highlight w:val="none"/>
              </w:rPr>
            </w:pPr>
          </w:p>
        </w:tc>
      </w:tr>
      <w:tr w14:paraId="37089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9B31615">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644" w:type="pct"/>
          </w:tcPr>
          <w:p w14:paraId="3662EBCA">
            <w:pPr>
              <w:rPr>
                <w:rFonts w:ascii="宋体" w:hAnsi="宋体"/>
                <w:color w:val="auto"/>
                <w:szCs w:val="21"/>
                <w:highlight w:val="none"/>
              </w:rPr>
            </w:pPr>
          </w:p>
        </w:tc>
        <w:tc>
          <w:tcPr>
            <w:tcW w:w="773" w:type="pct"/>
          </w:tcPr>
          <w:p w14:paraId="0BFC6BC9">
            <w:pPr>
              <w:rPr>
                <w:rFonts w:ascii="宋体" w:hAnsi="宋体"/>
                <w:color w:val="auto"/>
                <w:szCs w:val="21"/>
                <w:highlight w:val="none"/>
              </w:rPr>
            </w:pPr>
          </w:p>
        </w:tc>
        <w:tc>
          <w:tcPr>
            <w:tcW w:w="696" w:type="pct"/>
          </w:tcPr>
          <w:p w14:paraId="6DBFA62E">
            <w:pPr>
              <w:rPr>
                <w:rFonts w:ascii="宋体" w:hAnsi="宋体"/>
                <w:color w:val="auto"/>
                <w:szCs w:val="21"/>
                <w:highlight w:val="none"/>
              </w:rPr>
            </w:pPr>
          </w:p>
        </w:tc>
        <w:tc>
          <w:tcPr>
            <w:tcW w:w="603" w:type="pct"/>
          </w:tcPr>
          <w:p w14:paraId="6C571A56">
            <w:pPr>
              <w:rPr>
                <w:rFonts w:ascii="宋体" w:hAnsi="宋体"/>
                <w:color w:val="auto"/>
                <w:szCs w:val="21"/>
                <w:highlight w:val="none"/>
              </w:rPr>
            </w:pPr>
          </w:p>
        </w:tc>
        <w:tc>
          <w:tcPr>
            <w:tcW w:w="766" w:type="pct"/>
          </w:tcPr>
          <w:p w14:paraId="649A372C">
            <w:pPr>
              <w:rPr>
                <w:rFonts w:ascii="宋体" w:hAnsi="宋体"/>
                <w:color w:val="auto"/>
                <w:szCs w:val="21"/>
                <w:highlight w:val="none"/>
              </w:rPr>
            </w:pPr>
          </w:p>
        </w:tc>
        <w:tc>
          <w:tcPr>
            <w:tcW w:w="1165" w:type="pct"/>
          </w:tcPr>
          <w:p w14:paraId="0B437C69">
            <w:pPr>
              <w:rPr>
                <w:rFonts w:ascii="宋体" w:hAnsi="宋体"/>
                <w:color w:val="auto"/>
                <w:szCs w:val="21"/>
                <w:highlight w:val="none"/>
              </w:rPr>
            </w:pPr>
          </w:p>
        </w:tc>
      </w:tr>
      <w:tr w14:paraId="262FB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5EBFCECC">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644" w:type="pct"/>
          </w:tcPr>
          <w:p w14:paraId="7F6D5DE5">
            <w:pPr>
              <w:rPr>
                <w:rFonts w:ascii="宋体" w:hAnsi="宋体"/>
                <w:color w:val="auto"/>
                <w:szCs w:val="21"/>
                <w:highlight w:val="none"/>
              </w:rPr>
            </w:pPr>
          </w:p>
        </w:tc>
        <w:tc>
          <w:tcPr>
            <w:tcW w:w="773" w:type="pct"/>
          </w:tcPr>
          <w:p w14:paraId="21B808B6">
            <w:pPr>
              <w:rPr>
                <w:rFonts w:ascii="宋体" w:hAnsi="宋体"/>
                <w:color w:val="auto"/>
                <w:szCs w:val="21"/>
                <w:highlight w:val="none"/>
              </w:rPr>
            </w:pPr>
          </w:p>
        </w:tc>
        <w:tc>
          <w:tcPr>
            <w:tcW w:w="696" w:type="pct"/>
          </w:tcPr>
          <w:p w14:paraId="2C3304F6">
            <w:pPr>
              <w:rPr>
                <w:rFonts w:ascii="宋体" w:hAnsi="宋体"/>
                <w:color w:val="auto"/>
                <w:szCs w:val="21"/>
                <w:highlight w:val="none"/>
              </w:rPr>
            </w:pPr>
          </w:p>
        </w:tc>
        <w:tc>
          <w:tcPr>
            <w:tcW w:w="603" w:type="pct"/>
          </w:tcPr>
          <w:p w14:paraId="3C5218D9">
            <w:pPr>
              <w:rPr>
                <w:rFonts w:ascii="宋体" w:hAnsi="宋体"/>
                <w:color w:val="auto"/>
                <w:szCs w:val="21"/>
                <w:highlight w:val="none"/>
              </w:rPr>
            </w:pPr>
          </w:p>
        </w:tc>
        <w:tc>
          <w:tcPr>
            <w:tcW w:w="766" w:type="pct"/>
          </w:tcPr>
          <w:p w14:paraId="3490219D">
            <w:pPr>
              <w:rPr>
                <w:rFonts w:ascii="宋体" w:hAnsi="宋体"/>
                <w:color w:val="auto"/>
                <w:szCs w:val="21"/>
                <w:highlight w:val="none"/>
              </w:rPr>
            </w:pPr>
          </w:p>
        </w:tc>
        <w:tc>
          <w:tcPr>
            <w:tcW w:w="1165" w:type="pct"/>
          </w:tcPr>
          <w:p w14:paraId="18664347">
            <w:pPr>
              <w:rPr>
                <w:rFonts w:ascii="宋体" w:hAnsi="宋体"/>
                <w:color w:val="auto"/>
                <w:szCs w:val="21"/>
                <w:highlight w:val="none"/>
              </w:rPr>
            </w:pPr>
          </w:p>
        </w:tc>
      </w:tr>
      <w:tr w14:paraId="76AA9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FFDCA91">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644" w:type="pct"/>
          </w:tcPr>
          <w:p w14:paraId="1650D8FF">
            <w:pPr>
              <w:rPr>
                <w:rFonts w:ascii="宋体" w:hAnsi="宋体"/>
                <w:color w:val="auto"/>
                <w:szCs w:val="21"/>
                <w:highlight w:val="none"/>
              </w:rPr>
            </w:pPr>
          </w:p>
        </w:tc>
        <w:tc>
          <w:tcPr>
            <w:tcW w:w="773" w:type="pct"/>
          </w:tcPr>
          <w:p w14:paraId="36A16A95">
            <w:pPr>
              <w:rPr>
                <w:rFonts w:ascii="宋体" w:hAnsi="宋体"/>
                <w:color w:val="auto"/>
                <w:szCs w:val="21"/>
                <w:highlight w:val="none"/>
              </w:rPr>
            </w:pPr>
          </w:p>
        </w:tc>
        <w:tc>
          <w:tcPr>
            <w:tcW w:w="696" w:type="pct"/>
          </w:tcPr>
          <w:p w14:paraId="69829597">
            <w:pPr>
              <w:rPr>
                <w:rFonts w:ascii="宋体" w:hAnsi="宋体"/>
                <w:color w:val="auto"/>
                <w:szCs w:val="21"/>
                <w:highlight w:val="none"/>
              </w:rPr>
            </w:pPr>
          </w:p>
        </w:tc>
        <w:tc>
          <w:tcPr>
            <w:tcW w:w="603" w:type="pct"/>
          </w:tcPr>
          <w:p w14:paraId="51B1BC4A">
            <w:pPr>
              <w:rPr>
                <w:rFonts w:ascii="宋体" w:hAnsi="宋体"/>
                <w:color w:val="auto"/>
                <w:szCs w:val="21"/>
                <w:highlight w:val="none"/>
              </w:rPr>
            </w:pPr>
          </w:p>
        </w:tc>
        <w:tc>
          <w:tcPr>
            <w:tcW w:w="766" w:type="pct"/>
          </w:tcPr>
          <w:p w14:paraId="2A913515">
            <w:pPr>
              <w:rPr>
                <w:rFonts w:ascii="宋体" w:hAnsi="宋体"/>
                <w:color w:val="auto"/>
                <w:szCs w:val="21"/>
                <w:highlight w:val="none"/>
              </w:rPr>
            </w:pPr>
          </w:p>
        </w:tc>
        <w:tc>
          <w:tcPr>
            <w:tcW w:w="1165" w:type="pct"/>
          </w:tcPr>
          <w:p w14:paraId="1FAE2413">
            <w:pPr>
              <w:rPr>
                <w:rFonts w:ascii="宋体" w:hAnsi="宋体"/>
                <w:color w:val="auto"/>
                <w:szCs w:val="21"/>
                <w:highlight w:val="none"/>
              </w:rPr>
            </w:pPr>
          </w:p>
        </w:tc>
      </w:tr>
      <w:tr w14:paraId="60A6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A86FE89">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w:t>
            </w:r>
          </w:p>
        </w:tc>
        <w:tc>
          <w:tcPr>
            <w:tcW w:w="644" w:type="pct"/>
          </w:tcPr>
          <w:p w14:paraId="77DF813E">
            <w:pPr>
              <w:rPr>
                <w:rFonts w:ascii="宋体" w:hAnsi="宋体"/>
                <w:color w:val="auto"/>
                <w:szCs w:val="21"/>
                <w:highlight w:val="none"/>
              </w:rPr>
            </w:pPr>
          </w:p>
        </w:tc>
        <w:tc>
          <w:tcPr>
            <w:tcW w:w="773" w:type="pct"/>
          </w:tcPr>
          <w:p w14:paraId="546E1F8F">
            <w:pPr>
              <w:rPr>
                <w:rFonts w:ascii="宋体" w:hAnsi="宋体"/>
                <w:color w:val="auto"/>
                <w:szCs w:val="21"/>
                <w:highlight w:val="none"/>
              </w:rPr>
            </w:pPr>
          </w:p>
        </w:tc>
        <w:tc>
          <w:tcPr>
            <w:tcW w:w="696" w:type="pct"/>
          </w:tcPr>
          <w:p w14:paraId="1FBD8A7E">
            <w:pPr>
              <w:rPr>
                <w:rFonts w:ascii="宋体" w:hAnsi="宋体"/>
                <w:color w:val="auto"/>
                <w:szCs w:val="21"/>
                <w:highlight w:val="none"/>
              </w:rPr>
            </w:pPr>
          </w:p>
        </w:tc>
        <w:tc>
          <w:tcPr>
            <w:tcW w:w="603" w:type="pct"/>
          </w:tcPr>
          <w:p w14:paraId="4576B992">
            <w:pPr>
              <w:rPr>
                <w:rFonts w:ascii="宋体" w:hAnsi="宋体"/>
                <w:color w:val="auto"/>
                <w:szCs w:val="21"/>
                <w:highlight w:val="none"/>
              </w:rPr>
            </w:pPr>
          </w:p>
        </w:tc>
        <w:tc>
          <w:tcPr>
            <w:tcW w:w="766" w:type="pct"/>
          </w:tcPr>
          <w:p w14:paraId="76B9FFE9">
            <w:pPr>
              <w:rPr>
                <w:rFonts w:ascii="宋体" w:hAnsi="宋体"/>
                <w:color w:val="auto"/>
                <w:szCs w:val="21"/>
                <w:highlight w:val="none"/>
              </w:rPr>
            </w:pPr>
          </w:p>
        </w:tc>
        <w:tc>
          <w:tcPr>
            <w:tcW w:w="1165" w:type="pct"/>
          </w:tcPr>
          <w:p w14:paraId="589B80BC">
            <w:pPr>
              <w:rPr>
                <w:rFonts w:ascii="宋体" w:hAnsi="宋体"/>
                <w:color w:val="auto"/>
                <w:szCs w:val="21"/>
                <w:highlight w:val="none"/>
              </w:rPr>
            </w:pPr>
          </w:p>
        </w:tc>
      </w:tr>
    </w:tbl>
    <w:p w14:paraId="6F74BE62">
      <w:pPr>
        <w:widowControl/>
        <w:jc w:val="left"/>
        <w:rPr>
          <w:color w:val="auto"/>
          <w:kern w:val="0"/>
          <w:sz w:val="20"/>
          <w:szCs w:val="20"/>
          <w:highlight w:val="none"/>
          <w:lang w:eastAsia="zh-Hans"/>
        </w:rPr>
      </w:pPr>
      <w:r>
        <w:rPr>
          <w:color w:val="auto"/>
          <w:kern w:val="0"/>
          <w:sz w:val="20"/>
          <w:szCs w:val="20"/>
          <w:highlight w:val="none"/>
          <w:lang w:eastAsia="zh-Hans"/>
        </w:rPr>
        <w:t>根据上述业绩情况，按磋商文件要求附销售或服务合同复印件及评审标准要求的证明材料。</w:t>
      </w:r>
    </w:p>
    <w:p w14:paraId="6CB8B55A">
      <w:pPr>
        <w:widowControl/>
        <w:jc w:val="left"/>
        <w:rPr>
          <w:color w:val="auto"/>
          <w:kern w:val="0"/>
          <w:sz w:val="20"/>
          <w:szCs w:val="20"/>
          <w:highlight w:val="none"/>
          <w:lang w:eastAsia="zh-Hans"/>
        </w:rPr>
      </w:pPr>
    </w:p>
    <w:p w14:paraId="0512325D">
      <w:pPr>
        <w:widowControl/>
        <w:jc w:val="left"/>
        <w:rPr>
          <w:color w:val="auto"/>
          <w:kern w:val="0"/>
          <w:sz w:val="20"/>
          <w:szCs w:val="20"/>
          <w:highlight w:val="none"/>
        </w:rPr>
      </w:pPr>
    </w:p>
    <w:p w14:paraId="2622C638">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1F1B212C">
      <w:pPr>
        <w:widowControl/>
        <w:jc w:val="left"/>
        <w:rPr>
          <w:color w:val="auto"/>
          <w:kern w:val="0"/>
          <w:sz w:val="20"/>
          <w:szCs w:val="20"/>
          <w:highlight w:val="none"/>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ED44BC1">
      <w:pPr>
        <w:pageBreakBefore/>
        <w:rPr>
          <w:color w:val="auto"/>
          <w:kern w:val="0"/>
          <w:sz w:val="20"/>
          <w:szCs w:val="20"/>
          <w:highlight w:val="none"/>
          <w:lang w:eastAsia="zh-Hans"/>
        </w:rPr>
      </w:pPr>
      <w:bookmarkStart w:id="61" w:name="_Toc169799800"/>
      <w:r>
        <w:rPr>
          <w:rFonts w:ascii="宋体" w:hAnsi="宋体"/>
          <w:b/>
          <w:bCs/>
          <w:color w:val="auto"/>
          <w:sz w:val="24"/>
          <w:szCs w:val="28"/>
          <w:highlight w:val="none"/>
        </w:rPr>
        <w:t>格式十</w:t>
      </w:r>
      <w:r>
        <w:rPr>
          <w:rFonts w:hint="eastAsia" w:ascii="宋体" w:hAnsi="宋体"/>
          <w:b/>
          <w:bCs/>
          <w:color w:val="auto"/>
          <w:sz w:val="24"/>
          <w:szCs w:val="28"/>
          <w:highlight w:val="none"/>
          <w:lang w:eastAsia="zh-CN"/>
        </w:rPr>
        <w:t>五</w:t>
      </w:r>
      <w:r>
        <w:rPr>
          <w:rFonts w:ascii="宋体" w:hAnsi="宋体"/>
          <w:b/>
          <w:bCs/>
          <w:color w:val="auto"/>
          <w:sz w:val="24"/>
          <w:szCs w:val="28"/>
          <w:highlight w:val="none"/>
        </w:rPr>
        <w:t>：</w:t>
      </w:r>
      <w:bookmarkEnd w:id="61"/>
    </w:p>
    <w:p w14:paraId="616B22D9">
      <w:pPr>
        <w:widowControl/>
        <w:spacing w:after="312" w:afterLines="100"/>
        <w:jc w:val="center"/>
        <w:outlineLvl w:val="3"/>
        <w:rPr>
          <w:color w:val="auto"/>
          <w:kern w:val="0"/>
          <w:sz w:val="20"/>
          <w:szCs w:val="20"/>
          <w:highlight w:val="none"/>
        </w:rPr>
      </w:pPr>
      <w:r>
        <w:rPr>
          <w:b/>
          <w:color w:val="auto"/>
          <w:kern w:val="0"/>
          <w:sz w:val="32"/>
          <w:highlight w:val="none"/>
          <w:lang w:eastAsia="zh-Hans"/>
        </w:rPr>
        <w:t>技术和服务要求响应表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201A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6624C2DC">
            <w:pPr>
              <w:widowControl/>
              <w:jc w:val="center"/>
              <w:rPr>
                <w:b/>
                <w:bCs/>
                <w:color w:val="auto"/>
                <w:kern w:val="0"/>
                <w:szCs w:val="21"/>
                <w:highlight w:val="none"/>
                <w:lang w:eastAsia="zh-Hans"/>
              </w:rPr>
            </w:pPr>
            <w:r>
              <w:rPr>
                <w:b/>
                <w:bCs/>
                <w:color w:val="auto"/>
                <w:kern w:val="0"/>
                <w:szCs w:val="21"/>
                <w:highlight w:val="none"/>
                <w:lang w:eastAsia="zh-Hans"/>
              </w:rPr>
              <w:t>序号</w:t>
            </w:r>
          </w:p>
        </w:tc>
        <w:tc>
          <w:tcPr>
            <w:tcW w:w="421" w:type="pct"/>
            <w:vAlign w:val="center"/>
          </w:tcPr>
          <w:p w14:paraId="2B545E92">
            <w:pPr>
              <w:widowControl/>
              <w:jc w:val="center"/>
              <w:rPr>
                <w:b/>
                <w:bCs/>
                <w:color w:val="auto"/>
                <w:kern w:val="0"/>
                <w:szCs w:val="21"/>
                <w:highlight w:val="none"/>
                <w:lang w:eastAsia="zh-Hans"/>
              </w:rPr>
            </w:pPr>
            <w:r>
              <w:rPr>
                <w:b/>
                <w:bCs/>
                <w:color w:val="auto"/>
                <w:kern w:val="0"/>
                <w:szCs w:val="21"/>
                <w:highlight w:val="none"/>
                <w:lang w:eastAsia="zh-Hans"/>
              </w:rPr>
              <w:t>参数性质</w:t>
            </w:r>
          </w:p>
        </w:tc>
        <w:tc>
          <w:tcPr>
            <w:tcW w:w="842" w:type="pct"/>
            <w:vAlign w:val="center"/>
          </w:tcPr>
          <w:p w14:paraId="5EBCC90D">
            <w:pPr>
              <w:widowControl/>
              <w:jc w:val="center"/>
              <w:rPr>
                <w:b/>
                <w:bCs/>
                <w:color w:val="auto"/>
                <w:kern w:val="0"/>
                <w:szCs w:val="21"/>
                <w:highlight w:val="none"/>
                <w:lang w:eastAsia="zh-Hans"/>
              </w:rPr>
            </w:pPr>
            <w:r>
              <w:rPr>
                <w:rFonts w:hint="eastAsia"/>
                <w:b/>
                <w:bCs/>
                <w:color w:val="auto"/>
                <w:kern w:val="0"/>
                <w:szCs w:val="21"/>
                <w:highlight w:val="none"/>
                <w:lang w:eastAsia="zh-Hans"/>
              </w:rPr>
              <w:t>磋商文件</w:t>
            </w:r>
            <w:r>
              <w:rPr>
                <w:b/>
                <w:bCs/>
                <w:color w:val="auto"/>
                <w:kern w:val="0"/>
                <w:szCs w:val="21"/>
                <w:highlight w:val="none"/>
                <w:lang w:eastAsia="zh-Hans"/>
              </w:rPr>
              <w:t>规定的技术和服务要求</w:t>
            </w:r>
          </w:p>
        </w:tc>
        <w:tc>
          <w:tcPr>
            <w:tcW w:w="673" w:type="pct"/>
            <w:vAlign w:val="center"/>
          </w:tcPr>
          <w:p w14:paraId="0B79D28A">
            <w:pPr>
              <w:widowControl/>
              <w:jc w:val="center"/>
              <w:rPr>
                <w:b/>
                <w:bCs/>
                <w:color w:val="auto"/>
                <w:kern w:val="0"/>
                <w:szCs w:val="21"/>
                <w:highlight w:val="none"/>
                <w:lang w:eastAsia="zh-Hans"/>
              </w:rPr>
            </w:pPr>
            <w:r>
              <w:rPr>
                <w:b/>
                <w:bCs/>
                <w:color w:val="auto"/>
                <w:kern w:val="0"/>
                <w:szCs w:val="21"/>
                <w:highlight w:val="none"/>
                <w:lang w:eastAsia="zh-Hans"/>
              </w:rPr>
              <w:t>响应文件响应的具体内容</w:t>
            </w:r>
          </w:p>
        </w:tc>
        <w:tc>
          <w:tcPr>
            <w:tcW w:w="673" w:type="pct"/>
            <w:vAlign w:val="center"/>
          </w:tcPr>
          <w:p w14:paraId="5B8EB14D">
            <w:pPr>
              <w:widowControl/>
              <w:jc w:val="center"/>
              <w:rPr>
                <w:b/>
                <w:bCs/>
                <w:color w:val="auto"/>
                <w:kern w:val="0"/>
                <w:szCs w:val="21"/>
                <w:highlight w:val="none"/>
                <w:lang w:eastAsia="zh-Hans"/>
              </w:rPr>
            </w:pPr>
            <w:r>
              <w:rPr>
                <w:b/>
                <w:bCs/>
                <w:color w:val="auto"/>
                <w:kern w:val="0"/>
                <w:szCs w:val="21"/>
                <w:highlight w:val="none"/>
                <w:lang w:eastAsia="zh-Hans"/>
              </w:rPr>
              <w:t>型号</w:t>
            </w:r>
          </w:p>
        </w:tc>
        <w:tc>
          <w:tcPr>
            <w:tcW w:w="757" w:type="pct"/>
            <w:vAlign w:val="center"/>
          </w:tcPr>
          <w:p w14:paraId="0C34C785">
            <w:pPr>
              <w:widowControl/>
              <w:jc w:val="center"/>
              <w:rPr>
                <w:b/>
                <w:bCs/>
                <w:color w:val="auto"/>
                <w:kern w:val="0"/>
                <w:szCs w:val="21"/>
                <w:highlight w:val="none"/>
                <w:lang w:eastAsia="zh-Hans"/>
              </w:rPr>
            </w:pPr>
            <w:r>
              <w:rPr>
                <w:b/>
                <w:bCs/>
                <w:color w:val="auto"/>
                <w:kern w:val="0"/>
                <w:szCs w:val="21"/>
                <w:highlight w:val="none"/>
                <w:lang w:eastAsia="zh-Hans"/>
              </w:rPr>
              <w:t>是否偏离</w:t>
            </w:r>
          </w:p>
        </w:tc>
        <w:tc>
          <w:tcPr>
            <w:tcW w:w="674" w:type="pct"/>
            <w:vAlign w:val="center"/>
          </w:tcPr>
          <w:p w14:paraId="5FD6E60C">
            <w:pPr>
              <w:widowControl/>
              <w:jc w:val="center"/>
              <w:rPr>
                <w:b/>
                <w:bCs/>
                <w:color w:val="auto"/>
                <w:kern w:val="0"/>
                <w:szCs w:val="21"/>
                <w:highlight w:val="none"/>
                <w:lang w:eastAsia="zh-Hans"/>
              </w:rPr>
            </w:pPr>
            <w:r>
              <w:rPr>
                <w:b/>
                <w:bCs/>
                <w:color w:val="auto"/>
                <w:kern w:val="0"/>
                <w:szCs w:val="21"/>
                <w:highlight w:val="none"/>
                <w:lang w:eastAsia="zh-Hans"/>
              </w:rPr>
              <w:t>证明文件所在位置</w:t>
            </w:r>
          </w:p>
        </w:tc>
        <w:tc>
          <w:tcPr>
            <w:tcW w:w="455" w:type="pct"/>
            <w:vAlign w:val="center"/>
          </w:tcPr>
          <w:p w14:paraId="5244450E">
            <w:pPr>
              <w:widowControl/>
              <w:jc w:val="center"/>
              <w:rPr>
                <w:b/>
                <w:bCs/>
                <w:color w:val="auto"/>
                <w:kern w:val="0"/>
                <w:szCs w:val="21"/>
                <w:highlight w:val="none"/>
                <w:lang w:eastAsia="zh-Hans"/>
              </w:rPr>
            </w:pPr>
            <w:r>
              <w:rPr>
                <w:b/>
                <w:bCs/>
                <w:color w:val="auto"/>
                <w:kern w:val="0"/>
                <w:szCs w:val="21"/>
                <w:highlight w:val="none"/>
                <w:lang w:eastAsia="zh-Hans"/>
              </w:rPr>
              <w:t>备注</w:t>
            </w:r>
          </w:p>
        </w:tc>
      </w:tr>
      <w:tr w14:paraId="4633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4DB4151">
            <w:pPr>
              <w:widowControl/>
              <w:jc w:val="center"/>
              <w:rPr>
                <w:color w:val="auto"/>
                <w:kern w:val="0"/>
                <w:sz w:val="20"/>
                <w:szCs w:val="20"/>
                <w:highlight w:val="none"/>
                <w:lang w:eastAsia="zh-Hans"/>
              </w:rPr>
            </w:pPr>
            <w:r>
              <w:rPr>
                <w:color w:val="auto"/>
                <w:kern w:val="0"/>
                <w:sz w:val="20"/>
                <w:szCs w:val="20"/>
                <w:highlight w:val="none"/>
                <w:lang w:eastAsia="zh-Hans"/>
              </w:rPr>
              <w:t>1</w:t>
            </w:r>
          </w:p>
        </w:tc>
        <w:tc>
          <w:tcPr>
            <w:tcW w:w="421" w:type="pct"/>
          </w:tcPr>
          <w:p w14:paraId="0A659639">
            <w:pPr>
              <w:jc w:val="center"/>
              <w:rPr>
                <w:color w:val="auto"/>
                <w:szCs w:val="24"/>
                <w:highlight w:val="none"/>
              </w:rPr>
            </w:pPr>
          </w:p>
        </w:tc>
        <w:tc>
          <w:tcPr>
            <w:tcW w:w="842" w:type="pct"/>
          </w:tcPr>
          <w:p w14:paraId="7640BB5B">
            <w:pPr>
              <w:jc w:val="center"/>
              <w:rPr>
                <w:color w:val="auto"/>
                <w:szCs w:val="24"/>
                <w:highlight w:val="none"/>
              </w:rPr>
            </w:pPr>
          </w:p>
        </w:tc>
        <w:tc>
          <w:tcPr>
            <w:tcW w:w="673" w:type="pct"/>
          </w:tcPr>
          <w:p w14:paraId="2C608A2C">
            <w:pPr>
              <w:jc w:val="center"/>
              <w:rPr>
                <w:color w:val="auto"/>
                <w:szCs w:val="24"/>
                <w:highlight w:val="none"/>
              </w:rPr>
            </w:pPr>
          </w:p>
        </w:tc>
        <w:tc>
          <w:tcPr>
            <w:tcW w:w="673" w:type="pct"/>
          </w:tcPr>
          <w:p w14:paraId="0EA1740F">
            <w:pPr>
              <w:jc w:val="center"/>
              <w:rPr>
                <w:color w:val="auto"/>
                <w:szCs w:val="24"/>
                <w:highlight w:val="none"/>
              </w:rPr>
            </w:pPr>
          </w:p>
        </w:tc>
        <w:tc>
          <w:tcPr>
            <w:tcW w:w="757" w:type="pct"/>
          </w:tcPr>
          <w:p w14:paraId="62EE0E28">
            <w:pPr>
              <w:jc w:val="center"/>
              <w:rPr>
                <w:color w:val="auto"/>
                <w:szCs w:val="24"/>
                <w:highlight w:val="none"/>
              </w:rPr>
            </w:pPr>
          </w:p>
        </w:tc>
        <w:tc>
          <w:tcPr>
            <w:tcW w:w="674" w:type="pct"/>
          </w:tcPr>
          <w:p w14:paraId="61A202E6">
            <w:pPr>
              <w:jc w:val="center"/>
              <w:rPr>
                <w:color w:val="auto"/>
                <w:szCs w:val="24"/>
                <w:highlight w:val="none"/>
              </w:rPr>
            </w:pPr>
          </w:p>
        </w:tc>
        <w:tc>
          <w:tcPr>
            <w:tcW w:w="455" w:type="pct"/>
          </w:tcPr>
          <w:p w14:paraId="1F5620C0">
            <w:pPr>
              <w:jc w:val="center"/>
              <w:rPr>
                <w:color w:val="auto"/>
                <w:szCs w:val="24"/>
                <w:highlight w:val="none"/>
              </w:rPr>
            </w:pPr>
          </w:p>
        </w:tc>
      </w:tr>
      <w:tr w14:paraId="7EE0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48BF304">
            <w:pPr>
              <w:widowControl/>
              <w:jc w:val="center"/>
              <w:rPr>
                <w:color w:val="auto"/>
                <w:kern w:val="0"/>
                <w:sz w:val="20"/>
                <w:szCs w:val="20"/>
                <w:highlight w:val="none"/>
                <w:lang w:eastAsia="zh-Hans"/>
              </w:rPr>
            </w:pPr>
            <w:r>
              <w:rPr>
                <w:color w:val="auto"/>
                <w:kern w:val="0"/>
                <w:sz w:val="20"/>
                <w:szCs w:val="20"/>
                <w:highlight w:val="none"/>
                <w:lang w:eastAsia="zh-Hans"/>
              </w:rPr>
              <w:t>2</w:t>
            </w:r>
          </w:p>
        </w:tc>
        <w:tc>
          <w:tcPr>
            <w:tcW w:w="421" w:type="pct"/>
          </w:tcPr>
          <w:p w14:paraId="77F6A65C">
            <w:pPr>
              <w:jc w:val="center"/>
              <w:rPr>
                <w:color w:val="auto"/>
                <w:szCs w:val="24"/>
                <w:highlight w:val="none"/>
              </w:rPr>
            </w:pPr>
          </w:p>
        </w:tc>
        <w:tc>
          <w:tcPr>
            <w:tcW w:w="842" w:type="pct"/>
          </w:tcPr>
          <w:p w14:paraId="4C590351">
            <w:pPr>
              <w:jc w:val="center"/>
              <w:rPr>
                <w:color w:val="auto"/>
                <w:szCs w:val="24"/>
                <w:highlight w:val="none"/>
              </w:rPr>
            </w:pPr>
          </w:p>
        </w:tc>
        <w:tc>
          <w:tcPr>
            <w:tcW w:w="673" w:type="pct"/>
          </w:tcPr>
          <w:p w14:paraId="0DE129D9">
            <w:pPr>
              <w:jc w:val="center"/>
              <w:rPr>
                <w:color w:val="auto"/>
                <w:szCs w:val="24"/>
                <w:highlight w:val="none"/>
              </w:rPr>
            </w:pPr>
          </w:p>
        </w:tc>
        <w:tc>
          <w:tcPr>
            <w:tcW w:w="673" w:type="pct"/>
          </w:tcPr>
          <w:p w14:paraId="120F2122">
            <w:pPr>
              <w:jc w:val="center"/>
              <w:rPr>
                <w:color w:val="auto"/>
                <w:szCs w:val="24"/>
                <w:highlight w:val="none"/>
              </w:rPr>
            </w:pPr>
          </w:p>
        </w:tc>
        <w:tc>
          <w:tcPr>
            <w:tcW w:w="757" w:type="pct"/>
          </w:tcPr>
          <w:p w14:paraId="6976CAC6">
            <w:pPr>
              <w:jc w:val="center"/>
              <w:rPr>
                <w:color w:val="auto"/>
                <w:szCs w:val="24"/>
                <w:highlight w:val="none"/>
              </w:rPr>
            </w:pPr>
          </w:p>
        </w:tc>
        <w:tc>
          <w:tcPr>
            <w:tcW w:w="674" w:type="pct"/>
          </w:tcPr>
          <w:p w14:paraId="0D4DFB54">
            <w:pPr>
              <w:jc w:val="center"/>
              <w:rPr>
                <w:color w:val="auto"/>
                <w:szCs w:val="24"/>
                <w:highlight w:val="none"/>
              </w:rPr>
            </w:pPr>
          </w:p>
        </w:tc>
        <w:tc>
          <w:tcPr>
            <w:tcW w:w="455" w:type="pct"/>
          </w:tcPr>
          <w:p w14:paraId="03AF807D">
            <w:pPr>
              <w:jc w:val="center"/>
              <w:rPr>
                <w:color w:val="auto"/>
                <w:szCs w:val="24"/>
                <w:highlight w:val="none"/>
              </w:rPr>
            </w:pPr>
          </w:p>
        </w:tc>
      </w:tr>
      <w:tr w14:paraId="61A9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5F16F5F">
            <w:pPr>
              <w:widowControl/>
              <w:jc w:val="center"/>
              <w:rPr>
                <w:color w:val="auto"/>
                <w:kern w:val="0"/>
                <w:sz w:val="20"/>
                <w:szCs w:val="20"/>
                <w:highlight w:val="none"/>
                <w:lang w:eastAsia="zh-Hans"/>
              </w:rPr>
            </w:pPr>
            <w:r>
              <w:rPr>
                <w:color w:val="auto"/>
                <w:kern w:val="0"/>
                <w:sz w:val="20"/>
                <w:szCs w:val="20"/>
                <w:highlight w:val="none"/>
                <w:lang w:eastAsia="zh-Hans"/>
              </w:rPr>
              <w:t>3</w:t>
            </w:r>
          </w:p>
        </w:tc>
        <w:tc>
          <w:tcPr>
            <w:tcW w:w="421" w:type="pct"/>
          </w:tcPr>
          <w:p w14:paraId="6A4A5CE9">
            <w:pPr>
              <w:jc w:val="center"/>
              <w:rPr>
                <w:color w:val="auto"/>
                <w:szCs w:val="24"/>
                <w:highlight w:val="none"/>
              </w:rPr>
            </w:pPr>
          </w:p>
        </w:tc>
        <w:tc>
          <w:tcPr>
            <w:tcW w:w="842" w:type="pct"/>
          </w:tcPr>
          <w:p w14:paraId="41DB48D6">
            <w:pPr>
              <w:jc w:val="center"/>
              <w:rPr>
                <w:color w:val="auto"/>
                <w:szCs w:val="24"/>
                <w:highlight w:val="none"/>
              </w:rPr>
            </w:pPr>
          </w:p>
        </w:tc>
        <w:tc>
          <w:tcPr>
            <w:tcW w:w="673" w:type="pct"/>
          </w:tcPr>
          <w:p w14:paraId="14860CB1">
            <w:pPr>
              <w:jc w:val="center"/>
              <w:rPr>
                <w:color w:val="auto"/>
                <w:szCs w:val="24"/>
                <w:highlight w:val="none"/>
              </w:rPr>
            </w:pPr>
          </w:p>
        </w:tc>
        <w:tc>
          <w:tcPr>
            <w:tcW w:w="673" w:type="pct"/>
          </w:tcPr>
          <w:p w14:paraId="75A198B2">
            <w:pPr>
              <w:jc w:val="center"/>
              <w:rPr>
                <w:color w:val="auto"/>
                <w:szCs w:val="24"/>
                <w:highlight w:val="none"/>
              </w:rPr>
            </w:pPr>
          </w:p>
        </w:tc>
        <w:tc>
          <w:tcPr>
            <w:tcW w:w="757" w:type="pct"/>
          </w:tcPr>
          <w:p w14:paraId="536BDFEC">
            <w:pPr>
              <w:jc w:val="center"/>
              <w:rPr>
                <w:color w:val="auto"/>
                <w:szCs w:val="24"/>
                <w:highlight w:val="none"/>
              </w:rPr>
            </w:pPr>
          </w:p>
        </w:tc>
        <w:tc>
          <w:tcPr>
            <w:tcW w:w="674" w:type="pct"/>
          </w:tcPr>
          <w:p w14:paraId="6C7A32EE">
            <w:pPr>
              <w:jc w:val="center"/>
              <w:rPr>
                <w:color w:val="auto"/>
                <w:szCs w:val="24"/>
                <w:highlight w:val="none"/>
              </w:rPr>
            </w:pPr>
          </w:p>
        </w:tc>
        <w:tc>
          <w:tcPr>
            <w:tcW w:w="455" w:type="pct"/>
          </w:tcPr>
          <w:p w14:paraId="2700B844">
            <w:pPr>
              <w:jc w:val="center"/>
              <w:rPr>
                <w:color w:val="auto"/>
                <w:szCs w:val="24"/>
                <w:highlight w:val="none"/>
              </w:rPr>
            </w:pPr>
          </w:p>
        </w:tc>
      </w:tr>
      <w:tr w14:paraId="67C3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D1443CA">
            <w:pPr>
              <w:widowControl/>
              <w:jc w:val="center"/>
              <w:rPr>
                <w:color w:val="auto"/>
                <w:kern w:val="0"/>
                <w:sz w:val="20"/>
                <w:szCs w:val="20"/>
                <w:highlight w:val="none"/>
                <w:lang w:eastAsia="zh-Hans"/>
              </w:rPr>
            </w:pPr>
            <w:r>
              <w:rPr>
                <w:color w:val="auto"/>
                <w:kern w:val="0"/>
                <w:sz w:val="20"/>
                <w:szCs w:val="20"/>
                <w:highlight w:val="none"/>
                <w:lang w:eastAsia="zh-Hans"/>
              </w:rPr>
              <w:t>4</w:t>
            </w:r>
          </w:p>
        </w:tc>
        <w:tc>
          <w:tcPr>
            <w:tcW w:w="421" w:type="pct"/>
          </w:tcPr>
          <w:p w14:paraId="1D797613">
            <w:pPr>
              <w:jc w:val="center"/>
              <w:rPr>
                <w:color w:val="auto"/>
                <w:szCs w:val="24"/>
                <w:highlight w:val="none"/>
              </w:rPr>
            </w:pPr>
          </w:p>
        </w:tc>
        <w:tc>
          <w:tcPr>
            <w:tcW w:w="842" w:type="pct"/>
          </w:tcPr>
          <w:p w14:paraId="57B37AA3">
            <w:pPr>
              <w:jc w:val="center"/>
              <w:rPr>
                <w:color w:val="auto"/>
                <w:szCs w:val="24"/>
                <w:highlight w:val="none"/>
              </w:rPr>
            </w:pPr>
          </w:p>
        </w:tc>
        <w:tc>
          <w:tcPr>
            <w:tcW w:w="673" w:type="pct"/>
          </w:tcPr>
          <w:p w14:paraId="1B74A0D9">
            <w:pPr>
              <w:jc w:val="center"/>
              <w:rPr>
                <w:color w:val="auto"/>
                <w:szCs w:val="24"/>
                <w:highlight w:val="none"/>
              </w:rPr>
            </w:pPr>
          </w:p>
        </w:tc>
        <w:tc>
          <w:tcPr>
            <w:tcW w:w="673" w:type="pct"/>
          </w:tcPr>
          <w:p w14:paraId="644B724E">
            <w:pPr>
              <w:jc w:val="center"/>
              <w:rPr>
                <w:color w:val="auto"/>
                <w:szCs w:val="24"/>
                <w:highlight w:val="none"/>
              </w:rPr>
            </w:pPr>
          </w:p>
        </w:tc>
        <w:tc>
          <w:tcPr>
            <w:tcW w:w="757" w:type="pct"/>
          </w:tcPr>
          <w:p w14:paraId="3D6D137F">
            <w:pPr>
              <w:jc w:val="center"/>
              <w:rPr>
                <w:color w:val="auto"/>
                <w:szCs w:val="24"/>
                <w:highlight w:val="none"/>
              </w:rPr>
            </w:pPr>
          </w:p>
        </w:tc>
        <w:tc>
          <w:tcPr>
            <w:tcW w:w="674" w:type="pct"/>
          </w:tcPr>
          <w:p w14:paraId="1C91BDF7">
            <w:pPr>
              <w:jc w:val="center"/>
              <w:rPr>
                <w:color w:val="auto"/>
                <w:szCs w:val="24"/>
                <w:highlight w:val="none"/>
              </w:rPr>
            </w:pPr>
          </w:p>
        </w:tc>
        <w:tc>
          <w:tcPr>
            <w:tcW w:w="455" w:type="pct"/>
          </w:tcPr>
          <w:p w14:paraId="1E316381">
            <w:pPr>
              <w:jc w:val="center"/>
              <w:rPr>
                <w:color w:val="auto"/>
                <w:szCs w:val="24"/>
                <w:highlight w:val="none"/>
              </w:rPr>
            </w:pPr>
          </w:p>
        </w:tc>
      </w:tr>
      <w:tr w14:paraId="5C81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3456AAD">
            <w:pPr>
              <w:widowControl/>
              <w:jc w:val="center"/>
              <w:rPr>
                <w:color w:val="auto"/>
                <w:kern w:val="0"/>
                <w:sz w:val="20"/>
                <w:szCs w:val="20"/>
                <w:highlight w:val="none"/>
                <w:lang w:eastAsia="zh-Hans"/>
              </w:rPr>
            </w:pPr>
            <w:r>
              <w:rPr>
                <w:color w:val="auto"/>
                <w:kern w:val="0"/>
                <w:sz w:val="20"/>
                <w:szCs w:val="20"/>
                <w:highlight w:val="none"/>
                <w:lang w:eastAsia="zh-Hans"/>
              </w:rPr>
              <w:t>5</w:t>
            </w:r>
          </w:p>
        </w:tc>
        <w:tc>
          <w:tcPr>
            <w:tcW w:w="421" w:type="pct"/>
          </w:tcPr>
          <w:p w14:paraId="591A4D8E">
            <w:pPr>
              <w:jc w:val="center"/>
              <w:rPr>
                <w:color w:val="auto"/>
                <w:szCs w:val="24"/>
                <w:highlight w:val="none"/>
              </w:rPr>
            </w:pPr>
          </w:p>
        </w:tc>
        <w:tc>
          <w:tcPr>
            <w:tcW w:w="842" w:type="pct"/>
          </w:tcPr>
          <w:p w14:paraId="611E3134">
            <w:pPr>
              <w:jc w:val="center"/>
              <w:rPr>
                <w:color w:val="auto"/>
                <w:szCs w:val="24"/>
                <w:highlight w:val="none"/>
              </w:rPr>
            </w:pPr>
          </w:p>
        </w:tc>
        <w:tc>
          <w:tcPr>
            <w:tcW w:w="673" w:type="pct"/>
          </w:tcPr>
          <w:p w14:paraId="5E5271F4">
            <w:pPr>
              <w:jc w:val="center"/>
              <w:rPr>
                <w:color w:val="auto"/>
                <w:szCs w:val="24"/>
                <w:highlight w:val="none"/>
              </w:rPr>
            </w:pPr>
          </w:p>
        </w:tc>
        <w:tc>
          <w:tcPr>
            <w:tcW w:w="673" w:type="pct"/>
          </w:tcPr>
          <w:p w14:paraId="1BEA8438">
            <w:pPr>
              <w:jc w:val="center"/>
              <w:rPr>
                <w:color w:val="auto"/>
                <w:szCs w:val="24"/>
                <w:highlight w:val="none"/>
              </w:rPr>
            </w:pPr>
          </w:p>
        </w:tc>
        <w:tc>
          <w:tcPr>
            <w:tcW w:w="757" w:type="pct"/>
          </w:tcPr>
          <w:p w14:paraId="0EDF2560">
            <w:pPr>
              <w:jc w:val="center"/>
              <w:rPr>
                <w:color w:val="auto"/>
                <w:szCs w:val="24"/>
                <w:highlight w:val="none"/>
              </w:rPr>
            </w:pPr>
          </w:p>
        </w:tc>
        <w:tc>
          <w:tcPr>
            <w:tcW w:w="674" w:type="pct"/>
          </w:tcPr>
          <w:p w14:paraId="21A97CDD">
            <w:pPr>
              <w:jc w:val="center"/>
              <w:rPr>
                <w:color w:val="auto"/>
                <w:szCs w:val="24"/>
                <w:highlight w:val="none"/>
              </w:rPr>
            </w:pPr>
          </w:p>
        </w:tc>
        <w:tc>
          <w:tcPr>
            <w:tcW w:w="455" w:type="pct"/>
          </w:tcPr>
          <w:p w14:paraId="7E27EB78">
            <w:pPr>
              <w:jc w:val="center"/>
              <w:rPr>
                <w:color w:val="auto"/>
                <w:szCs w:val="24"/>
                <w:highlight w:val="none"/>
              </w:rPr>
            </w:pPr>
          </w:p>
        </w:tc>
      </w:tr>
      <w:tr w14:paraId="12E9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9AD540B">
            <w:pPr>
              <w:widowControl/>
              <w:jc w:val="center"/>
              <w:rPr>
                <w:color w:val="auto"/>
                <w:kern w:val="0"/>
                <w:sz w:val="20"/>
                <w:szCs w:val="20"/>
                <w:highlight w:val="none"/>
                <w:lang w:eastAsia="zh-Hans"/>
              </w:rPr>
            </w:pPr>
            <w:r>
              <w:rPr>
                <w:color w:val="auto"/>
                <w:kern w:val="0"/>
                <w:sz w:val="20"/>
                <w:szCs w:val="20"/>
                <w:highlight w:val="none"/>
                <w:lang w:eastAsia="zh-Hans"/>
              </w:rPr>
              <w:t>6</w:t>
            </w:r>
          </w:p>
        </w:tc>
        <w:tc>
          <w:tcPr>
            <w:tcW w:w="421" w:type="pct"/>
          </w:tcPr>
          <w:p w14:paraId="397E1D63">
            <w:pPr>
              <w:jc w:val="center"/>
              <w:rPr>
                <w:color w:val="auto"/>
                <w:szCs w:val="24"/>
                <w:highlight w:val="none"/>
              </w:rPr>
            </w:pPr>
          </w:p>
        </w:tc>
        <w:tc>
          <w:tcPr>
            <w:tcW w:w="842" w:type="pct"/>
          </w:tcPr>
          <w:p w14:paraId="363A2E51">
            <w:pPr>
              <w:jc w:val="center"/>
              <w:rPr>
                <w:color w:val="auto"/>
                <w:szCs w:val="24"/>
                <w:highlight w:val="none"/>
              </w:rPr>
            </w:pPr>
          </w:p>
        </w:tc>
        <w:tc>
          <w:tcPr>
            <w:tcW w:w="673" w:type="pct"/>
          </w:tcPr>
          <w:p w14:paraId="710F9A9C">
            <w:pPr>
              <w:jc w:val="center"/>
              <w:rPr>
                <w:color w:val="auto"/>
                <w:szCs w:val="24"/>
                <w:highlight w:val="none"/>
              </w:rPr>
            </w:pPr>
          </w:p>
        </w:tc>
        <w:tc>
          <w:tcPr>
            <w:tcW w:w="673" w:type="pct"/>
          </w:tcPr>
          <w:p w14:paraId="7EAB53EB">
            <w:pPr>
              <w:jc w:val="center"/>
              <w:rPr>
                <w:color w:val="auto"/>
                <w:szCs w:val="24"/>
                <w:highlight w:val="none"/>
              </w:rPr>
            </w:pPr>
          </w:p>
        </w:tc>
        <w:tc>
          <w:tcPr>
            <w:tcW w:w="757" w:type="pct"/>
          </w:tcPr>
          <w:p w14:paraId="0DBF6B51">
            <w:pPr>
              <w:jc w:val="center"/>
              <w:rPr>
                <w:color w:val="auto"/>
                <w:szCs w:val="24"/>
                <w:highlight w:val="none"/>
              </w:rPr>
            </w:pPr>
          </w:p>
        </w:tc>
        <w:tc>
          <w:tcPr>
            <w:tcW w:w="674" w:type="pct"/>
          </w:tcPr>
          <w:p w14:paraId="0384A92B">
            <w:pPr>
              <w:jc w:val="center"/>
              <w:rPr>
                <w:color w:val="auto"/>
                <w:szCs w:val="24"/>
                <w:highlight w:val="none"/>
              </w:rPr>
            </w:pPr>
          </w:p>
        </w:tc>
        <w:tc>
          <w:tcPr>
            <w:tcW w:w="455" w:type="pct"/>
          </w:tcPr>
          <w:p w14:paraId="135A8694">
            <w:pPr>
              <w:jc w:val="center"/>
              <w:rPr>
                <w:color w:val="auto"/>
                <w:szCs w:val="24"/>
                <w:highlight w:val="none"/>
              </w:rPr>
            </w:pPr>
          </w:p>
        </w:tc>
      </w:tr>
      <w:tr w14:paraId="6946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698FEA5">
            <w:pPr>
              <w:widowControl/>
              <w:jc w:val="center"/>
              <w:rPr>
                <w:color w:val="auto"/>
                <w:kern w:val="0"/>
                <w:sz w:val="20"/>
                <w:szCs w:val="20"/>
                <w:highlight w:val="none"/>
                <w:lang w:eastAsia="zh-Hans"/>
              </w:rPr>
            </w:pPr>
            <w:r>
              <w:rPr>
                <w:color w:val="auto"/>
                <w:kern w:val="0"/>
                <w:sz w:val="20"/>
                <w:szCs w:val="20"/>
                <w:highlight w:val="none"/>
                <w:lang w:eastAsia="zh-Hans"/>
              </w:rPr>
              <w:t>……</w:t>
            </w:r>
          </w:p>
        </w:tc>
        <w:tc>
          <w:tcPr>
            <w:tcW w:w="421" w:type="pct"/>
          </w:tcPr>
          <w:p w14:paraId="566DBC8F">
            <w:pPr>
              <w:jc w:val="center"/>
              <w:rPr>
                <w:color w:val="auto"/>
                <w:szCs w:val="24"/>
                <w:highlight w:val="none"/>
              </w:rPr>
            </w:pPr>
          </w:p>
        </w:tc>
        <w:tc>
          <w:tcPr>
            <w:tcW w:w="842" w:type="pct"/>
          </w:tcPr>
          <w:p w14:paraId="4AE791C4">
            <w:pPr>
              <w:jc w:val="center"/>
              <w:rPr>
                <w:color w:val="auto"/>
                <w:szCs w:val="24"/>
                <w:highlight w:val="none"/>
              </w:rPr>
            </w:pPr>
          </w:p>
        </w:tc>
        <w:tc>
          <w:tcPr>
            <w:tcW w:w="673" w:type="pct"/>
          </w:tcPr>
          <w:p w14:paraId="30CFE18C">
            <w:pPr>
              <w:jc w:val="center"/>
              <w:rPr>
                <w:color w:val="auto"/>
                <w:szCs w:val="24"/>
                <w:highlight w:val="none"/>
              </w:rPr>
            </w:pPr>
          </w:p>
        </w:tc>
        <w:tc>
          <w:tcPr>
            <w:tcW w:w="673" w:type="pct"/>
          </w:tcPr>
          <w:p w14:paraId="320C8D6E">
            <w:pPr>
              <w:jc w:val="center"/>
              <w:rPr>
                <w:color w:val="auto"/>
                <w:szCs w:val="24"/>
                <w:highlight w:val="none"/>
              </w:rPr>
            </w:pPr>
          </w:p>
        </w:tc>
        <w:tc>
          <w:tcPr>
            <w:tcW w:w="757" w:type="pct"/>
          </w:tcPr>
          <w:p w14:paraId="269A7913">
            <w:pPr>
              <w:jc w:val="center"/>
              <w:rPr>
                <w:color w:val="auto"/>
                <w:szCs w:val="24"/>
                <w:highlight w:val="none"/>
              </w:rPr>
            </w:pPr>
          </w:p>
        </w:tc>
        <w:tc>
          <w:tcPr>
            <w:tcW w:w="674" w:type="pct"/>
          </w:tcPr>
          <w:p w14:paraId="0F2385A7">
            <w:pPr>
              <w:jc w:val="center"/>
              <w:rPr>
                <w:color w:val="auto"/>
                <w:szCs w:val="24"/>
                <w:highlight w:val="none"/>
              </w:rPr>
            </w:pPr>
          </w:p>
        </w:tc>
        <w:tc>
          <w:tcPr>
            <w:tcW w:w="455" w:type="pct"/>
          </w:tcPr>
          <w:p w14:paraId="60CB1089">
            <w:pPr>
              <w:jc w:val="center"/>
              <w:rPr>
                <w:color w:val="auto"/>
                <w:szCs w:val="24"/>
                <w:highlight w:val="none"/>
              </w:rPr>
            </w:pPr>
          </w:p>
        </w:tc>
      </w:tr>
    </w:tbl>
    <w:p w14:paraId="49E3660D">
      <w:pPr>
        <w:widowControl/>
        <w:jc w:val="left"/>
        <w:rPr>
          <w:color w:val="auto"/>
          <w:kern w:val="0"/>
          <w:sz w:val="20"/>
          <w:szCs w:val="20"/>
          <w:highlight w:val="none"/>
          <w:lang w:eastAsia="zh-Hans"/>
        </w:rPr>
      </w:pPr>
      <w:r>
        <w:rPr>
          <w:color w:val="auto"/>
          <w:kern w:val="0"/>
          <w:sz w:val="20"/>
          <w:szCs w:val="20"/>
          <w:highlight w:val="none"/>
          <w:lang w:eastAsia="zh-Hans"/>
        </w:rPr>
        <w:t>说明：</w:t>
      </w:r>
    </w:p>
    <w:p w14:paraId="33CEE9EC">
      <w:pPr>
        <w:widowControl/>
        <w:jc w:val="left"/>
        <w:rPr>
          <w:rFonts w:ascii="宋体" w:hAnsi="宋体"/>
          <w:color w:val="auto"/>
          <w:kern w:val="0"/>
          <w:szCs w:val="21"/>
          <w:highlight w:val="none"/>
        </w:rPr>
      </w:pPr>
      <w:r>
        <w:rPr>
          <w:rFonts w:ascii="宋体" w:hAnsi="宋体"/>
          <w:color w:val="auto"/>
          <w:kern w:val="0"/>
          <w:szCs w:val="21"/>
          <w:highlight w:val="none"/>
          <w:lang w:eastAsia="zh-Hans"/>
        </w:rPr>
        <w:t>1.“</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规定的技术和服务要求”项下填写的内容应与磋商文件中</w:t>
      </w:r>
      <w:r>
        <w:rPr>
          <w:rFonts w:ascii="宋体" w:hAnsi="宋体"/>
          <w:b/>
          <w:bCs/>
          <w:color w:val="auto"/>
          <w:kern w:val="0"/>
          <w:szCs w:val="21"/>
          <w:highlight w:val="none"/>
          <w:lang w:eastAsia="zh-Hans"/>
        </w:rPr>
        <w:t>采购需求</w:t>
      </w:r>
      <w:r>
        <w:rPr>
          <w:rFonts w:ascii="宋体" w:hAnsi="宋体"/>
          <w:color w:val="auto"/>
          <w:kern w:val="0"/>
          <w:szCs w:val="21"/>
          <w:highlight w:val="none"/>
          <w:lang w:eastAsia="zh-Hans"/>
        </w:rPr>
        <w:t>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23F0DD79">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2.参数性质栏目按磋商文件有标注的“</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号条款进行填写，打“</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号条款为实质性条款，若有任何一条负偏离或不满足则导致</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无效。打“▲</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号条款为重要技术参数（如有），若有部分“▲</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条款未响应或不满足，将根据评审要求影响其得分，但不作为无效</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条款。</w:t>
      </w:r>
    </w:p>
    <w:p w14:paraId="6A6D4385">
      <w:pPr>
        <w:widowControl/>
        <w:jc w:val="left"/>
        <w:rPr>
          <w:rFonts w:ascii="宋体" w:hAnsi="宋体"/>
          <w:color w:val="auto"/>
          <w:kern w:val="0"/>
          <w:szCs w:val="21"/>
          <w:highlight w:val="none"/>
        </w:rPr>
      </w:pPr>
      <w:r>
        <w:rPr>
          <w:rFonts w:hint="eastAsia" w:ascii="宋体" w:hAnsi="宋体"/>
          <w:color w:val="auto"/>
          <w:kern w:val="0"/>
          <w:szCs w:val="21"/>
          <w:highlight w:val="none"/>
        </w:rPr>
        <w:t>3.</w:t>
      </w:r>
      <w:r>
        <w:rPr>
          <w:rFonts w:ascii="宋体" w:hAnsi="宋体"/>
          <w:color w:val="auto"/>
          <w:kern w:val="0"/>
          <w:szCs w:val="21"/>
          <w:highlight w:val="none"/>
          <w:lang w:eastAsia="zh-Hans"/>
        </w:rPr>
        <w:t>“型号</w:t>
      </w:r>
      <w:r>
        <w:rPr>
          <w:rFonts w:ascii="宋体" w:hAnsi="宋体" w:cs="Calibri"/>
          <w:color w:val="auto"/>
          <w:kern w:val="0"/>
          <w:szCs w:val="21"/>
          <w:highlight w:val="none"/>
          <w:lang w:eastAsia="zh-Hans"/>
        </w:rPr>
        <w:t>”</w:t>
      </w:r>
      <w:r>
        <w:rPr>
          <w:rFonts w:hint="eastAsia" w:ascii="宋体" w:hAnsi="宋体" w:cs="Calibri"/>
          <w:color w:val="auto"/>
          <w:kern w:val="0"/>
          <w:szCs w:val="21"/>
          <w:highlight w:val="none"/>
          <w:lang w:eastAsia="zh-Hans"/>
        </w:rPr>
        <w:t>项，若无，填写：</w:t>
      </w:r>
      <w:r>
        <w:rPr>
          <w:rFonts w:ascii="宋体" w:hAnsi="宋体"/>
          <w:color w:val="auto"/>
          <w:kern w:val="0"/>
          <w:szCs w:val="21"/>
          <w:highlight w:val="none"/>
          <w:lang w:eastAsia="zh-Hans"/>
        </w:rPr>
        <w:t>“</w:t>
      </w:r>
      <w:r>
        <w:rPr>
          <w:rFonts w:hint="eastAsia" w:ascii="宋体" w:hAnsi="宋体"/>
          <w:color w:val="auto"/>
          <w:kern w:val="0"/>
          <w:szCs w:val="21"/>
          <w:highlight w:val="none"/>
        </w:rPr>
        <w:t xml:space="preserve"> </w:t>
      </w:r>
      <w:r>
        <w:rPr>
          <w:rStyle w:val="27"/>
          <w:rFonts w:ascii="宋体" w:hAnsi="宋体" w:cs="Arial"/>
          <w:color w:val="auto"/>
          <w:highlight w:val="none"/>
          <w:shd w:val="clear" w:color="auto" w:fill="FFFFFF"/>
        </w:rPr>
        <w:t>/</w:t>
      </w:r>
      <w:r>
        <w:rPr>
          <w:rStyle w:val="27"/>
          <w:rFonts w:hint="eastAsia" w:ascii="宋体" w:hAnsi="宋体" w:cs="Arial"/>
          <w:color w:val="auto"/>
          <w:highlight w:val="none"/>
          <w:shd w:val="clear" w:color="auto" w:fill="FFFFFF"/>
        </w:rPr>
        <w:t xml:space="preserve"> </w:t>
      </w:r>
      <w:r>
        <w:rPr>
          <w:rFonts w:ascii="宋体" w:hAnsi="宋体" w:cs="Calibri"/>
          <w:color w:val="auto"/>
          <w:kern w:val="0"/>
          <w:szCs w:val="21"/>
          <w:highlight w:val="none"/>
          <w:lang w:eastAsia="zh-Hans"/>
        </w:rPr>
        <w:t>”</w:t>
      </w:r>
      <w:r>
        <w:rPr>
          <w:rStyle w:val="27"/>
          <w:rFonts w:ascii="宋体" w:hAnsi="宋体" w:cs="Arial"/>
          <w:color w:val="auto"/>
          <w:highlight w:val="none"/>
          <w:shd w:val="clear" w:color="auto" w:fill="FFFFFF"/>
        </w:rPr>
        <w:t>。</w:t>
      </w:r>
    </w:p>
    <w:p w14:paraId="7CC439FA">
      <w:pPr>
        <w:widowControl/>
        <w:jc w:val="left"/>
        <w:rPr>
          <w:rFonts w:ascii="宋体" w:hAnsi="宋体"/>
          <w:color w:val="auto"/>
          <w:kern w:val="0"/>
          <w:szCs w:val="21"/>
          <w:highlight w:val="none"/>
          <w:lang w:eastAsia="zh-Hans"/>
        </w:rPr>
      </w:pPr>
      <w:r>
        <w:rPr>
          <w:rFonts w:hint="eastAsia" w:ascii="宋体" w:hAnsi="宋体"/>
          <w:color w:val="auto"/>
          <w:kern w:val="0"/>
          <w:szCs w:val="21"/>
          <w:highlight w:val="none"/>
        </w:rPr>
        <w:t>4</w:t>
      </w:r>
      <w:r>
        <w:rPr>
          <w:rFonts w:ascii="宋体" w:hAnsi="宋体"/>
          <w:color w:val="auto"/>
          <w:kern w:val="0"/>
          <w:szCs w:val="21"/>
          <w:highlight w:val="none"/>
          <w:lang w:eastAsia="zh-Hans"/>
        </w:rPr>
        <w:t>.“是否偏离”项下应按下列规定填写：优于的，填写“正偏离”；符合的，填写“无偏离”；低于的，填写“负偏离”。</w:t>
      </w:r>
    </w:p>
    <w:p w14:paraId="0EF124E8">
      <w:pPr>
        <w:widowControl/>
        <w:jc w:val="left"/>
        <w:rPr>
          <w:color w:val="auto"/>
          <w:kern w:val="0"/>
          <w:sz w:val="20"/>
          <w:szCs w:val="20"/>
          <w:highlight w:val="none"/>
          <w:lang w:eastAsia="zh-Hans"/>
        </w:rPr>
      </w:pPr>
      <w:r>
        <w:rPr>
          <w:rFonts w:hint="eastAsia" w:ascii="宋体" w:hAnsi="宋体"/>
          <w:color w:val="auto"/>
          <w:kern w:val="0"/>
          <w:szCs w:val="21"/>
          <w:highlight w:val="none"/>
        </w:rPr>
        <w:t>5</w:t>
      </w:r>
      <w:r>
        <w:rPr>
          <w:rFonts w:ascii="宋体" w:hAnsi="宋体"/>
          <w:color w:val="auto"/>
          <w:kern w:val="0"/>
          <w:szCs w:val="21"/>
          <w:highlight w:val="none"/>
          <w:lang w:eastAsia="zh-Hans"/>
        </w:rPr>
        <w:t>.</w:t>
      </w:r>
      <w:bookmarkStart w:id="62" w:name="_Hlk169717981"/>
      <w:r>
        <w:rPr>
          <w:rFonts w:ascii="宋体" w:hAnsi="宋体"/>
          <w:color w:val="auto"/>
          <w:kern w:val="0"/>
          <w:szCs w:val="21"/>
          <w:highlight w:val="none"/>
          <w:lang w:eastAsia="zh-Hans"/>
        </w:rPr>
        <w:t>“备注”</w:t>
      </w:r>
      <w:bookmarkEnd w:id="62"/>
      <w:r>
        <w:rPr>
          <w:rFonts w:ascii="宋体" w:hAnsi="宋体"/>
          <w:color w:val="auto"/>
          <w:kern w:val="0"/>
          <w:szCs w:val="21"/>
          <w:highlight w:val="none"/>
          <w:lang w:eastAsia="zh-Hans"/>
        </w:rPr>
        <w:t>处可填写偏离情况的说明。</w:t>
      </w:r>
    </w:p>
    <w:p w14:paraId="5421A023">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29093FF9">
      <w:pPr>
        <w:widowControl/>
        <w:jc w:val="left"/>
        <w:rPr>
          <w:color w:val="auto"/>
          <w:kern w:val="0"/>
          <w:sz w:val="20"/>
          <w:szCs w:val="20"/>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2E80474">
      <w:pPr>
        <w:pageBreakBefore/>
        <w:rPr>
          <w:color w:val="auto"/>
          <w:kern w:val="0"/>
          <w:sz w:val="20"/>
          <w:szCs w:val="20"/>
          <w:highlight w:val="none"/>
          <w:lang w:eastAsia="zh-Hans"/>
        </w:rPr>
      </w:pPr>
      <w:bookmarkStart w:id="63" w:name="_Toc169799801"/>
      <w:r>
        <w:rPr>
          <w:rFonts w:ascii="宋体" w:hAnsi="宋体"/>
          <w:b/>
          <w:bCs/>
          <w:color w:val="auto"/>
          <w:sz w:val="24"/>
          <w:szCs w:val="28"/>
          <w:highlight w:val="none"/>
        </w:rPr>
        <w:t>格式十</w:t>
      </w:r>
      <w:r>
        <w:rPr>
          <w:rFonts w:hint="eastAsia" w:ascii="宋体" w:hAnsi="宋体"/>
          <w:b/>
          <w:bCs/>
          <w:color w:val="auto"/>
          <w:sz w:val="24"/>
          <w:szCs w:val="28"/>
          <w:highlight w:val="none"/>
          <w:lang w:val="en-US" w:eastAsia="zh-CN"/>
        </w:rPr>
        <w:t>六</w:t>
      </w:r>
      <w:r>
        <w:rPr>
          <w:rFonts w:ascii="宋体" w:hAnsi="宋体"/>
          <w:b/>
          <w:bCs/>
          <w:color w:val="auto"/>
          <w:sz w:val="24"/>
          <w:szCs w:val="28"/>
          <w:highlight w:val="none"/>
        </w:rPr>
        <w:t>：</w:t>
      </w:r>
      <w:bookmarkEnd w:id="63"/>
    </w:p>
    <w:p w14:paraId="79FFBD8A">
      <w:pPr>
        <w:widowControl/>
        <w:spacing w:after="312" w:afterLines="100"/>
        <w:jc w:val="center"/>
        <w:outlineLvl w:val="3"/>
        <w:rPr>
          <w:color w:val="auto"/>
          <w:kern w:val="0"/>
          <w:sz w:val="20"/>
          <w:szCs w:val="20"/>
          <w:highlight w:val="none"/>
        </w:rPr>
      </w:pPr>
      <w:r>
        <w:rPr>
          <w:b/>
          <w:color w:val="auto"/>
          <w:kern w:val="0"/>
          <w:sz w:val="32"/>
          <w:highlight w:val="none"/>
          <w:lang w:eastAsia="zh-Hans"/>
        </w:rPr>
        <w:t>商务条件响应表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2C5A7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3174A72">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676" w:type="pct"/>
            <w:vAlign w:val="center"/>
          </w:tcPr>
          <w:p w14:paraId="0F8FE63C">
            <w:pPr>
              <w:widowControl/>
              <w:jc w:val="center"/>
              <w:rPr>
                <w:rFonts w:ascii="宋体" w:hAnsi="宋体"/>
                <w:b/>
                <w:bCs/>
                <w:color w:val="auto"/>
                <w:kern w:val="0"/>
                <w:szCs w:val="21"/>
                <w:highlight w:val="none"/>
              </w:rPr>
            </w:pPr>
            <w:r>
              <w:rPr>
                <w:rFonts w:ascii="宋体" w:hAnsi="宋体"/>
                <w:b/>
                <w:bCs/>
                <w:color w:val="auto"/>
                <w:kern w:val="0"/>
                <w:szCs w:val="21"/>
                <w:highlight w:val="none"/>
                <w:lang w:eastAsia="zh-Hans"/>
              </w:rPr>
              <w:t>参数性质</w:t>
            </w:r>
          </w:p>
        </w:tc>
        <w:tc>
          <w:tcPr>
            <w:tcW w:w="850" w:type="pct"/>
            <w:vAlign w:val="center"/>
          </w:tcPr>
          <w:p w14:paraId="1E805814">
            <w:pPr>
              <w:widowControl/>
              <w:jc w:val="center"/>
              <w:rPr>
                <w:rFonts w:ascii="宋体" w:hAnsi="宋体"/>
                <w:b/>
                <w:bCs/>
                <w:color w:val="auto"/>
                <w:kern w:val="0"/>
                <w:szCs w:val="21"/>
                <w:highlight w:val="none"/>
                <w:lang w:eastAsia="zh-Hans"/>
              </w:rPr>
            </w:pPr>
            <w:r>
              <w:rPr>
                <w:rFonts w:hint="eastAsia" w:ascii="宋体" w:hAnsi="宋体"/>
                <w:b/>
                <w:bCs/>
                <w:color w:val="auto"/>
                <w:kern w:val="0"/>
                <w:szCs w:val="21"/>
                <w:highlight w:val="none"/>
                <w:lang w:eastAsia="zh-Hans"/>
              </w:rPr>
              <w:t>磋商文件</w:t>
            </w:r>
            <w:r>
              <w:rPr>
                <w:rFonts w:ascii="宋体" w:hAnsi="宋体"/>
                <w:b/>
                <w:bCs/>
                <w:color w:val="auto"/>
                <w:kern w:val="0"/>
                <w:szCs w:val="21"/>
                <w:highlight w:val="none"/>
                <w:lang w:eastAsia="zh-Hans"/>
              </w:rPr>
              <w:t>规定的商务条件</w:t>
            </w:r>
          </w:p>
        </w:tc>
        <w:tc>
          <w:tcPr>
            <w:tcW w:w="896" w:type="pct"/>
            <w:vAlign w:val="center"/>
          </w:tcPr>
          <w:p w14:paraId="3CBFA74C">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响应文件响应的具体内容</w:t>
            </w:r>
          </w:p>
        </w:tc>
        <w:tc>
          <w:tcPr>
            <w:tcW w:w="712" w:type="pct"/>
            <w:vAlign w:val="center"/>
          </w:tcPr>
          <w:p w14:paraId="1F81D2A6">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是否偏离</w:t>
            </w:r>
          </w:p>
        </w:tc>
        <w:tc>
          <w:tcPr>
            <w:tcW w:w="712" w:type="pct"/>
            <w:vAlign w:val="center"/>
          </w:tcPr>
          <w:p w14:paraId="527ADB15">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证明文件所在位置</w:t>
            </w:r>
          </w:p>
        </w:tc>
        <w:tc>
          <w:tcPr>
            <w:tcW w:w="712" w:type="pct"/>
            <w:vAlign w:val="center"/>
          </w:tcPr>
          <w:p w14:paraId="4E3397FC">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备注</w:t>
            </w:r>
          </w:p>
        </w:tc>
      </w:tr>
      <w:tr w14:paraId="75149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4F48935">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676" w:type="pct"/>
          </w:tcPr>
          <w:p w14:paraId="54408DB2">
            <w:pPr>
              <w:rPr>
                <w:rFonts w:ascii="宋体" w:hAnsi="宋体"/>
                <w:color w:val="auto"/>
                <w:szCs w:val="21"/>
                <w:highlight w:val="none"/>
              </w:rPr>
            </w:pPr>
          </w:p>
        </w:tc>
        <w:tc>
          <w:tcPr>
            <w:tcW w:w="850" w:type="pct"/>
          </w:tcPr>
          <w:p w14:paraId="4B88BE87">
            <w:pPr>
              <w:rPr>
                <w:rFonts w:ascii="宋体" w:hAnsi="宋体"/>
                <w:color w:val="auto"/>
                <w:szCs w:val="21"/>
                <w:highlight w:val="none"/>
              </w:rPr>
            </w:pPr>
          </w:p>
        </w:tc>
        <w:tc>
          <w:tcPr>
            <w:tcW w:w="896" w:type="pct"/>
          </w:tcPr>
          <w:p w14:paraId="58022B37">
            <w:pPr>
              <w:rPr>
                <w:rFonts w:ascii="宋体" w:hAnsi="宋体"/>
                <w:color w:val="auto"/>
                <w:szCs w:val="21"/>
                <w:highlight w:val="none"/>
              </w:rPr>
            </w:pPr>
          </w:p>
        </w:tc>
        <w:tc>
          <w:tcPr>
            <w:tcW w:w="712" w:type="pct"/>
          </w:tcPr>
          <w:p w14:paraId="6640C594">
            <w:pPr>
              <w:rPr>
                <w:rFonts w:ascii="宋体" w:hAnsi="宋体"/>
                <w:color w:val="auto"/>
                <w:szCs w:val="21"/>
                <w:highlight w:val="none"/>
              </w:rPr>
            </w:pPr>
          </w:p>
        </w:tc>
        <w:tc>
          <w:tcPr>
            <w:tcW w:w="712" w:type="pct"/>
          </w:tcPr>
          <w:p w14:paraId="5DE8AE7B">
            <w:pPr>
              <w:rPr>
                <w:rFonts w:ascii="宋体" w:hAnsi="宋体"/>
                <w:color w:val="auto"/>
                <w:szCs w:val="21"/>
                <w:highlight w:val="none"/>
              </w:rPr>
            </w:pPr>
          </w:p>
        </w:tc>
        <w:tc>
          <w:tcPr>
            <w:tcW w:w="712" w:type="pct"/>
          </w:tcPr>
          <w:p w14:paraId="427A9E38">
            <w:pPr>
              <w:rPr>
                <w:rFonts w:ascii="宋体" w:hAnsi="宋体"/>
                <w:color w:val="auto"/>
                <w:szCs w:val="21"/>
                <w:highlight w:val="none"/>
              </w:rPr>
            </w:pPr>
          </w:p>
        </w:tc>
      </w:tr>
      <w:tr w14:paraId="497E8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BDC9D6">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676" w:type="pct"/>
          </w:tcPr>
          <w:p w14:paraId="58F4E9FC">
            <w:pPr>
              <w:rPr>
                <w:rFonts w:ascii="宋体" w:hAnsi="宋体"/>
                <w:color w:val="auto"/>
                <w:szCs w:val="21"/>
                <w:highlight w:val="none"/>
              </w:rPr>
            </w:pPr>
          </w:p>
        </w:tc>
        <w:tc>
          <w:tcPr>
            <w:tcW w:w="850" w:type="pct"/>
          </w:tcPr>
          <w:p w14:paraId="46C1612E">
            <w:pPr>
              <w:rPr>
                <w:rFonts w:ascii="宋体" w:hAnsi="宋体"/>
                <w:color w:val="auto"/>
                <w:szCs w:val="21"/>
                <w:highlight w:val="none"/>
              </w:rPr>
            </w:pPr>
          </w:p>
        </w:tc>
        <w:tc>
          <w:tcPr>
            <w:tcW w:w="896" w:type="pct"/>
          </w:tcPr>
          <w:p w14:paraId="03BA0C7D">
            <w:pPr>
              <w:rPr>
                <w:rFonts w:ascii="宋体" w:hAnsi="宋体"/>
                <w:color w:val="auto"/>
                <w:szCs w:val="21"/>
                <w:highlight w:val="none"/>
              </w:rPr>
            </w:pPr>
          </w:p>
        </w:tc>
        <w:tc>
          <w:tcPr>
            <w:tcW w:w="712" w:type="pct"/>
          </w:tcPr>
          <w:p w14:paraId="137DC4AB">
            <w:pPr>
              <w:rPr>
                <w:rFonts w:ascii="宋体" w:hAnsi="宋体"/>
                <w:color w:val="auto"/>
                <w:szCs w:val="21"/>
                <w:highlight w:val="none"/>
              </w:rPr>
            </w:pPr>
          </w:p>
        </w:tc>
        <w:tc>
          <w:tcPr>
            <w:tcW w:w="712" w:type="pct"/>
          </w:tcPr>
          <w:p w14:paraId="5AEEA2DF">
            <w:pPr>
              <w:rPr>
                <w:rFonts w:ascii="宋体" w:hAnsi="宋体"/>
                <w:color w:val="auto"/>
                <w:szCs w:val="21"/>
                <w:highlight w:val="none"/>
              </w:rPr>
            </w:pPr>
          </w:p>
        </w:tc>
        <w:tc>
          <w:tcPr>
            <w:tcW w:w="712" w:type="pct"/>
          </w:tcPr>
          <w:p w14:paraId="0FEB1B2F">
            <w:pPr>
              <w:rPr>
                <w:rFonts w:ascii="宋体" w:hAnsi="宋体"/>
                <w:color w:val="auto"/>
                <w:szCs w:val="21"/>
                <w:highlight w:val="none"/>
              </w:rPr>
            </w:pPr>
          </w:p>
        </w:tc>
      </w:tr>
      <w:tr w14:paraId="320C91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6627366">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676" w:type="pct"/>
          </w:tcPr>
          <w:p w14:paraId="59F1CBEC">
            <w:pPr>
              <w:rPr>
                <w:rFonts w:ascii="宋体" w:hAnsi="宋体"/>
                <w:color w:val="auto"/>
                <w:szCs w:val="21"/>
                <w:highlight w:val="none"/>
              </w:rPr>
            </w:pPr>
          </w:p>
        </w:tc>
        <w:tc>
          <w:tcPr>
            <w:tcW w:w="850" w:type="pct"/>
          </w:tcPr>
          <w:p w14:paraId="2C28FB98">
            <w:pPr>
              <w:rPr>
                <w:rFonts w:ascii="宋体" w:hAnsi="宋体"/>
                <w:color w:val="auto"/>
                <w:szCs w:val="21"/>
                <w:highlight w:val="none"/>
              </w:rPr>
            </w:pPr>
          </w:p>
        </w:tc>
        <w:tc>
          <w:tcPr>
            <w:tcW w:w="896" w:type="pct"/>
          </w:tcPr>
          <w:p w14:paraId="3B48CE69">
            <w:pPr>
              <w:rPr>
                <w:rFonts w:ascii="宋体" w:hAnsi="宋体"/>
                <w:color w:val="auto"/>
                <w:szCs w:val="21"/>
                <w:highlight w:val="none"/>
              </w:rPr>
            </w:pPr>
          </w:p>
        </w:tc>
        <w:tc>
          <w:tcPr>
            <w:tcW w:w="712" w:type="pct"/>
          </w:tcPr>
          <w:p w14:paraId="732363F7">
            <w:pPr>
              <w:rPr>
                <w:rFonts w:ascii="宋体" w:hAnsi="宋体"/>
                <w:color w:val="auto"/>
                <w:szCs w:val="21"/>
                <w:highlight w:val="none"/>
              </w:rPr>
            </w:pPr>
          </w:p>
        </w:tc>
        <w:tc>
          <w:tcPr>
            <w:tcW w:w="712" w:type="pct"/>
          </w:tcPr>
          <w:p w14:paraId="2FBEE20F">
            <w:pPr>
              <w:rPr>
                <w:rFonts w:ascii="宋体" w:hAnsi="宋体"/>
                <w:color w:val="auto"/>
                <w:szCs w:val="21"/>
                <w:highlight w:val="none"/>
              </w:rPr>
            </w:pPr>
          </w:p>
        </w:tc>
        <w:tc>
          <w:tcPr>
            <w:tcW w:w="712" w:type="pct"/>
          </w:tcPr>
          <w:p w14:paraId="48F31F82">
            <w:pPr>
              <w:rPr>
                <w:rFonts w:ascii="宋体" w:hAnsi="宋体"/>
                <w:color w:val="auto"/>
                <w:szCs w:val="21"/>
                <w:highlight w:val="none"/>
              </w:rPr>
            </w:pPr>
          </w:p>
        </w:tc>
      </w:tr>
      <w:tr w14:paraId="4C9BD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3E40D8">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676" w:type="pct"/>
          </w:tcPr>
          <w:p w14:paraId="1A4A5685">
            <w:pPr>
              <w:rPr>
                <w:rFonts w:ascii="宋体" w:hAnsi="宋体"/>
                <w:color w:val="auto"/>
                <w:szCs w:val="21"/>
                <w:highlight w:val="none"/>
              </w:rPr>
            </w:pPr>
          </w:p>
        </w:tc>
        <w:tc>
          <w:tcPr>
            <w:tcW w:w="850" w:type="pct"/>
          </w:tcPr>
          <w:p w14:paraId="30E5DAB3">
            <w:pPr>
              <w:rPr>
                <w:rFonts w:ascii="宋体" w:hAnsi="宋体"/>
                <w:color w:val="auto"/>
                <w:szCs w:val="21"/>
                <w:highlight w:val="none"/>
              </w:rPr>
            </w:pPr>
          </w:p>
        </w:tc>
        <w:tc>
          <w:tcPr>
            <w:tcW w:w="896" w:type="pct"/>
          </w:tcPr>
          <w:p w14:paraId="7D03C935">
            <w:pPr>
              <w:rPr>
                <w:rFonts w:ascii="宋体" w:hAnsi="宋体"/>
                <w:color w:val="auto"/>
                <w:szCs w:val="21"/>
                <w:highlight w:val="none"/>
              </w:rPr>
            </w:pPr>
          </w:p>
        </w:tc>
        <w:tc>
          <w:tcPr>
            <w:tcW w:w="712" w:type="pct"/>
          </w:tcPr>
          <w:p w14:paraId="154B01B3">
            <w:pPr>
              <w:rPr>
                <w:rFonts w:ascii="宋体" w:hAnsi="宋体"/>
                <w:color w:val="auto"/>
                <w:szCs w:val="21"/>
                <w:highlight w:val="none"/>
              </w:rPr>
            </w:pPr>
          </w:p>
        </w:tc>
        <w:tc>
          <w:tcPr>
            <w:tcW w:w="712" w:type="pct"/>
          </w:tcPr>
          <w:p w14:paraId="798CE4D9">
            <w:pPr>
              <w:rPr>
                <w:rFonts w:ascii="宋体" w:hAnsi="宋体"/>
                <w:color w:val="auto"/>
                <w:szCs w:val="21"/>
                <w:highlight w:val="none"/>
              </w:rPr>
            </w:pPr>
          </w:p>
        </w:tc>
        <w:tc>
          <w:tcPr>
            <w:tcW w:w="712" w:type="pct"/>
          </w:tcPr>
          <w:p w14:paraId="2D345B35">
            <w:pPr>
              <w:rPr>
                <w:rFonts w:ascii="宋体" w:hAnsi="宋体"/>
                <w:color w:val="auto"/>
                <w:szCs w:val="21"/>
                <w:highlight w:val="none"/>
              </w:rPr>
            </w:pPr>
          </w:p>
        </w:tc>
      </w:tr>
      <w:tr w14:paraId="00972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5B18C6">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5</w:t>
            </w:r>
          </w:p>
        </w:tc>
        <w:tc>
          <w:tcPr>
            <w:tcW w:w="676" w:type="pct"/>
          </w:tcPr>
          <w:p w14:paraId="4BD216A8">
            <w:pPr>
              <w:rPr>
                <w:rFonts w:ascii="宋体" w:hAnsi="宋体"/>
                <w:color w:val="auto"/>
                <w:szCs w:val="21"/>
                <w:highlight w:val="none"/>
              </w:rPr>
            </w:pPr>
          </w:p>
        </w:tc>
        <w:tc>
          <w:tcPr>
            <w:tcW w:w="850" w:type="pct"/>
          </w:tcPr>
          <w:p w14:paraId="55BC03BF">
            <w:pPr>
              <w:rPr>
                <w:rFonts w:ascii="宋体" w:hAnsi="宋体"/>
                <w:color w:val="auto"/>
                <w:szCs w:val="21"/>
                <w:highlight w:val="none"/>
              </w:rPr>
            </w:pPr>
          </w:p>
        </w:tc>
        <w:tc>
          <w:tcPr>
            <w:tcW w:w="896" w:type="pct"/>
          </w:tcPr>
          <w:p w14:paraId="28E892A0">
            <w:pPr>
              <w:rPr>
                <w:rFonts w:ascii="宋体" w:hAnsi="宋体"/>
                <w:color w:val="auto"/>
                <w:szCs w:val="21"/>
                <w:highlight w:val="none"/>
              </w:rPr>
            </w:pPr>
          </w:p>
        </w:tc>
        <w:tc>
          <w:tcPr>
            <w:tcW w:w="712" w:type="pct"/>
          </w:tcPr>
          <w:p w14:paraId="7D4DCE9A">
            <w:pPr>
              <w:rPr>
                <w:rFonts w:ascii="宋体" w:hAnsi="宋体"/>
                <w:color w:val="auto"/>
                <w:szCs w:val="21"/>
                <w:highlight w:val="none"/>
              </w:rPr>
            </w:pPr>
          </w:p>
        </w:tc>
        <w:tc>
          <w:tcPr>
            <w:tcW w:w="712" w:type="pct"/>
          </w:tcPr>
          <w:p w14:paraId="2CFBD8EA">
            <w:pPr>
              <w:rPr>
                <w:rFonts w:ascii="宋体" w:hAnsi="宋体"/>
                <w:color w:val="auto"/>
                <w:szCs w:val="21"/>
                <w:highlight w:val="none"/>
              </w:rPr>
            </w:pPr>
          </w:p>
        </w:tc>
        <w:tc>
          <w:tcPr>
            <w:tcW w:w="712" w:type="pct"/>
          </w:tcPr>
          <w:p w14:paraId="54BD634C">
            <w:pPr>
              <w:rPr>
                <w:rFonts w:ascii="宋体" w:hAnsi="宋体"/>
                <w:color w:val="auto"/>
                <w:szCs w:val="21"/>
                <w:highlight w:val="none"/>
              </w:rPr>
            </w:pPr>
          </w:p>
        </w:tc>
      </w:tr>
      <w:tr w14:paraId="50A03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30ED999">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6</w:t>
            </w:r>
          </w:p>
        </w:tc>
        <w:tc>
          <w:tcPr>
            <w:tcW w:w="676" w:type="pct"/>
          </w:tcPr>
          <w:p w14:paraId="2BBE930F">
            <w:pPr>
              <w:rPr>
                <w:rFonts w:ascii="宋体" w:hAnsi="宋体"/>
                <w:color w:val="auto"/>
                <w:szCs w:val="21"/>
                <w:highlight w:val="none"/>
              </w:rPr>
            </w:pPr>
          </w:p>
        </w:tc>
        <w:tc>
          <w:tcPr>
            <w:tcW w:w="850" w:type="pct"/>
          </w:tcPr>
          <w:p w14:paraId="491C6889">
            <w:pPr>
              <w:rPr>
                <w:rFonts w:ascii="宋体" w:hAnsi="宋体"/>
                <w:color w:val="auto"/>
                <w:szCs w:val="21"/>
                <w:highlight w:val="none"/>
              </w:rPr>
            </w:pPr>
          </w:p>
        </w:tc>
        <w:tc>
          <w:tcPr>
            <w:tcW w:w="896" w:type="pct"/>
          </w:tcPr>
          <w:p w14:paraId="61E3318D">
            <w:pPr>
              <w:rPr>
                <w:rFonts w:ascii="宋体" w:hAnsi="宋体"/>
                <w:color w:val="auto"/>
                <w:szCs w:val="21"/>
                <w:highlight w:val="none"/>
              </w:rPr>
            </w:pPr>
          </w:p>
        </w:tc>
        <w:tc>
          <w:tcPr>
            <w:tcW w:w="712" w:type="pct"/>
          </w:tcPr>
          <w:p w14:paraId="63F0C9A2">
            <w:pPr>
              <w:rPr>
                <w:rFonts w:ascii="宋体" w:hAnsi="宋体"/>
                <w:color w:val="auto"/>
                <w:szCs w:val="21"/>
                <w:highlight w:val="none"/>
              </w:rPr>
            </w:pPr>
          </w:p>
        </w:tc>
        <w:tc>
          <w:tcPr>
            <w:tcW w:w="712" w:type="pct"/>
          </w:tcPr>
          <w:p w14:paraId="27743CC5">
            <w:pPr>
              <w:rPr>
                <w:rFonts w:ascii="宋体" w:hAnsi="宋体"/>
                <w:color w:val="auto"/>
                <w:szCs w:val="21"/>
                <w:highlight w:val="none"/>
              </w:rPr>
            </w:pPr>
          </w:p>
        </w:tc>
        <w:tc>
          <w:tcPr>
            <w:tcW w:w="712" w:type="pct"/>
          </w:tcPr>
          <w:p w14:paraId="314C2124">
            <w:pPr>
              <w:rPr>
                <w:rFonts w:ascii="宋体" w:hAnsi="宋体"/>
                <w:color w:val="auto"/>
                <w:szCs w:val="21"/>
                <w:highlight w:val="none"/>
              </w:rPr>
            </w:pPr>
          </w:p>
        </w:tc>
      </w:tr>
      <w:tr w14:paraId="5CEFB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D97BE83">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7</w:t>
            </w:r>
          </w:p>
        </w:tc>
        <w:tc>
          <w:tcPr>
            <w:tcW w:w="676" w:type="pct"/>
          </w:tcPr>
          <w:p w14:paraId="317468DB">
            <w:pPr>
              <w:rPr>
                <w:rFonts w:ascii="宋体" w:hAnsi="宋体"/>
                <w:color w:val="auto"/>
                <w:szCs w:val="21"/>
                <w:highlight w:val="none"/>
              </w:rPr>
            </w:pPr>
          </w:p>
        </w:tc>
        <w:tc>
          <w:tcPr>
            <w:tcW w:w="850" w:type="pct"/>
          </w:tcPr>
          <w:p w14:paraId="59E7550D">
            <w:pPr>
              <w:rPr>
                <w:rFonts w:ascii="宋体" w:hAnsi="宋体"/>
                <w:color w:val="auto"/>
                <w:szCs w:val="21"/>
                <w:highlight w:val="none"/>
              </w:rPr>
            </w:pPr>
          </w:p>
        </w:tc>
        <w:tc>
          <w:tcPr>
            <w:tcW w:w="896" w:type="pct"/>
          </w:tcPr>
          <w:p w14:paraId="1AB6B61B">
            <w:pPr>
              <w:rPr>
                <w:rFonts w:ascii="宋体" w:hAnsi="宋体"/>
                <w:color w:val="auto"/>
                <w:szCs w:val="21"/>
                <w:highlight w:val="none"/>
              </w:rPr>
            </w:pPr>
          </w:p>
        </w:tc>
        <w:tc>
          <w:tcPr>
            <w:tcW w:w="712" w:type="pct"/>
          </w:tcPr>
          <w:p w14:paraId="6E74F03D">
            <w:pPr>
              <w:rPr>
                <w:rFonts w:ascii="宋体" w:hAnsi="宋体"/>
                <w:color w:val="auto"/>
                <w:szCs w:val="21"/>
                <w:highlight w:val="none"/>
              </w:rPr>
            </w:pPr>
          </w:p>
        </w:tc>
        <w:tc>
          <w:tcPr>
            <w:tcW w:w="712" w:type="pct"/>
          </w:tcPr>
          <w:p w14:paraId="17314A7A">
            <w:pPr>
              <w:rPr>
                <w:rFonts w:ascii="宋体" w:hAnsi="宋体"/>
                <w:color w:val="auto"/>
                <w:szCs w:val="21"/>
                <w:highlight w:val="none"/>
              </w:rPr>
            </w:pPr>
          </w:p>
        </w:tc>
        <w:tc>
          <w:tcPr>
            <w:tcW w:w="712" w:type="pct"/>
          </w:tcPr>
          <w:p w14:paraId="5902D69A">
            <w:pPr>
              <w:rPr>
                <w:rFonts w:ascii="宋体" w:hAnsi="宋体"/>
                <w:color w:val="auto"/>
                <w:szCs w:val="21"/>
                <w:highlight w:val="none"/>
              </w:rPr>
            </w:pPr>
          </w:p>
        </w:tc>
      </w:tr>
      <w:tr w14:paraId="392DE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3A0988A">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8</w:t>
            </w:r>
          </w:p>
        </w:tc>
        <w:tc>
          <w:tcPr>
            <w:tcW w:w="676" w:type="pct"/>
          </w:tcPr>
          <w:p w14:paraId="7308DD1E">
            <w:pPr>
              <w:rPr>
                <w:rFonts w:ascii="宋体" w:hAnsi="宋体"/>
                <w:color w:val="auto"/>
                <w:szCs w:val="21"/>
                <w:highlight w:val="none"/>
              </w:rPr>
            </w:pPr>
          </w:p>
        </w:tc>
        <w:tc>
          <w:tcPr>
            <w:tcW w:w="850" w:type="pct"/>
          </w:tcPr>
          <w:p w14:paraId="3617B2D2">
            <w:pPr>
              <w:rPr>
                <w:rFonts w:ascii="宋体" w:hAnsi="宋体"/>
                <w:color w:val="auto"/>
                <w:szCs w:val="21"/>
                <w:highlight w:val="none"/>
              </w:rPr>
            </w:pPr>
          </w:p>
        </w:tc>
        <w:tc>
          <w:tcPr>
            <w:tcW w:w="896" w:type="pct"/>
          </w:tcPr>
          <w:p w14:paraId="463403EC">
            <w:pPr>
              <w:rPr>
                <w:rFonts w:ascii="宋体" w:hAnsi="宋体"/>
                <w:color w:val="auto"/>
                <w:szCs w:val="21"/>
                <w:highlight w:val="none"/>
              </w:rPr>
            </w:pPr>
          </w:p>
        </w:tc>
        <w:tc>
          <w:tcPr>
            <w:tcW w:w="712" w:type="pct"/>
          </w:tcPr>
          <w:p w14:paraId="54874236">
            <w:pPr>
              <w:rPr>
                <w:rFonts w:ascii="宋体" w:hAnsi="宋体"/>
                <w:color w:val="auto"/>
                <w:szCs w:val="21"/>
                <w:highlight w:val="none"/>
              </w:rPr>
            </w:pPr>
          </w:p>
        </w:tc>
        <w:tc>
          <w:tcPr>
            <w:tcW w:w="712" w:type="pct"/>
          </w:tcPr>
          <w:p w14:paraId="6403E469">
            <w:pPr>
              <w:rPr>
                <w:rFonts w:ascii="宋体" w:hAnsi="宋体"/>
                <w:color w:val="auto"/>
                <w:szCs w:val="21"/>
                <w:highlight w:val="none"/>
              </w:rPr>
            </w:pPr>
          </w:p>
        </w:tc>
        <w:tc>
          <w:tcPr>
            <w:tcW w:w="712" w:type="pct"/>
          </w:tcPr>
          <w:p w14:paraId="045E8556">
            <w:pPr>
              <w:rPr>
                <w:rFonts w:ascii="宋体" w:hAnsi="宋体"/>
                <w:color w:val="auto"/>
                <w:szCs w:val="21"/>
                <w:highlight w:val="none"/>
              </w:rPr>
            </w:pPr>
          </w:p>
        </w:tc>
      </w:tr>
      <w:tr w14:paraId="17EEF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9DC9D4">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9</w:t>
            </w:r>
          </w:p>
        </w:tc>
        <w:tc>
          <w:tcPr>
            <w:tcW w:w="676" w:type="pct"/>
          </w:tcPr>
          <w:p w14:paraId="0D548789">
            <w:pPr>
              <w:rPr>
                <w:rFonts w:ascii="宋体" w:hAnsi="宋体"/>
                <w:color w:val="auto"/>
                <w:szCs w:val="21"/>
                <w:highlight w:val="none"/>
              </w:rPr>
            </w:pPr>
          </w:p>
        </w:tc>
        <w:tc>
          <w:tcPr>
            <w:tcW w:w="850" w:type="pct"/>
          </w:tcPr>
          <w:p w14:paraId="7EE04B1D">
            <w:pPr>
              <w:rPr>
                <w:rFonts w:ascii="宋体" w:hAnsi="宋体"/>
                <w:color w:val="auto"/>
                <w:szCs w:val="21"/>
                <w:highlight w:val="none"/>
              </w:rPr>
            </w:pPr>
          </w:p>
        </w:tc>
        <w:tc>
          <w:tcPr>
            <w:tcW w:w="896" w:type="pct"/>
          </w:tcPr>
          <w:p w14:paraId="7DAE8826">
            <w:pPr>
              <w:rPr>
                <w:rFonts w:ascii="宋体" w:hAnsi="宋体"/>
                <w:color w:val="auto"/>
                <w:szCs w:val="21"/>
                <w:highlight w:val="none"/>
              </w:rPr>
            </w:pPr>
          </w:p>
        </w:tc>
        <w:tc>
          <w:tcPr>
            <w:tcW w:w="712" w:type="pct"/>
          </w:tcPr>
          <w:p w14:paraId="2BAA1A4F">
            <w:pPr>
              <w:rPr>
                <w:rFonts w:ascii="宋体" w:hAnsi="宋体"/>
                <w:color w:val="auto"/>
                <w:szCs w:val="21"/>
                <w:highlight w:val="none"/>
              </w:rPr>
            </w:pPr>
          </w:p>
        </w:tc>
        <w:tc>
          <w:tcPr>
            <w:tcW w:w="712" w:type="pct"/>
          </w:tcPr>
          <w:p w14:paraId="37C00FF5">
            <w:pPr>
              <w:rPr>
                <w:rFonts w:ascii="宋体" w:hAnsi="宋体"/>
                <w:color w:val="auto"/>
                <w:szCs w:val="21"/>
                <w:highlight w:val="none"/>
              </w:rPr>
            </w:pPr>
          </w:p>
        </w:tc>
        <w:tc>
          <w:tcPr>
            <w:tcW w:w="712" w:type="pct"/>
          </w:tcPr>
          <w:p w14:paraId="5E30F9E0">
            <w:pPr>
              <w:rPr>
                <w:rFonts w:ascii="宋体" w:hAnsi="宋体"/>
                <w:color w:val="auto"/>
                <w:szCs w:val="21"/>
                <w:highlight w:val="none"/>
              </w:rPr>
            </w:pPr>
          </w:p>
        </w:tc>
      </w:tr>
      <w:tr w14:paraId="4CB88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BA0602">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w:t>
            </w:r>
          </w:p>
        </w:tc>
        <w:tc>
          <w:tcPr>
            <w:tcW w:w="676" w:type="pct"/>
          </w:tcPr>
          <w:p w14:paraId="0C8563DB">
            <w:pPr>
              <w:rPr>
                <w:rFonts w:ascii="宋体" w:hAnsi="宋体"/>
                <w:color w:val="auto"/>
                <w:szCs w:val="21"/>
                <w:highlight w:val="none"/>
              </w:rPr>
            </w:pPr>
          </w:p>
        </w:tc>
        <w:tc>
          <w:tcPr>
            <w:tcW w:w="850" w:type="pct"/>
          </w:tcPr>
          <w:p w14:paraId="745475F6">
            <w:pPr>
              <w:rPr>
                <w:rFonts w:ascii="宋体" w:hAnsi="宋体"/>
                <w:color w:val="auto"/>
                <w:szCs w:val="21"/>
                <w:highlight w:val="none"/>
              </w:rPr>
            </w:pPr>
          </w:p>
        </w:tc>
        <w:tc>
          <w:tcPr>
            <w:tcW w:w="896" w:type="pct"/>
          </w:tcPr>
          <w:p w14:paraId="673E616A">
            <w:pPr>
              <w:rPr>
                <w:rFonts w:ascii="宋体" w:hAnsi="宋体"/>
                <w:color w:val="auto"/>
                <w:szCs w:val="21"/>
                <w:highlight w:val="none"/>
              </w:rPr>
            </w:pPr>
          </w:p>
        </w:tc>
        <w:tc>
          <w:tcPr>
            <w:tcW w:w="712" w:type="pct"/>
          </w:tcPr>
          <w:p w14:paraId="5F2C13DF">
            <w:pPr>
              <w:rPr>
                <w:rFonts w:ascii="宋体" w:hAnsi="宋体"/>
                <w:color w:val="auto"/>
                <w:szCs w:val="21"/>
                <w:highlight w:val="none"/>
              </w:rPr>
            </w:pPr>
          </w:p>
        </w:tc>
        <w:tc>
          <w:tcPr>
            <w:tcW w:w="712" w:type="pct"/>
          </w:tcPr>
          <w:p w14:paraId="39032F39">
            <w:pPr>
              <w:rPr>
                <w:rFonts w:ascii="宋体" w:hAnsi="宋体"/>
                <w:color w:val="auto"/>
                <w:szCs w:val="21"/>
                <w:highlight w:val="none"/>
              </w:rPr>
            </w:pPr>
          </w:p>
        </w:tc>
        <w:tc>
          <w:tcPr>
            <w:tcW w:w="712" w:type="pct"/>
          </w:tcPr>
          <w:p w14:paraId="4A37760C">
            <w:pPr>
              <w:rPr>
                <w:rFonts w:ascii="宋体" w:hAnsi="宋体"/>
                <w:color w:val="auto"/>
                <w:szCs w:val="21"/>
                <w:highlight w:val="none"/>
              </w:rPr>
            </w:pPr>
          </w:p>
        </w:tc>
      </w:tr>
    </w:tbl>
    <w:p w14:paraId="5E977FFB">
      <w:pPr>
        <w:widowControl/>
        <w:jc w:val="left"/>
        <w:rPr>
          <w:color w:val="auto"/>
          <w:kern w:val="0"/>
          <w:sz w:val="20"/>
          <w:szCs w:val="20"/>
          <w:highlight w:val="none"/>
          <w:lang w:eastAsia="zh-Hans"/>
        </w:rPr>
      </w:pPr>
      <w:r>
        <w:rPr>
          <w:color w:val="auto"/>
          <w:kern w:val="0"/>
          <w:sz w:val="20"/>
          <w:szCs w:val="20"/>
          <w:highlight w:val="none"/>
          <w:lang w:eastAsia="zh-Hans"/>
        </w:rPr>
        <w:t>说明：</w:t>
      </w:r>
    </w:p>
    <w:p w14:paraId="7515AD47">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1.“</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规定的商务条件”项下填写的内容应与磋商文件中</w:t>
      </w:r>
      <w:r>
        <w:rPr>
          <w:rFonts w:ascii="宋体" w:hAnsi="宋体"/>
          <w:b/>
          <w:bCs/>
          <w:color w:val="auto"/>
          <w:kern w:val="0"/>
          <w:szCs w:val="21"/>
          <w:highlight w:val="none"/>
          <w:lang w:eastAsia="zh-Hans"/>
        </w:rPr>
        <w:t>采购需求</w:t>
      </w:r>
      <w:r>
        <w:rPr>
          <w:rFonts w:ascii="宋体" w:hAnsi="宋体"/>
          <w:color w:val="auto"/>
          <w:kern w:val="0"/>
          <w:szCs w:val="21"/>
          <w:highlight w:val="none"/>
          <w:lang w:eastAsia="zh-Hans"/>
        </w:rPr>
        <w:t>的“商务要求”的内容保持一致。</w:t>
      </w:r>
    </w:p>
    <w:p w14:paraId="5BA5689D">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73AB378F">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3.参数性质栏目按磋商文件有标注的“</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号条款进行填写，打“</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号条款为实质性条款，若有任何一条负偏离或不满足则导致</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无效。打“▲</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号条款为重要技术参数（如有），若有部分“▲</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条款未响应或不满足，将根据评审要求影响其得分，但不作为无效</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条款。</w:t>
      </w:r>
    </w:p>
    <w:p w14:paraId="0A7F51B4">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4.“是否偏离”项下应按下列规定填写：优于的，填写“正偏离”；符合的，填写“无偏离”；低于的，填写“负偏离”。</w:t>
      </w:r>
    </w:p>
    <w:p w14:paraId="516E1778">
      <w:pPr>
        <w:widowControl/>
        <w:jc w:val="left"/>
        <w:rPr>
          <w:color w:val="auto"/>
          <w:kern w:val="0"/>
          <w:sz w:val="20"/>
          <w:szCs w:val="20"/>
          <w:highlight w:val="none"/>
          <w:lang w:eastAsia="zh-Hans"/>
        </w:rPr>
      </w:pPr>
      <w:r>
        <w:rPr>
          <w:rFonts w:ascii="宋体" w:hAnsi="宋体"/>
          <w:color w:val="auto"/>
          <w:kern w:val="0"/>
          <w:szCs w:val="21"/>
          <w:highlight w:val="none"/>
          <w:lang w:eastAsia="zh-Hans"/>
        </w:rPr>
        <w:t>5.“备注”处可填写偏离情况的说明。</w:t>
      </w:r>
    </w:p>
    <w:p w14:paraId="07872F76">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683485AD">
      <w:pPr>
        <w:widowControl/>
        <w:jc w:val="left"/>
        <w:rPr>
          <w:color w:val="auto"/>
          <w:kern w:val="0"/>
          <w:sz w:val="20"/>
          <w:szCs w:val="20"/>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2143F76A">
      <w:pPr>
        <w:rPr>
          <w:rFonts w:ascii="宋体" w:hAnsi="宋体"/>
          <w:b/>
          <w:bCs/>
          <w:color w:val="auto"/>
          <w:sz w:val="24"/>
          <w:szCs w:val="28"/>
          <w:highlight w:val="none"/>
        </w:rPr>
      </w:pPr>
      <w:bookmarkStart w:id="64" w:name="_Toc169799802"/>
      <w:r>
        <w:rPr>
          <w:rFonts w:ascii="宋体" w:hAnsi="宋体"/>
          <w:b/>
          <w:bCs/>
          <w:color w:val="auto"/>
          <w:sz w:val="24"/>
          <w:szCs w:val="28"/>
          <w:highlight w:val="none"/>
        </w:rPr>
        <w:br w:type="page"/>
      </w:r>
    </w:p>
    <w:p w14:paraId="28126855">
      <w:pPr>
        <w:pageBreakBefore/>
        <w:rPr>
          <w:color w:val="auto"/>
          <w:kern w:val="0"/>
          <w:sz w:val="20"/>
          <w:szCs w:val="20"/>
          <w:highlight w:val="none"/>
          <w:lang w:eastAsia="zh-Hans"/>
        </w:rPr>
      </w:pPr>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十七</w:t>
      </w:r>
      <w:r>
        <w:rPr>
          <w:rFonts w:ascii="宋体" w:hAnsi="宋体"/>
          <w:b/>
          <w:bCs/>
          <w:color w:val="auto"/>
          <w:sz w:val="24"/>
          <w:szCs w:val="28"/>
          <w:highlight w:val="none"/>
        </w:rPr>
        <w:t>：</w:t>
      </w:r>
    </w:p>
    <w:p w14:paraId="6BD3F591">
      <w:pPr>
        <w:spacing w:before="312" w:beforeLines="100" w:after="312" w:afterLines="100"/>
        <w:jc w:val="center"/>
        <w:rPr>
          <w:rFonts w:hint="eastAsia" w:ascii="宋体" w:hAnsi="宋体" w:eastAsia="宋体" w:cs="宋体"/>
          <w:color w:val="auto"/>
          <w:sz w:val="32"/>
          <w:szCs w:val="32"/>
          <w:highlight w:val="none"/>
        </w:rPr>
      </w:pPr>
      <w:r>
        <w:rPr>
          <w:rFonts w:hint="eastAsia" w:ascii="宋体" w:hAnsi="宋体" w:eastAsia="宋体" w:cs="宋体"/>
          <w:b/>
          <w:color w:val="auto"/>
          <w:spacing w:val="20"/>
          <w:sz w:val="32"/>
          <w:szCs w:val="32"/>
          <w:highlight w:val="none"/>
        </w:rPr>
        <w:t>★号条款响应表</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3238"/>
        <w:gridCol w:w="2008"/>
        <w:gridCol w:w="2008"/>
        <w:gridCol w:w="1295"/>
      </w:tblGrid>
      <w:tr w14:paraId="01954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95" w:type="pct"/>
            <w:shd w:val="clear" w:color="auto" w:fill="auto"/>
            <w:vAlign w:val="center"/>
          </w:tcPr>
          <w:p w14:paraId="27B53DAE">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序号</w:t>
            </w:r>
          </w:p>
        </w:tc>
        <w:tc>
          <w:tcPr>
            <w:tcW w:w="1743" w:type="pct"/>
            <w:shd w:val="clear" w:color="auto" w:fill="auto"/>
            <w:vAlign w:val="center"/>
          </w:tcPr>
          <w:p w14:paraId="6F0C154C">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采购需求★号条款要求</w:t>
            </w:r>
          </w:p>
        </w:tc>
        <w:tc>
          <w:tcPr>
            <w:tcW w:w="1081" w:type="pct"/>
            <w:shd w:val="clear" w:color="auto" w:fill="auto"/>
            <w:vAlign w:val="center"/>
          </w:tcPr>
          <w:p w14:paraId="3D9A03B0">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供应商响应内容</w:t>
            </w:r>
          </w:p>
        </w:tc>
        <w:tc>
          <w:tcPr>
            <w:tcW w:w="1081" w:type="pct"/>
            <w:shd w:val="clear" w:color="auto" w:fill="auto"/>
            <w:vAlign w:val="center"/>
          </w:tcPr>
          <w:p w14:paraId="1A5FAFD4">
            <w:pPr>
              <w:spacing w:line="360" w:lineRule="auto"/>
              <w:jc w:val="center"/>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是否偏离</w:t>
            </w:r>
          </w:p>
        </w:tc>
        <w:tc>
          <w:tcPr>
            <w:tcW w:w="697" w:type="pct"/>
            <w:shd w:val="clear" w:color="auto" w:fill="auto"/>
            <w:vAlign w:val="center"/>
          </w:tcPr>
          <w:p w14:paraId="63E9209F">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kern w:val="0"/>
                <w:szCs w:val="21"/>
                <w:highlight w:val="none"/>
                <w:lang w:eastAsia="zh-Hans"/>
              </w:rPr>
              <w:t>证明文件所在位置</w:t>
            </w:r>
          </w:p>
        </w:tc>
      </w:tr>
      <w:tr w14:paraId="0B7A6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7DD3DF8">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1</w:t>
            </w:r>
          </w:p>
        </w:tc>
        <w:tc>
          <w:tcPr>
            <w:tcW w:w="1743" w:type="pct"/>
            <w:shd w:val="clear" w:color="auto" w:fill="auto"/>
          </w:tcPr>
          <w:p w14:paraId="5D9F3E3E">
            <w:pPr>
              <w:spacing w:line="360" w:lineRule="auto"/>
              <w:rPr>
                <w:rFonts w:hint="eastAsia" w:ascii="宋体" w:hAnsi="宋体" w:eastAsia="宋体" w:cs="宋体"/>
                <w:color w:val="auto"/>
                <w:highlight w:val="none"/>
              </w:rPr>
            </w:pPr>
          </w:p>
        </w:tc>
        <w:tc>
          <w:tcPr>
            <w:tcW w:w="1081" w:type="pct"/>
            <w:shd w:val="clear" w:color="auto" w:fill="auto"/>
          </w:tcPr>
          <w:p w14:paraId="4123AC16">
            <w:pPr>
              <w:spacing w:line="360" w:lineRule="auto"/>
              <w:rPr>
                <w:rFonts w:hint="eastAsia" w:ascii="宋体" w:hAnsi="宋体" w:eastAsia="宋体" w:cs="宋体"/>
                <w:color w:val="auto"/>
                <w:highlight w:val="none"/>
              </w:rPr>
            </w:pPr>
          </w:p>
        </w:tc>
        <w:tc>
          <w:tcPr>
            <w:tcW w:w="1081" w:type="pct"/>
            <w:shd w:val="clear" w:color="auto" w:fill="auto"/>
          </w:tcPr>
          <w:p w14:paraId="108DA07C">
            <w:pPr>
              <w:spacing w:line="360" w:lineRule="auto"/>
              <w:rPr>
                <w:rFonts w:hint="eastAsia" w:ascii="宋体" w:hAnsi="宋体" w:eastAsia="宋体" w:cs="宋体"/>
                <w:color w:val="auto"/>
                <w:highlight w:val="none"/>
              </w:rPr>
            </w:pPr>
          </w:p>
        </w:tc>
        <w:tc>
          <w:tcPr>
            <w:tcW w:w="697" w:type="pct"/>
            <w:shd w:val="clear" w:color="auto" w:fill="auto"/>
          </w:tcPr>
          <w:p w14:paraId="24527C61">
            <w:pPr>
              <w:spacing w:line="360" w:lineRule="auto"/>
              <w:rPr>
                <w:rFonts w:hint="eastAsia" w:ascii="宋体" w:hAnsi="宋体" w:eastAsia="宋体" w:cs="宋体"/>
                <w:color w:val="auto"/>
                <w:highlight w:val="none"/>
              </w:rPr>
            </w:pPr>
          </w:p>
        </w:tc>
      </w:tr>
      <w:tr w14:paraId="327A6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7291291C">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2</w:t>
            </w:r>
          </w:p>
        </w:tc>
        <w:tc>
          <w:tcPr>
            <w:tcW w:w="1743" w:type="pct"/>
            <w:shd w:val="clear" w:color="auto" w:fill="auto"/>
          </w:tcPr>
          <w:p w14:paraId="45E2FBF3">
            <w:pPr>
              <w:spacing w:line="360" w:lineRule="auto"/>
              <w:rPr>
                <w:rFonts w:hint="eastAsia" w:ascii="宋体" w:hAnsi="宋体" w:eastAsia="宋体" w:cs="宋体"/>
                <w:color w:val="auto"/>
                <w:highlight w:val="none"/>
              </w:rPr>
            </w:pPr>
          </w:p>
        </w:tc>
        <w:tc>
          <w:tcPr>
            <w:tcW w:w="1081" w:type="pct"/>
            <w:shd w:val="clear" w:color="auto" w:fill="auto"/>
          </w:tcPr>
          <w:p w14:paraId="2FE87EF5">
            <w:pPr>
              <w:spacing w:line="360" w:lineRule="auto"/>
              <w:rPr>
                <w:rFonts w:hint="eastAsia" w:ascii="宋体" w:hAnsi="宋体" w:eastAsia="宋体" w:cs="宋体"/>
                <w:color w:val="auto"/>
                <w:highlight w:val="none"/>
              </w:rPr>
            </w:pPr>
          </w:p>
        </w:tc>
        <w:tc>
          <w:tcPr>
            <w:tcW w:w="1081" w:type="pct"/>
            <w:shd w:val="clear" w:color="auto" w:fill="auto"/>
          </w:tcPr>
          <w:p w14:paraId="055B4324">
            <w:pPr>
              <w:spacing w:line="360" w:lineRule="auto"/>
              <w:rPr>
                <w:rFonts w:hint="eastAsia" w:ascii="宋体" w:hAnsi="宋体" w:eastAsia="宋体" w:cs="宋体"/>
                <w:color w:val="auto"/>
                <w:highlight w:val="none"/>
              </w:rPr>
            </w:pPr>
          </w:p>
        </w:tc>
        <w:tc>
          <w:tcPr>
            <w:tcW w:w="697" w:type="pct"/>
            <w:shd w:val="clear" w:color="auto" w:fill="auto"/>
          </w:tcPr>
          <w:p w14:paraId="192B7028">
            <w:pPr>
              <w:spacing w:line="360" w:lineRule="auto"/>
              <w:rPr>
                <w:rFonts w:hint="eastAsia" w:ascii="宋体" w:hAnsi="宋体" w:eastAsia="宋体" w:cs="宋体"/>
                <w:color w:val="auto"/>
                <w:highlight w:val="none"/>
              </w:rPr>
            </w:pPr>
          </w:p>
        </w:tc>
      </w:tr>
      <w:tr w14:paraId="1DB0F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1D70487E">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3</w:t>
            </w:r>
          </w:p>
        </w:tc>
        <w:tc>
          <w:tcPr>
            <w:tcW w:w="1743" w:type="pct"/>
            <w:shd w:val="clear" w:color="auto" w:fill="auto"/>
          </w:tcPr>
          <w:p w14:paraId="7799DAFE">
            <w:pPr>
              <w:spacing w:line="360" w:lineRule="auto"/>
              <w:rPr>
                <w:rFonts w:hint="eastAsia" w:ascii="宋体" w:hAnsi="宋体" w:eastAsia="宋体" w:cs="宋体"/>
                <w:color w:val="auto"/>
                <w:highlight w:val="none"/>
              </w:rPr>
            </w:pPr>
          </w:p>
        </w:tc>
        <w:tc>
          <w:tcPr>
            <w:tcW w:w="1081" w:type="pct"/>
            <w:shd w:val="clear" w:color="auto" w:fill="auto"/>
          </w:tcPr>
          <w:p w14:paraId="64733E94">
            <w:pPr>
              <w:spacing w:line="360" w:lineRule="auto"/>
              <w:rPr>
                <w:rFonts w:hint="eastAsia" w:ascii="宋体" w:hAnsi="宋体" w:eastAsia="宋体" w:cs="宋体"/>
                <w:color w:val="auto"/>
                <w:highlight w:val="none"/>
              </w:rPr>
            </w:pPr>
          </w:p>
        </w:tc>
        <w:tc>
          <w:tcPr>
            <w:tcW w:w="1081" w:type="pct"/>
            <w:shd w:val="clear" w:color="auto" w:fill="auto"/>
          </w:tcPr>
          <w:p w14:paraId="34349ACB">
            <w:pPr>
              <w:spacing w:line="360" w:lineRule="auto"/>
              <w:rPr>
                <w:rFonts w:hint="eastAsia" w:ascii="宋体" w:hAnsi="宋体" w:eastAsia="宋体" w:cs="宋体"/>
                <w:color w:val="auto"/>
                <w:highlight w:val="none"/>
              </w:rPr>
            </w:pPr>
          </w:p>
        </w:tc>
        <w:tc>
          <w:tcPr>
            <w:tcW w:w="697" w:type="pct"/>
            <w:shd w:val="clear" w:color="auto" w:fill="auto"/>
          </w:tcPr>
          <w:p w14:paraId="61232E38">
            <w:pPr>
              <w:spacing w:line="360" w:lineRule="auto"/>
              <w:rPr>
                <w:rFonts w:hint="eastAsia" w:ascii="宋体" w:hAnsi="宋体" w:eastAsia="宋体" w:cs="宋体"/>
                <w:color w:val="auto"/>
                <w:highlight w:val="none"/>
              </w:rPr>
            </w:pPr>
          </w:p>
        </w:tc>
      </w:tr>
      <w:tr w14:paraId="36E06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290D3B51">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4</w:t>
            </w:r>
          </w:p>
        </w:tc>
        <w:tc>
          <w:tcPr>
            <w:tcW w:w="1743" w:type="pct"/>
            <w:shd w:val="clear" w:color="auto" w:fill="auto"/>
          </w:tcPr>
          <w:p w14:paraId="7BA9582E">
            <w:pPr>
              <w:spacing w:line="360" w:lineRule="auto"/>
              <w:rPr>
                <w:rFonts w:hint="eastAsia" w:ascii="宋体" w:hAnsi="宋体" w:eastAsia="宋体" w:cs="宋体"/>
                <w:color w:val="auto"/>
                <w:highlight w:val="none"/>
              </w:rPr>
            </w:pPr>
          </w:p>
        </w:tc>
        <w:tc>
          <w:tcPr>
            <w:tcW w:w="1081" w:type="pct"/>
            <w:shd w:val="clear" w:color="auto" w:fill="auto"/>
          </w:tcPr>
          <w:p w14:paraId="2AA8E109">
            <w:pPr>
              <w:spacing w:line="360" w:lineRule="auto"/>
              <w:rPr>
                <w:rFonts w:hint="eastAsia" w:ascii="宋体" w:hAnsi="宋体" w:eastAsia="宋体" w:cs="宋体"/>
                <w:color w:val="auto"/>
                <w:highlight w:val="none"/>
              </w:rPr>
            </w:pPr>
          </w:p>
        </w:tc>
        <w:tc>
          <w:tcPr>
            <w:tcW w:w="1081" w:type="pct"/>
            <w:shd w:val="clear" w:color="auto" w:fill="auto"/>
          </w:tcPr>
          <w:p w14:paraId="2BCDE7B8">
            <w:pPr>
              <w:spacing w:line="360" w:lineRule="auto"/>
              <w:rPr>
                <w:rFonts w:hint="eastAsia" w:ascii="宋体" w:hAnsi="宋体" w:eastAsia="宋体" w:cs="宋体"/>
                <w:color w:val="auto"/>
                <w:highlight w:val="none"/>
              </w:rPr>
            </w:pPr>
          </w:p>
        </w:tc>
        <w:tc>
          <w:tcPr>
            <w:tcW w:w="697" w:type="pct"/>
            <w:shd w:val="clear" w:color="auto" w:fill="auto"/>
          </w:tcPr>
          <w:p w14:paraId="153F4255">
            <w:pPr>
              <w:spacing w:line="360" w:lineRule="auto"/>
              <w:rPr>
                <w:rFonts w:hint="eastAsia" w:ascii="宋体" w:hAnsi="宋体" w:eastAsia="宋体" w:cs="宋体"/>
                <w:color w:val="auto"/>
                <w:highlight w:val="none"/>
              </w:rPr>
            </w:pPr>
          </w:p>
        </w:tc>
      </w:tr>
      <w:tr w14:paraId="723DD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A79B570">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w:t>
            </w:r>
          </w:p>
        </w:tc>
        <w:tc>
          <w:tcPr>
            <w:tcW w:w="1743" w:type="pct"/>
            <w:shd w:val="clear" w:color="auto" w:fill="auto"/>
          </w:tcPr>
          <w:p w14:paraId="0A32603C">
            <w:pPr>
              <w:spacing w:line="360" w:lineRule="auto"/>
              <w:rPr>
                <w:rFonts w:hint="eastAsia" w:ascii="宋体" w:hAnsi="宋体" w:eastAsia="宋体" w:cs="宋体"/>
                <w:color w:val="auto"/>
                <w:highlight w:val="none"/>
              </w:rPr>
            </w:pPr>
          </w:p>
        </w:tc>
        <w:tc>
          <w:tcPr>
            <w:tcW w:w="1081" w:type="pct"/>
            <w:shd w:val="clear" w:color="auto" w:fill="auto"/>
          </w:tcPr>
          <w:p w14:paraId="49A28968">
            <w:pPr>
              <w:spacing w:line="360" w:lineRule="auto"/>
              <w:rPr>
                <w:rFonts w:hint="eastAsia" w:ascii="宋体" w:hAnsi="宋体" w:eastAsia="宋体" w:cs="宋体"/>
                <w:color w:val="auto"/>
                <w:highlight w:val="none"/>
              </w:rPr>
            </w:pPr>
          </w:p>
        </w:tc>
        <w:tc>
          <w:tcPr>
            <w:tcW w:w="1081" w:type="pct"/>
            <w:shd w:val="clear" w:color="auto" w:fill="auto"/>
          </w:tcPr>
          <w:p w14:paraId="7B7E29AD">
            <w:pPr>
              <w:spacing w:line="360" w:lineRule="auto"/>
              <w:rPr>
                <w:rFonts w:hint="eastAsia" w:ascii="宋体" w:hAnsi="宋体" w:eastAsia="宋体" w:cs="宋体"/>
                <w:color w:val="auto"/>
                <w:highlight w:val="none"/>
              </w:rPr>
            </w:pPr>
          </w:p>
        </w:tc>
        <w:tc>
          <w:tcPr>
            <w:tcW w:w="697" w:type="pct"/>
            <w:shd w:val="clear" w:color="auto" w:fill="auto"/>
          </w:tcPr>
          <w:p w14:paraId="3211DC51">
            <w:pPr>
              <w:spacing w:line="360" w:lineRule="auto"/>
              <w:rPr>
                <w:rFonts w:hint="eastAsia" w:ascii="宋体" w:hAnsi="宋体" w:eastAsia="宋体" w:cs="宋体"/>
                <w:color w:val="auto"/>
                <w:highlight w:val="none"/>
              </w:rPr>
            </w:pPr>
          </w:p>
        </w:tc>
      </w:tr>
    </w:tbl>
    <w:p w14:paraId="4A47BD1A">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highlight w:val="none"/>
        </w:rPr>
      </w:pPr>
      <w:r>
        <w:rPr>
          <w:rFonts w:hint="eastAsia" w:ascii="宋体" w:hAnsi="宋体" w:cs="宋体"/>
          <w:color w:val="auto"/>
          <w:highlight w:val="none"/>
          <w:lang w:val="en-US" w:eastAsia="zh-CN"/>
        </w:rPr>
        <w:t>说</w:t>
      </w:r>
      <w:r>
        <w:rPr>
          <w:rFonts w:hint="eastAsia" w:ascii="宋体" w:hAnsi="宋体" w:eastAsia="宋体" w:cs="宋体"/>
          <w:color w:val="auto"/>
          <w:highlight w:val="none"/>
        </w:rPr>
        <w:t>明：</w:t>
      </w:r>
    </w:p>
    <w:p w14:paraId="3D2E69C9">
      <w:pPr>
        <w:pStyle w:val="32"/>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color w:val="auto"/>
          <w:highlight w:val="none"/>
        </w:rPr>
      </w:pPr>
      <w:r>
        <w:rPr>
          <w:rFonts w:hint="eastAsia" w:ascii="宋体" w:hAnsi="宋体" w:cs="宋体"/>
          <w:color w:val="auto"/>
          <w:highlight w:val="none"/>
          <w:lang w:val="en-US" w:eastAsia="zh-CN"/>
        </w:rPr>
        <w:t>1.</w:t>
      </w:r>
      <w:r>
        <w:rPr>
          <w:rFonts w:hint="eastAsia" w:ascii="宋体" w:hAnsi="宋体" w:eastAsia="宋体" w:cs="宋体"/>
          <w:color w:val="auto"/>
          <w:highlight w:val="none"/>
        </w:rPr>
        <w:t>响应供应商必须对应磋商文件</w:t>
      </w:r>
      <w:r>
        <w:rPr>
          <w:rFonts w:hint="eastAsia" w:ascii="宋体" w:hAnsi="宋体" w:eastAsia="宋体" w:cs="宋体"/>
          <w:b/>
          <w:bCs/>
          <w:color w:val="auto"/>
          <w:highlight w:val="none"/>
        </w:rPr>
        <w:t>“采购需求”</w:t>
      </w:r>
      <w:r>
        <w:rPr>
          <w:rFonts w:hint="eastAsia" w:ascii="宋体" w:hAnsi="宋体" w:eastAsia="宋体" w:cs="宋体"/>
          <w:color w:val="auto"/>
          <w:highlight w:val="none"/>
        </w:rPr>
        <w:t>中的实质性条款(即★号条款)逐条应答并按要求填写表格；</w:t>
      </w:r>
    </w:p>
    <w:p w14:paraId="389D079B">
      <w:pPr>
        <w:pStyle w:val="32"/>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color w:val="auto"/>
          <w:highlight w:val="none"/>
        </w:rPr>
      </w:pPr>
      <w:r>
        <w:rPr>
          <w:rFonts w:hint="eastAsia" w:ascii="宋体" w:hAnsi="宋体" w:cs="宋体"/>
          <w:color w:val="auto"/>
          <w:highlight w:val="none"/>
          <w:lang w:val="en-US" w:eastAsia="zh-CN"/>
        </w:rPr>
        <w:t>2.</w:t>
      </w:r>
      <w:r>
        <w:rPr>
          <w:rFonts w:hint="eastAsia" w:ascii="宋体" w:hAnsi="宋体" w:eastAsia="宋体" w:cs="宋体"/>
          <w:color w:val="auto"/>
          <w:highlight w:val="none"/>
        </w:rPr>
        <w:t>若磋商文件</w:t>
      </w:r>
      <w:r>
        <w:rPr>
          <w:rFonts w:hint="eastAsia" w:ascii="宋体" w:hAnsi="宋体" w:eastAsia="宋体" w:cs="宋体"/>
          <w:b/>
          <w:bCs/>
          <w:color w:val="auto"/>
          <w:highlight w:val="none"/>
        </w:rPr>
        <w:t>“采购需求”</w:t>
      </w:r>
      <w:r>
        <w:rPr>
          <w:rFonts w:hint="eastAsia" w:ascii="宋体" w:hAnsi="宋体" w:eastAsia="宋体" w:cs="宋体"/>
          <w:color w:val="auto"/>
          <w:highlight w:val="none"/>
        </w:rPr>
        <w:t>中的实质性条款中规定须提交相关证明文件的，须按要求提供，并作为附件附于表格后。未按要求提供或未提供完整的，视为负偏离处理。</w:t>
      </w:r>
    </w:p>
    <w:p w14:paraId="7B399900">
      <w:pPr>
        <w:spacing w:line="360" w:lineRule="auto"/>
        <w:rPr>
          <w:rFonts w:hint="eastAsia" w:ascii="宋体" w:hAnsi="宋体" w:eastAsia="宋体" w:cs="宋体"/>
          <w:color w:val="auto"/>
          <w:szCs w:val="21"/>
          <w:highlight w:val="none"/>
        </w:rPr>
      </w:pPr>
    </w:p>
    <w:p w14:paraId="6BAF9114">
      <w:pPr>
        <w:spacing w:line="360" w:lineRule="auto"/>
        <w:rPr>
          <w:rFonts w:hint="eastAsia" w:ascii="宋体" w:hAnsi="宋体" w:eastAsia="宋体" w:cs="宋体"/>
          <w:color w:val="auto"/>
          <w:szCs w:val="21"/>
          <w:highlight w:val="none"/>
        </w:rPr>
      </w:pPr>
    </w:p>
    <w:p w14:paraId="495DA4AD">
      <w:pPr>
        <w:spacing w:line="360" w:lineRule="auto"/>
        <w:rPr>
          <w:rFonts w:hint="eastAsia" w:ascii="宋体" w:hAnsi="宋体" w:eastAsia="宋体" w:cs="宋体"/>
          <w:color w:val="auto"/>
          <w:szCs w:val="21"/>
          <w:highlight w:val="none"/>
        </w:rPr>
      </w:pPr>
    </w:p>
    <w:p w14:paraId="54F599DC">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2F673520">
      <w:pPr>
        <w:widowControl/>
        <w:jc w:val="left"/>
        <w:rPr>
          <w:color w:val="auto"/>
          <w:kern w:val="0"/>
          <w:sz w:val="20"/>
          <w:szCs w:val="20"/>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7413BD1A">
      <w:pPr>
        <w:rPr>
          <w:rFonts w:hint="eastAsia" w:ascii="宋体" w:hAnsi="宋体" w:eastAsia="宋体" w:cs="宋体"/>
          <w:b/>
          <w:bCs/>
          <w:color w:val="auto"/>
          <w:sz w:val="24"/>
          <w:szCs w:val="28"/>
          <w:highlight w:val="none"/>
        </w:rPr>
      </w:pPr>
      <w:r>
        <w:rPr>
          <w:rFonts w:hint="eastAsia" w:ascii="宋体" w:hAnsi="宋体" w:eastAsia="宋体" w:cs="宋体"/>
          <w:b/>
          <w:bCs/>
          <w:color w:val="auto"/>
          <w:sz w:val="24"/>
          <w:szCs w:val="28"/>
          <w:highlight w:val="none"/>
        </w:rPr>
        <w:br w:type="page"/>
      </w:r>
    </w:p>
    <w:p w14:paraId="41F92673">
      <w:pPr>
        <w:pageBreakBefore/>
        <w:rPr>
          <w:color w:val="auto"/>
          <w:kern w:val="0"/>
          <w:sz w:val="20"/>
          <w:szCs w:val="20"/>
          <w:highlight w:val="none"/>
          <w:lang w:eastAsia="zh-Hans"/>
        </w:rPr>
      </w:pPr>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十八</w:t>
      </w:r>
      <w:r>
        <w:rPr>
          <w:rFonts w:ascii="宋体" w:hAnsi="宋体"/>
          <w:b/>
          <w:bCs/>
          <w:color w:val="auto"/>
          <w:sz w:val="24"/>
          <w:szCs w:val="28"/>
          <w:highlight w:val="none"/>
        </w:rPr>
        <w:t>：</w:t>
      </w:r>
      <w:bookmarkEnd w:id="64"/>
    </w:p>
    <w:p w14:paraId="0E44D323">
      <w:pPr>
        <w:widowControl/>
        <w:jc w:val="left"/>
        <w:rPr>
          <w:color w:val="auto"/>
          <w:kern w:val="0"/>
          <w:szCs w:val="21"/>
          <w:highlight w:val="none"/>
          <w:lang w:eastAsia="zh-Hans"/>
        </w:rPr>
      </w:pPr>
      <w:r>
        <w:rPr>
          <w:color w:val="auto"/>
          <w:kern w:val="0"/>
          <w:szCs w:val="21"/>
          <w:highlight w:val="none"/>
          <w:lang w:eastAsia="zh-Hans"/>
        </w:rPr>
        <w:t>（以下格式文件由供应商根据需要选用）</w:t>
      </w:r>
    </w:p>
    <w:p w14:paraId="01649287">
      <w:pPr>
        <w:widowControl/>
        <w:spacing w:before="156" w:beforeLines="50" w:after="312" w:afterLines="100"/>
        <w:jc w:val="center"/>
        <w:outlineLvl w:val="3"/>
        <w:rPr>
          <w:color w:val="auto"/>
          <w:kern w:val="0"/>
          <w:sz w:val="20"/>
          <w:szCs w:val="20"/>
          <w:highlight w:val="none"/>
          <w:lang w:eastAsia="zh-Hans"/>
        </w:rPr>
      </w:pPr>
      <w:r>
        <w:rPr>
          <w:b/>
          <w:color w:val="auto"/>
          <w:kern w:val="0"/>
          <w:sz w:val="32"/>
          <w:highlight w:val="none"/>
          <w:lang w:eastAsia="zh-Hans"/>
        </w:rPr>
        <w:t>各类证明材料</w:t>
      </w:r>
    </w:p>
    <w:p w14:paraId="0A55E9FC">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1.磋商文件要求提供的其他资料。</w:t>
      </w:r>
    </w:p>
    <w:p w14:paraId="1CFE3115">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2.供应商认为需提供的其他资料。</w:t>
      </w:r>
    </w:p>
    <w:p w14:paraId="5EADAB03">
      <w:pPr>
        <w:widowControl/>
        <w:jc w:val="left"/>
        <w:rPr>
          <w:color w:val="auto"/>
          <w:kern w:val="0"/>
          <w:sz w:val="20"/>
          <w:szCs w:val="20"/>
          <w:highlight w:val="none"/>
          <w:lang w:eastAsia="zh-Hans"/>
        </w:rPr>
      </w:pPr>
    </w:p>
    <w:p w14:paraId="47867302">
      <w:pPr>
        <w:pageBreakBefore/>
        <w:rPr>
          <w:color w:val="auto"/>
          <w:kern w:val="0"/>
          <w:sz w:val="20"/>
          <w:szCs w:val="20"/>
          <w:highlight w:val="none"/>
          <w:lang w:eastAsia="zh-Hans"/>
        </w:rPr>
      </w:pPr>
      <w:bookmarkStart w:id="65" w:name="_Toc169799803"/>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十九</w:t>
      </w:r>
      <w:r>
        <w:rPr>
          <w:rFonts w:ascii="宋体" w:hAnsi="宋体"/>
          <w:b/>
          <w:bCs/>
          <w:color w:val="auto"/>
          <w:sz w:val="24"/>
          <w:szCs w:val="28"/>
          <w:highlight w:val="none"/>
        </w:rPr>
        <w:t>：</w:t>
      </w:r>
      <w:bookmarkEnd w:id="65"/>
    </w:p>
    <w:p w14:paraId="0BF6FEE1">
      <w:pPr>
        <w:widowControl/>
        <w:jc w:val="center"/>
        <w:outlineLvl w:val="3"/>
        <w:rPr>
          <w:color w:val="auto"/>
          <w:kern w:val="0"/>
          <w:sz w:val="20"/>
          <w:szCs w:val="20"/>
          <w:highlight w:val="none"/>
          <w:lang w:eastAsia="zh-Hans"/>
        </w:rPr>
      </w:pPr>
      <w:r>
        <w:rPr>
          <w:b/>
          <w:color w:val="auto"/>
          <w:kern w:val="0"/>
          <w:sz w:val="32"/>
          <w:highlight w:val="none"/>
          <w:lang w:eastAsia="zh-Hans"/>
        </w:rPr>
        <w:t>采购代理服务费支付承诺书</w:t>
      </w:r>
    </w:p>
    <w:p w14:paraId="1D9CA77A">
      <w:pPr>
        <w:widowControl/>
        <w:spacing w:before="156" w:beforeLines="50" w:after="156" w:afterLines="50"/>
        <w:jc w:val="left"/>
        <w:rPr>
          <w:rFonts w:ascii="宋体" w:hAnsi="宋体"/>
          <w:b/>
          <w:bCs/>
          <w:color w:val="auto"/>
          <w:kern w:val="0"/>
          <w:szCs w:val="21"/>
          <w:highlight w:val="none"/>
        </w:rPr>
      </w:pPr>
      <w:r>
        <w:rPr>
          <w:rFonts w:ascii="宋体" w:hAnsi="宋体"/>
          <w:b/>
          <w:bCs/>
          <w:color w:val="auto"/>
          <w:kern w:val="0"/>
          <w:szCs w:val="21"/>
          <w:highlight w:val="none"/>
          <w:lang w:eastAsia="zh-Hans"/>
        </w:rPr>
        <w:t>广东智汇城市招标采购有限公司</w:t>
      </w:r>
      <w:r>
        <w:rPr>
          <w:rFonts w:hint="eastAsia" w:ascii="宋体" w:hAnsi="宋体"/>
          <w:b/>
          <w:bCs/>
          <w:color w:val="auto"/>
          <w:kern w:val="0"/>
          <w:szCs w:val="21"/>
          <w:highlight w:val="none"/>
          <w:lang w:eastAsia="zh-Hans"/>
        </w:rPr>
        <w:t>：</w:t>
      </w:r>
    </w:p>
    <w:p w14:paraId="1DD1AD78">
      <w:pPr>
        <w:widowControl/>
        <w:snapToGrid w:val="0"/>
        <w:spacing w:before="312" w:beforeLines="100"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如果我方在贵采购代理机构组织的</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u w:val="single"/>
          <w:lang w:eastAsia="zh-Hans"/>
        </w:rPr>
        <w:t>（采购项目名称）</w:t>
      </w:r>
      <w:r>
        <w:rPr>
          <w:rFonts w:hint="eastAsia" w:ascii="宋体" w:hAnsi="宋体"/>
          <w:color w:val="auto"/>
          <w:kern w:val="0"/>
          <w:szCs w:val="21"/>
          <w:highlight w:val="none"/>
          <w:u w:val="single"/>
        </w:rPr>
        <w:t>、（项目编号：   ）</w:t>
      </w:r>
      <w:r>
        <w:rPr>
          <w:rFonts w:ascii="宋体" w:hAnsi="宋体"/>
          <w:color w:val="auto"/>
          <w:kern w:val="0"/>
          <w:szCs w:val="21"/>
          <w:highlight w:val="none"/>
          <w:lang w:eastAsia="zh-Hans"/>
        </w:rPr>
        <w:t>磋商中获成交，我方保证在收取《成交通知书》时，按磋商文件对代理服务费支付方式的约定，承担本项目代理服务费。</w:t>
      </w:r>
    </w:p>
    <w:p w14:paraId="19A661EA">
      <w:pPr>
        <w:widowControl/>
        <w:snapToGrid w:val="0"/>
        <w:spacing w:line="360" w:lineRule="auto"/>
        <w:contextualSpacing/>
        <w:jc w:val="left"/>
        <w:rPr>
          <w:rFonts w:ascii="宋体" w:hAnsi="宋体"/>
          <w:color w:val="auto"/>
          <w:kern w:val="0"/>
          <w:szCs w:val="21"/>
          <w:highlight w:val="none"/>
        </w:rPr>
      </w:pPr>
    </w:p>
    <w:p w14:paraId="0FF88646">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特此承诺</w:t>
      </w:r>
      <w:r>
        <w:rPr>
          <w:rFonts w:hint="eastAsia" w:ascii="宋体" w:hAnsi="宋体"/>
          <w:color w:val="auto"/>
          <w:kern w:val="0"/>
          <w:szCs w:val="21"/>
          <w:highlight w:val="none"/>
          <w:lang w:eastAsia="zh-Hans"/>
        </w:rPr>
        <w:t>。</w:t>
      </w:r>
    </w:p>
    <w:p w14:paraId="1D6CA126">
      <w:pPr>
        <w:widowControl/>
        <w:snapToGrid w:val="0"/>
        <w:spacing w:before="468" w:beforeLines="150" w:line="360" w:lineRule="auto"/>
        <w:ind w:firstLine="3542" w:firstLineChars="1687"/>
        <w:contextualSpacing/>
        <w:jc w:val="left"/>
        <w:rPr>
          <w:rFonts w:ascii="宋体" w:hAnsi="宋体"/>
          <w:color w:val="auto"/>
          <w:kern w:val="0"/>
          <w:szCs w:val="21"/>
          <w:highlight w:val="none"/>
        </w:rPr>
      </w:pPr>
    </w:p>
    <w:p w14:paraId="4C43EF50">
      <w:pPr>
        <w:widowControl/>
        <w:snapToGrid w:val="0"/>
        <w:spacing w:before="468" w:beforeLines="150" w:line="360" w:lineRule="auto"/>
        <w:ind w:firstLine="3542" w:firstLineChars="168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供应商名称（公章）</w:t>
      </w:r>
      <w:r>
        <w:rPr>
          <w:rFonts w:hint="eastAsia" w:ascii="宋体" w:hAnsi="宋体"/>
          <w:color w:val="auto"/>
          <w:kern w:val="0"/>
          <w:szCs w:val="21"/>
          <w:highlight w:val="none"/>
          <w:lang w:eastAsia="zh-Hans"/>
        </w:rPr>
        <w:t>：</w:t>
      </w:r>
    </w:p>
    <w:p w14:paraId="6540BFA1">
      <w:pPr>
        <w:widowControl/>
        <w:snapToGrid w:val="0"/>
        <w:spacing w:line="360" w:lineRule="auto"/>
        <w:ind w:firstLine="3542" w:firstLineChars="168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供应商地址：</w:t>
      </w:r>
    </w:p>
    <w:p w14:paraId="00046F17">
      <w:pPr>
        <w:widowControl/>
        <w:snapToGrid w:val="0"/>
        <w:spacing w:line="360" w:lineRule="auto"/>
        <w:ind w:firstLine="3542" w:firstLineChars="168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供应商授权代表（签字或盖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p>
    <w:p w14:paraId="4526728A">
      <w:pPr>
        <w:widowControl/>
        <w:snapToGrid w:val="0"/>
        <w:spacing w:line="360" w:lineRule="auto"/>
        <w:ind w:firstLine="3542" w:firstLineChars="1687"/>
        <w:contextualSpacing/>
        <w:jc w:val="left"/>
        <w:rPr>
          <w:rFonts w:ascii="宋体" w:hAnsi="宋体"/>
          <w:color w:val="auto"/>
          <w:kern w:val="0"/>
          <w:szCs w:val="21"/>
          <w:highlight w:val="none"/>
        </w:rPr>
      </w:pPr>
      <w:r>
        <w:rPr>
          <w:rFonts w:ascii="宋体" w:hAnsi="宋体"/>
          <w:color w:val="auto"/>
          <w:kern w:val="0"/>
          <w:szCs w:val="21"/>
          <w:highlight w:val="none"/>
          <w:lang w:eastAsia="zh-Hans"/>
        </w:rPr>
        <w:t>电 话：</w:t>
      </w:r>
    </w:p>
    <w:p w14:paraId="6F04DFEA">
      <w:pPr>
        <w:widowControl/>
        <w:snapToGrid w:val="0"/>
        <w:spacing w:line="360" w:lineRule="auto"/>
        <w:ind w:firstLine="3542" w:firstLineChars="1687"/>
        <w:contextualSpacing/>
        <w:jc w:val="left"/>
        <w:rPr>
          <w:color w:val="auto"/>
          <w:kern w:val="0"/>
          <w:sz w:val="20"/>
          <w:szCs w:val="20"/>
          <w:highlight w:val="none"/>
        </w:rPr>
      </w:pPr>
      <w:r>
        <w:rPr>
          <w:rFonts w:ascii="宋体" w:hAnsi="宋体"/>
          <w:color w:val="auto"/>
          <w:kern w:val="0"/>
          <w:szCs w:val="21"/>
          <w:highlight w:val="none"/>
          <w:lang w:eastAsia="zh-Hans"/>
        </w:rPr>
        <w:t>承诺日期：</w:t>
      </w:r>
    </w:p>
    <w:p w14:paraId="290EFC29">
      <w:pPr>
        <w:widowControl/>
        <w:snapToGrid w:val="0"/>
        <w:spacing w:line="360" w:lineRule="auto"/>
        <w:contextualSpacing/>
        <w:jc w:val="left"/>
        <w:rPr>
          <w:color w:val="auto"/>
          <w:kern w:val="0"/>
          <w:sz w:val="20"/>
          <w:szCs w:val="20"/>
          <w:highlight w:val="none"/>
          <w:lang w:eastAsia="zh-Hans"/>
        </w:rPr>
      </w:pPr>
      <w:r>
        <w:rPr>
          <w:color w:val="auto"/>
          <w:kern w:val="0"/>
          <w:sz w:val="20"/>
          <w:szCs w:val="20"/>
          <w:highlight w:val="none"/>
          <w:lang w:eastAsia="zh-Hans"/>
        </w:rPr>
        <w:t xml:space="preserve"> </w:t>
      </w:r>
    </w:p>
    <w:p w14:paraId="3EEC76F4">
      <w:pPr>
        <w:pageBreakBefore/>
        <w:rPr>
          <w:color w:val="auto"/>
          <w:kern w:val="0"/>
          <w:sz w:val="20"/>
          <w:szCs w:val="20"/>
          <w:highlight w:val="none"/>
          <w:lang w:eastAsia="zh-Hans"/>
        </w:rPr>
      </w:pPr>
      <w:bookmarkStart w:id="66" w:name="_Toc169799804"/>
      <w:r>
        <w:rPr>
          <w:rFonts w:ascii="宋体" w:hAnsi="宋体"/>
          <w:b/>
          <w:bCs/>
          <w:color w:val="auto"/>
          <w:sz w:val="24"/>
          <w:szCs w:val="28"/>
          <w:highlight w:val="none"/>
        </w:rPr>
        <w:t>格式二十：</w:t>
      </w:r>
      <w:bookmarkEnd w:id="66"/>
    </w:p>
    <w:p w14:paraId="109C421D">
      <w:pPr>
        <w:widowControl/>
        <w:jc w:val="left"/>
        <w:rPr>
          <w:color w:val="auto"/>
          <w:kern w:val="0"/>
          <w:sz w:val="20"/>
          <w:szCs w:val="20"/>
          <w:highlight w:val="none"/>
          <w:lang w:eastAsia="zh-Hans"/>
        </w:rPr>
      </w:pPr>
      <w:r>
        <w:rPr>
          <w:color w:val="auto"/>
          <w:kern w:val="0"/>
          <w:sz w:val="20"/>
          <w:szCs w:val="20"/>
          <w:highlight w:val="none"/>
          <w:lang w:eastAsia="zh-Hans"/>
        </w:rPr>
        <w:t>（以下格式文件由供应商根据需要选用）</w:t>
      </w:r>
    </w:p>
    <w:p w14:paraId="55A11359">
      <w:pPr>
        <w:widowControl/>
        <w:spacing w:before="312" w:beforeLines="100" w:after="156" w:afterLines="50"/>
        <w:jc w:val="center"/>
        <w:outlineLvl w:val="3"/>
        <w:rPr>
          <w:color w:val="auto"/>
          <w:kern w:val="0"/>
          <w:sz w:val="20"/>
          <w:szCs w:val="20"/>
          <w:highlight w:val="none"/>
          <w:lang w:eastAsia="zh-Hans"/>
        </w:rPr>
      </w:pPr>
      <w:r>
        <w:rPr>
          <w:b/>
          <w:color w:val="auto"/>
          <w:kern w:val="0"/>
          <w:sz w:val="32"/>
          <w:highlight w:val="none"/>
          <w:lang w:eastAsia="zh-Hans"/>
        </w:rPr>
        <w:t>询问函、质疑函、投诉书格式</w:t>
      </w:r>
    </w:p>
    <w:p w14:paraId="1F701BBE">
      <w:pPr>
        <w:widowControl/>
        <w:jc w:val="left"/>
        <w:rPr>
          <w:color w:val="auto"/>
          <w:kern w:val="0"/>
          <w:sz w:val="20"/>
          <w:szCs w:val="20"/>
          <w:highlight w:val="none"/>
          <w:lang w:eastAsia="zh-Hans"/>
        </w:rPr>
      </w:pPr>
      <w:r>
        <w:rPr>
          <w:color w:val="auto"/>
          <w:kern w:val="0"/>
          <w:sz w:val="20"/>
          <w:szCs w:val="20"/>
          <w:highlight w:val="none"/>
          <w:lang w:eastAsia="zh-Hans"/>
        </w:rPr>
        <w:t>说明：本部分格式为供应商提交询问函、质疑函、投诉函时使用，不属于响应文件格式的组成部分。</w:t>
      </w:r>
    </w:p>
    <w:p w14:paraId="2AE51CC5">
      <w:pPr>
        <w:widowControl/>
        <w:spacing w:before="312" w:beforeLines="100" w:after="156" w:afterLines="50"/>
        <w:jc w:val="center"/>
        <w:outlineLvl w:val="3"/>
        <w:rPr>
          <w:color w:val="auto"/>
          <w:kern w:val="0"/>
          <w:sz w:val="20"/>
          <w:szCs w:val="20"/>
          <w:highlight w:val="none"/>
          <w:lang w:eastAsia="zh-Hans"/>
        </w:rPr>
      </w:pPr>
      <w:r>
        <w:rPr>
          <w:b/>
          <w:color w:val="auto"/>
          <w:kern w:val="0"/>
          <w:sz w:val="32"/>
          <w:highlight w:val="none"/>
          <w:lang w:eastAsia="zh-Hans"/>
        </w:rPr>
        <w:t>询问函</w:t>
      </w:r>
    </w:p>
    <w:p w14:paraId="328D75C1">
      <w:pPr>
        <w:widowControl/>
        <w:spacing w:after="156" w:afterLines="50"/>
        <w:jc w:val="left"/>
        <w:rPr>
          <w:b/>
          <w:bCs/>
          <w:color w:val="auto"/>
          <w:kern w:val="0"/>
          <w:szCs w:val="21"/>
          <w:highlight w:val="none"/>
          <w:lang w:eastAsia="zh-Hans"/>
        </w:rPr>
      </w:pPr>
      <w:r>
        <w:rPr>
          <w:b/>
          <w:bCs/>
          <w:color w:val="auto"/>
          <w:kern w:val="0"/>
          <w:szCs w:val="21"/>
          <w:highlight w:val="none"/>
          <w:lang w:eastAsia="zh-Hans"/>
        </w:rPr>
        <w:t>广东智汇城市招标采购有限公司</w:t>
      </w:r>
      <w:r>
        <w:rPr>
          <w:rFonts w:hint="eastAsia"/>
          <w:b/>
          <w:bCs/>
          <w:color w:val="auto"/>
          <w:kern w:val="0"/>
          <w:szCs w:val="21"/>
          <w:highlight w:val="none"/>
          <w:lang w:eastAsia="zh-Hans"/>
        </w:rPr>
        <w:t>：</w:t>
      </w:r>
    </w:p>
    <w:p w14:paraId="77EB2BD3">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我单位已获取磋商文件并准备参与</w:t>
      </w:r>
      <w:r>
        <w:rPr>
          <w:rFonts w:ascii="宋体" w:hAnsi="宋体"/>
          <w:i/>
          <w:color w:val="auto"/>
          <w:szCs w:val="21"/>
          <w:highlight w:val="none"/>
          <w:u w:val="single"/>
        </w:rPr>
        <w:t xml:space="preserve">           </w:t>
      </w:r>
      <w:r>
        <w:rPr>
          <w:rFonts w:hint="eastAsia" w:ascii="宋体" w:hAnsi="宋体"/>
          <w:color w:val="auto"/>
          <w:szCs w:val="21"/>
          <w:highlight w:val="none"/>
        </w:rPr>
        <w:t>项目（项目编号</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rPr>
        <w:t>）的</w:t>
      </w:r>
      <w:r>
        <w:rPr>
          <w:rFonts w:hint="eastAsia" w:ascii="宋体" w:hAnsi="宋体"/>
          <w:color w:val="auto"/>
          <w:szCs w:val="21"/>
          <w:highlight w:val="none"/>
          <w:lang w:val="en-US" w:eastAsia="zh-CN"/>
        </w:rPr>
        <w:t>响应</w:t>
      </w:r>
      <w:r>
        <w:rPr>
          <w:rFonts w:hint="eastAsia" w:ascii="宋体" w:hAnsi="宋体"/>
          <w:color w:val="auto"/>
          <w:szCs w:val="21"/>
          <w:highlight w:val="none"/>
        </w:rPr>
        <w:t>（或报价）活动，现有以下几个内容（或条款）存在疑问（或无法理解），特提出询问。</w:t>
      </w:r>
    </w:p>
    <w:p w14:paraId="13FD3F22">
      <w:pPr>
        <w:widowControl/>
        <w:tabs>
          <w:tab w:val="center" w:pos="5019"/>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u w:val="single"/>
        </w:rPr>
        <w:t xml:space="preserve">                        </w:t>
      </w:r>
      <w:r>
        <w:rPr>
          <w:rFonts w:ascii="宋体" w:hAnsi="宋体"/>
          <w:color w:val="auto"/>
          <w:szCs w:val="21"/>
          <w:highlight w:val="none"/>
        </w:rPr>
        <w:t>（事项一）</w:t>
      </w:r>
      <w:r>
        <w:rPr>
          <w:rFonts w:ascii="宋体" w:hAnsi="宋体"/>
          <w:color w:val="auto"/>
          <w:szCs w:val="21"/>
          <w:highlight w:val="none"/>
        </w:rPr>
        <w:tab/>
      </w:r>
    </w:p>
    <w:p w14:paraId="756BAA07">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ascii="宋体" w:hAnsi="宋体"/>
          <w:color w:val="auto"/>
          <w:szCs w:val="21"/>
          <w:highlight w:val="none"/>
          <w:u w:val="single"/>
        </w:rPr>
        <w:t xml:space="preserve">                       </w:t>
      </w:r>
      <w:r>
        <w:rPr>
          <w:rFonts w:ascii="宋体" w:hAnsi="宋体"/>
          <w:color w:val="auto"/>
          <w:szCs w:val="21"/>
          <w:highlight w:val="none"/>
        </w:rPr>
        <w:t>（问题或条款内容）</w:t>
      </w:r>
    </w:p>
    <w:p w14:paraId="3E66D4F7">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ascii="宋体" w:hAnsi="宋体"/>
          <w:color w:val="auto"/>
          <w:szCs w:val="21"/>
          <w:highlight w:val="none"/>
          <w:u w:val="single"/>
        </w:rPr>
        <w:t xml:space="preserve">                       </w:t>
      </w:r>
      <w:r>
        <w:rPr>
          <w:rFonts w:ascii="宋体" w:hAnsi="宋体"/>
          <w:color w:val="auto"/>
          <w:szCs w:val="21"/>
          <w:highlight w:val="none"/>
        </w:rPr>
        <w:t>（说明疑问或无法理解原因）</w:t>
      </w:r>
    </w:p>
    <w:p w14:paraId="0A04DC7A">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ascii="宋体" w:hAnsi="宋体"/>
          <w:color w:val="auto"/>
          <w:szCs w:val="21"/>
          <w:highlight w:val="none"/>
          <w:u w:val="single"/>
        </w:rPr>
        <w:t xml:space="preserve">                       </w:t>
      </w:r>
      <w:r>
        <w:rPr>
          <w:rFonts w:ascii="宋体" w:hAnsi="宋体"/>
          <w:color w:val="auto"/>
          <w:szCs w:val="21"/>
          <w:highlight w:val="none"/>
        </w:rPr>
        <w:t>（建议）</w:t>
      </w:r>
    </w:p>
    <w:p w14:paraId="778AF881">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u w:val="single"/>
        </w:rPr>
        <w:t xml:space="preserve">                       </w:t>
      </w:r>
      <w:r>
        <w:rPr>
          <w:rFonts w:ascii="宋体" w:hAnsi="宋体"/>
          <w:color w:val="auto"/>
          <w:szCs w:val="21"/>
          <w:highlight w:val="none"/>
        </w:rPr>
        <w:t xml:space="preserve"> （事项二）</w:t>
      </w:r>
    </w:p>
    <w:p w14:paraId="296C51F1">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p>
    <w:p w14:paraId="3B9065BD">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随附相关证明材料如下：（目录）。</w:t>
      </w:r>
    </w:p>
    <w:p w14:paraId="2D9BDFAC">
      <w:pPr>
        <w:widowControl/>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询问人：（公章）</w:t>
      </w:r>
    </w:p>
    <w:p w14:paraId="4FE0A56C">
      <w:pPr>
        <w:widowControl/>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法定代表人（授权代表）：</w:t>
      </w:r>
    </w:p>
    <w:p w14:paraId="7836F533">
      <w:pPr>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地址</w:t>
      </w:r>
      <w:r>
        <w:rPr>
          <w:rFonts w:ascii="宋体" w:hAnsi="宋体"/>
          <w:color w:val="auto"/>
          <w:szCs w:val="21"/>
          <w:highlight w:val="none"/>
        </w:rPr>
        <w:t>/邮编：</w:t>
      </w:r>
    </w:p>
    <w:p w14:paraId="6F69A4FA">
      <w:pPr>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电话</w:t>
      </w:r>
      <w:r>
        <w:rPr>
          <w:rFonts w:ascii="宋体" w:hAnsi="宋体"/>
          <w:color w:val="auto"/>
          <w:szCs w:val="21"/>
          <w:highlight w:val="none"/>
        </w:rPr>
        <w:t>/传真：</w:t>
      </w:r>
    </w:p>
    <w:p w14:paraId="42EB09F9">
      <w:pPr>
        <w:adjustRightInd w:val="0"/>
        <w:spacing w:before="312" w:beforeLines="100" w:line="360" w:lineRule="auto"/>
        <w:jc w:val="right"/>
        <w:rPr>
          <w:rFonts w:ascii="宋体" w:hAnsi="宋体"/>
          <w:color w:val="auto"/>
          <w:szCs w:val="21"/>
          <w:highlight w:val="none"/>
        </w:rPr>
      </w:pPr>
      <w:r>
        <w:rPr>
          <w:rFonts w:hint="eastAsia" w:ascii="宋体" w:hAnsi="宋体"/>
          <w:color w:val="auto"/>
          <w:szCs w:val="21"/>
          <w:highlight w:val="none"/>
        </w:rPr>
        <w:t>年</w:t>
      </w:r>
      <w:r>
        <w:rPr>
          <w:rFonts w:ascii="宋体" w:hAnsi="宋体"/>
          <w:color w:val="auto"/>
          <w:szCs w:val="21"/>
          <w:highlight w:val="non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hint="eastAsia" w:ascii="宋体" w:hAnsi="宋体"/>
          <w:color w:val="auto"/>
          <w:szCs w:val="21"/>
          <w:highlight w:val="none"/>
        </w:rPr>
        <w:t>日</w:t>
      </w:r>
    </w:p>
    <w:p w14:paraId="4DEA78BD">
      <w:pPr>
        <w:pageBreakBefore/>
        <w:spacing w:after="156" w:afterLines="50"/>
        <w:jc w:val="center"/>
        <w:outlineLvl w:val="3"/>
        <w:rPr>
          <w:color w:val="auto"/>
          <w:kern w:val="0"/>
          <w:sz w:val="20"/>
          <w:szCs w:val="20"/>
          <w:highlight w:val="none"/>
          <w:lang w:eastAsia="zh-Hans"/>
        </w:rPr>
      </w:pPr>
      <w:r>
        <w:rPr>
          <w:b/>
          <w:color w:val="auto"/>
          <w:kern w:val="0"/>
          <w:sz w:val="32"/>
          <w:highlight w:val="none"/>
          <w:lang w:eastAsia="zh-Hans"/>
        </w:rPr>
        <w:t>质疑函</w:t>
      </w:r>
    </w:p>
    <w:p w14:paraId="3726B7FD">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一、质疑供应商基本信息</w:t>
      </w:r>
    </w:p>
    <w:p w14:paraId="636D29C4">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质疑供应商：</w:t>
      </w:r>
    </w:p>
    <w:p w14:paraId="6DE841A1">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022AC03E">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3D1DBCA7">
      <w:pPr>
        <w:widowControl/>
        <w:jc w:val="left"/>
        <w:rPr>
          <w:rFonts w:ascii="宋体" w:hAnsi="宋体"/>
          <w:color w:val="auto"/>
          <w:kern w:val="0"/>
          <w:szCs w:val="21"/>
          <w:highlight w:val="none"/>
          <w:u w:val="single"/>
        </w:rPr>
      </w:pPr>
      <w:r>
        <w:rPr>
          <w:rFonts w:ascii="宋体" w:hAnsi="宋体"/>
          <w:color w:val="auto"/>
          <w:kern w:val="0"/>
          <w:szCs w:val="21"/>
          <w:highlight w:val="none"/>
          <w:lang w:eastAsia="zh-Hans"/>
        </w:rPr>
        <w:t>授权代表：</w:t>
      </w:r>
      <w:r>
        <w:rPr>
          <w:rFonts w:hint="eastAsia" w:ascii="宋体" w:hAnsi="宋体"/>
          <w:color w:val="auto"/>
          <w:kern w:val="0"/>
          <w:szCs w:val="21"/>
          <w:highlight w:val="none"/>
          <w:u w:val="single"/>
        </w:rPr>
        <w:t xml:space="preserve">                           </w:t>
      </w:r>
    </w:p>
    <w:p w14:paraId="38DB1A01">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48815FD8">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2646C64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二、质疑项目基本情况</w:t>
      </w:r>
    </w:p>
    <w:p w14:paraId="0430447E">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质疑项目的名称：</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p>
    <w:p w14:paraId="4AC054F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质疑项目的编号：</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包号：</w:t>
      </w:r>
      <w:r>
        <w:rPr>
          <w:rFonts w:hint="eastAsia" w:ascii="宋体" w:hAnsi="宋体"/>
          <w:color w:val="auto"/>
          <w:kern w:val="0"/>
          <w:szCs w:val="21"/>
          <w:highlight w:val="none"/>
          <w:u w:val="single"/>
        </w:rPr>
        <w:t xml:space="preserve">                       </w:t>
      </w:r>
    </w:p>
    <w:p w14:paraId="4F8759BF">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采购人名称：</w:t>
      </w:r>
      <w:r>
        <w:rPr>
          <w:rFonts w:hint="eastAsia" w:ascii="宋体" w:hAnsi="宋体"/>
          <w:color w:val="auto"/>
          <w:kern w:val="0"/>
          <w:szCs w:val="21"/>
          <w:highlight w:val="none"/>
          <w:u w:val="single"/>
        </w:rPr>
        <w:t xml:space="preserve">                                                            </w:t>
      </w:r>
    </w:p>
    <w:p w14:paraId="168AD712">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采购文件获取日期：</w:t>
      </w:r>
      <w:r>
        <w:rPr>
          <w:rFonts w:hint="eastAsia" w:ascii="宋体" w:hAnsi="宋体"/>
          <w:color w:val="auto"/>
          <w:kern w:val="0"/>
          <w:szCs w:val="21"/>
          <w:highlight w:val="none"/>
          <w:u w:val="single"/>
        </w:rPr>
        <w:t xml:space="preserve">                                                      </w:t>
      </w:r>
    </w:p>
    <w:p w14:paraId="6769897B">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三、质疑事项具体内容</w:t>
      </w:r>
    </w:p>
    <w:p w14:paraId="56CC1983">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质疑事项1：</w:t>
      </w:r>
      <w:r>
        <w:rPr>
          <w:rFonts w:hint="eastAsia" w:ascii="宋体" w:hAnsi="宋体"/>
          <w:color w:val="auto"/>
          <w:kern w:val="0"/>
          <w:szCs w:val="21"/>
          <w:highlight w:val="none"/>
          <w:u w:val="single"/>
        </w:rPr>
        <w:t xml:space="preserve">                                                             </w:t>
      </w:r>
    </w:p>
    <w:p w14:paraId="6EFB8AA8">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事实依据：</w:t>
      </w:r>
      <w:r>
        <w:rPr>
          <w:rFonts w:hint="eastAsia" w:ascii="宋体" w:hAnsi="宋体"/>
          <w:color w:val="auto"/>
          <w:kern w:val="0"/>
          <w:szCs w:val="21"/>
          <w:highlight w:val="none"/>
          <w:u w:val="single"/>
        </w:rPr>
        <w:t xml:space="preserve">                                                              </w:t>
      </w:r>
    </w:p>
    <w:p w14:paraId="43034797">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法律依据：</w:t>
      </w:r>
      <w:r>
        <w:rPr>
          <w:rFonts w:hint="eastAsia" w:ascii="宋体" w:hAnsi="宋体"/>
          <w:color w:val="auto"/>
          <w:kern w:val="0"/>
          <w:szCs w:val="21"/>
          <w:highlight w:val="none"/>
          <w:u w:val="single"/>
        </w:rPr>
        <w:t xml:space="preserve">                                                              </w:t>
      </w:r>
    </w:p>
    <w:p w14:paraId="6FDE4FBB">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质疑事项2：</w:t>
      </w:r>
      <w:r>
        <w:rPr>
          <w:rFonts w:hint="eastAsia" w:ascii="宋体" w:hAnsi="宋体"/>
          <w:color w:val="auto"/>
          <w:kern w:val="0"/>
          <w:szCs w:val="21"/>
          <w:highlight w:val="none"/>
          <w:u w:val="single"/>
        </w:rPr>
        <w:t xml:space="preserve">                                                             </w:t>
      </w:r>
    </w:p>
    <w:p w14:paraId="3EA5BE02">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77771CFA">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四、与质疑事项相关的质疑请求</w:t>
      </w:r>
    </w:p>
    <w:p w14:paraId="2F9FA34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请求：</w:t>
      </w:r>
      <w:r>
        <w:rPr>
          <w:rFonts w:hint="eastAsia" w:ascii="宋体" w:hAnsi="宋体"/>
          <w:color w:val="auto"/>
          <w:kern w:val="0"/>
          <w:szCs w:val="21"/>
          <w:highlight w:val="none"/>
          <w:u w:val="single"/>
        </w:rPr>
        <w:t xml:space="preserve">                                                                   </w:t>
      </w:r>
    </w:p>
    <w:p w14:paraId="1A468E9E">
      <w:pPr>
        <w:widowControl/>
        <w:jc w:val="left"/>
        <w:rPr>
          <w:color w:val="auto"/>
          <w:kern w:val="0"/>
          <w:sz w:val="20"/>
          <w:szCs w:val="20"/>
          <w:highlight w:val="none"/>
          <w:lang w:eastAsia="zh-Hans"/>
        </w:rPr>
      </w:pPr>
      <w:r>
        <w:rPr>
          <w:rFonts w:ascii="宋体" w:hAnsi="宋体"/>
          <w:color w:val="auto"/>
          <w:kern w:val="0"/>
          <w:szCs w:val="21"/>
          <w:highlight w:val="none"/>
          <w:lang w:eastAsia="zh-Hans"/>
        </w:rPr>
        <w:t>签字(签章)：</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 xml:space="preserve"> 公章：</w:t>
      </w:r>
      <w:r>
        <w:rPr>
          <w:rFonts w:hint="eastAsia" w:ascii="宋体" w:hAnsi="宋体"/>
          <w:color w:val="auto"/>
          <w:kern w:val="0"/>
          <w:szCs w:val="21"/>
          <w:highlight w:val="none"/>
          <w:u w:val="single"/>
        </w:rPr>
        <w:t xml:space="preserve">                           </w:t>
      </w:r>
    </w:p>
    <w:p w14:paraId="1FD9F800">
      <w:pPr>
        <w:widowControl/>
        <w:spacing w:before="156" w:beforeLines="50"/>
        <w:jc w:val="left"/>
        <w:rPr>
          <w:color w:val="auto"/>
          <w:kern w:val="0"/>
          <w:sz w:val="20"/>
          <w:szCs w:val="20"/>
          <w:highlight w:val="none"/>
          <w:lang w:eastAsia="zh-Hans"/>
        </w:rPr>
      </w:pPr>
      <w:r>
        <w:rPr>
          <w:color w:val="auto"/>
          <w:kern w:val="0"/>
          <w:szCs w:val="21"/>
          <w:highlight w:val="none"/>
          <w:lang w:eastAsia="zh-Hans"/>
        </w:rPr>
        <w:t>日期： 年 月 日</w:t>
      </w:r>
    </w:p>
    <w:p w14:paraId="080BDF1C">
      <w:pPr>
        <w:widowControl/>
        <w:spacing w:before="156" w:beforeLines="50"/>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质疑函制作说明：</w:t>
      </w:r>
    </w:p>
    <w:p w14:paraId="4A7AF71C">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1.供应商提出质疑时，应提交质疑函和必要的证明材料。</w:t>
      </w:r>
    </w:p>
    <w:p w14:paraId="6A66C104">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3.质疑供应商若对项目的某一分包进行质疑，质疑函中应列明具体采购包号。</w:t>
      </w:r>
    </w:p>
    <w:p w14:paraId="55AFEDFA">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4.质疑函的质疑事项应具体、明确，并有必要的事实依据和法律依据。</w:t>
      </w:r>
    </w:p>
    <w:p w14:paraId="5949667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5.质疑函的质疑请求应与质疑事项相关。</w:t>
      </w:r>
    </w:p>
    <w:p w14:paraId="6FEBC6A1">
      <w:pPr>
        <w:widowControl/>
        <w:jc w:val="left"/>
        <w:rPr>
          <w:color w:val="auto"/>
          <w:kern w:val="0"/>
          <w:sz w:val="20"/>
          <w:szCs w:val="20"/>
          <w:highlight w:val="none"/>
          <w:lang w:eastAsia="zh-Hans"/>
        </w:rPr>
      </w:pPr>
      <w:r>
        <w:rPr>
          <w:rFonts w:ascii="宋体" w:hAnsi="宋体"/>
          <w:color w:val="auto"/>
          <w:kern w:val="0"/>
          <w:szCs w:val="21"/>
          <w:highlight w:val="none"/>
          <w:lang w:eastAsia="zh-Hans"/>
        </w:rPr>
        <w:t>6.质疑供应商为自然人的，质疑函应由本人签字；质疑供应商为法人或者其他组织的，质疑函应由法定代表人、主要负责人，或者其授权代表签字或者盖章，并加盖公章。</w:t>
      </w:r>
    </w:p>
    <w:p w14:paraId="432FF690">
      <w:pPr>
        <w:pageBreakBefore/>
        <w:spacing w:before="780" w:beforeLines="250" w:after="312" w:afterLines="100"/>
        <w:jc w:val="center"/>
        <w:outlineLvl w:val="3"/>
        <w:rPr>
          <w:color w:val="auto"/>
          <w:kern w:val="0"/>
          <w:szCs w:val="21"/>
          <w:highlight w:val="none"/>
          <w:lang w:eastAsia="zh-Hans"/>
        </w:rPr>
      </w:pPr>
      <w:r>
        <w:rPr>
          <w:b/>
          <w:color w:val="auto"/>
          <w:kern w:val="0"/>
          <w:sz w:val="32"/>
          <w:highlight w:val="none"/>
          <w:lang w:eastAsia="zh-Hans"/>
        </w:rPr>
        <w:t>投诉书</w:t>
      </w:r>
    </w:p>
    <w:p w14:paraId="2212D7B1">
      <w:pPr>
        <w:widowControl/>
        <w:snapToGrid w:val="0"/>
        <w:spacing w:line="360" w:lineRule="auto"/>
        <w:contextualSpacing/>
        <w:jc w:val="left"/>
        <w:rPr>
          <w:rFonts w:ascii="宋体" w:hAnsi="宋体"/>
          <w:color w:val="auto"/>
          <w:kern w:val="0"/>
          <w:szCs w:val="21"/>
          <w:highlight w:val="none"/>
          <w:lang w:eastAsia="zh-Hans"/>
        </w:rPr>
      </w:pPr>
      <w:bookmarkStart w:id="67" w:name="_Toc169799805"/>
      <w:r>
        <w:rPr>
          <w:rFonts w:ascii="宋体" w:hAnsi="宋体"/>
          <w:color w:val="auto"/>
          <w:kern w:val="0"/>
          <w:szCs w:val="21"/>
          <w:highlight w:val="none"/>
          <w:lang w:eastAsia="zh-Hans"/>
        </w:rPr>
        <w:t>一、投诉相关主体基本情况</w:t>
      </w:r>
    </w:p>
    <w:p w14:paraId="47E971EC">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投诉人：</w:t>
      </w:r>
      <w:r>
        <w:rPr>
          <w:rFonts w:hint="eastAsia" w:ascii="宋体" w:hAnsi="宋体"/>
          <w:color w:val="auto"/>
          <w:kern w:val="0"/>
          <w:szCs w:val="21"/>
          <w:highlight w:val="none"/>
          <w:u w:val="single"/>
        </w:rPr>
        <w:t xml:space="preserve">                                                                      </w:t>
      </w:r>
    </w:p>
    <w:p w14:paraId="61C455A8">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地 址：</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4416EF97">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法定代表人/主要负责人：</w:t>
      </w:r>
      <w:r>
        <w:rPr>
          <w:rFonts w:hint="eastAsia" w:ascii="宋体" w:hAnsi="宋体"/>
          <w:color w:val="auto"/>
          <w:kern w:val="0"/>
          <w:szCs w:val="21"/>
          <w:highlight w:val="none"/>
          <w:u w:val="single"/>
        </w:rPr>
        <w:t xml:space="preserve">                                                       </w:t>
      </w:r>
    </w:p>
    <w:p w14:paraId="3EF23A5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6DB5D8B3">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授权代表：</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74473FD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 址：</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6C68FBD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被投诉人1：</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lang w:eastAsia="zh-Hans"/>
        </w:rPr>
        <w:t xml:space="preserve">     </w:t>
      </w:r>
    </w:p>
    <w:p w14:paraId="12922DC4">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lang w:eastAsia="zh-Hans"/>
        </w:rPr>
        <w:t>_</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0CF276C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联系人：</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4CC330B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被投诉人2：</w:t>
      </w:r>
      <w:r>
        <w:rPr>
          <w:rFonts w:hint="eastAsia" w:ascii="宋体" w:hAnsi="宋体"/>
          <w:color w:val="auto"/>
          <w:kern w:val="0"/>
          <w:szCs w:val="21"/>
          <w:highlight w:val="none"/>
          <w:u w:val="single"/>
        </w:rPr>
        <w:t xml:space="preserve">                                                                   </w:t>
      </w:r>
    </w:p>
    <w:p w14:paraId="7731C64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4B91A402">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相关供应商：</w:t>
      </w:r>
      <w:r>
        <w:rPr>
          <w:rFonts w:hint="eastAsia" w:ascii="宋体" w:hAnsi="宋体"/>
          <w:color w:val="auto"/>
          <w:kern w:val="0"/>
          <w:szCs w:val="21"/>
          <w:highlight w:val="none"/>
          <w:u w:val="single"/>
        </w:rPr>
        <w:t xml:space="preserve">                                                                   </w:t>
      </w:r>
    </w:p>
    <w:p w14:paraId="2D4DBC5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1A401B3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联系人：</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28620319">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二、投诉项目基本情况</w:t>
      </w:r>
    </w:p>
    <w:p w14:paraId="531DAD4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采购项目名称：</w:t>
      </w:r>
      <w:r>
        <w:rPr>
          <w:rFonts w:hint="eastAsia" w:ascii="宋体" w:hAnsi="宋体"/>
          <w:color w:val="auto"/>
          <w:kern w:val="0"/>
          <w:szCs w:val="21"/>
          <w:highlight w:val="none"/>
          <w:u w:val="single"/>
        </w:rPr>
        <w:t xml:space="preserve">                                                                 </w:t>
      </w:r>
    </w:p>
    <w:p w14:paraId="348E26E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采购项目编号：</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包号：</w:t>
      </w:r>
      <w:r>
        <w:rPr>
          <w:rFonts w:hint="eastAsia" w:ascii="宋体" w:hAnsi="宋体"/>
          <w:color w:val="auto"/>
          <w:kern w:val="0"/>
          <w:szCs w:val="21"/>
          <w:highlight w:val="none"/>
          <w:u w:val="single"/>
        </w:rPr>
        <w:t xml:space="preserve">                          </w:t>
      </w:r>
    </w:p>
    <w:p w14:paraId="4C786EF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采购人名称：</w:t>
      </w:r>
      <w:r>
        <w:rPr>
          <w:rFonts w:hint="eastAsia" w:ascii="宋体" w:hAnsi="宋体"/>
          <w:color w:val="auto"/>
          <w:kern w:val="0"/>
          <w:szCs w:val="21"/>
          <w:highlight w:val="none"/>
          <w:u w:val="single"/>
        </w:rPr>
        <w:t xml:space="preserve">                                                                   </w:t>
      </w:r>
    </w:p>
    <w:p w14:paraId="4347141D">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代理机构名称：</w:t>
      </w:r>
      <w:r>
        <w:rPr>
          <w:rFonts w:hint="eastAsia" w:ascii="宋体" w:hAnsi="宋体"/>
          <w:color w:val="auto"/>
          <w:kern w:val="0"/>
          <w:szCs w:val="21"/>
          <w:highlight w:val="none"/>
          <w:u w:val="single"/>
        </w:rPr>
        <w:t xml:space="preserve">                                                                 </w:t>
      </w:r>
    </w:p>
    <w:p w14:paraId="18DB707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采购文件公告:</w:t>
      </w:r>
      <w:r>
        <w:rPr>
          <w:rFonts w:ascii="宋体" w:hAnsi="宋体"/>
          <w:color w:val="auto"/>
          <w:kern w:val="0"/>
          <w:szCs w:val="21"/>
          <w:highlight w:val="none"/>
          <w:u w:val="single"/>
          <w:lang w:eastAsia="zh-Hans"/>
        </w:rPr>
        <w:t>是/否</w:t>
      </w:r>
      <w:r>
        <w:rPr>
          <w:rFonts w:ascii="宋体" w:hAnsi="宋体"/>
          <w:color w:val="auto"/>
          <w:kern w:val="0"/>
          <w:szCs w:val="21"/>
          <w:highlight w:val="none"/>
          <w:lang w:eastAsia="zh-Hans"/>
        </w:rPr>
        <w:t xml:space="preserve"> 公告期限：</w:t>
      </w:r>
      <w:r>
        <w:rPr>
          <w:rFonts w:hint="eastAsia" w:ascii="宋体" w:hAnsi="宋体"/>
          <w:color w:val="auto"/>
          <w:kern w:val="0"/>
          <w:szCs w:val="21"/>
          <w:highlight w:val="none"/>
          <w:u w:val="single"/>
        </w:rPr>
        <w:t xml:space="preserve">                                                   </w:t>
      </w:r>
    </w:p>
    <w:p w14:paraId="3575FCC4">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采购结果公告:</w:t>
      </w:r>
      <w:r>
        <w:rPr>
          <w:rFonts w:ascii="宋体" w:hAnsi="宋体"/>
          <w:color w:val="auto"/>
          <w:kern w:val="0"/>
          <w:szCs w:val="21"/>
          <w:highlight w:val="none"/>
          <w:u w:val="single"/>
          <w:lang w:eastAsia="zh-Hans"/>
        </w:rPr>
        <w:t>是/否</w:t>
      </w:r>
      <w:r>
        <w:rPr>
          <w:rFonts w:ascii="宋体" w:hAnsi="宋体"/>
          <w:color w:val="auto"/>
          <w:kern w:val="0"/>
          <w:szCs w:val="21"/>
          <w:highlight w:val="none"/>
          <w:lang w:eastAsia="zh-Hans"/>
        </w:rPr>
        <w:t xml:space="preserve"> 公告期限：</w:t>
      </w:r>
      <w:r>
        <w:rPr>
          <w:rFonts w:hint="eastAsia" w:ascii="宋体" w:hAnsi="宋体"/>
          <w:color w:val="auto"/>
          <w:kern w:val="0"/>
          <w:szCs w:val="21"/>
          <w:highlight w:val="none"/>
          <w:u w:val="single"/>
        </w:rPr>
        <w:t xml:space="preserve">                                                   </w:t>
      </w:r>
    </w:p>
    <w:p w14:paraId="0A6EB0E4">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三、质疑基本情况</w:t>
      </w:r>
    </w:p>
    <w:p w14:paraId="5384CB7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投诉人于 ____年____月____日,向提出质疑，质疑事项为：</w:t>
      </w:r>
      <w:r>
        <w:rPr>
          <w:rFonts w:hint="eastAsia" w:ascii="宋体" w:hAnsi="宋体"/>
          <w:color w:val="auto"/>
          <w:kern w:val="0"/>
          <w:szCs w:val="21"/>
          <w:highlight w:val="none"/>
          <w:u w:val="single"/>
        </w:rPr>
        <w:t xml:space="preserve">                            </w:t>
      </w:r>
    </w:p>
    <w:p w14:paraId="287E1CE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u w:val="single"/>
          <w:lang w:eastAsia="zh-Hans"/>
        </w:rPr>
        <w:t>采购人/代理机构</w:t>
      </w:r>
      <w:r>
        <w:rPr>
          <w:rFonts w:ascii="宋体" w:hAnsi="宋体"/>
          <w:color w:val="auto"/>
          <w:kern w:val="0"/>
          <w:szCs w:val="21"/>
          <w:highlight w:val="none"/>
          <w:lang w:eastAsia="zh-Hans"/>
        </w:rPr>
        <w:t>于____年____月____日,就质疑事项作出了答复/没有在法定期限内作出答复。</w:t>
      </w:r>
    </w:p>
    <w:p w14:paraId="0928664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四、投诉事项具体内容</w:t>
      </w:r>
    </w:p>
    <w:p w14:paraId="6DE84B6A">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投诉事项1：</w:t>
      </w:r>
      <w:r>
        <w:rPr>
          <w:rFonts w:hint="eastAsia" w:ascii="宋体" w:hAnsi="宋体"/>
          <w:color w:val="auto"/>
          <w:kern w:val="0"/>
          <w:szCs w:val="21"/>
          <w:highlight w:val="none"/>
          <w:u w:val="single"/>
        </w:rPr>
        <w:t xml:space="preserve">                                                                    </w:t>
      </w:r>
    </w:p>
    <w:p w14:paraId="03A2265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事实依据：</w:t>
      </w:r>
      <w:r>
        <w:rPr>
          <w:rFonts w:hint="eastAsia" w:ascii="宋体" w:hAnsi="宋体"/>
          <w:color w:val="auto"/>
          <w:kern w:val="0"/>
          <w:szCs w:val="21"/>
          <w:highlight w:val="none"/>
          <w:u w:val="single"/>
        </w:rPr>
        <w:t xml:space="preserve">                                                                     </w:t>
      </w:r>
    </w:p>
    <w:p w14:paraId="7EA64CD8">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法律依据：</w:t>
      </w:r>
      <w:r>
        <w:rPr>
          <w:rFonts w:hint="eastAsia" w:ascii="宋体" w:hAnsi="宋体"/>
          <w:color w:val="auto"/>
          <w:kern w:val="0"/>
          <w:szCs w:val="21"/>
          <w:highlight w:val="none"/>
          <w:u w:val="single"/>
        </w:rPr>
        <w:t xml:space="preserve">                                                                     </w:t>
      </w:r>
    </w:p>
    <w:p w14:paraId="4CDEE7D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投诉事项2：</w:t>
      </w:r>
      <w:r>
        <w:rPr>
          <w:rFonts w:hint="eastAsia" w:ascii="宋体" w:hAnsi="宋体"/>
          <w:color w:val="auto"/>
          <w:kern w:val="0"/>
          <w:szCs w:val="21"/>
          <w:highlight w:val="none"/>
          <w:u w:val="single"/>
        </w:rPr>
        <w:t xml:space="preserve">                                                                    </w:t>
      </w:r>
    </w:p>
    <w:p w14:paraId="1E71EA9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1342875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五、与投诉事项相关的投诉请求</w:t>
      </w:r>
    </w:p>
    <w:p w14:paraId="7A4FDE1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请求：</w:t>
      </w:r>
      <w:r>
        <w:rPr>
          <w:rFonts w:hint="eastAsia" w:ascii="宋体" w:hAnsi="宋体"/>
          <w:color w:val="auto"/>
          <w:kern w:val="0"/>
          <w:szCs w:val="21"/>
          <w:highlight w:val="none"/>
          <w:u w:val="single"/>
        </w:rPr>
        <w:t xml:space="preserve">                                                                          </w:t>
      </w:r>
    </w:p>
    <w:p w14:paraId="6506FF8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签字(签章)： </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公章</w:t>
      </w:r>
      <w:r>
        <w:rPr>
          <w:rFonts w:hint="eastAsia" w:ascii="宋体" w:hAnsi="宋体"/>
          <w:color w:val="auto"/>
          <w:kern w:val="0"/>
          <w:szCs w:val="21"/>
          <w:highlight w:val="none"/>
          <w:u w:val="single"/>
        </w:rPr>
        <w:t xml:space="preserve">                                      </w:t>
      </w:r>
    </w:p>
    <w:p w14:paraId="5884BCB9">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日期：____年____月____日</w:t>
      </w:r>
    </w:p>
    <w:p w14:paraId="7748DC4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投诉书制作说明：</w:t>
      </w:r>
    </w:p>
    <w:p w14:paraId="413745D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1.投诉人提起投诉时，应当提交投诉书和必要的证明材料，并按照被投诉人和与投诉事项有关的供应商数量提供投诉书副本。</w:t>
      </w:r>
    </w:p>
    <w:p w14:paraId="007E3B6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3.投诉人若对项目的某一分包进行投诉，投诉书应列明具体分包号。</w:t>
      </w:r>
    </w:p>
    <w:p w14:paraId="551784B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4.投诉书应简要列明质疑事项，质疑函、质疑答复等作为附件材料提供。</w:t>
      </w:r>
    </w:p>
    <w:p w14:paraId="024BF348">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5.投诉书的投诉事项应具体、明确，并有必要的事实依据和法律依据。</w:t>
      </w:r>
    </w:p>
    <w:p w14:paraId="36C0B04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6.投诉书的投诉请求应与投诉事项相关。</w:t>
      </w:r>
    </w:p>
    <w:p w14:paraId="19366FB4">
      <w:pPr>
        <w:widowControl/>
        <w:snapToGrid w:val="0"/>
        <w:spacing w:line="360" w:lineRule="auto"/>
        <w:contextualSpacing/>
        <w:jc w:val="left"/>
        <w:rPr>
          <w:color w:val="auto"/>
          <w:kern w:val="0"/>
          <w:sz w:val="20"/>
          <w:szCs w:val="20"/>
          <w:highlight w:val="none"/>
          <w:lang w:eastAsia="zh-Hans"/>
        </w:rPr>
      </w:pPr>
      <w:r>
        <w:rPr>
          <w:rFonts w:ascii="宋体" w:hAnsi="宋体"/>
          <w:color w:val="auto"/>
          <w:kern w:val="0"/>
          <w:szCs w:val="21"/>
          <w:highlight w:val="none"/>
          <w:lang w:eastAsia="zh-Hans"/>
        </w:rPr>
        <w:t>7.投诉人为自然人的，投诉书应当由本人签字；投诉人为法人或者其他组织的，投诉书应当由法定代表人、主要负责人，或者其授权代表签字或者盖章，并加盖公章。</w:t>
      </w:r>
    </w:p>
    <w:bookmarkEnd w:id="67"/>
    <w:p w14:paraId="1D9AC70A">
      <w:pPr>
        <w:pageBreakBefore/>
        <w:rPr>
          <w:color w:val="auto"/>
          <w:kern w:val="0"/>
          <w:sz w:val="20"/>
          <w:szCs w:val="20"/>
          <w:highlight w:val="none"/>
          <w:lang w:eastAsia="zh-Hans"/>
        </w:rPr>
      </w:pPr>
      <w:bookmarkStart w:id="68" w:name="_Toc169799806"/>
      <w:r>
        <w:rPr>
          <w:rFonts w:ascii="宋体" w:hAnsi="宋体"/>
          <w:b/>
          <w:bCs/>
          <w:color w:val="auto"/>
          <w:sz w:val="24"/>
          <w:szCs w:val="28"/>
          <w:highlight w:val="none"/>
        </w:rPr>
        <w:t>格式二十</w:t>
      </w:r>
      <w:r>
        <w:rPr>
          <w:rFonts w:hint="eastAsia" w:ascii="宋体" w:hAnsi="宋体"/>
          <w:b/>
          <w:bCs/>
          <w:color w:val="auto"/>
          <w:sz w:val="24"/>
          <w:szCs w:val="28"/>
          <w:highlight w:val="none"/>
          <w:lang w:val="en-US" w:eastAsia="zh-CN"/>
        </w:rPr>
        <w:t>一</w:t>
      </w:r>
      <w:r>
        <w:rPr>
          <w:rFonts w:ascii="宋体" w:hAnsi="宋体"/>
          <w:b/>
          <w:bCs/>
          <w:color w:val="auto"/>
          <w:sz w:val="24"/>
          <w:szCs w:val="28"/>
          <w:highlight w:val="none"/>
        </w:rPr>
        <w:t>：</w:t>
      </w:r>
      <w:bookmarkEnd w:id="68"/>
    </w:p>
    <w:p w14:paraId="55D289B9">
      <w:pPr>
        <w:widowControl/>
        <w:jc w:val="left"/>
        <w:rPr>
          <w:color w:val="auto"/>
          <w:kern w:val="0"/>
          <w:sz w:val="20"/>
          <w:szCs w:val="20"/>
          <w:highlight w:val="none"/>
          <w:lang w:eastAsia="zh-Hans"/>
        </w:rPr>
      </w:pPr>
      <w:r>
        <w:rPr>
          <w:color w:val="auto"/>
          <w:kern w:val="0"/>
          <w:sz w:val="20"/>
          <w:szCs w:val="20"/>
          <w:highlight w:val="none"/>
          <w:lang w:eastAsia="zh-Hans"/>
        </w:rPr>
        <w:t>（以下格式文件由供应商根据需要选用）</w:t>
      </w:r>
    </w:p>
    <w:p w14:paraId="67FEECD5">
      <w:pPr>
        <w:spacing w:line="360" w:lineRule="auto"/>
        <w:rPr>
          <w:rFonts w:asciiTheme="minorEastAsia" w:hAnsiTheme="minorEastAsia" w:eastAsiaTheme="minorEastAsia"/>
          <w:color w:val="auto"/>
          <w:highlight w:val="none"/>
        </w:rPr>
      </w:pPr>
      <w:r>
        <w:rPr>
          <w:rFonts w:hint="eastAsia"/>
          <w:color w:val="auto"/>
          <w:sz w:val="20"/>
          <w:szCs w:val="20"/>
          <w:highlight w:val="none"/>
          <w:lang w:eastAsia="zh-Hans"/>
        </w:rPr>
        <w:t>项目实施方案、服务质量保障措施、服务应急方案、保安人员配备及管理方案、人员应急预案和保障措施等内容和格式自拟。</w:t>
      </w:r>
    </w:p>
    <w:sectPr>
      <w:footerReference r:id="rId3" w:type="default"/>
      <w:pgSz w:w="11906" w:h="16838"/>
      <w:pgMar w:top="1418" w:right="1418" w:bottom="1418" w:left="1418" w:header="851" w:footer="595" w:gutter="0"/>
      <w:pgBorders>
        <w:top w:val="none" w:sz="0" w:space="0"/>
        <w:left w:val="none" w:sz="0" w:space="0"/>
        <w:bottom w:val="none" w:sz="0" w:space="0"/>
        <w:right w:val="none" w:sz="0" w:space="0"/>
      </w:pgBorders>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58923FF4">
        <w:pPr>
          <w:pStyle w:val="13"/>
          <w:jc w:val="center"/>
        </w:pPr>
        <w:r>
          <w:fldChar w:fldCharType="begin"/>
        </w:r>
        <w:r>
          <w:instrText xml:space="preserve">PAGE   \* MERGEFORMAT</w:instrText>
        </w:r>
        <w:r>
          <w:fldChar w:fldCharType="separate"/>
        </w:r>
        <w:r>
          <w:rPr>
            <w:lang w:val="zh-CN"/>
          </w:rPr>
          <w:t>2</w:t>
        </w:r>
        <w:r>
          <w:fldChar w:fldCharType="end"/>
        </w:r>
      </w:p>
    </w:sdtContent>
  </w:sdt>
  <w:p w14:paraId="2B068E8E">
    <w:pPr>
      <w:pStyle w:val="13"/>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A92FC7"/>
    <w:multiLevelType w:val="multilevel"/>
    <w:tmpl w:val="AEA92FC7"/>
    <w:lvl w:ilvl="0" w:tentative="0">
      <w:start w:val="1"/>
      <w:numFmt w:val="decimal"/>
      <w:lvlText w:val="%1"/>
      <w:lvlJc w:val="left"/>
      <w:pPr>
        <w:ind w:left="420" w:hanging="420"/>
      </w:pPr>
      <w:rPr>
        <w:rFonts w:hint="default"/>
        <w:b w:val="0"/>
        <w:bCs/>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FA64BE0B"/>
    <w:multiLevelType w:val="singleLevel"/>
    <w:tmpl w:val="FA64BE0B"/>
    <w:lvl w:ilvl="0" w:tentative="0">
      <w:start w:val="1"/>
      <w:numFmt w:val="decimal"/>
      <w:lvlText w:val="(%1)"/>
      <w:lvlJc w:val="left"/>
      <w:pPr>
        <w:ind w:left="425" w:hanging="425"/>
      </w:pPr>
      <w:rPr>
        <w:rFonts w:hint="default"/>
      </w:rPr>
    </w:lvl>
  </w:abstractNum>
  <w:abstractNum w:abstractNumId="2">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21"/>
    <w:multiLevelType w:val="multilevel"/>
    <w:tmpl w:val="0000002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000006F"/>
    <w:multiLevelType w:val="multilevel"/>
    <w:tmpl w:val="0000006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0EED154E"/>
    <w:multiLevelType w:val="singleLevel"/>
    <w:tmpl w:val="0EED154E"/>
    <w:lvl w:ilvl="0" w:tentative="0">
      <w:start w:val="1"/>
      <w:numFmt w:val="decimal"/>
      <w:lvlText w:val="(%1)"/>
      <w:lvlJc w:val="left"/>
      <w:pPr>
        <w:ind w:left="425" w:hanging="425"/>
      </w:pPr>
      <w:rPr>
        <w:rFonts w:hint="default"/>
      </w:rPr>
    </w:lvl>
  </w:abstractNum>
  <w:abstractNum w:abstractNumId="22">
    <w:nsid w:val="10043CDF"/>
    <w:multiLevelType w:val="singleLevel"/>
    <w:tmpl w:val="10043CDF"/>
    <w:lvl w:ilvl="0" w:tentative="0">
      <w:start w:val="1"/>
      <w:numFmt w:val="chineseCounting"/>
      <w:suff w:val="nothing"/>
      <w:lvlText w:val="%1、"/>
      <w:lvlJc w:val="left"/>
      <w:pPr>
        <w:ind w:left="0" w:firstLine="420"/>
      </w:pPr>
      <w:rPr>
        <w:rFonts w:hint="eastAsia"/>
      </w:rPr>
    </w:lvl>
  </w:abstractNum>
  <w:abstractNum w:abstractNumId="23">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16EE1903"/>
    <w:multiLevelType w:val="multilevel"/>
    <w:tmpl w:val="16EE1903"/>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19678C09"/>
    <w:multiLevelType w:val="singleLevel"/>
    <w:tmpl w:val="19678C09"/>
    <w:lvl w:ilvl="0" w:tentative="0">
      <w:start w:val="1"/>
      <w:numFmt w:val="decimal"/>
      <w:lvlText w:val="(%1)"/>
      <w:lvlJc w:val="left"/>
      <w:pPr>
        <w:ind w:left="425" w:hanging="425"/>
      </w:pPr>
      <w:rPr>
        <w:rFonts w:hint="default"/>
      </w:rPr>
    </w:lvl>
  </w:abstractNum>
  <w:abstractNum w:abstractNumId="31">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1FA8E042"/>
    <w:multiLevelType w:val="singleLevel"/>
    <w:tmpl w:val="1FA8E042"/>
    <w:lvl w:ilvl="0" w:tentative="0">
      <w:start w:val="1"/>
      <w:numFmt w:val="decimal"/>
      <w:lvlText w:val="(%1)"/>
      <w:lvlJc w:val="left"/>
      <w:pPr>
        <w:ind w:left="425" w:hanging="425"/>
      </w:pPr>
      <w:rPr>
        <w:rFonts w:hint="default"/>
      </w:rPr>
    </w:lvl>
  </w:abstractNum>
  <w:abstractNum w:abstractNumId="34">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7">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39AC2A00"/>
    <w:multiLevelType w:val="multilevel"/>
    <w:tmpl w:val="39AC2A00"/>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3">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45B9030C"/>
    <w:multiLevelType w:val="multilevel"/>
    <w:tmpl w:val="45B9030C"/>
    <w:lvl w:ilvl="0" w:tentative="0">
      <w:start w:val="1"/>
      <w:numFmt w:val="decimal"/>
      <w:lvlText w:val="%1"/>
      <w:lvlJc w:val="left"/>
      <w:pPr>
        <w:ind w:left="420" w:hanging="420"/>
      </w:pPr>
      <w:rPr>
        <w:rFonts w:hint="default"/>
        <w:b w:val="0"/>
        <w:bCs/>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CCE3DE1"/>
    <w:multiLevelType w:val="multilevel"/>
    <w:tmpl w:val="4CCE3DE1"/>
    <w:lvl w:ilvl="0" w:tentative="0">
      <w:start w:val="1"/>
      <w:numFmt w:val="decimal"/>
      <w:lvlText w:val="%1"/>
      <w:lvlJc w:val="left"/>
      <w:pPr>
        <w:ind w:left="420" w:hanging="420"/>
      </w:pPr>
      <w:rPr>
        <w:rFonts w:hint="default"/>
        <w:b w:val="0"/>
        <w:bCs/>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7">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8">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58FDE115"/>
    <w:multiLevelType w:val="singleLevel"/>
    <w:tmpl w:val="58FDE115"/>
    <w:lvl w:ilvl="0" w:tentative="0">
      <w:start w:val="1"/>
      <w:numFmt w:val="decimal"/>
      <w:lvlText w:val="(%1)"/>
      <w:lvlJc w:val="left"/>
      <w:pPr>
        <w:ind w:left="425" w:hanging="425"/>
      </w:pPr>
      <w:rPr>
        <w:rFonts w:hint="default"/>
      </w:rPr>
    </w:lvl>
  </w:abstractNum>
  <w:abstractNum w:abstractNumId="71">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6023B8AE"/>
    <w:multiLevelType w:val="singleLevel"/>
    <w:tmpl w:val="6023B8AE"/>
    <w:lvl w:ilvl="0" w:tentative="0">
      <w:start w:val="1"/>
      <w:numFmt w:val="decimal"/>
      <w:lvlText w:val="(%1)"/>
      <w:lvlJc w:val="left"/>
      <w:pPr>
        <w:ind w:left="425" w:hanging="425"/>
      </w:pPr>
      <w:rPr>
        <w:rFonts w:hint="default"/>
      </w:rPr>
    </w:lvl>
  </w:abstractNum>
  <w:abstractNum w:abstractNumId="75">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E36BB6C"/>
    <w:multiLevelType w:val="singleLevel"/>
    <w:tmpl w:val="6E36BB6C"/>
    <w:lvl w:ilvl="0" w:tentative="0">
      <w:start w:val="1"/>
      <w:numFmt w:val="decimal"/>
      <w:lvlText w:val="(%1)"/>
      <w:lvlJc w:val="left"/>
      <w:pPr>
        <w:ind w:left="425" w:hanging="425"/>
      </w:pPr>
      <w:rPr>
        <w:rFonts w:hint="default"/>
        <w:b w:val="0"/>
        <w:bCs w:val="0"/>
      </w:rPr>
    </w:lvl>
  </w:abstractNum>
  <w:abstractNum w:abstractNumId="86">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6EA1888A"/>
    <w:multiLevelType w:val="multilevel"/>
    <w:tmpl w:val="6EA1888A"/>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3">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4">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46"/>
  </w:num>
  <w:num w:numId="2">
    <w:abstractNumId w:val="23"/>
  </w:num>
  <w:num w:numId="3">
    <w:abstractNumId w:val="43"/>
  </w:num>
  <w:num w:numId="4">
    <w:abstractNumId w:val="42"/>
  </w:num>
  <w:num w:numId="5">
    <w:abstractNumId w:val="19"/>
  </w:num>
  <w:num w:numId="6">
    <w:abstractNumId w:val="93"/>
  </w:num>
  <w:num w:numId="7">
    <w:abstractNumId w:val="68"/>
  </w:num>
  <w:num w:numId="8">
    <w:abstractNumId w:val="92"/>
  </w:num>
  <w:num w:numId="9">
    <w:abstractNumId w:val="13"/>
  </w:num>
  <w:num w:numId="10">
    <w:abstractNumId w:val="35"/>
  </w:num>
  <w:num w:numId="11">
    <w:abstractNumId w:val="49"/>
  </w:num>
  <w:num w:numId="12">
    <w:abstractNumId w:val="28"/>
  </w:num>
  <w:num w:numId="13">
    <w:abstractNumId w:val="70"/>
  </w:num>
  <w:num w:numId="14">
    <w:abstractNumId w:val="74"/>
  </w:num>
  <w:num w:numId="15">
    <w:abstractNumId w:val="87"/>
  </w:num>
  <w:num w:numId="16">
    <w:abstractNumId w:val="55"/>
  </w:num>
  <w:num w:numId="17">
    <w:abstractNumId w:val="31"/>
  </w:num>
  <w:num w:numId="18">
    <w:abstractNumId w:val="14"/>
  </w:num>
  <w:num w:numId="19">
    <w:abstractNumId w:val="16"/>
  </w:num>
  <w:num w:numId="20">
    <w:abstractNumId w:val="15"/>
  </w:num>
  <w:num w:numId="21">
    <w:abstractNumId w:val="94"/>
  </w:num>
  <w:num w:numId="22">
    <w:abstractNumId w:val="24"/>
  </w:num>
  <w:num w:numId="23">
    <w:abstractNumId w:val="47"/>
  </w:num>
  <w:num w:numId="24">
    <w:abstractNumId w:val="48"/>
  </w:num>
  <w:num w:numId="25">
    <w:abstractNumId w:val="17"/>
  </w:num>
  <w:num w:numId="26">
    <w:abstractNumId w:val="86"/>
  </w:num>
  <w:num w:numId="27">
    <w:abstractNumId w:val="18"/>
  </w:num>
  <w:num w:numId="28">
    <w:abstractNumId w:val="9"/>
  </w:num>
  <w:num w:numId="29">
    <w:abstractNumId w:val="88"/>
  </w:num>
  <w:num w:numId="30">
    <w:abstractNumId w:val="71"/>
  </w:num>
  <w:num w:numId="31">
    <w:abstractNumId w:val="29"/>
  </w:num>
  <w:num w:numId="32">
    <w:abstractNumId w:val="44"/>
  </w:num>
  <w:num w:numId="33">
    <w:abstractNumId w:val="27"/>
  </w:num>
  <w:num w:numId="34">
    <w:abstractNumId w:val="62"/>
  </w:num>
  <w:num w:numId="35">
    <w:abstractNumId w:val="81"/>
  </w:num>
  <w:num w:numId="36">
    <w:abstractNumId w:val="53"/>
  </w:num>
  <w:num w:numId="37">
    <w:abstractNumId w:val="89"/>
  </w:num>
  <w:num w:numId="38">
    <w:abstractNumId w:val="73"/>
  </w:num>
  <w:num w:numId="39">
    <w:abstractNumId w:val="63"/>
  </w:num>
  <w:num w:numId="40">
    <w:abstractNumId w:val="41"/>
  </w:num>
  <w:num w:numId="41">
    <w:abstractNumId w:val="12"/>
  </w:num>
  <w:num w:numId="42">
    <w:abstractNumId w:val="32"/>
  </w:num>
  <w:num w:numId="43">
    <w:abstractNumId w:val="57"/>
  </w:num>
  <w:num w:numId="44">
    <w:abstractNumId w:val="72"/>
  </w:num>
  <w:num w:numId="45">
    <w:abstractNumId w:val="61"/>
  </w:num>
  <w:num w:numId="46">
    <w:abstractNumId w:val="82"/>
  </w:num>
  <w:num w:numId="47">
    <w:abstractNumId w:val="38"/>
  </w:num>
  <w:num w:numId="48">
    <w:abstractNumId w:val="84"/>
  </w:num>
  <w:num w:numId="49">
    <w:abstractNumId w:val="37"/>
  </w:num>
  <w:num w:numId="50">
    <w:abstractNumId w:val="79"/>
  </w:num>
  <w:num w:numId="51">
    <w:abstractNumId w:val="58"/>
  </w:num>
  <w:num w:numId="52">
    <w:abstractNumId w:val="65"/>
  </w:num>
  <w:num w:numId="53">
    <w:abstractNumId w:val="45"/>
  </w:num>
  <w:num w:numId="54">
    <w:abstractNumId w:val="11"/>
  </w:num>
  <w:num w:numId="55">
    <w:abstractNumId w:val="20"/>
  </w:num>
  <w:num w:numId="56">
    <w:abstractNumId w:val="54"/>
  </w:num>
  <w:num w:numId="57">
    <w:abstractNumId w:val="75"/>
  </w:num>
  <w:num w:numId="58">
    <w:abstractNumId w:val="69"/>
  </w:num>
  <w:num w:numId="59">
    <w:abstractNumId w:val="52"/>
  </w:num>
  <w:num w:numId="60">
    <w:abstractNumId w:val="66"/>
  </w:num>
  <w:num w:numId="61">
    <w:abstractNumId w:val="34"/>
  </w:num>
  <w:num w:numId="62">
    <w:abstractNumId w:val="91"/>
  </w:num>
  <w:num w:numId="63">
    <w:abstractNumId w:val="10"/>
  </w:num>
  <w:num w:numId="64">
    <w:abstractNumId w:val="76"/>
  </w:num>
  <w:num w:numId="65">
    <w:abstractNumId w:val="60"/>
  </w:num>
  <w:num w:numId="66">
    <w:abstractNumId w:val="56"/>
  </w:num>
  <w:num w:numId="67">
    <w:abstractNumId w:val="36"/>
  </w:num>
  <w:num w:numId="68">
    <w:abstractNumId w:val="67"/>
  </w:num>
  <w:num w:numId="69">
    <w:abstractNumId w:val="25"/>
  </w:num>
  <w:num w:numId="70">
    <w:abstractNumId w:val="90"/>
  </w:num>
  <w:num w:numId="71">
    <w:abstractNumId w:val="83"/>
  </w:num>
  <w:num w:numId="72">
    <w:abstractNumId w:val="39"/>
  </w:num>
  <w:num w:numId="73">
    <w:abstractNumId w:val="26"/>
  </w:num>
  <w:num w:numId="74">
    <w:abstractNumId w:val="77"/>
  </w:num>
  <w:num w:numId="75">
    <w:abstractNumId w:val="5"/>
  </w:num>
  <w:num w:numId="76">
    <w:abstractNumId w:val="3"/>
  </w:num>
  <w:num w:numId="77">
    <w:abstractNumId w:val="8"/>
  </w:num>
  <w:num w:numId="78">
    <w:abstractNumId w:val="33"/>
  </w:num>
  <w:num w:numId="79">
    <w:abstractNumId w:val="59"/>
  </w:num>
  <w:num w:numId="80">
    <w:abstractNumId w:val="21"/>
  </w:num>
  <w:num w:numId="81">
    <w:abstractNumId w:val="30"/>
  </w:num>
  <w:num w:numId="82">
    <w:abstractNumId w:val="64"/>
  </w:num>
  <w:num w:numId="83">
    <w:abstractNumId w:val="1"/>
  </w:num>
  <w:num w:numId="84">
    <w:abstractNumId w:val="85"/>
  </w:num>
  <w:num w:numId="85">
    <w:abstractNumId w:val="0"/>
  </w:num>
  <w:num w:numId="86">
    <w:abstractNumId w:val="2"/>
  </w:num>
  <w:num w:numId="87">
    <w:abstractNumId w:val="4"/>
  </w:num>
  <w:num w:numId="88">
    <w:abstractNumId w:val="40"/>
  </w:num>
  <w:num w:numId="89">
    <w:abstractNumId w:val="51"/>
  </w:num>
  <w:num w:numId="90">
    <w:abstractNumId w:val="80"/>
  </w:num>
  <w:num w:numId="91">
    <w:abstractNumId w:val="6"/>
  </w:num>
  <w:num w:numId="92">
    <w:abstractNumId w:val="7"/>
  </w:num>
  <w:num w:numId="93">
    <w:abstractNumId w:val="22"/>
  </w:num>
  <w:num w:numId="94">
    <w:abstractNumId w:val="78"/>
  </w:num>
  <w:num w:numId="95">
    <w:abstractNumId w:val="5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1DCB"/>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1C"/>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15A62EC"/>
    <w:rsid w:val="01664B39"/>
    <w:rsid w:val="01EE2BD1"/>
    <w:rsid w:val="02521F48"/>
    <w:rsid w:val="025751E3"/>
    <w:rsid w:val="027C3D6B"/>
    <w:rsid w:val="02D15920"/>
    <w:rsid w:val="02E430B2"/>
    <w:rsid w:val="032F3749"/>
    <w:rsid w:val="033B6E7D"/>
    <w:rsid w:val="033D6862"/>
    <w:rsid w:val="04705D21"/>
    <w:rsid w:val="04B907F2"/>
    <w:rsid w:val="04FD0A58"/>
    <w:rsid w:val="05212394"/>
    <w:rsid w:val="056D353A"/>
    <w:rsid w:val="059D3E1F"/>
    <w:rsid w:val="05F257ED"/>
    <w:rsid w:val="06CC69E5"/>
    <w:rsid w:val="079C1EB4"/>
    <w:rsid w:val="07E860A9"/>
    <w:rsid w:val="081710BE"/>
    <w:rsid w:val="08275C22"/>
    <w:rsid w:val="0897772C"/>
    <w:rsid w:val="099D3B73"/>
    <w:rsid w:val="09CD27F9"/>
    <w:rsid w:val="09EA0C98"/>
    <w:rsid w:val="0A864C93"/>
    <w:rsid w:val="0A8E51BD"/>
    <w:rsid w:val="0AC6015C"/>
    <w:rsid w:val="0AE37FA3"/>
    <w:rsid w:val="0B7078E0"/>
    <w:rsid w:val="0D4841CF"/>
    <w:rsid w:val="0DAB1750"/>
    <w:rsid w:val="0EAF6487"/>
    <w:rsid w:val="0EE632F1"/>
    <w:rsid w:val="0FCE2E27"/>
    <w:rsid w:val="10071369"/>
    <w:rsid w:val="10401F77"/>
    <w:rsid w:val="11647A4F"/>
    <w:rsid w:val="119613BE"/>
    <w:rsid w:val="11AE1162"/>
    <w:rsid w:val="11B928CB"/>
    <w:rsid w:val="11CD7934"/>
    <w:rsid w:val="134C0C32"/>
    <w:rsid w:val="13500A5C"/>
    <w:rsid w:val="13BB7B66"/>
    <w:rsid w:val="144A1184"/>
    <w:rsid w:val="15610299"/>
    <w:rsid w:val="15D53161"/>
    <w:rsid w:val="16797F90"/>
    <w:rsid w:val="175C5A0C"/>
    <w:rsid w:val="18976EEF"/>
    <w:rsid w:val="19780C73"/>
    <w:rsid w:val="19930995"/>
    <w:rsid w:val="19EC0A79"/>
    <w:rsid w:val="1A166D8F"/>
    <w:rsid w:val="1A230ABD"/>
    <w:rsid w:val="1A6D6992"/>
    <w:rsid w:val="1A80578E"/>
    <w:rsid w:val="1B307BF4"/>
    <w:rsid w:val="1B8D3B96"/>
    <w:rsid w:val="1C461CD9"/>
    <w:rsid w:val="1D69418F"/>
    <w:rsid w:val="1E0C16EA"/>
    <w:rsid w:val="1EA27C15"/>
    <w:rsid w:val="1FCB2032"/>
    <w:rsid w:val="1FCC2F8A"/>
    <w:rsid w:val="202C6073"/>
    <w:rsid w:val="203B1A9A"/>
    <w:rsid w:val="206F41B2"/>
    <w:rsid w:val="209E23A2"/>
    <w:rsid w:val="21EA18AD"/>
    <w:rsid w:val="21EE02B8"/>
    <w:rsid w:val="227E704A"/>
    <w:rsid w:val="230010F2"/>
    <w:rsid w:val="23386ADD"/>
    <w:rsid w:val="237154E5"/>
    <w:rsid w:val="23A979DB"/>
    <w:rsid w:val="250C6474"/>
    <w:rsid w:val="254E083A"/>
    <w:rsid w:val="25733DFD"/>
    <w:rsid w:val="25891872"/>
    <w:rsid w:val="2673093B"/>
    <w:rsid w:val="26794A16"/>
    <w:rsid w:val="278B691B"/>
    <w:rsid w:val="27901D6C"/>
    <w:rsid w:val="27D52D46"/>
    <w:rsid w:val="27F009E7"/>
    <w:rsid w:val="28173165"/>
    <w:rsid w:val="284D6B87"/>
    <w:rsid w:val="28AF339E"/>
    <w:rsid w:val="28B46C06"/>
    <w:rsid w:val="28C037FD"/>
    <w:rsid w:val="28C055AB"/>
    <w:rsid w:val="28D97B12"/>
    <w:rsid w:val="2ACD4D26"/>
    <w:rsid w:val="2DB87198"/>
    <w:rsid w:val="2ED31DB0"/>
    <w:rsid w:val="2F155DA1"/>
    <w:rsid w:val="2F6C5313"/>
    <w:rsid w:val="2FA006FA"/>
    <w:rsid w:val="30EC3490"/>
    <w:rsid w:val="31896E18"/>
    <w:rsid w:val="324A4137"/>
    <w:rsid w:val="32E47AED"/>
    <w:rsid w:val="33581EED"/>
    <w:rsid w:val="3371728B"/>
    <w:rsid w:val="33C46C09"/>
    <w:rsid w:val="351705A2"/>
    <w:rsid w:val="357F234A"/>
    <w:rsid w:val="36455341"/>
    <w:rsid w:val="366C2AEB"/>
    <w:rsid w:val="36E0506A"/>
    <w:rsid w:val="371F7A20"/>
    <w:rsid w:val="377E04A5"/>
    <w:rsid w:val="38981C91"/>
    <w:rsid w:val="38F961F6"/>
    <w:rsid w:val="394624FA"/>
    <w:rsid w:val="3A4D1600"/>
    <w:rsid w:val="3A8328DC"/>
    <w:rsid w:val="3AC8541F"/>
    <w:rsid w:val="3BB50897"/>
    <w:rsid w:val="3CF4361D"/>
    <w:rsid w:val="3D72777A"/>
    <w:rsid w:val="3DCC7B36"/>
    <w:rsid w:val="3EEF4B85"/>
    <w:rsid w:val="3EF618CF"/>
    <w:rsid w:val="3F4A1C1A"/>
    <w:rsid w:val="3FDC40F2"/>
    <w:rsid w:val="406250BB"/>
    <w:rsid w:val="406E5EDF"/>
    <w:rsid w:val="41C51BBE"/>
    <w:rsid w:val="41DD7C7C"/>
    <w:rsid w:val="42033710"/>
    <w:rsid w:val="4245123D"/>
    <w:rsid w:val="42DA5063"/>
    <w:rsid w:val="42E13849"/>
    <w:rsid w:val="434703D0"/>
    <w:rsid w:val="43760FB2"/>
    <w:rsid w:val="43D761B4"/>
    <w:rsid w:val="447B71C5"/>
    <w:rsid w:val="448F7DDB"/>
    <w:rsid w:val="44B813D4"/>
    <w:rsid w:val="44DE52DF"/>
    <w:rsid w:val="45835E86"/>
    <w:rsid w:val="45C5685E"/>
    <w:rsid w:val="46765418"/>
    <w:rsid w:val="469B15DD"/>
    <w:rsid w:val="47B60184"/>
    <w:rsid w:val="47CC42DC"/>
    <w:rsid w:val="47DE73A4"/>
    <w:rsid w:val="497C189B"/>
    <w:rsid w:val="49A4496C"/>
    <w:rsid w:val="49DE0F52"/>
    <w:rsid w:val="4A56349A"/>
    <w:rsid w:val="4A715DE4"/>
    <w:rsid w:val="4A977AF4"/>
    <w:rsid w:val="4AB368C6"/>
    <w:rsid w:val="4B8B45E0"/>
    <w:rsid w:val="4C045886"/>
    <w:rsid w:val="4C8147A2"/>
    <w:rsid w:val="4D8331E2"/>
    <w:rsid w:val="4D9E773D"/>
    <w:rsid w:val="4DF77AD5"/>
    <w:rsid w:val="4E191136"/>
    <w:rsid w:val="4E4E286F"/>
    <w:rsid w:val="4E9F7009"/>
    <w:rsid w:val="4F0A5FD9"/>
    <w:rsid w:val="4F0F079A"/>
    <w:rsid w:val="4F2A1CC8"/>
    <w:rsid w:val="4F3F6884"/>
    <w:rsid w:val="506D728C"/>
    <w:rsid w:val="51532BB1"/>
    <w:rsid w:val="518C60C3"/>
    <w:rsid w:val="51965659"/>
    <w:rsid w:val="52012A35"/>
    <w:rsid w:val="520965EE"/>
    <w:rsid w:val="52BA3556"/>
    <w:rsid w:val="52EF3DCD"/>
    <w:rsid w:val="534A1D91"/>
    <w:rsid w:val="539E5689"/>
    <w:rsid w:val="53FC16E4"/>
    <w:rsid w:val="54652092"/>
    <w:rsid w:val="550C363E"/>
    <w:rsid w:val="551B5793"/>
    <w:rsid w:val="554A04C4"/>
    <w:rsid w:val="559357DD"/>
    <w:rsid w:val="566D0271"/>
    <w:rsid w:val="56FA5424"/>
    <w:rsid w:val="57671164"/>
    <w:rsid w:val="58421289"/>
    <w:rsid w:val="58BA52C3"/>
    <w:rsid w:val="58FD3402"/>
    <w:rsid w:val="59244AC5"/>
    <w:rsid w:val="599B3347"/>
    <w:rsid w:val="5AA1673B"/>
    <w:rsid w:val="5AFA409D"/>
    <w:rsid w:val="5B280C0A"/>
    <w:rsid w:val="5B435A44"/>
    <w:rsid w:val="5B615ECA"/>
    <w:rsid w:val="5C1A041F"/>
    <w:rsid w:val="5C880946"/>
    <w:rsid w:val="5D2D075A"/>
    <w:rsid w:val="5D891708"/>
    <w:rsid w:val="5ED241D9"/>
    <w:rsid w:val="5F2462A5"/>
    <w:rsid w:val="60194FC5"/>
    <w:rsid w:val="609D5721"/>
    <w:rsid w:val="61572E28"/>
    <w:rsid w:val="627956E9"/>
    <w:rsid w:val="62886432"/>
    <w:rsid w:val="63452E4E"/>
    <w:rsid w:val="63700796"/>
    <w:rsid w:val="638C48B6"/>
    <w:rsid w:val="64DE7F56"/>
    <w:rsid w:val="65874EDE"/>
    <w:rsid w:val="65BB718D"/>
    <w:rsid w:val="66161F0A"/>
    <w:rsid w:val="69AE49D0"/>
    <w:rsid w:val="69C441F4"/>
    <w:rsid w:val="6A082C8B"/>
    <w:rsid w:val="6A0C16F7"/>
    <w:rsid w:val="6AB02EC8"/>
    <w:rsid w:val="6AEE5A3A"/>
    <w:rsid w:val="6B23545E"/>
    <w:rsid w:val="6C726189"/>
    <w:rsid w:val="6C967816"/>
    <w:rsid w:val="6D2C0565"/>
    <w:rsid w:val="6D927D32"/>
    <w:rsid w:val="6DAB4FF7"/>
    <w:rsid w:val="6E7C32EF"/>
    <w:rsid w:val="6EE4141B"/>
    <w:rsid w:val="6F60051B"/>
    <w:rsid w:val="6FBF9311"/>
    <w:rsid w:val="6FC808A6"/>
    <w:rsid w:val="70114CEC"/>
    <w:rsid w:val="709366CE"/>
    <w:rsid w:val="72005FE5"/>
    <w:rsid w:val="720E1DF4"/>
    <w:rsid w:val="726447C6"/>
    <w:rsid w:val="73741484"/>
    <w:rsid w:val="73F118BD"/>
    <w:rsid w:val="75EB1BC8"/>
    <w:rsid w:val="75FE283B"/>
    <w:rsid w:val="76FA74A7"/>
    <w:rsid w:val="779F016E"/>
    <w:rsid w:val="77C912FA"/>
    <w:rsid w:val="77D9530E"/>
    <w:rsid w:val="77DF38AB"/>
    <w:rsid w:val="7874746A"/>
    <w:rsid w:val="787A7F08"/>
    <w:rsid w:val="797A042B"/>
    <w:rsid w:val="798B088A"/>
    <w:rsid w:val="7B1D62C4"/>
    <w:rsid w:val="7B2745E3"/>
    <w:rsid w:val="7B635E88"/>
    <w:rsid w:val="7BD77DB7"/>
    <w:rsid w:val="7C5F1143"/>
    <w:rsid w:val="7C8B294F"/>
    <w:rsid w:val="7DB30F95"/>
    <w:rsid w:val="7DBF4FA6"/>
    <w:rsid w:val="7E435D95"/>
    <w:rsid w:val="7E4C62D2"/>
    <w:rsid w:val="7E9717CF"/>
    <w:rsid w:val="7EF173E1"/>
    <w:rsid w:val="7F641075"/>
    <w:rsid w:val="7FDA1C8A"/>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63"/>
    <w:unhideWhenUsed/>
    <w:qFormat/>
    <w:uiPriority w:val="99"/>
    <w:rPr>
      <w:rFonts w:ascii="宋体" w:hAnsiTheme="minorHAnsi" w:cstheme="minorBidi"/>
      <w:sz w:val="18"/>
      <w:szCs w:val="18"/>
    </w:rPr>
  </w:style>
  <w:style w:type="paragraph" w:styleId="7">
    <w:name w:val="annotation text"/>
    <w:basedOn w:val="1"/>
    <w:link w:val="34"/>
    <w:unhideWhenUsed/>
    <w:qFormat/>
    <w:uiPriority w:val="99"/>
    <w:pPr>
      <w:jc w:val="left"/>
    </w:pPr>
  </w:style>
  <w:style w:type="paragraph" w:styleId="8">
    <w:name w:val="Body Text"/>
    <w:basedOn w:val="1"/>
    <w:link w:val="56"/>
    <w:qFormat/>
    <w:uiPriority w:val="0"/>
    <w:pPr>
      <w:spacing w:after="120"/>
    </w:pPr>
    <w:rPr>
      <w:rFonts w:ascii="Times New Roman" w:hAnsi="Times New Roman"/>
      <w:szCs w:val="24"/>
    </w:r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51"/>
    <w:qFormat/>
    <w:uiPriority w:val="0"/>
    <w:rPr>
      <w:rFonts w:ascii="宋体" w:hAnsi="Courier New" w:cstheme="minorBidi"/>
      <w:szCs w:val="24"/>
    </w:rPr>
  </w:style>
  <w:style w:type="paragraph" w:styleId="11">
    <w:name w:val="Date"/>
    <w:basedOn w:val="1"/>
    <w:next w:val="1"/>
    <w:link w:val="46"/>
    <w:unhideWhenUsed/>
    <w:qFormat/>
    <w:uiPriority w:val="0"/>
    <w:pPr>
      <w:ind w:left="100" w:leftChars="2500"/>
    </w:pPr>
    <w:rPr>
      <w:rFonts w:asciiTheme="minorHAnsi" w:hAnsiTheme="minorHAnsi" w:eastAsiaTheme="minorEastAsia" w:cstheme="minorBidi"/>
    </w:rPr>
  </w:style>
  <w:style w:type="paragraph" w:styleId="12">
    <w:name w:val="Balloon Text"/>
    <w:basedOn w:val="1"/>
    <w:link w:val="31"/>
    <w:unhideWhenUsed/>
    <w:qFormat/>
    <w:uiPriority w:val="99"/>
    <w:rPr>
      <w:sz w:val="18"/>
      <w:szCs w:val="18"/>
    </w:rPr>
  </w:style>
  <w:style w:type="paragraph" w:styleId="13">
    <w:name w:val="footer"/>
    <w:basedOn w:val="1"/>
    <w:link w:val="36"/>
    <w:unhideWhenUsed/>
    <w:qFormat/>
    <w:uiPriority w:val="99"/>
    <w:pPr>
      <w:tabs>
        <w:tab w:val="center" w:pos="4153"/>
        <w:tab w:val="right" w:pos="8306"/>
      </w:tabs>
      <w:snapToGrid w:val="0"/>
      <w:jc w:val="left"/>
    </w:pPr>
    <w:rPr>
      <w:sz w:val="18"/>
      <w:szCs w:val="18"/>
    </w:rPr>
  </w:style>
  <w:style w:type="paragraph" w:styleId="14">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6">
    <w:name w:val="footnote text"/>
    <w:basedOn w:val="1"/>
    <w:link w:val="76"/>
    <w:semiHidden/>
    <w:unhideWhenUsed/>
    <w:qFormat/>
    <w:uiPriority w:val="99"/>
    <w:pPr>
      <w:snapToGrid w:val="0"/>
      <w:jc w:val="left"/>
    </w:pPr>
    <w:rPr>
      <w:sz w:val="18"/>
      <w:szCs w:val="18"/>
    </w:rPr>
  </w:style>
  <w:style w:type="paragraph" w:styleId="17">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9">
    <w:name w:val="Normal (Web)"/>
    <w:basedOn w:val="1"/>
    <w:link w:val="66"/>
    <w:qFormat/>
    <w:uiPriority w:val="0"/>
    <w:pPr>
      <w:widowControl/>
      <w:spacing w:before="100" w:beforeAutospacing="1" w:after="100" w:afterAutospacing="1"/>
      <w:jc w:val="left"/>
    </w:pPr>
    <w:rPr>
      <w:rFonts w:ascii="宋体" w:hAnsi="宋体"/>
      <w:kern w:val="0"/>
      <w:sz w:val="24"/>
      <w:szCs w:val="24"/>
    </w:rPr>
  </w:style>
  <w:style w:type="paragraph" w:styleId="20">
    <w:name w:val="Title"/>
    <w:basedOn w:val="1"/>
    <w:next w:val="1"/>
    <w:link w:val="40"/>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1">
    <w:name w:val="annotation subject"/>
    <w:basedOn w:val="7"/>
    <w:next w:val="7"/>
    <w:link w:val="41"/>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Emphasis"/>
    <w:basedOn w:val="24"/>
    <w:qFormat/>
    <w:uiPriority w:val="20"/>
    <w:rPr>
      <w:i/>
      <w:iCs/>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styleId="30">
    <w:name w:val="footnote reference"/>
    <w:basedOn w:val="24"/>
    <w:semiHidden/>
    <w:unhideWhenUsed/>
    <w:qFormat/>
    <w:uiPriority w:val="99"/>
    <w:rPr>
      <w:vertAlign w:val="superscript"/>
    </w:rPr>
  </w:style>
  <w:style w:type="character" w:customStyle="1" w:styleId="31">
    <w:name w:val="批注框文本 字符"/>
    <w:basedOn w:val="24"/>
    <w:link w:val="12"/>
    <w:semiHidden/>
    <w:qFormat/>
    <w:uiPriority w:val="99"/>
    <w:rPr>
      <w:rFonts w:ascii="Calibri" w:hAnsi="Calibri" w:eastAsia="宋体" w:cs="Times New Roman"/>
      <w:sz w:val="18"/>
      <w:szCs w:val="18"/>
    </w:rPr>
  </w:style>
  <w:style w:type="paragraph" w:customStyle="1" w:styleId="32">
    <w:name w:val="列表段落1"/>
    <w:basedOn w:val="1"/>
    <w:link w:val="33"/>
    <w:qFormat/>
    <w:uiPriority w:val="34"/>
    <w:pPr>
      <w:ind w:firstLine="420" w:firstLineChars="200"/>
    </w:pPr>
  </w:style>
  <w:style w:type="character" w:customStyle="1" w:styleId="33">
    <w:name w:val="列表段落 字符"/>
    <w:link w:val="32"/>
    <w:qFormat/>
    <w:uiPriority w:val="34"/>
    <w:rPr>
      <w:rFonts w:ascii="Calibri" w:hAnsi="Calibri" w:eastAsia="宋体" w:cs="Times New Roman"/>
    </w:rPr>
  </w:style>
  <w:style w:type="character" w:customStyle="1" w:styleId="34">
    <w:name w:val="批注文字 字符"/>
    <w:basedOn w:val="24"/>
    <w:link w:val="7"/>
    <w:qFormat/>
    <w:uiPriority w:val="99"/>
    <w:rPr>
      <w:rFonts w:ascii="Calibri" w:hAnsi="Calibri" w:eastAsia="宋体" w:cs="Times New Roman"/>
    </w:rPr>
  </w:style>
  <w:style w:type="character" w:customStyle="1" w:styleId="35">
    <w:name w:val="页眉 字符"/>
    <w:basedOn w:val="24"/>
    <w:link w:val="14"/>
    <w:qFormat/>
    <w:uiPriority w:val="0"/>
    <w:rPr>
      <w:rFonts w:ascii="Calibri" w:hAnsi="Calibri" w:eastAsia="宋体" w:cs="Times New Roman"/>
      <w:sz w:val="18"/>
      <w:szCs w:val="18"/>
    </w:rPr>
  </w:style>
  <w:style w:type="character" w:customStyle="1" w:styleId="36">
    <w:name w:val="页脚 字符"/>
    <w:basedOn w:val="24"/>
    <w:link w:val="13"/>
    <w:qFormat/>
    <w:uiPriority w:val="99"/>
    <w:rPr>
      <w:rFonts w:ascii="Calibri" w:hAnsi="Calibri" w:eastAsia="宋体" w:cs="Times New Roman"/>
      <w:sz w:val="18"/>
      <w:szCs w:val="18"/>
    </w:rPr>
  </w:style>
  <w:style w:type="character" w:customStyle="1" w:styleId="37">
    <w:name w:val="标题 1 字符"/>
    <w:basedOn w:val="24"/>
    <w:link w:val="2"/>
    <w:qFormat/>
    <w:uiPriority w:val="9"/>
    <w:rPr>
      <w:rFonts w:ascii="Calibri" w:hAnsi="Calibri" w:eastAsia="宋体" w:cs="Times New Roman"/>
      <w:b/>
      <w:bCs/>
      <w:kern w:val="44"/>
      <w:sz w:val="44"/>
      <w:szCs w:val="44"/>
    </w:rPr>
  </w:style>
  <w:style w:type="paragraph" w:customStyle="1" w:styleId="38">
    <w:name w:val="列出段落1"/>
    <w:basedOn w:val="1"/>
    <w:qFormat/>
    <w:uiPriority w:val="34"/>
    <w:pPr>
      <w:ind w:firstLine="420" w:firstLineChars="200"/>
    </w:pPr>
    <w:rPr>
      <w:rFonts w:cs="黑体"/>
    </w:rPr>
  </w:style>
  <w:style w:type="paragraph" w:customStyle="1" w:styleId="39">
    <w:name w:val="样式4"/>
    <w:basedOn w:val="1"/>
    <w:qFormat/>
    <w:uiPriority w:val="0"/>
    <w:pPr>
      <w:tabs>
        <w:tab w:val="left" w:pos="2328"/>
      </w:tabs>
      <w:ind w:left="2328" w:hanging="708"/>
    </w:pPr>
    <w:rPr>
      <w:rFonts w:ascii="Times New Roman" w:hAnsi="Times New Roman"/>
      <w:szCs w:val="24"/>
    </w:rPr>
  </w:style>
  <w:style w:type="character" w:customStyle="1" w:styleId="40">
    <w:name w:val="标题 字符"/>
    <w:basedOn w:val="24"/>
    <w:link w:val="20"/>
    <w:qFormat/>
    <w:uiPriority w:val="0"/>
    <w:rPr>
      <w:rFonts w:ascii="Cambria" w:hAnsi="Cambria" w:eastAsia="宋体" w:cs="Times New Roman"/>
      <w:b/>
      <w:bCs/>
      <w:kern w:val="0"/>
      <w:sz w:val="32"/>
      <w:szCs w:val="32"/>
    </w:rPr>
  </w:style>
  <w:style w:type="character" w:customStyle="1" w:styleId="41">
    <w:name w:val="批注主题 字符"/>
    <w:basedOn w:val="34"/>
    <w:link w:val="21"/>
    <w:semiHidden/>
    <w:qFormat/>
    <w:uiPriority w:val="99"/>
    <w:rPr>
      <w:rFonts w:ascii="Calibri" w:hAnsi="Calibri" w:eastAsia="宋体" w:cs="Times New Roman"/>
      <w:b/>
      <w:bCs/>
    </w:rPr>
  </w:style>
  <w:style w:type="character" w:customStyle="1" w:styleId="42">
    <w:name w:val="批注文字 Char"/>
    <w:basedOn w:val="24"/>
    <w:qFormat/>
    <w:uiPriority w:val="0"/>
  </w:style>
  <w:style w:type="character" w:customStyle="1" w:styleId="43">
    <w:name w:val="标题 2 字符"/>
    <w:basedOn w:val="24"/>
    <w:link w:val="3"/>
    <w:qFormat/>
    <w:uiPriority w:val="9"/>
    <w:rPr>
      <w:rFonts w:asciiTheme="majorHAnsi" w:hAnsiTheme="majorHAnsi" w:eastAsiaTheme="majorEastAsia" w:cstheme="majorBidi"/>
      <w:b/>
      <w:bCs/>
      <w:sz w:val="32"/>
      <w:szCs w:val="32"/>
    </w:rPr>
  </w:style>
  <w:style w:type="character" w:customStyle="1" w:styleId="44">
    <w:name w:val="标题 3 字符"/>
    <w:basedOn w:val="24"/>
    <w:link w:val="4"/>
    <w:semiHidden/>
    <w:qFormat/>
    <w:uiPriority w:val="9"/>
    <w:rPr>
      <w:b/>
      <w:bCs/>
      <w:sz w:val="32"/>
      <w:szCs w:val="32"/>
    </w:rPr>
  </w:style>
  <w:style w:type="character" w:customStyle="1" w:styleId="45">
    <w:name w:val="标题 4 字符"/>
    <w:basedOn w:val="24"/>
    <w:link w:val="5"/>
    <w:semiHidden/>
    <w:qFormat/>
    <w:uiPriority w:val="9"/>
    <w:rPr>
      <w:rFonts w:asciiTheme="majorHAnsi" w:hAnsiTheme="majorHAnsi" w:eastAsiaTheme="majorEastAsia" w:cstheme="majorBidi"/>
      <w:b/>
      <w:bCs/>
      <w:sz w:val="28"/>
      <w:szCs w:val="28"/>
    </w:rPr>
  </w:style>
  <w:style w:type="character" w:customStyle="1" w:styleId="46">
    <w:name w:val="日期 字符"/>
    <w:basedOn w:val="24"/>
    <w:link w:val="11"/>
    <w:qFormat/>
    <w:uiPriority w:val="99"/>
  </w:style>
  <w:style w:type="character" w:customStyle="1" w:styleId="47">
    <w:name w:val="p141"/>
    <w:qFormat/>
    <w:uiPriority w:val="0"/>
    <w:rPr>
      <w:sz w:val="21"/>
      <w:szCs w:val="21"/>
    </w:rPr>
  </w:style>
  <w:style w:type="paragraph" w:customStyle="1" w:styleId="4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9">
    <w:name w:val="正文缩进2格"/>
    <w:basedOn w:val="1"/>
    <w:link w:val="50"/>
    <w:qFormat/>
    <w:uiPriority w:val="0"/>
    <w:pPr>
      <w:spacing w:line="600" w:lineRule="exact"/>
      <w:ind w:firstLine="639" w:firstLineChars="206"/>
    </w:pPr>
    <w:rPr>
      <w:rFonts w:ascii="仿宋_GB2312" w:hAnsi="宋体" w:eastAsia="仿宋_GB2312"/>
      <w:sz w:val="31"/>
      <w:szCs w:val="28"/>
    </w:rPr>
  </w:style>
  <w:style w:type="character" w:customStyle="1" w:styleId="50">
    <w:name w:val="正文缩进2格 Char"/>
    <w:link w:val="49"/>
    <w:qFormat/>
    <w:uiPriority w:val="0"/>
    <w:rPr>
      <w:rFonts w:ascii="仿宋_GB2312" w:hAnsi="宋体" w:eastAsia="仿宋_GB2312" w:cs="Times New Roman"/>
      <w:sz w:val="31"/>
      <w:szCs w:val="28"/>
    </w:rPr>
  </w:style>
  <w:style w:type="character" w:customStyle="1" w:styleId="51">
    <w:name w:val="纯文本 字符"/>
    <w:basedOn w:val="24"/>
    <w:link w:val="10"/>
    <w:qFormat/>
    <w:uiPriority w:val="0"/>
    <w:rPr>
      <w:rFonts w:ascii="宋体" w:hAnsi="Courier New" w:eastAsia="宋体"/>
      <w:szCs w:val="24"/>
    </w:rPr>
  </w:style>
  <w:style w:type="character" w:customStyle="1" w:styleId="52">
    <w:name w:val="纯文本 字符1"/>
    <w:basedOn w:val="24"/>
    <w:semiHidden/>
    <w:qFormat/>
    <w:uiPriority w:val="99"/>
    <w:rPr>
      <w:rFonts w:hAnsi="Courier New" w:cs="Courier New" w:asciiTheme="minorEastAsia"/>
    </w:rPr>
  </w:style>
  <w:style w:type="character" w:customStyle="1" w:styleId="53">
    <w:name w:val="纯文本 Char"/>
    <w:basedOn w:val="24"/>
    <w:semiHidden/>
    <w:qFormat/>
    <w:uiPriority w:val="99"/>
    <w:rPr>
      <w:rFonts w:ascii="宋体" w:hAnsi="Courier New" w:eastAsia="宋体" w:cs="Courier New"/>
      <w:szCs w:val="21"/>
    </w:rPr>
  </w:style>
  <w:style w:type="character" w:customStyle="1" w:styleId="54">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55">
    <w:name w:val="正文缩进4格"/>
    <w:basedOn w:val="49"/>
    <w:qFormat/>
    <w:uiPriority w:val="0"/>
    <w:pPr>
      <w:spacing w:line="340" w:lineRule="exact"/>
      <w:ind w:firstLine="315" w:firstLineChars="0"/>
    </w:pPr>
    <w:rPr>
      <w:rFonts w:ascii="宋体" w:eastAsia="宋体"/>
      <w:sz w:val="24"/>
      <w:szCs w:val="24"/>
    </w:rPr>
  </w:style>
  <w:style w:type="character" w:customStyle="1" w:styleId="56">
    <w:name w:val="正文文本 字符"/>
    <w:basedOn w:val="24"/>
    <w:link w:val="8"/>
    <w:qFormat/>
    <w:uiPriority w:val="0"/>
    <w:rPr>
      <w:rFonts w:ascii="Times New Roman" w:hAnsi="Times New Roman" w:eastAsia="宋体" w:cs="Times New Roman"/>
      <w:szCs w:val="24"/>
    </w:rPr>
  </w:style>
  <w:style w:type="character" w:customStyle="1" w:styleId="57">
    <w:name w:val="正文文本 Char"/>
    <w:basedOn w:val="24"/>
    <w:semiHidden/>
    <w:qFormat/>
    <w:uiPriority w:val="99"/>
  </w:style>
  <w:style w:type="paragraph" w:customStyle="1" w:styleId="58">
    <w:name w:val="保留正文"/>
    <w:basedOn w:val="8"/>
    <w:qFormat/>
    <w:uiPriority w:val="0"/>
    <w:pPr>
      <w:keepNext/>
      <w:spacing w:after="160"/>
    </w:pPr>
  </w:style>
  <w:style w:type="paragraph" w:customStyle="1" w:styleId="5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0">
    <w:name w:val="_Style 202"/>
    <w:basedOn w:val="1"/>
    <w:qFormat/>
    <w:uiPriority w:val="0"/>
    <w:pPr>
      <w:tabs>
        <w:tab w:val="left" w:pos="360"/>
      </w:tabs>
    </w:pPr>
    <w:rPr>
      <w:rFonts w:ascii="Times New Roman" w:hAnsi="Times New Roman"/>
      <w:szCs w:val="24"/>
    </w:rPr>
  </w:style>
  <w:style w:type="paragraph" w:customStyle="1" w:styleId="61">
    <w:name w:val="Char1 Char Char Char"/>
    <w:basedOn w:val="1"/>
    <w:qFormat/>
    <w:uiPriority w:val="0"/>
    <w:rPr>
      <w:rFonts w:ascii="黑体" w:hAnsi="Verdana" w:eastAsia="黑体"/>
      <w:kern w:val="0"/>
      <w:sz w:val="32"/>
      <w:szCs w:val="32"/>
      <w:lang w:eastAsia="en-US"/>
    </w:rPr>
  </w:style>
  <w:style w:type="paragraph" w:customStyle="1" w:styleId="62">
    <w:name w:val="1 Char Char Char Char"/>
    <w:basedOn w:val="1"/>
    <w:qFormat/>
    <w:uiPriority w:val="0"/>
    <w:pPr>
      <w:spacing w:after="160" w:line="240" w:lineRule="exact"/>
    </w:pPr>
    <w:rPr>
      <w:rFonts w:ascii="Times New Roman" w:hAnsi="Times New Roman"/>
      <w:szCs w:val="24"/>
    </w:rPr>
  </w:style>
  <w:style w:type="character" w:customStyle="1" w:styleId="63">
    <w:name w:val="文档结构图 字符"/>
    <w:basedOn w:val="24"/>
    <w:link w:val="6"/>
    <w:semiHidden/>
    <w:qFormat/>
    <w:uiPriority w:val="99"/>
    <w:rPr>
      <w:rFonts w:ascii="宋体" w:eastAsia="宋体"/>
      <w:sz w:val="18"/>
      <w:szCs w:val="18"/>
    </w:rPr>
  </w:style>
  <w:style w:type="paragraph" w:customStyle="1" w:styleId="64">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5">
    <w:name w:val="："/>
    <w:basedOn w:val="1"/>
    <w:qFormat/>
    <w:uiPriority w:val="0"/>
    <w:rPr>
      <w:rFonts w:ascii="Times New Roman" w:hAnsi="Times New Roman"/>
      <w:szCs w:val="24"/>
    </w:rPr>
  </w:style>
  <w:style w:type="character" w:customStyle="1" w:styleId="66">
    <w:name w:val="普通(网站) 字符"/>
    <w:link w:val="19"/>
    <w:qFormat/>
    <w:uiPriority w:val="99"/>
    <w:rPr>
      <w:rFonts w:ascii="宋体" w:hAnsi="宋体" w:eastAsia="宋体" w:cs="Times New Roman"/>
      <w:kern w:val="0"/>
      <w:sz w:val="24"/>
      <w:szCs w:val="24"/>
    </w:rPr>
  </w:style>
  <w:style w:type="paragraph" w:customStyle="1" w:styleId="67">
    <w:name w:val="表正文"/>
    <w:basedOn w:val="1"/>
    <w:next w:val="19"/>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8">
    <w:name w:val="修订2"/>
    <w:hidden/>
    <w:semiHidden/>
    <w:qFormat/>
    <w:uiPriority w:val="99"/>
    <w:rPr>
      <w:rFonts w:ascii="Calibri" w:hAnsi="Calibri" w:eastAsia="宋体" w:cs="Times New Roman"/>
      <w:kern w:val="2"/>
      <w:sz w:val="21"/>
      <w:szCs w:val="22"/>
      <w:lang w:val="en-US" w:eastAsia="zh-CN" w:bidi="ar-SA"/>
    </w:rPr>
  </w:style>
  <w:style w:type="paragraph" w:customStyle="1" w:styleId="69">
    <w:name w:val="修订3"/>
    <w:hidden/>
    <w:semiHidden/>
    <w:qFormat/>
    <w:uiPriority w:val="99"/>
    <w:rPr>
      <w:rFonts w:ascii="Calibri" w:hAnsi="Calibri" w:eastAsia="宋体" w:cs="Times New Roman"/>
      <w:kern w:val="2"/>
      <w:sz w:val="21"/>
      <w:szCs w:val="22"/>
      <w:lang w:val="en-US" w:eastAsia="zh-CN" w:bidi="ar-SA"/>
    </w:rPr>
  </w:style>
  <w:style w:type="paragraph" w:styleId="70">
    <w:name w:val="List Paragraph"/>
    <w:basedOn w:val="1"/>
    <w:link w:val="71"/>
    <w:qFormat/>
    <w:uiPriority w:val="34"/>
    <w:pPr>
      <w:ind w:firstLine="420" w:firstLineChars="200"/>
    </w:pPr>
  </w:style>
  <w:style w:type="character" w:customStyle="1" w:styleId="71">
    <w:name w:val="列表段落 字符1"/>
    <w:link w:val="70"/>
    <w:qFormat/>
    <w:uiPriority w:val="0"/>
    <w:rPr>
      <w:rFonts w:ascii="Calibri" w:hAnsi="Calibri"/>
      <w:kern w:val="2"/>
      <w:sz w:val="21"/>
      <w:szCs w:val="22"/>
    </w:rPr>
  </w:style>
  <w:style w:type="paragraph" w:customStyle="1" w:styleId="72">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3">
    <w:name w:val="Unresolved Mention"/>
    <w:basedOn w:val="24"/>
    <w:semiHidden/>
    <w:unhideWhenUsed/>
    <w:qFormat/>
    <w:uiPriority w:val="99"/>
    <w:rPr>
      <w:color w:val="605E5C"/>
      <w:shd w:val="clear" w:color="auto" w:fill="E1DFDD"/>
    </w:rPr>
  </w:style>
  <w:style w:type="paragraph" w:customStyle="1" w:styleId="74">
    <w:name w:val="null3"/>
    <w:hidden/>
    <w:qFormat/>
    <w:uiPriority w:val="0"/>
    <w:rPr>
      <w:rFonts w:hint="eastAsia" w:asciiTheme="minorHAnsi" w:hAnsiTheme="minorHAnsi" w:eastAsiaTheme="minorEastAsia" w:cstheme="minorBidi"/>
      <w:lang w:val="en-US" w:eastAsia="zh-Hans" w:bidi="ar-SA"/>
    </w:rPr>
  </w:style>
  <w:style w:type="table" w:customStyle="1" w:styleId="75">
    <w:name w:val="网格型1"/>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6">
    <w:name w:val="脚注文本 字符"/>
    <w:basedOn w:val="24"/>
    <w:link w:val="16"/>
    <w:semiHidden/>
    <w:qFormat/>
    <w:uiPriority w:val="99"/>
    <w:rPr>
      <w:rFonts w:ascii="Calibri" w:hAnsi="Calibri"/>
      <w:kern w:val="2"/>
      <w:sz w:val="18"/>
      <w:szCs w:val="18"/>
    </w:rPr>
  </w:style>
  <w:style w:type="paragraph" w:customStyle="1" w:styleId="7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8">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989437-5E2C-4323-AB6B-58283608333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66</Pages>
  <Words>5938</Words>
  <Characters>6237</Characters>
  <Lines>370</Lines>
  <Paragraphs>104</Paragraphs>
  <TotalTime>0</TotalTime>
  <ScaleCrop>false</ScaleCrop>
  <LinksUpToDate>false</LinksUpToDate>
  <CharactersWithSpaces>6329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WPS_1618902804</cp:lastModifiedBy>
  <cp:lastPrinted>2025-07-28T09:54:00Z</cp:lastPrinted>
  <dcterms:modified xsi:type="dcterms:W3CDTF">2025-09-10T03:57:04Z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5FB7159D75BF48D69E79FAE1CDD8DB7B_12</vt:lpwstr>
  </property>
  <property fmtid="{D5CDD505-2E9C-101B-9397-08002B2CF9AE}" pid="4" name="KSOTemplateDocerSaveRecord">
    <vt:lpwstr>eyJoZGlkIjoiZmRhMmFmYjM3OWE4N2ViMTFmMDk1NGM5ZGE2M2MzZDciLCJ1c2VySWQiOiIxMjA2MDMyMjUwIn0=</vt:lpwstr>
  </property>
</Properties>
</file>