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keepNext w:val="0"/>
        <w:keepLines w:val="0"/>
        <w:pageBreakBefore w:val="0"/>
        <w:widowControl w:val="0"/>
        <w:kinsoku/>
        <w:wordWrap/>
        <w:overflowPunct/>
        <w:topLinePunct w:val="0"/>
        <w:autoSpaceDE/>
        <w:autoSpaceDN/>
        <w:bidi w:val="0"/>
        <w:adjustRightInd/>
        <w:snapToGrid/>
        <w:spacing w:before="437" w:beforeLines="100" w:after="437" w:afterLines="100" w:line="360" w:lineRule="auto"/>
        <w:jc w:val="center"/>
        <w:textAlignment w:val="auto"/>
        <w:rPr>
          <w:rFonts w:hint="eastAsia" w:ascii="宋体" w:hAnsi="宋体" w:eastAsia="宋体"/>
          <w:b/>
          <w:bCs/>
          <w:snapToGrid w:val="0"/>
          <w:spacing w:val="22"/>
          <w:kern w:val="0"/>
          <w:sz w:val="112"/>
          <w:szCs w:val="112"/>
        </w:rPr>
      </w:pPr>
      <w:r>
        <w:rPr>
          <w:rFonts w:hint="eastAsia" w:ascii="宋体" w:hAnsi="宋体" w:eastAsia="宋体"/>
          <w:b/>
          <w:bCs/>
          <w:snapToGrid w:val="0"/>
          <w:spacing w:val="22"/>
          <w:kern w:val="0"/>
          <w:sz w:val="112"/>
          <w:szCs w:val="112"/>
        </w:rPr>
        <w:t>招标文件</w:t>
      </w:r>
    </w:p>
    <w:p w14:paraId="446CA223">
      <w:pPr>
        <w:keepNext w:val="0"/>
        <w:keepLines w:val="0"/>
        <w:pageBreakBefore w:val="0"/>
        <w:widowControl w:val="0"/>
        <w:kinsoku/>
        <w:wordWrap/>
        <w:overflowPunct/>
        <w:topLinePunct w:val="0"/>
        <w:autoSpaceDE/>
        <w:autoSpaceDN/>
        <w:bidi w:val="0"/>
        <w:adjustRightInd/>
        <w:snapToGrid/>
        <w:spacing w:before="437" w:beforeLines="100" w:after="437" w:afterLines="100" w:line="360" w:lineRule="auto"/>
        <w:jc w:val="center"/>
        <w:textAlignment w:val="auto"/>
        <w:rPr>
          <w:rFonts w:hint="eastAsia"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354070" cy="3281045"/>
            <wp:effectExtent l="0" t="0" r="17780" b="14605"/>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354070" cy="3281045"/>
                    </a:xfrm>
                    <a:prstGeom prst="rect">
                      <a:avLst/>
                    </a:prstGeom>
                    <a:noFill/>
                    <a:ln>
                      <a:noFill/>
                    </a:ln>
                  </pic:spPr>
                </pic:pic>
              </a:graphicData>
            </a:graphic>
          </wp:inline>
        </w:drawing>
      </w:r>
    </w:p>
    <w:p w14:paraId="1694DFF9">
      <w:pPr>
        <w:pStyle w:val="22"/>
        <w:tabs>
          <w:tab w:val="left" w:pos="9072"/>
        </w:tabs>
        <w:spacing w:line="640" w:lineRule="exact"/>
        <w:ind w:firstLine="826" w:firstLineChars="235"/>
        <w:outlineLvl w:val="3"/>
        <w:rPr>
          <w:rFonts w:ascii="宋体" w:hAnsi="宋体" w:eastAsia="宋体"/>
          <w:sz w:val="35"/>
          <w:szCs w:val="35"/>
          <w:lang w:eastAsia="zh-CN"/>
        </w:rPr>
      </w:pPr>
      <w:r>
        <w:rPr>
          <w:rFonts w:ascii="宋体" w:hAnsi="宋体" w:eastAsia="宋体"/>
          <w:b/>
          <w:sz w:val="35"/>
          <w:szCs w:val="35"/>
        </w:rPr>
        <w:t>项目编号：ZHDGZC2025076</w:t>
      </w:r>
    </w:p>
    <w:p w14:paraId="68612354">
      <w:pPr>
        <w:pStyle w:val="22"/>
        <w:spacing w:line="640" w:lineRule="exact"/>
        <w:ind w:left="2744" w:leftChars="400" w:hanging="1904" w:hangingChars="542"/>
        <w:outlineLvl w:val="3"/>
        <w:rPr>
          <w:rFonts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寮步镇塘唇村、浮竹山村、石龙坑村2025年专项项目运营采购项目</w:t>
      </w:r>
    </w:p>
    <w:p w14:paraId="71953F7B">
      <w:pPr>
        <w:pStyle w:val="22"/>
        <w:spacing w:line="640" w:lineRule="exact"/>
        <w:ind w:left="2744" w:leftChars="400" w:hanging="1904" w:hangingChars="542"/>
        <w:outlineLvl w:val="3"/>
        <w:rPr>
          <w:rFonts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东莞市寮步镇塘唇股份经济联合社、东莞市寮步镇浮竹山股份经济联合社、东莞市寮步镇石龙坑股份经济联合社</w:t>
      </w:r>
    </w:p>
    <w:p w14:paraId="05B13617">
      <w:pPr>
        <w:pStyle w:val="22"/>
        <w:spacing w:line="640" w:lineRule="exact"/>
        <w:ind w:firstLine="826" w:firstLineChars="235"/>
        <w:outlineLvl w:val="3"/>
        <w:rPr>
          <w:rFonts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6"/>
            <w:keepNext w:val="0"/>
            <w:keepLines w:val="0"/>
            <w:pageBreakBefore/>
            <w:widowControl w:val="0"/>
            <w:jc w:val="center"/>
            <w:rPr>
              <w:rFonts w:hint="eastAsia"/>
              <w:color w:val="auto"/>
            </w:rPr>
          </w:pPr>
          <w:r>
            <w:rPr>
              <w:rFonts w:ascii="宋体" w:hAnsi="宋体" w:eastAsia="宋体"/>
              <w:b/>
              <w:bCs/>
              <w:color w:val="auto"/>
              <w:sz w:val="36"/>
              <w:szCs w:val="36"/>
              <w:lang w:val="zh-CN"/>
            </w:rPr>
            <w:t>目录</w:t>
          </w:r>
        </w:p>
        <w:p w14:paraId="1DB790CF">
          <w:pPr>
            <w:pStyle w:val="11"/>
            <w:tabs>
              <w:tab w:val="right" w:leader="dot" w:pos="9231"/>
            </w:tabs>
            <w:spacing w:line="360" w:lineRule="auto"/>
            <w:ind w:left="419" w:leftChars="68" w:hanging="276" w:hangingChars="115"/>
            <w:rPr>
              <w:rFonts w:hint="eastAsia"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20"/>
              <w:rFonts w:ascii="宋体" w:hAnsi="宋体" w:eastAsia="宋体" w:cs="Times New Roman"/>
              <w:kern w:val="0"/>
              <w:sz w:val="24"/>
              <w:szCs w:val="24"/>
              <w:lang w:eastAsia="zh-Hans"/>
            </w:rPr>
            <w:t>第一章</w:t>
          </w:r>
          <w:r>
            <w:rPr>
              <w:rStyle w:val="20"/>
              <w:rFonts w:ascii="宋体" w:hAnsi="宋体" w:eastAsia="宋体" w:cs="Times New Roman"/>
              <w:kern w:val="0"/>
              <w:sz w:val="24"/>
              <w:szCs w:val="24"/>
            </w:rPr>
            <w:t xml:space="preserve"> </w:t>
          </w:r>
          <w:r>
            <w:rPr>
              <w:rStyle w:val="20"/>
              <w:rFonts w:ascii="宋体" w:hAnsi="宋体" w:eastAsia="宋体" w:cs="Times New Roman"/>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263B132B">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"_Toc169807541" </w:instrText>
          </w:r>
          <w:r>
            <w:fldChar w:fldCharType="separate"/>
          </w:r>
          <w:r>
            <w:rPr>
              <w:rStyle w:val="20"/>
              <w:rFonts w:ascii="宋体" w:hAnsi="宋体" w:eastAsia="宋体" w:cs="Times New Roman"/>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14:paraId="435B146A">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"_Toc169807542" </w:instrText>
          </w:r>
          <w:r>
            <w:fldChar w:fldCharType="separate"/>
          </w:r>
          <w:r>
            <w:rPr>
              <w:rStyle w:val="20"/>
              <w:rFonts w:ascii="宋体" w:hAnsi="宋体" w:eastAsia="宋体" w:cs="Times New Roman"/>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18</w:t>
          </w:r>
          <w:r>
            <w:rPr>
              <w:rFonts w:ascii="宋体" w:hAnsi="宋体" w:eastAsia="宋体"/>
              <w:sz w:val="24"/>
              <w:szCs w:val="24"/>
            </w:rPr>
            <w:fldChar w:fldCharType="end"/>
          </w:r>
          <w:r>
            <w:rPr>
              <w:rFonts w:ascii="宋体" w:hAnsi="宋体" w:eastAsia="宋体"/>
              <w:sz w:val="24"/>
              <w:szCs w:val="24"/>
            </w:rPr>
            <w:fldChar w:fldCharType="end"/>
          </w:r>
        </w:p>
        <w:p w14:paraId="182AFE67">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"_Toc169807543" </w:instrText>
          </w:r>
          <w:r>
            <w:fldChar w:fldCharType="separate"/>
          </w:r>
          <w:r>
            <w:rPr>
              <w:rStyle w:val="20"/>
              <w:rFonts w:ascii="宋体" w:hAnsi="宋体" w:eastAsia="宋体" w:cs="Times New Roman"/>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29</w:t>
          </w:r>
          <w:r>
            <w:rPr>
              <w:rFonts w:ascii="宋体" w:hAnsi="宋体" w:eastAsia="宋体"/>
              <w:sz w:val="24"/>
              <w:szCs w:val="24"/>
            </w:rPr>
            <w:fldChar w:fldCharType="end"/>
          </w:r>
          <w:r>
            <w:rPr>
              <w:rFonts w:ascii="宋体" w:hAnsi="宋体" w:eastAsia="宋体"/>
              <w:sz w:val="24"/>
              <w:szCs w:val="24"/>
            </w:rPr>
            <w:fldChar w:fldCharType="end"/>
          </w:r>
        </w:p>
        <w:p w14:paraId="446E6B5E">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"_Toc169807544" </w:instrText>
          </w:r>
          <w:r>
            <w:fldChar w:fldCharType="separate"/>
          </w:r>
          <w:r>
            <w:rPr>
              <w:rStyle w:val="20"/>
              <w:rFonts w:ascii="宋体" w:hAnsi="宋体" w:eastAsia="宋体" w:cs="Times New Roman"/>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38</w:t>
          </w:r>
          <w:r>
            <w:rPr>
              <w:rFonts w:ascii="宋体" w:hAnsi="宋体" w:eastAsia="宋体"/>
              <w:sz w:val="24"/>
              <w:szCs w:val="24"/>
            </w:rPr>
            <w:fldChar w:fldCharType="end"/>
          </w:r>
          <w:r>
            <w:rPr>
              <w:rFonts w:ascii="宋体" w:hAnsi="宋体" w:eastAsia="宋体"/>
              <w:sz w:val="24"/>
              <w:szCs w:val="24"/>
            </w:rPr>
            <w:fldChar w:fldCharType="end"/>
          </w:r>
        </w:p>
        <w:p w14:paraId="5B19C698">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"_Toc169807545" </w:instrText>
          </w:r>
          <w:r>
            <w:fldChar w:fldCharType="separate"/>
          </w:r>
          <w:r>
            <w:rPr>
              <w:rStyle w:val="20"/>
              <w:rFonts w:ascii="宋体" w:hAnsi="宋体" w:eastAsia="宋体" w:cs="Times New Roman"/>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56</w:t>
          </w:r>
          <w:r>
            <w:rPr>
              <w:rFonts w:ascii="宋体" w:hAnsi="宋体" w:eastAsia="宋体"/>
              <w:sz w:val="24"/>
              <w:szCs w:val="24"/>
            </w:rPr>
            <w:fldChar w:fldCharType="end"/>
          </w:r>
          <w:r>
            <w:rPr>
              <w:rFonts w:ascii="宋体" w:hAnsi="宋体" w:eastAsia="宋体"/>
              <w:sz w:val="24"/>
              <w:szCs w:val="24"/>
            </w:rPr>
            <w:fldChar w:fldCharType="end"/>
          </w:r>
        </w:p>
        <w:p w14:paraId="3D0AA173">
          <w:pPr>
            <w:rPr>
              <w:rFonts w:hint="eastAsia" w:ascii="宋体" w:hAnsi="宋体" w:eastAsia="宋体"/>
              <w:sz w:val="24"/>
              <w:szCs w:val="24"/>
            </w:rPr>
          </w:pPr>
          <w:r>
            <w:rPr>
              <w:rFonts w:ascii="宋体" w:hAnsi="宋体" w:eastAsia="宋体"/>
              <w:sz w:val="24"/>
              <w:szCs w:val="24"/>
              <w:lang w:val="zh-CN"/>
            </w:rPr>
            <w:fldChar w:fldCharType="end"/>
          </w:r>
        </w:p>
      </w:sdtContent>
    </w:sdt>
    <w:p w14:paraId="42670E7A">
      <w:pPr>
        <w:pStyle w:val="22"/>
        <w:outlineLvl w:val="3"/>
        <w:rPr>
          <w:rFonts w:ascii="宋体" w:hAnsi="宋体" w:eastAsia="宋体"/>
          <w:sz w:val="24"/>
          <w:szCs w:val="24"/>
          <w:lang w:eastAsia="zh-CN"/>
        </w:rPr>
      </w:pPr>
    </w:p>
    <w:p w14:paraId="7C734534">
      <w:pPr>
        <w:pStyle w:val="22"/>
        <w:rPr>
          <w:rFonts w:ascii="宋体" w:hAnsi="宋体" w:eastAsia="宋体"/>
          <w:lang w:eastAsia="zh-CN"/>
        </w:rPr>
      </w:pPr>
    </w:p>
    <w:p w14:paraId="3FDBEE04">
      <w:pPr>
        <w:pageBreakBefore/>
        <w:jc w:val="center"/>
        <w:outlineLvl w:val="1"/>
        <w:rPr>
          <w:rFonts w:ascii="Calibri" w:hAnsi="Calibri" w:eastAsia="宋体" w:cs="Times New Roman"/>
          <w:kern w:val="0"/>
          <w:sz w:val="20"/>
          <w:szCs w:val="20"/>
          <w:lang w:eastAsia="zh-Hans"/>
        </w:rPr>
      </w:pPr>
      <w:bookmarkStart w:id="0" w:name="_Toc169807540"/>
      <w:bookmarkStart w:id="1" w:name="_Toc169799778"/>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7346F0A2">
      <w:pPr>
        <w:widowControl/>
        <w:ind w:firstLine="420" w:firstLineChars="200"/>
        <w:jc w:val="left"/>
        <w:rPr>
          <w:rFonts w:hint="eastAsia" w:ascii="宋体" w:hAnsi="宋体" w:eastAsia="宋体" w:cs="Times New Roman"/>
          <w:kern w:val="0"/>
          <w:szCs w:val="21"/>
          <w:lang w:eastAsia="zh-Hans"/>
        </w:rPr>
      </w:pPr>
      <w:r>
        <w:rPr>
          <w:rFonts w:hint="eastAsia" w:ascii="宋体" w:hAnsi="宋体" w:eastAsia="宋体" w:cs="Times New Roman"/>
          <w:color w:val="auto"/>
          <w:kern w:val="0"/>
          <w:szCs w:val="21"/>
          <w:u w:val="single"/>
        </w:rPr>
        <w:t>（寮步镇塘唇村、浮竹山村、石龙坑村2025年专项项目运营采购项目）</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lang w:val="en-US" w:eastAsia="zh-CN"/>
        </w:rPr>
        <w:t>09</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15</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lang w:val="en-US" w:eastAsia="zh-CN"/>
        </w:rPr>
        <w:t>00</w:t>
      </w:r>
      <w:r>
        <w:rPr>
          <w:rFonts w:ascii="宋体" w:hAnsi="宋体" w:eastAsia="宋体" w:cs="Times New Roman"/>
          <w:color w:val="auto"/>
          <w:kern w:val="0"/>
          <w:szCs w:val="21"/>
          <w:lang w:eastAsia="zh-Hans"/>
        </w:rPr>
        <w:t>分（北京时间）前递</w:t>
      </w:r>
      <w:r>
        <w:rPr>
          <w:rFonts w:ascii="宋体" w:hAnsi="宋体" w:eastAsia="宋体" w:cs="Times New Roman"/>
          <w:kern w:val="0"/>
          <w:szCs w:val="21"/>
          <w:lang w:eastAsia="zh-Hans"/>
        </w:rPr>
        <w:t>交投标文件。</w:t>
      </w:r>
    </w:p>
    <w:p w14:paraId="038A673F">
      <w:pPr>
        <w:spacing w:before="217" w:beforeLines="50"/>
        <w:rPr>
          <w:rFonts w:hint="eastAsia"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6FA7A10B">
      <w:pPr>
        <w:pStyle w:val="28"/>
        <w:widowControl/>
        <w:numPr>
          <w:ilvl w:val="0"/>
          <w:numId w:val="1"/>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7F91CC8D">
      <w:pPr>
        <w:widowControl/>
        <w:jc w:val="left"/>
        <w:rPr>
          <w:rFonts w:hint="eastAsia" w:ascii="宋体" w:hAnsi="宋体" w:eastAsia="宋体" w:cs="Times New Roman"/>
          <w:kern w:val="0"/>
          <w:szCs w:val="21"/>
        </w:rPr>
      </w:pPr>
      <w:r>
        <w:rPr>
          <w:rFonts w:hint="eastAsia" w:ascii="宋体" w:hAnsi="宋体" w:eastAsia="宋体" w:cs="Times New Roman"/>
          <w:kern w:val="0"/>
          <w:szCs w:val="21"/>
        </w:rPr>
        <w:t>项目编号：ZHDGZC2025076</w:t>
      </w:r>
    </w:p>
    <w:p w14:paraId="0CDA15F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项目名称：</w:t>
      </w:r>
      <w:r>
        <w:rPr>
          <w:rFonts w:hint="eastAsia" w:ascii="宋体" w:hAnsi="宋体" w:eastAsia="宋体" w:cs="Times New Roman"/>
          <w:kern w:val="0"/>
          <w:szCs w:val="21"/>
          <w:lang w:eastAsia="zh-Hans"/>
        </w:rPr>
        <w:t>寮步镇塘唇村、浮竹山村、石龙坑村2025年专项项目运营采购项目</w:t>
      </w:r>
    </w:p>
    <w:p w14:paraId="7DC2237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采购方式：公开招标</w:t>
      </w:r>
    </w:p>
    <w:p w14:paraId="1BD84881">
      <w:pPr>
        <w:widowControl/>
        <w:jc w:val="left"/>
        <w:rPr>
          <w:rFonts w:hint="eastAsia" w:ascii="宋体" w:hAnsi="宋体" w:eastAsia="宋体" w:cs="宋体"/>
          <w:color w:val="auto"/>
          <w:kern w:val="0"/>
          <w:sz w:val="21"/>
          <w:szCs w:val="21"/>
        </w:rPr>
      </w:pPr>
      <w:r>
        <w:rPr>
          <w:rFonts w:ascii="宋体" w:hAnsi="宋体" w:eastAsia="宋体" w:cs="Times New Roman"/>
          <w:kern w:val="0"/>
          <w:szCs w:val="21"/>
          <w:lang w:eastAsia="zh-Hans"/>
        </w:rPr>
        <w:t>预算金</w:t>
      </w:r>
      <w:r>
        <w:rPr>
          <w:rFonts w:hint="eastAsia" w:ascii="宋体" w:hAnsi="宋体" w:eastAsia="宋体" w:cs="宋体"/>
          <w:color w:val="auto"/>
          <w:kern w:val="0"/>
          <w:sz w:val="21"/>
          <w:szCs w:val="21"/>
          <w:lang w:eastAsia="zh-Hans"/>
        </w:rPr>
        <w:t>额：¥</w:t>
      </w:r>
      <w:r>
        <w:rPr>
          <w:rFonts w:hint="eastAsia" w:ascii="宋体" w:hAnsi="宋体" w:eastAsia="宋体" w:cs="宋体"/>
          <w:color w:val="auto"/>
          <w:kern w:val="0"/>
          <w:sz w:val="21"/>
          <w:szCs w:val="21"/>
          <w:lang w:val="en-US" w:eastAsia="zh-CN"/>
        </w:rPr>
        <w:t>600,000.00</w:t>
      </w:r>
      <w:r>
        <w:rPr>
          <w:rFonts w:hint="eastAsia" w:ascii="宋体" w:hAnsi="宋体" w:eastAsia="宋体" w:cs="宋体"/>
          <w:color w:val="auto"/>
          <w:kern w:val="0"/>
          <w:sz w:val="21"/>
          <w:szCs w:val="21"/>
          <w:lang w:eastAsia="zh-Hans"/>
        </w:rPr>
        <w:t>元</w:t>
      </w:r>
    </w:p>
    <w:p w14:paraId="53624B76">
      <w:pPr>
        <w:pStyle w:val="28"/>
        <w:widowControl/>
        <w:numPr>
          <w:ilvl w:val="0"/>
          <w:numId w:val="1"/>
        </w:numPr>
        <w:ind w:left="284" w:hanging="284" w:firstLineChars="0"/>
        <w:jc w:val="left"/>
        <w:outlineLvl w:val="3"/>
        <w:rPr>
          <w:rFonts w:hint="eastAsia" w:ascii="宋体" w:hAnsi="宋体" w:eastAsia="宋体" w:cs="宋体"/>
          <w:color w:val="auto"/>
          <w:kern w:val="0"/>
          <w:sz w:val="21"/>
          <w:szCs w:val="21"/>
          <w:lang w:eastAsia="zh-Hans"/>
        </w:rPr>
      </w:pPr>
      <w:r>
        <w:rPr>
          <w:rFonts w:hint="eastAsia" w:ascii="宋体" w:hAnsi="宋体" w:eastAsia="宋体" w:cs="宋体"/>
          <w:b/>
          <w:color w:val="auto"/>
          <w:kern w:val="0"/>
          <w:sz w:val="21"/>
          <w:szCs w:val="21"/>
          <w:lang w:eastAsia="zh-Hans"/>
        </w:rPr>
        <w:t>采购需求:</w:t>
      </w:r>
      <w:r>
        <w:rPr>
          <w:rFonts w:hint="eastAsia" w:ascii="宋体" w:hAnsi="宋体" w:eastAsia="宋体" w:cs="宋体"/>
          <w:color w:val="auto"/>
          <w:kern w:val="0"/>
          <w:sz w:val="21"/>
          <w:szCs w:val="21"/>
          <w:lang w:eastAsia="zh-Hans"/>
        </w:rPr>
        <w:t xml:space="preserve">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2867"/>
        <w:gridCol w:w="1673"/>
        <w:gridCol w:w="1453"/>
        <w:gridCol w:w="2460"/>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Align w:val="center"/>
          </w:tcPr>
          <w:p w14:paraId="427A8EC7">
            <w:pPr>
              <w:widowControl/>
              <w:jc w:val="center"/>
              <w:rPr>
                <w:rFonts w:hint="eastAsia" w:ascii="宋体" w:hAnsi="宋体" w:eastAsia="宋体" w:cs="宋体"/>
                <w:color w:val="auto"/>
                <w:kern w:val="0"/>
                <w:sz w:val="21"/>
                <w:szCs w:val="21"/>
                <w:lang w:eastAsia="zh-CN"/>
              </w:rPr>
            </w:pPr>
            <w:bookmarkStart w:id="60" w:name="_GoBack" w:colFirst="0" w:colLast="4"/>
            <w:r>
              <w:rPr>
                <w:rFonts w:hint="eastAsia" w:ascii="宋体" w:hAnsi="宋体" w:eastAsia="宋体" w:cs="宋体"/>
                <w:color w:val="auto"/>
                <w:kern w:val="0"/>
                <w:sz w:val="21"/>
                <w:szCs w:val="21"/>
                <w:lang w:val="en-US" w:eastAsia="zh-CN"/>
              </w:rPr>
              <w:t>包组号</w:t>
            </w:r>
          </w:p>
        </w:tc>
        <w:tc>
          <w:tcPr>
            <w:tcW w:w="0" w:type="auto"/>
            <w:vAlign w:val="center"/>
          </w:tcPr>
          <w:p w14:paraId="72C4323F">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0" w:type="auto"/>
            <w:vAlign w:val="center"/>
          </w:tcPr>
          <w:p w14:paraId="6BC87F70">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0" w:type="auto"/>
            <w:vAlign w:val="center"/>
          </w:tcPr>
          <w:p w14:paraId="05CDE2E7">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0" w:type="auto"/>
            <w:vAlign w:val="center"/>
          </w:tcPr>
          <w:p w14:paraId="46866B18">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6DC1FBC2">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0" w:type="auto"/>
            <w:vAlign w:val="center"/>
          </w:tcPr>
          <w:p w14:paraId="45E441AE">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寮步镇塘唇村专项项目运营</w:t>
            </w:r>
          </w:p>
        </w:tc>
        <w:tc>
          <w:tcPr>
            <w:tcW w:w="0" w:type="auto"/>
            <w:vAlign w:val="center"/>
          </w:tcPr>
          <w:p w14:paraId="60B881F5">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200,000.00</w:t>
            </w:r>
          </w:p>
        </w:tc>
        <w:tc>
          <w:tcPr>
            <w:tcW w:w="0" w:type="auto"/>
            <w:vAlign w:val="center"/>
          </w:tcPr>
          <w:p w14:paraId="215E745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0" w:type="auto"/>
            <w:vAlign w:val="center"/>
          </w:tcPr>
          <w:p w14:paraId="3FA2DDE4">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r w14:paraId="4F0B6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635E6FDB">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w:t>
            </w:r>
          </w:p>
        </w:tc>
        <w:tc>
          <w:tcPr>
            <w:tcW w:w="0" w:type="auto"/>
            <w:vAlign w:val="center"/>
          </w:tcPr>
          <w:p w14:paraId="21BA181A">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寮步镇浮竹山村专项项目</w:t>
            </w:r>
            <w:r>
              <w:rPr>
                <w:rFonts w:hint="eastAsia" w:ascii="宋体" w:hAnsi="宋体" w:eastAsia="宋体" w:cs="宋体"/>
                <w:color w:val="auto"/>
                <w:kern w:val="0"/>
                <w:sz w:val="21"/>
                <w:szCs w:val="21"/>
                <w:lang w:val="en-US" w:eastAsia="zh-Hans"/>
              </w:rPr>
              <w:t>运营</w:t>
            </w:r>
          </w:p>
        </w:tc>
        <w:tc>
          <w:tcPr>
            <w:tcW w:w="0" w:type="auto"/>
            <w:vAlign w:val="center"/>
          </w:tcPr>
          <w:p w14:paraId="7266C06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val="en-US" w:eastAsia="zh-CN"/>
              </w:rPr>
              <w:t>200,000.00</w:t>
            </w:r>
          </w:p>
        </w:tc>
        <w:tc>
          <w:tcPr>
            <w:tcW w:w="0" w:type="auto"/>
            <w:vAlign w:val="center"/>
          </w:tcPr>
          <w:p w14:paraId="798B5338">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0" w:type="auto"/>
            <w:vAlign w:val="center"/>
          </w:tcPr>
          <w:p w14:paraId="3592DCD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详见第二章采购需求</w:t>
            </w:r>
          </w:p>
        </w:tc>
      </w:tr>
      <w:tr w14:paraId="6D45C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67433F78">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w:t>
            </w:r>
          </w:p>
        </w:tc>
        <w:tc>
          <w:tcPr>
            <w:tcW w:w="0" w:type="auto"/>
            <w:vAlign w:val="center"/>
          </w:tcPr>
          <w:p w14:paraId="702429A1">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寮步镇石龙坑村专项项目运营</w:t>
            </w:r>
          </w:p>
        </w:tc>
        <w:tc>
          <w:tcPr>
            <w:tcW w:w="0" w:type="auto"/>
            <w:vAlign w:val="center"/>
          </w:tcPr>
          <w:p w14:paraId="20FD66E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val="en-US" w:eastAsia="zh-CN"/>
              </w:rPr>
              <w:t>200,000.00</w:t>
            </w:r>
          </w:p>
        </w:tc>
        <w:tc>
          <w:tcPr>
            <w:tcW w:w="0" w:type="auto"/>
            <w:vAlign w:val="center"/>
          </w:tcPr>
          <w:p w14:paraId="48A4CB4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0" w:type="auto"/>
            <w:vAlign w:val="center"/>
          </w:tcPr>
          <w:p w14:paraId="3C037BF9">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详见第二章采购需求</w:t>
            </w:r>
          </w:p>
        </w:tc>
      </w:tr>
      <w:bookmarkEnd w:id="60"/>
    </w:tbl>
    <w:p w14:paraId="2C908FC7">
      <w:pPr>
        <w:widowControl/>
        <w:jc w:val="left"/>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合同履行期限：</w:t>
      </w:r>
    </w:p>
    <w:p w14:paraId="686459E4">
      <w:pPr>
        <w:widowControl/>
        <w:jc w:val="left"/>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val="en-US" w:eastAsia="zh-CN"/>
        </w:rPr>
        <w:t>包组1</w:t>
      </w:r>
      <w:r>
        <w:rPr>
          <w:rFonts w:hint="eastAsia" w:ascii="宋体" w:hAnsi="宋体" w:eastAsia="宋体" w:cs="宋体"/>
          <w:color w:val="auto"/>
          <w:kern w:val="0"/>
          <w:sz w:val="21"/>
          <w:szCs w:val="21"/>
          <w:lang w:eastAsia="zh-Hans"/>
        </w:rPr>
        <w:t>：自合同签订日期起至202</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Hans"/>
        </w:rPr>
        <w:t>年</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lang w:eastAsia="zh-Hans"/>
        </w:rPr>
        <w:t>月</w:t>
      </w:r>
      <w:r>
        <w:rPr>
          <w:rFonts w:hint="eastAsia" w:ascii="宋体" w:hAnsi="宋体" w:eastAsia="宋体" w:cs="宋体"/>
          <w:color w:val="auto"/>
          <w:kern w:val="0"/>
          <w:sz w:val="21"/>
          <w:szCs w:val="21"/>
          <w:lang w:val="en-US" w:eastAsia="zh-CN"/>
        </w:rPr>
        <w:t>31</w:t>
      </w:r>
      <w:r>
        <w:rPr>
          <w:rFonts w:hint="eastAsia" w:ascii="宋体" w:hAnsi="宋体" w:eastAsia="宋体" w:cs="宋体"/>
          <w:color w:val="auto"/>
          <w:kern w:val="0"/>
          <w:sz w:val="21"/>
          <w:szCs w:val="21"/>
          <w:lang w:eastAsia="zh-Hans"/>
        </w:rPr>
        <w:t>日；</w:t>
      </w:r>
    </w:p>
    <w:p w14:paraId="6CD97769">
      <w:pPr>
        <w:widowControl/>
        <w:jc w:val="left"/>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val="en-US" w:eastAsia="zh-CN"/>
        </w:rPr>
        <w:t>包组2</w:t>
      </w:r>
      <w:r>
        <w:rPr>
          <w:rFonts w:hint="eastAsia" w:ascii="宋体" w:hAnsi="宋体" w:eastAsia="宋体" w:cs="宋体"/>
          <w:color w:val="auto"/>
          <w:kern w:val="0"/>
          <w:sz w:val="21"/>
          <w:szCs w:val="21"/>
          <w:lang w:eastAsia="zh-Hans"/>
        </w:rPr>
        <w:t>：自合同签订日期起至202</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Hans"/>
        </w:rPr>
        <w:t>年</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lang w:eastAsia="zh-Hans"/>
        </w:rPr>
        <w:t>月</w:t>
      </w:r>
      <w:r>
        <w:rPr>
          <w:rFonts w:hint="eastAsia" w:ascii="宋体" w:hAnsi="宋体" w:eastAsia="宋体" w:cs="宋体"/>
          <w:color w:val="auto"/>
          <w:kern w:val="0"/>
          <w:sz w:val="21"/>
          <w:szCs w:val="21"/>
          <w:lang w:val="en-US" w:eastAsia="zh-CN"/>
        </w:rPr>
        <w:t>31</w:t>
      </w:r>
      <w:r>
        <w:rPr>
          <w:rFonts w:hint="eastAsia" w:ascii="宋体" w:hAnsi="宋体" w:eastAsia="宋体" w:cs="宋体"/>
          <w:color w:val="auto"/>
          <w:kern w:val="0"/>
          <w:sz w:val="21"/>
          <w:szCs w:val="21"/>
          <w:lang w:eastAsia="zh-Hans"/>
        </w:rPr>
        <w:t>日；</w:t>
      </w:r>
    </w:p>
    <w:p w14:paraId="6097F1C7">
      <w:pPr>
        <w:widowControl/>
        <w:jc w:val="left"/>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val="en-US" w:eastAsia="zh-CN"/>
        </w:rPr>
        <w:t>包组3</w:t>
      </w:r>
      <w:r>
        <w:rPr>
          <w:rFonts w:hint="eastAsia" w:ascii="宋体" w:hAnsi="宋体" w:eastAsia="宋体" w:cs="宋体"/>
          <w:color w:val="auto"/>
          <w:kern w:val="0"/>
          <w:sz w:val="21"/>
          <w:szCs w:val="21"/>
          <w:lang w:eastAsia="zh-Hans"/>
        </w:rPr>
        <w:t>：自合同签订日期起至202</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Hans"/>
        </w:rPr>
        <w:t>年</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lang w:eastAsia="zh-Hans"/>
        </w:rPr>
        <w:t>月</w:t>
      </w:r>
      <w:r>
        <w:rPr>
          <w:rFonts w:hint="eastAsia" w:ascii="宋体" w:hAnsi="宋体" w:eastAsia="宋体" w:cs="宋体"/>
          <w:color w:val="auto"/>
          <w:kern w:val="0"/>
          <w:sz w:val="21"/>
          <w:szCs w:val="21"/>
          <w:lang w:val="en-US" w:eastAsia="zh-CN"/>
        </w:rPr>
        <w:t>31</w:t>
      </w:r>
      <w:r>
        <w:rPr>
          <w:rFonts w:hint="eastAsia" w:ascii="宋体" w:hAnsi="宋体" w:eastAsia="宋体" w:cs="宋体"/>
          <w:color w:val="auto"/>
          <w:kern w:val="0"/>
          <w:sz w:val="21"/>
          <w:szCs w:val="21"/>
          <w:lang w:eastAsia="zh-Hans"/>
        </w:rPr>
        <w:t>日；</w:t>
      </w:r>
    </w:p>
    <w:p w14:paraId="1ED4D63C">
      <w:pPr>
        <w:widowControl/>
        <w:jc w:val="left"/>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本项目不接受联合体投标。</w:t>
      </w:r>
    </w:p>
    <w:p w14:paraId="40E89C6F">
      <w:pPr>
        <w:spacing w:before="217" w:beforeLines="50"/>
        <w:rPr>
          <w:rFonts w:hint="eastAsia" w:ascii="宋体" w:hAnsi="宋体" w:eastAsia="宋体" w:cs="宋体"/>
          <w:color w:val="auto"/>
          <w:kern w:val="0"/>
          <w:sz w:val="21"/>
          <w:szCs w:val="21"/>
          <w:lang w:eastAsia="zh-Hans"/>
        </w:rPr>
      </w:pPr>
      <w:r>
        <w:rPr>
          <w:rFonts w:hint="eastAsia" w:ascii="宋体" w:hAnsi="宋体" w:eastAsia="宋体" w:cs="宋体"/>
          <w:b/>
          <w:color w:val="auto"/>
          <w:kern w:val="0"/>
          <w:sz w:val="21"/>
          <w:szCs w:val="21"/>
          <w:lang w:eastAsia="zh-Hans"/>
        </w:rPr>
        <w:t>二、申请人的资格要求</w:t>
      </w:r>
      <w:r>
        <w:rPr>
          <w:rFonts w:hint="eastAsia" w:ascii="宋体" w:hAnsi="宋体" w:eastAsia="宋体" w:cs="宋体"/>
          <w:b/>
          <w:color w:val="auto"/>
          <w:kern w:val="0"/>
          <w:sz w:val="21"/>
          <w:szCs w:val="21"/>
          <w:lang w:eastAsia="zh-CN"/>
        </w:rPr>
        <w:t>（</w:t>
      </w:r>
      <w:r>
        <w:rPr>
          <w:rFonts w:hint="eastAsia" w:ascii="宋体" w:hAnsi="宋体" w:eastAsia="宋体" w:cs="宋体"/>
          <w:b/>
          <w:color w:val="auto"/>
          <w:kern w:val="0"/>
          <w:sz w:val="21"/>
          <w:szCs w:val="21"/>
          <w:lang w:val="en-US" w:eastAsia="zh-CN"/>
        </w:rPr>
        <w:t>适用于包组1、2、3</w:t>
      </w:r>
      <w:r>
        <w:rPr>
          <w:rFonts w:hint="eastAsia" w:ascii="宋体" w:hAnsi="宋体" w:eastAsia="宋体" w:cs="宋体"/>
          <w:b/>
          <w:color w:val="auto"/>
          <w:kern w:val="0"/>
          <w:sz w:val="21"/>
          <w:szCs w:val="21"/>
          <w:lang w:eastAsia="zh-CN"/>
        </w:rPr>
        <w:t>）</w:t>
      </w:r>
      <w:r>
        <w:rPr>
          <w:rFonts w:hint="eastAsia" w:ascii="宋体" w:hAnsi="宋体" w:eastAsia="宋体" w:cs="宋体"/>
          <w:b/>
          <w:color w:val="auto"/>
          <w:kern w:val="0"/>
          <w:sz w:val="21"/>
          <w:szCs w:val="21"/>
          <w:lang w:eastAsia="zh-Hans"/>
        </w:rPr>
        <w:t>：</w:t>
      </w:r>
    </w:p>
    <w:p w14:paraId="71F2245C">
      <w:pPr>
        <w:pStyle w:val="28"/>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8"/>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8"/>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w:t>
      </w:r>
      <w:r>
        <w:rPr>
          <w:rFonts w:ascii="Calibri" w:hAnsi="Calibri" w:eastAsia="宋体" w:cs="Times New Roman"/>
          <w:bCs/>
          <w:kern w:val="0"/>
          <w:szCs w:val="21"/>
        </w:rPr>
        <w:t>格式）。</w:t>
      </w:r>
    </w:p>
    <w:p w14:paraId="59231421">
      <w:pPr>
        <w:pStyle w:val="28"/>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，在投标文件中填报设备及专业技术能力情况或提供资格条件承诺函（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8"/>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8"/>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8"/>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p>
    <w:p w14:paraId="7D350B23">
      <w:pPr>
        <w:pStyle w:val="28"/>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8"/>
        <w:widowControl/>
        <w:numPr>
          <w:ilvl w:val="0"/>
          <w:numId w:val="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8"/>
        <w:widowControl/>
        <w:numPr>
          <w:ilvl w:val="0"/>
          <w:numId w:val="4"/>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w:t>
      </w:r>
      <w:r>
        <w:rPr>
          <w:rFonts w:ascii="宋体" w:hAnsi="宋体" w:eastAsia="宋体" w:cs="Times New Roman"/>
          <w:color w:val="auto"/>
          <w:kern w:val="0"/>
          <w:szCs w:val="21"/>
          <w:lang w:eastAsia="zh-Hans"/>
        </w:rPr>
        <w:t>（响应）。投标（报价）函相关承诺要求内容。</w:t>
      </w:r>
    </w:p>
    <w:bookmarkEnd w:id="3"/>
    <w:bookmarkEnd w:id="4"/>
    <w:p w14:paraId="51ED73A6">
      <w:pPr>
        <w:spacing w:before="217" w:beforeLines="50"/>
        <w:rPr>
          <w:rFonts w:ascii="Calibri" w:hAnsi="Calibri" w:eastAsia="宋体" w:cs="Times New Roman"/>
          <w:color w:val="auto"/>
          <w:kern w:val="0"/>
          <w:sz w:val="20"/>
          <w:szCs w:val="20"/>
          <w:lang w:eastAsia="zh-Hans"/>
        </w:rPr>
      </w:pPr>
      <w:r>
        <w:rPr>
          <w:rFonts w:ascii="宋体" w:hAnsi="宋体" w:eastAsia="宋体" w:cs="Times New Roman"/>
          <w:b/>
          <w:color w:val="auto"/>
          <w:kern w:val="0"/>
          <w:sz w:val="24"/>
          <w:szCs w:val="24"/>
          <w:lang w:eastAsia="zh-Hans"/>
        </w:rPr>
        <w:t>三</w:t>
      </w:r>
      <w:r>
        <w:rPr>
          <w:rFonts w:hint="eastAsia" w:ascii="宋体" w:hAnsi="宋体" w:eastAsia="宋体" w:cs="Times New Roman"/>
          <w:b/>
          <w:color w:val="auto"/>
          <w:kern w:val="0"/>
          <w:sz w:val="24"/>
          <w:szCs w:val="24"/>
          <w:lang w:eastAsia="zh-Hans"/>
        </w:rPr>
        <w:t>、</w:t>
      </w:r>
      <w:r>
        <w:rPr>
          <w:rFonts w:ascii="宋体" w:hAnsi="宋体" w:eastAsia="宋体" w:cs="Times New Roman"/>
          <w:b/>
          <w:color w:val="auto"/>
          <w:kern w:val="0"/>
          <w:sz w:val="24"/>
          <w:szCs w:val="24"/>
          <w:lang w:eastAsia="zh-Hans"/>
        </w:rPr>
        <w:t>获取招标文件</w:t>
      </w:r>
    </w:p>
    <w:p w14:paraId="5E969CEA">
      <w:pPr>
        <w:pStyle w:val="22"/>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16</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23</w:t>
      </w:r>
      <w:r>
        <w:rPr>
          <w:rFonts w:ascii="宋体" w:hAnsi="宋体" w:eastAsia="宋体" w:cs="Times New Roman"/>
          <w:color w:val="auto"/>
          <w:sz w:val="21"/>
          <w:szCs w:val="21"/>
          <w:lang w:eastAsia="zh-CN"/>
        </w:rPr>
        <w:t>日，每天上午9:00至12:00，下午14:30至17:30。（北京时间，法定节假日除外）</w:t>
      </w:r>
    </w:p>
    <w:p w14:paraId="36BBA40B">
      <w:pPr>
        <w:pStyle w:val="22"/>
        <w:ind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地点：东莞市南城街道雅园产业园区路5号1栋1楼或微信搜索公众号“广东智汇城市招标采购有限公司”。</w:t>
      </w:r>
    </w:p>
    <w:p w14:paraId="50D49FD9">
      <w:pPr>
        <w:pStyle w:val="22"/>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22"/>
        <w:ind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spacing w:before="217" w:beforeLines="50"/>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0374F8F">
      <w:pPr>
        <w:pStyle w:val="22"/>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eastAsia="宋体" w:cs="Times New Roman"/>
          <w:color w:val="auto"/>
          <w:sz w:val="21"/>
          <w:szCs w:val="21"/>
        </w:rPr>
      </w:pP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15</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00</w:t>
      </w:r>
      <w:r>
        <w:rPr>
          <w:rFonts w:ascii="宋体" w:hAnsi="宋体" w:eastAsia="宋体" w:cs="Times New Roman"/>
          <w:color w:val="auto"/>
          <w:sz w:val="21"/>
          <w:szCs w:val="21"/>
        </w:rPr>
        <w:t>分（北京时间）（自招标文件开始发出之日起至投标人提交投标文件截止之日止，不得少于20日）</w:t>
      </w:r>
    </w:p>
    <w:p w14:paraId="54F3F7A4">
      <w:pPr>
        <w:pStyle w:val="22"/>
        <w:rPr>
          <w:rFonts w:ascii="宋体" w:hAnsi="宋体" w:eastAsia="宋体" w:cs="Times New Roman"/>
          <w:color w:val="auto"/>
          <w:sz w:val="21"/>
          <w:szCs w:val="21"/>
        </w:rPr>
      </w:pPr>
      <w:r>
        <w:rPr>
          <w:rFonts w:ascii="宋体" w:hAnsi="宋体" w:eastAsia="宋体" w:cs="Times New Roman"/>
          <w:color w:val="auto"/>
          <w:sz w:val="21"/>
          <w:szCs w:val="21"/>
        </w:rPr>
        <w:t>地点：东莞市南城街道雅园产业园区路5号1栋1楼</w:t>
      </w:r>
    </w:p>
    <w:p w14:paraId="2E702E7D">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22"/>
        <w:ind w:firstLine="420" w:firstLineChars="200"/>
        <w:rPr>
          <w:rFonts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22"/>
        <w:numPr>
          <w:ilvl w:val="0"/>
          <w:numId w:val="5"/>
        </w:numPr>
        <w:rPr>
          <w:rFonts w:ascii="宋体" w:hAnsi="宋体" w:eastAsia="宋体" w:cs="Times New Roman"/>
          <w:sz w:val="21"/>
          <w:szCs w:val="21"/>
        </w:rPr>
      </w:pPr>
      <w:r>
        <w:rPr>
          <w:rFonts w:ascii="宋体" w:hAnsi="宋体" w:eastAsia="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22"/>
        <w:numPr>
          <w:ilvl w:val="0"/>
          <w:numId w:val="5"/>
        </w:numPr>
        <w:rPr>
          <w:rFonts w:ascii="宋体" w:hAnsi="宋体" w:eastAsia="宋体" w:cs="Times New Roman"/>
          <w:color w:val="auto"/>
          <w:sz w:val="21"/>
          <w:szCs w:val="21"/>
        </w:rPr>
      </w:pPr>
      <w:r>
        <w:rPr>
          <w:rFonts w:ascii="宋体" w:hAnsi="宋体" w:eastAsia="宋体" w:cs="Times New Roman"/>
          <w:sz w:val="21"/>
          <w:szCs w:val="21"/>
        </w:rPr>
        <w:t>本项目采购标的所属行业为</w:t>
      </w:r>
      <w:r>
        <w:rPr>
          <w:rFonts w:ascii="宋体" w:hAnsi="宋体" w:eastAsia="宋体" w:cs="Times New Roman"/>
          <w:sz w:val="21"/>
          <w:szCs w:val="21"/>
          <w:u w:val="single"/>
          <w:lang w:eastAsia="zh-CN"/>
        </w:rPr>
        <w:t xml:space="preserve"> </w:t>
      </w:r>
      <w:r>
        <w:rPr>
          <w:rFonts w:hint="eastAsia" w:ascii="宋体" w:hAnsi="宋体" w:eastAsia="宋体" w:cs="Times New Roman"/>
          <w:sz w:val="21"/>
          <w:szCs w:val="21"/>
          <w:u w:val="single"/>
          <w:lang w:eastAsia="zh-CN"/>
        </w:rPr>
        <w:t>其他未列明</w:t>
      </w:r>
      <w:r>
        <w:rPr>
          <w:rFonts w:hint="eastAsia" w:ascii="宋体" w:hAnsi="宋体" w:eastAsia="宋体" w:cs="Times New Roman"/>
          <w:color w:val="auto"/>
          <w:sz w:val="21"/>
          <w:szCs w:val="21"/>
          <w:u w:val="single"/>
          <w:lang w:eastAsia="zh-CN"/>
        </w:rPr>
        <w:t>行业</w:t>
      </w:r>
      <w:r>
        <w:rPr>
          <w:rFonts w:ascii="宋体" w:hAnsi="宋体" w:eastAsia="宋体" w:cs="Times New Roman"/>
          <w:color w:val="auto"/>
          <w:sz w:val="21"/>
          <w:szCs w:val="21"/>
          <w:u w:val="single"/>
          <w:lang w:eastAsia="zh-CN"/>
        </w:rPr>
        <w:t xml:space="preserve"> </w:t>
      </w:r>
      <w:r>
        <w:rPr>
          <w:rFonts w:ascii="宋体" w:hAnsi="宋体" w:eastAsia="宋体" w:cs="Times New Roman"/>
          <w:color w:val="auto"/>
          <w:sz w:val="21"/>
          <w:szCs w:val="21"/>
        </w:rPr>
        <w:t>。</w:t>
      </w:r>
    </w:p>
    <w:p w14:paraId="33DAD7C9">
      <w:pPr>
        <w:pStyle w:val="22"/>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发布公告的媒介</w:t>
      </w:r>
    </w:p>
    <w:p w14:paraId="06FC1B2B">
      <w:pPr>
        <w:pStyle w:val="22"/>
        <w:ind w:left="425" w:leftChars="181" w:hanging="45" w:hangingChars="24"/>
        <w:rPr>
          <w:rFonts w:ascii="宋体" w:hAnsi="宋体" w:eastAsia="宋体" w:cs="Times New Roman"/>
          <w:color w:val="auto"/>
          <w:spacing w:val="-10"/>
          <w:sz w:val="21"/>
          <w:szCs w:val="21"/>
          <w:lang w:eastAsia="zh-CN"/>
        </w:rPr>
      </w:pPr>
      <w:r>
        <w:rPr>
          <w:rFonts w:ascii="宋体" w:hAnsi="宋体" w:eastAsia="宋体" w:cs="Times New Roman"/>
          <w:color w:val="auto"/>
          <w:spacing w:val="-10"/>
          <w:sz w:val="21"/>
          <w:szCs w:val="21"/>
        </w:rPr>
        <w:t>中国采购与招标网（https://zbdt.chinabidding.cn/）、广东智汇城市招标采购有限公司网站(http://www.gdzhcity.com/)</w:t>
      </w:r>
    </w:p>
    <w:p w14:paraId="5E1239F4">
      <w:pPr>
        <w:pStyle w:val="22"/>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22"/>
        <w:numPr>
          <w:ilvl w:val="0"/>
          <w:numId w:val="5"/>
        </w:numPr>
        <w:rPr>
          <w:rFonts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获取招标文件联系人及联系方式：黄小姐（0769）22367009 邮箱：zhcity_gd@163.com</w:t>
      </w:r>
    </w:p>
    <w:p w14:paraId="2B464B6F">
      <w:pPr>
        <w:spacing w:before="217" w:beforeLines="50"/>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42C8994C">
      <w:pPr>
        <w:pStyle w:val="22"/>
        <w:numPr>
          <w:ilvl w:val="0"/>
          <w:numId w:val="6"/>
        </w:numPr>
        <w:ind w:left="284" w:hanging="284"/>
        <w:rPr>
          <w:rFonts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22"/>
        <w:ind w:firstLine="283" w:firstLineChars="135"/>
        <w:rPr>
          <w:rFonts w:ascii="宋体" w:hAnsi="宋体" w:eastAsia="宋体" w:cs="Times New Roman"/>
          <w:sz w:val="21"/>
          <w:szCs w:val="21"/>
        </w:rPr>
      </w:pPr>
      <w:r>
        <w:rPr>
          <w:rFonts w:ascii="宋体" w:hAnsi="宋体" w:eastAsia="宋体" w:cs="Times New Roman"/>
          <w:sz w:val="21"/>
          <w:szCs w:val="21"/>
        </w:rPr>
        <w:t>名称：</w:t>
      </w:r>
      <w:r>
        <w:rPr>
          <w:rFonts w:hint="eastAsia" w:ascii="宋体" w:hAnsi="宋体" w:eastAsia="宋体" w:cs="Times New Roman"/>
          <w:sz w:val="21"/>
          <w:szCs w:val="21"/>
        </w:rPr>
        <w:t>东莞市寮步镇塘唇股份经济联合社、东莞市寮步镇浮竹山股份经济联合社、东莞市寮步镇石龙坑股份经济联合社</w:t>
      </w:r>
    </w:p>
    <w:p w14:paraId="39A08C45">
      <w:pPr>
        <w:pStyle w:val="22"/>
        <w:ind w:firstLine="283" w:firstLineChars="135"/>
        <w:rPr>
          <w:rFonts w:ascii="宋体" w:hAnsi="宋体" w:eastAsia="宋体" w:cs="Times New Roman"/>
          <w:sz w:val="21"/>
          <w:szCs w:val="21"/>
        </w:rPr>
      </w:pPr>
      <w:r>
        <w:rPr>
          <w:rFonts w:ascii="宋体" w:hAnsi="宋体" w:eastAsia="宋体" w:cs="Times New Roman"/>
          <w:sz w:val="21"/>
          <w:szCs w:val="21"/>
        </w:rPr>
        <w:t>地址：</w:t>
      </w:r>
      <w:r>
        <w:rPr>
          <w:rFonts w:hint="eastAsia" w:ascii="宋体" w:hAnsi="宋体" w:eastAsia="宋体" w:cs="Times New Roman"/>
          <w:sz w:val="21"/>
          <w:szCs w:val="21"/>
        </w:rPr>
        <w:t>东莞市寮步镇</w:t>
      </w:r>
    </w:p>
    <w:p w14:paraId="5F3217C5">
      <w:pPr>
        <w:pStyle w:val="22"/>
        <w:ind w:firstLine="283" w:firstLineChars="135"/>
        <w:rPr>
          <w:rFonts w:ascii="宋体" w:hAnsi="宋体" w:eastAsia="宋体" w:cs="Times New Roman"/>
          <w:color w:val="auto"/>
          <w:sz w:val="21"/>
          <w:szCs w:val="21"/>
        </w:rPr>
      </w:pPr>
      <w:r>
        <w:rPr>
          <w:rFonts w:ascii="宋体" w:hAnsi="宋体" w:eastAsia="宋体" w:cs="Times New Roman"/>
          <w:sz w:val="21"/>
          <w:szCs w:val="21"/>
        </w:rPr>
        <w:t>联系方式：</w:t>
      </w:r>
      <w:r>
        <w:rPr>
          <w:rFonts w:hint="eastAsia" w:ascii="宋体" w:hAnsi="宋体" w:eastAsia="宋体" w:cs="Times New Roman"/>
          <w:sz w:val="21"/>
          <w:szCs w:val="21"/>
        </w:rPr>
        <w:t>殷先</w:t>
      </w:r>
      <w:r>
        <w:rPr>
          <w:rFonts w:hint="eastAsia" w:ascii="宋体" w:hAnsi="宋体" w:eastAsia="宋体" w:cs="Times New Roman"/>
          <w:color w:val="auto"/>
          <w:sz w:val="21"/>
          <w:szCs w:val="21"/>
        </w:rPr>
        <w:t>生0769-83305822、卢小姐0769-82393121、韩先生0769-83289592</w:t>
      </w:r>
    </w:p>
    <w:p w14:paraId="1FC6BF34">
      <w:pPr>
        <w:pStyle w:val="22"/>
        <w:numPr>
          <w:ilvl w:val="0"/>
          <w:numId w:val="6"/>
        </w:numPr>
        <w:ind w:left="284" w:hanging="284"/>
        <w:rPr>
          <w:rFonts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50DD56BE">
      <w:pPr>
        <w:pStyle w:val="22"/>
        <w:ind w:firstLine="283" w:firstLineChars="135"/>
        <w:rPr>
          <w:rFonts w:ascii="宋体" w:hAnsi="宋体" w:eastAsia="宋体" w:cs="Times New Roman"/>
          <w:color w:val="auto"/>
          <w:sz w:val="21"/>
          <w:szCs w:val="21"/>
          <w:lang w:eastAsia="zh-CN"/>
        </w:rPr>
      </w:pPr>
      <w:r>
        <w:rPr>
          <w:rFonts w:ascii="宋体" w:hAnsi="宋体" w:eastAsia="宋体" w:cs="Times New Roman"/>
          <w:color w:val="auto"/>
          <w:sz w:val="21"/>
          <w:szCs w:val="21"/>
        </w:rPr>
        <w:t>名称：广东智汇城市招标采购有限公司</w:t>
      </w:r>
    </w:p>
    <w:p w14:paraId="14C2828B">
      <w:pPr>
        <w:pStyle w:val="22"/>
        <w:ind w:firstLine="283" w:firstLineChars="135"/>
        <w:rPr>
          <w:rFonts w:ascii="宋体" w:hAnsi="宋体" w:eastAsia="宋体" w:cs="Times New Roman"/>
          <w:color w:val="auto"/>
          <w:sz w:val="21"/>
          <w:szCs w:val="21"/>
          <w:lang w:eastAsia="zh-CN"/>
        </w:rPr>
      </w:pPr>
      <w:r>
        <w:rPr>
          <w:rFonts w:ascii="宋体" w:hAnsi="宋体" w:eastAsia="宋体" w:cs="Times New Roman"/>
          <w:color w:val="auto"/>
          <w:sz w:val="21"/>
          <w:szCs w:val="21"/>
        </w:rPr>
        <w:t>地址：东莞市南城街道雅园产业园区路5号1栋1楼</w:t>
      </w:r>
    </w:p>
    <w:p w14:paraId="0D7C2C9D">
      <w:pPr>
        <w:pStyle w:val="22"/>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eastAsia="zh-CN"/>
        </w:rPr>
        <w:t>22367009</w:t>
      </w:r>
    </w:p>
    <w:p w14:paraId="6FC82D38">
      <w:pPr>
        <w:pStyle w:val="22"/>
        <w:numPr>
          <w:ilvl w:val="0"/>
          <w:numId w:val="6"/>
        </w:numPr>
        <w:ind w:left="284" w:hanging="284"/>
        <w:rPr>
          <w:rFonts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22"/>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何舜禹</w:t>
      </w:r>
    </w:p>
    <w:p w14:paraId="3AE7C670">
      <w:pPr>
        <w:pStyle w:val="22"/>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电话：（0769）</w:t>
      </w:r>
      <w:bookmarkEnd w:id="5"/>
      <w:r>
        <w:rPr>
          <w:rFonts w:hint="eastAsia" w:ascii="宋体" w:hAnsi="宋体" w:eastAsia="宋体" w:cs="Times New Roman"/>
          <w:color w:val="auto"/>
          <w:sz w:val="21"/>
          <w:szCs w:val="21"/>
          <w:lang w:eastAsia="zh-CN"/>
        </w:rPr>
        <w:t>22367009</w:t>
      </w:r>
    </w:p>
    <w:p w14:paraId="68B48AD4">
      <w:pPr>
        <w:pStyle w:val="22"/>
        <w:jc w:val="center"/>
        <w:rPr>
          <w:rFonts w:ascii="宋体" w:hAnsi="宋体" w:eastAsia="宋体" w:cs="Times New Roman"/>
          <w:b/>
          <w:bCs/>
          <w:sz w:val="21"/>
          <w:szCs w:val="21"/>
        </w:rPr>
      </w:pPr>
      <w:r>
        <w:rPr>
          <w:rFonts w:ascii="宋体" w:hAnsi="宋体" w:eastAsia="宋体" w:cs="Times New Roman"/>
          <w:sz w:val="21"/>
          <w:szCs w:val="21"/>
          <w:lang w:eastAsia="zh-CN"/>
        </w:rPr>
        <w:t xml:space="preserve">                                         </w:t>
      </w: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发布人：广东智汇城市招标采购有限公司</w:t>
      </w:r>
    </w:p>
    <w:p w14:paraId="54322AE1">
      <w:pPr>
        <w:pStyle w:val="22"/>
        <w:jc w:val="center"/>
        <w:rPr>
          <w:rFonts w:ascii="宋体" w:hAnsi="宋体" w:eastAsia="宋体" w:cs="Times New Roman"/>
          <w:sz w:val="21"/>
          <w:szCs w:val="21"/>
          <w:lang w:eastAsia="zh-CN"/>
        </w:rPr>
      </w:pP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09</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16</w:t>
      </w:r>
      <w:r>
        <w:rPr>
          <w:rFonts w:ascii="宋体" w:hAnsi="宋体" w:eastAsia="宋体" w:cs="Times New Roman"/>
          <w:b/>
          <w:bCs/>
          <w:sz w:val="21"/>
          <w:szCs w:val="21"/>
        </w:rPr>
        <w:t>日</w:t>
      </w:r>
    </w:p>
    <w:p w14:paraId="12526B28">
      <w:pPr>
        <w:pageBreakBefore/>
        <w:jc w:val="center"/>
        <w:outlineLvl w:val="1"/>
        <w:rPr>
          <w:rFonts w:hint="eastAsia" w:ascii="宋体" w:hAnsi="宋体" w:eastAsia="宋体" w:cs="Times New Roman"/>
          <w:kern w:val="0"/>
          <w:sz w:val="20"/>
          <w:szCs w:val="20"/>
        </w:rPr>
      </w:pPr>
      <w:bookmarkStart w:id="6" w:name="_Toc169807541"/>
      <w:bookmarkStart w:id="7" w:name="_Toc16979977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7BB2AB82">
      <w:pPr>
        <w:snapToGrid w:val="0"/>
        <w:spacing w:line="360" w:lineRule="auto"/>
        <w:contextualSpacing/>
        <w:rPr>
          <w:rFonts w:hint="eastAsia" w:ascii="宋体" w:hAnsi="宋体" w:eastAsia="宋体"/>
          <w:b/>
          <w:szCs w:val="21"/>
        </w:rPr>
      </w:pPr>
      <w:bookmarkStart w:id="8" w:name="_Hlk90919605"/>
      <w:r>
        <w:rPr>
          <w:rFonts w:hint="eastAsia" w:ascii="宋体" w:hAnsi="宋体" w:eastAsia="宋体"/>
          <w:b/>
          <w:szCs w:val="21"/>
        </w:rPr>
        <w:t>说明：</w:t>
      </w:r>
    </w:p>
    <w:p w14:paraId="5F5F7A64">
      <w:pPr>
        <w:pStyle w:val="28"/>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采购需求中标有“★”的地方均被视为重要的采购需求，投标人要特别加以注意，必须对此响应并完全满足这些要求，否则若有一项带“★”的要求未响应或不满足，将按无效投标处理。</w:t>
      </w:r>
    </w:p>
    <w:p w14:paraId="5B114659">
      <w:pPr>
        <w:pStyle w:val="28"/>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标有“▲”符号的内容为采购需求重点技术参数，若未能响应，则在评标过程中根据评审内容作扣分处理。</w:t>
      </w:r>
    </w:p>
    <w:p w14:paraId="40C49EFF">
      <w:pPr>
        <w:pStyle w:val="28"/>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rFonts w:hint="eastAsia"/>
        </w:rPr>
      </w:pPr>
    </w:p>
    <w:p w14:paraId="662E288B">
      <w:pPr>
        <w:pStyle w:val="28"/>
        <w:keepNext w:val="0"/>
        <w:keepLines w:val="0"/>
        <w:pageBreakBefore w:val="0"/>
        <w:widowControl w:val="0"/>
        <w:numPr>
          <w:ilvl w:val="0"/>
          <w:numId w:val="0"/>
        </w:numPr>
        <w:kinsoku/>
        <w:wordWrap/>
        <w:overflowPunct/>
        <w:topLinePunct w:val="0"/>
        <w:autoSpaceDE/>
        <w:autoSpaceDN/>
        <w:bidi w:val="0"/>
        <w:adjustRightInd/>
        <w:snapToGrid w:val="0"/>
        <w:spacing w:after="437" w:afterLines="100" w:line="360" w:lineRule="auto"/>
        <w:ind w:leftChars="0"/>
        <w:contextualSpacing/>
        <w:textAlignment w:val="auto"/>
        <w:rPr>
          <w:rFonts w:hint="eastAsia" w:ascii="宋体" w:hAnsi="宋体" w:eastAsia="宋体" w:cs="宋体"/>
          <w:b/>
          <w:bCs/>
          <w:sz w:val="24"/>
          <w:szCs w:val="28"/>
          <w:lang w:val="en-US" w:eastAsia="zh-CN"/>
        </w:rPr>
      </w:pPr>
      <w:r>
        <w:rPr>
          <w:rFonts w:hint="eastAsia" w:ascii="宋体" w:hAnsi="宋体" w:eastAsia="宋体" w:cs="宋体"/>
          <w:b/>
          <w:bCs/>
          <w:sz w:val="24"/>
          <w:szCs w:val="28"/>
          <w:lang w:val="en-US" w:eastAsia="zh-CN"/>
        </w:rPr>
        <w:t>包组1：寮步镇塘唇村专项项目运营</w:t>
      </w:r>
    </w:p>
    <w:p w14:paraId="6EBB9902">
      <w:pPr>
        <w:pStyle w:val="28"/>
        <w:numPr>
          <w:ilvl w:val="0"/>
          <w:numId w:val="8"/>
        </w:numPr>
        <w:snapToGrid w:val="0"/>
        <w:spacing w:line="360" w:lineRule="auto"/>
        <w:ind w:left="442" w:hanging="442" w:firstLineChars="0"/>
        <w:contextualSpacing/>
        <w:rPr>
          <w:rFonts w:hint="eastAsia" w:ascii="宋体" w:hAnsi="宋体" w:eastAsia="宋体"/>
          <w:b/>
          <w:szCs w:val="21"/>
        </w:rPr>
      </w:pPr>
      <w:r>
        <w:rPr>
          <w:rFonts w:hint="eastAsia" w:ascii="宋体" w:hAnsi="宋体" w:eastAsia="宋体"/>
          <w:b/>
          <w:szCs w:val="21"/>
          <w:lang w:val="en-US" w:eastAsia="zh-CN"/>
        </w:rPr>
        <w:t>项目概况</w:t>
      </w:r>
    </w:p>
    <w:p w14:paraId="78E64C79">
      <w:pPr>
        <w:pStyle w:val="28"/>
        <w:numPr>
          <w:ilvl w:val="0"/>
          <w:numId w:val="9"/>
        </w:numPr>
        <w:snapToGrid w:val="0"/>
        <w:spacing w:line="360" w:lineRule="auto"/>
        <w:ind w:firstLineChars="0"/>
        <w:contextualSpacing/>
        <w:rPr>
          <w:rFonts w:hint="eastAsia" w:ascii="宋体" w:hAnsi="宋体" w:eastAsia="宋体"/>
          <w:b w:val="0"/>
          <w:bCs/>
          <w:szCs w:val="21"/>
        </w:rPr>
      </w:pPr>
      <w:r>
        <w:rPr>
          <w:rFonts w:hint="eastAsia" w:ascii="宋体" w:hAnsi="宋体" w:eastAsia="宋体"/>
          <w:b w:val="0"/>
          <w:bCs/>
          <w:szCs w:val="21"/>
        </w:rPr>
        <w:t>塘唇村“老幼共融”社区项目</w:t>
      </w:r>
    </w:p>
    <w:p w14:paraId="045B3AB6">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rPr>
        <w:t>伴随家庭结构和居住模式的变化，传统的家庭照料服务已不再适应老幼发展需求，社区逐渐成为养老育幼服务的重要载体。</w:t>
      </w:r>
      <w:r>
        <w:rPr>
          <w:rFonts w:hint="eastAsia" w:ascii="宋体" w:hAnsi="宋体" w:eastAsia="宋体"/>
          <w:b w:val="0"/>
          <w:bCs/>
          <w:szCs w:val="21"/>
          <w:lang w:val="en-US" w:eastAsia="zh-CN"/>
        </w:rPr>
        <w:t>本</w:t>
      </w:r>
      <w:r>
        <w:rPr>
          <w:rFonts w:hint="eastAsia" w:ascii="宋体" w:hAnsi="宋体" w:eastAsia="宋体"/>
          <w:b w:val="0"/>
          <w:bCs/>
          <w:szCs w:val="21"/>
        </w:rPr>
        <w:t>项目依托“社区+社工+社会组织+志愿者”</w:t>
      </w:r>
      <w:r>
        <w:rPr>
          <w:rFonts w:hint="eastAsia" w:ascii="宋体" w:hAnsi="宋体" w:eastAsia="宋体"/>
          <w:b w:val="0"/>
          <w:bCs/>
          <w:szCs w:val="21"/>
          <w:lang w:val="en-US" w:eastAsia="zh-CN"/>
        </w:rPr>
        <w:t>和</w:t>
      </w:r>
      <w:r>
        <w:rPr>
          <w:rFonts w:hint="eastAsia" w:ascii="宋体" w:hAnsi="宋体" w:eastAsia="宋体"/>
          <w:b w:val="0"/>
          <w:bCs/>
          <w:szCs w:val="21"/>
        </w:rPr>
        <w:t>队伍赋能的服务模式，开展老幼共融活动，进一步构建老幼融合场景，编织成长摇篮。项目旨在改善辖区内老年人日常生活质量，让他们老有所依、老有所为、老有所乐；聚焦少年儿童视角下的自我发展和社区发展相结合，依托当地资源、志愿服务等培养少年儿童的社区归属感和幸福感。</w:t>
      </w:r>
    </w:p>
    <w:p w14:paraId="0C202085">
      <w:pPr>
        <w:pStyle w:val="28"/>
        <w:numPr>
          <w:ilvl w:val="0"/>
          <w:numId w:val="9"/>
        </w:numPr>
        <w:snapToGrid w:val="0"/>
        <w:spacing w:line="360" w:lineRule="auto"/>
        <w:ind w:firstLineChars="0"/>
        <w:contextualSpacing/>
        <w:rPr>
          <w:rFonts w:hint="eastAsia" w:ascii="宋体" w:hAnsi="宋体" w:eastAsia="宋体"/>
          <w:b w:val="0"/>
          <w:bCs/>
          <w:szCs w:val="21"/>
        </w:rPr>
      </w:pPr>
      <w:r>
        <w:rPr>
          <w:rFonts w:hint="eastAsia" w:ascii="宋体" w:hAnsi="宋体" w:eastAsia="宋体"/>
          <w:b w:val="0"/>
          <w:bCs/>
          <w:szCs w:val="21"/>
        </w:rPr>
        <w:t>塘唇村“你的时光“游”我相伴”亲子项目</w:t>
      </w:r>
    </w:p>
    <w:p w14:paraId="13751D84">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rPr>
        <w:t>在忙碌的生活中，往往忽略了与孩子之间的情感交流。而“你的成长‘游’我陪伴”亲子项目，便是为家长和孩子提供一个温馨的互动平台。旨在游戏互动结合中国的传统文化元素，了解学习传统节日、历史故事、智力问答等，在游戏中，家长与孩子相互协作、共同解决问题，增进彼此之间的了解和信任。通过游戏过程中的照片、视频等方式，记录下亲子共度的美好时光，组织家长和孩子分享游戏心得和成长感悟，共同成长，让孩子和家长一起感受传统文化的博大精深。不仅能让孩子们在游戏中学习到知识，还能在快乐中增进亲子间的感情，共同成长。</w:t>
      </w:r>
    </w:p>
    <w:p w14:paraId="585F6568">
      <w:pPr>
        <w:pStyle w:val="28"/>
        <w:numPr>
          <w:ilvl w:val="0"/>
          <w:numId w:val="9"/>
        </w:numPr>
        <w:snapToGrid w:val="0"/>
        <w:spacing w:line="360" w:lineRule="auto"/>
        <w:ind w:firstLineChars="0"/>
        <w:contextualSpacing/>
        <w:rPr>
          <w:rFonts w:hint="eastAsia" w:ascii="宋体" w:hAnsi="宋体" w:eastAsia="宋体"/>
          <w:b w:val="0"/>
          <w:bCs/>
          <w:szCs w:val="21"/>
        </w:rPr>
      </w:pPr>
      <w:r>
        <w:rPr>
          <w:rFonts w:hint="eastAsia" w:ascii="宋体" w:hAnsi="宋体" w:eastAsia="宋体"/>
          <w:b w:val="0"/>
          <w:bCs/>
          <w:szCs w:val="21"/>
        </w:rPr>
        <w:t>塘唇村“涂美社区 绘梦先锋”青少年社区美化项目</w:t>
      </w:r>
    </w:p>
    <w:p w14:paraId="07906AE8">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rPr>
        <w:t>“涂美社区 绘梦先锋”塘唇村青少年社区美化项目以塘唇村社区垃圾分类、环境美化的需求为切入点，结合辖区青少年的特征，从青少年学习需求出发，提升社区青少年的环保意识，促进青少年投身社区活动，发挥自身兴趣爱好。以社区为载体，搭建其参与和学习的平台，社工带动社区青少年志愿者参与社区治理志愿服务，发现社区问题，改善社区环境，增强青少年社会责任感，共同打造幸福、和谐社区。</w:t>
      </w:r>
    </w:p>
    <w:p w14:paraId="74D5C637">
      <w:pPr>
        <w:pStyle w:val="28"/>
        <w:numPr>
          <w:ilvl w:val="0"/>
          <w:numId w:val="8"/>
        </w:numPr>
        <w:snapToGrid w:val="0"/>
        <w:spacing w:line="360" w:lineRule="auto"/>
        <w:ind w:left="442" w:hanging="442" w:firstLineChars="0"/>
        <w:contextualSpacing/>
        <w:rPr>
          <w:rFonts w:hint="eastAsia" w:ascii="宋体" w:hAnsi="宋体" w:eastAsia="宋体"/>
          <w:b/>
          <w:szCs w:val="21"/>
        </w:rPr>
      </w:pPr>
      <w:r>
        <w:rPr>
          <w:rFonts w:ascii="宋体" w:hAnsi="宋体" w:eastAsia="宋体"/>
          <w:b/>
          <w:bCs/>
        </w:rPr>
        <w:t>采购标的</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5039"/>
        <w:gridCol w:w="779"/>
        <w:gridCol w:w="734"/>
        <w:gridCol w:w="1908"/>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60E665C0">
            <w:pPr>
              <w:spacing w:line="360" w:lineRule="auto"/>
              <w:jc w:val="center"/>
              <w:rPr>
                <w:rFonts w:hint="eastAsia" w:ascii="宋体" w:hAnsi="宋体" w:eastAsia="宋体"/>
                <w:bCs/>
                <w:szCs w:val="21"/>
              </w:rPr>
            </w:pPr>
            <w:r>
              <w:rPr>
                <w:rFonts w:hint="eastAsia" w:ascii="宋体" w:hAnsi="宋体" w:eastAsia="宋体"/>
                <w:bCs/>
                <w:szCs w:val="21"/>
              </w:rPr>
              <w:t>序号</w:t>
            </w:r>
          </w:p>
        </w:tc>
        <w:tc>
          <w:tcPr>
            <w:tcW w:w="2712" w:type="pct"/>
          </w:tcPr>
          <w:p w14:paraId="01DA7396">
            <w:pPr>
              <w:spacing w:line="360" w:lineRule="auto"/>
              <w:jc w:val="center"/>
              <w:rPr>
                <w:rFonts w:hint="eastAsia" w:ascii="宋体" w:hAnsi="宋体" w:eastAsia="宋体"/>
                <w:bCs/>
                <w:szCs w:val="21"/>
              </w:rPr>
            </w:pPr>
            <w:r>
              <w:rPr>
                <w:rFonts w:hint="eastAsia" w:ascii="宋体" w:hAnsi="宋体" w:eastAsia="宋体"/>
                <w:bCs/>
                <w:szCs w:val="21"/>
              </w:rPr>
              <w:t>标的名称</w:t>
            </w:r>
          </w:p>
        </w:tc>
        <w:tc>
          <w:tcPr>
            <w:tcW w:w="419" w:type="pct"/>
          </w:tcPr>
          <w:p w14:paraId="3490E622">
            <w:pPr>
              <w:spacing w:line="360" w:lineRule="auto"/>
              <w:jc w:val="center"/>
              <w:rPr>
                <w:rFonts w:hint="eastAsia" w:ascii="宋体" w:hAnsi="宋体" w:eastAsia="宋体"/>
                <w:bCs/>
                <w:szCs w:val="21"/>
              </w:rPr>
            </w:pPr>
            <w:r>
              <w:rPr>
                <w:rFonts w:hint="eastAsia" w:ascii="宋体" w:hAnsi="宋体" w:eastAsia="宋体"/>
                <w:bCs/>
                <w:szCs w:val="21"/>
              </w:rPr>
              <w:t>单位</w:t>
            </w:r>
          </w:p>
        </w:tc>
        <w:tc>
          <w:tcPr>
            <w:tcW w:w="395" w:type="pct"/>
          </w:tcPr>
          <w:p w14:paraId="35D97960">
            <w:pPr>
              <w:spacing w:line="360" w:lineRule="auto"/>
              <w:jc w:val="center"/>
              <w:rPr>
                <w:rFonts w:hint="eastAsia" w:ascii="宋体" w:hAnsi="宋体" w:eastAsia="宋体"/>
                <w:bCs/>
                <w:szCs w:val="21"/>
              </w:rPr>
            </w:pPr>
            <w:r>
              <w:rPr>
                <w:rFonts w:hint="eastAsia" w:ascii="宋体" w:hAnsi="宋体" w:eastAsia="宋体"/>
                <w:bCs/>
                <w:szCs w:val="21"/>
              </w:rPr>
              <w:t>数量</w:t>
            </w:r>
          </w:p>
        </w:tc>
        <w:tc>
          <w:tcPr>
            <w:tcW w:w="1027" w:type="pct"/>
          </w:tcPr>
          <w:p w14:paraId="73122C3E">
            <w:pPr>
              <w:spacing w:line="360" w:lineRule="auto"/>
              <w:jc w:val="center"/>
              <w:rPr>
                <w:rFonts w:hint="eastAsia" w:ascii="宋体" w:hAnsi="宋体" w:eastAsia="宋体"/>
                <w:bCs/>
                <w:szCs w:val="21"/>
              </w:rPr>
            </w:pPr>
            <w:r>
              <w:rPr>
                <w:rFonts w:hint="eastAsia" w:ascii="宋体" w:hAnsi="宋体" w:eastAsia="宋体"/>
                <w:bCs/>
                <w:szCs w:val="21"/>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56467E9D">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2712" w:type="pct"/>
          </w:tcPr>
          <w:p w14:paraId="69742D3E">
            <w:pPr>
              <w:spacing w:line="360" w:lineRule="auto"/>
              <w:jc w:val="center"/>
              <w:rPr>
                <w:rFonts w:hint="eastAsia" w:ascii="宋体" w:hAnsi="宋体" w:eastAsia="宋体"/>
                <w:bCs/>
                <w:szCs w:val="21"/>
              </w:rPr>
            </w:pPr>
            <w:r>
              <w:rPr>
                <w:rFonts w:hint="eastAsia" w:ascii="宋体" w:hAnsi="宋体" w:eastAsia="宋体"/>
                <w:bCs/>
                <w:szCs w:val="21"/>
                <w:lang w:val="en-US" w:eastAsia="zh-CN"/>
              </w:rPr>
              <w:t>寮步镇塘唇村专项项目运营</w:t>
            </w:r>
          </w:p>
        </w:tc>
        <w:tc>
          <w:tcPr>
            <w:tcW w:w="419" w:type="pct"/>
          </w:tcPr>
          <w:p w14:paraId="28F8860E">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项</w:t>
            </w:r>
          </w:p>
        </w:tc>
        <w:tc>
          <w:tcPr>
            <w:tcW w:w="395" w:type="pct"/>
          </w:tcPr>
          <w:p w14:paraId="613B9B74">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1027" w:type="pct"/>
          </w:tcPr>
          <w:p w14:paraId="46C79F36">
            <w:pPr>
              <w:spacing w:line="360" w:lineRule="auto"/>
              <w:jc w:val="center"/>
              <w:rPr>
                <w:rFonts w:hint="eastAsia" w:ascii="宋体" w:hAnsi="宋体" w:eastAsia="宋体"/>
                <w:bCs/>
                <w:szCs w:val="21"/>
              </w:rPr>
            </w:pPr>
            <w:r>
              <w:rPr>
                <w:rFonts w:hint="eastAsia" w:ascii="宋体" w:hAnsi="宋体" w:eastAsia="宋体"/>
                <w:bCs/>
                <w:szCs w:val="21"/>
                <w:lang w:eastAsia="zh-CN"/>
              </w:rPr>
              <w:t>其他未列明行业</w:t>
            </w:r>
          </w:p>
        </w:tc>
      </w:tr>
    </w:tbl>
    <w:p w14:paraId="6804A152">
      <w:pPr>
        <w:pStyle w:val="28"/>
        <w:numPr>
          <w:ilvl w:val="0"/>
          <w:numId w:val="8"/>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商务要求</w:t>
      </w:r>
    </w:p>
    <w:p w14:paraId="14ADC81E">
      <w:pPr>
        <w:pStyle w:val="28"/>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服务时间</w:t>
      </w:r>
    </w:p>
    <w:p w14:paraId="61AAAC6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Cs w:val="21"/>
        </w:rPr>
      </w:pPr>
      <w:r>
        <w:rPr>
          <w:rFonts w:hint="eastAsia" w:ascii="宋体" w:hAnsi="宋体" w:eastAsia="宋体" w:cs="宋体"/>
          <w:color w:val="auto"/>
          <w:kern w:val="0"/>
          <w:sz w:val="21"/>
          <w:szCs w:val="21"/>
          <w:lang w:eastAsia="zh-Hans"/>
        </w:rPr>
        <w:t>自合同签订日期起至202</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Hans"/>
        </w:rPr>
        <w:t>年</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lang w:eastAsia="zh-Hans"/>
        </w:rPr>
        <w:t>月</w:t>
      </w:r>
      <w:r>
        <w:rPr>
          <w:rFonts w:hint="eastAsia" w:ascii="宋体" w:hAnsi="宋体" w:eastAsia="宋体" w:cs="宋体"/>
          <w:color w:val="auto"/>
          <w:kern w:val="0"/>
          <w:sz w:val="21"/>
          <w:szCs w:val="21"/>
          <w:lang w:val="en-US" w:eastAsia="zh-CN"/>
        </w:rPr>
        <w:t>31</w:t>
      </w:r>
      <w:r>
        <w:rPr>
          <w:rFonts w:hint="eastAsia" w:ascii="宋体" w:hAnsi="宋体" w:eastAsia="宋体" w:cs="宋体"/>
          <w:color w:val="auto"/>
          <w:kern w:val="0"/>
          <w:sz w:val="21"/>
          <w:szCs w:val="21"/>
          <w:lang w:eastAsia="zh-Hans"/>
        </w:rPr>
        <w:t>日</w:t>
      </w:r>
      <w:r>
        <w:rPr>
          <w:rFonts w:hint="eastAsia" w:ascii="宋体" w:hAnsi="宋体" w:eastAsia="宋体"/>
          <w:iCs/>
          <w:szCs w:val="21"/>
        </w:rPr>
        <w:t>。</w:t>
      </w:r>
    </w:p>
    <w:p w14:paraId="69E2EE01">
      <w:pPr>
        <w:pStyle w:val="28"/>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服务地点</w:t>
      </w:r>
    </w:p>
    <w:p w14:paraId="6B79C947">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szCs w:val="21"/>
          <w:lang w:val="en-US" w:eastAsia="zh-CN"/>
        </w:rPr>
      </w:pPr>
      <w:r>
        <w:rPr>
          <w:rFonts w:hint="eastAsia" w:ascii="宋体" w:hAnsi="宋体" w:eastAsia="宋体"/>
          <w:iCs/>
          <w:szCs w:val="21"/>
        </w:rPr>
        <w:t>寮步镇塘唇村</w:t>
      </w:r>
      <w:r>
        <w:rPr>
          <w:rFonts w:hint="eastAsia" w:ascii="宋体" w:hAnsi="宋体" w:eastAsia="宋体"/>
          <w:iCs/>
          <w:szCs w:val="21"/>
          <w:lang w:val="en-US" w:eastAsia="zh-CN"/>
        </w:rPr>
        <w:t>内或采购人指定地点。</w:t>
      </w:r>
    </w:p>
    <w:p w14:paraId="51525C50">
      <w:pPr>
        <w:pStyle w:val="28"/>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lang w:val="en-US" w:eastAsia="zh-CN"/>
        </w:rPr>
        <w:t>报价要求</w:t>
      </w:r>
    </w:p>
    <w:p w14:paraId="3064B21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Cs w:val="21"/>
        </w:rPr>
      </w:pPr>
      <w:r>
        <w:rPr>
          <w:rFonts w:hint="eastAsia" w:ascii="宋体" w:hAnsi="宋体" w:eastAsia="宋体"/>
          <w:iCs/>
          <w:szCs w:val="21"/>
        </w:rPr>
        <w:t>投标人报价应包含服务人员工资、社保费用、管理费、开展活动的物资成本费用、培训费用、税费及合同实施过程中不可预见费用等全部费用。</w:t>
      </w:r>
    </w:p>
    <w:p w14:paraId="41D184AA">
      <w:pPr>
        <w:pStyle w:val="28"/>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付款条件（进度和方式）</w:t>
      </w:r>
    </w:p>
    <w:p w14:paraId="6D0D7F77">
      <w:pPr>
        <w:pStyle w:val="13"/>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sz w:val="21"/>
          <w:szCs w:val="21"/>
          <w:lang w:val="en-US" w:eastAsia="zh-CN"/>
        </w:rPr>
      </w:pPr>
      <w:r>
        <w:rPr>
          <w:rFonts w:hint="eastAsia" w:ascii="宋体" w:hAnsi="宋体" w:eastAsia="宋体" w:cs="宋体"/>
          <w:i w:val="0"/>
          <w:iCs w:val="0"/>
          <w:caps w:val="0"/>
          <w:color w:val="000000"/>
          <w:spacing w:val="0"/>
          <w:sz w:val="21"/>
          <w:szCs w:val="21"/>
        </w:rPr>
        <w:t>合同签订后</w:t>
      </w:r>
      <w:r>
        <w:rPr>
          <w:rFonts w:hint="eastAsia" w:ascii="宋体" w:hAnsi="宋体" w:eastAsia="宋体" w:cs="宋体"/>
          <w:i w:val="0"/>
          <w:iCs w:val="0"/>
          <w:caps w:val="0"/>
          <w:color w:val="000000"/>
          <w:spacing w:val="0"/>
          <w:sz w:val="21"/>
          <w:szCs w:val="21"/>
          <w:lang w:val="en-US" w:eastAsia="zh-CN"/>
        </w:rPr>
        <w:t>中标人向采购人提交等额有效发票</w:t>
      </w:r>
      <w:r>
        <w:rPr>
          <w:rFonts w:hint="eastAsia" w:ascii="宋体" w:hAnsi="宋体" w:eastAsia="宋体" w:cs="宋体"/>
          <w:i w:val="0"/>
          <w:iCs w:val="0"/>
          <w:caps w:val="0"/>
          <w:color w:val="000000"/>
          <w:spacing w:val="0"/>
          <w:sz w:val="21"/>
          <w:szCs w:val="21"/>
        </w:rPr>
        <w:t>，经采购人确认无误</w:t>
      </w:r>
      <w:r>
        <w:rPr>
          <w:rFonts w:hint="eastAsia" w:ascii="宋体" w:hAnsi="宋体" w:eastAsia="宋体" w:cs="宋体"/>
          <w:i w:val="0"/>
          <w:iCs w:val="0"/>
          <w:caps w:val="0"/>
          <w:color w:val="000000"/>
          <w:spacing w:val="0"/>
          <w:sz w:val="21"/>
          <w:szCs w:val="21"/>
          <w:lang w:val="en-US" w:eastAsia="zh-CN"/>
        </w:rPr>
        <w:t>后</w:t>
      </w:r>
      <w:r>
        <w:rPr>
          <w:rFonts w:hint="eastAsia" w:ascii="宋体" w:hAnsi="宋体" w:eastAsia="宋体" w:cs="宋体"/>
          <w:i w:val="0"/>
          <w:iCs w:val="0"/>
          <w:caps w:val="0"/>
          <w:color w:val="000000"/>
          <w:spacing w:val="0"/>
          <w:sz w:val="21"/>
          <w:szCs w:val="21"/>
        </w:rPr>
        <w:t>于</w:t>
      </w:r>
      <w:r>
        <w:rPr>
          <w:rFonts w:hint="eastAsia" w:ascii="宋体" w:hAnsi="宋体" w:eastAsia="宋体" w:cs="宋体"/>
          <w:i w:val="0"/>
          <w:iCs w:val="0"/>
          <w:caps w:val="0"/>
          <w:color w:val="000000"/>
          <w:spacing w:val="0"/>
          <w:sz w:val="21"/>
          <w:szCs w:val="21"/>
          <w:lang w:val="en-US" w:eastAsia="zh-CN"/>
        </w:rPr>
        <w:t>5</w:t>
      </w:r>
      <w:r>
        <w:rPr>
          <w:rFonts w:hint="eastAsia" w:ascii="宋体" w:hAnsi="宋体" w:eastAsia="宋体" w:cs="宋体"/>
          <w:i w:val="0"/>
          <w:iCs w:val="0"/>
          <w:caps w:val="0"/>
          <w:color w:val="000000"/>
          <w:spacing w:val="0"/>
          <w:sz w:val="21"/>
          <w:szCs w:val="21"/>
        </w:rPr>
        <w:t>个工作日内支付合</w:t>
      </w:r>
      <w:r>
        <w:rPr>
          <w:rFonts w:hint="eastAsia" w:ascii="宋体" w:hAnsi="宋体" w:eastAsia="宋体" w:cs="宋体"/>
          <w:i w:val="0"/>
          <w:iCs w:val="0"/>
          <w:caps w:val="0"/>
          <w:color w:val="000000"/>
          <w:spacing w:val="0"/>
          <w:sz w:val="21"/>
          <w:szCs w:val="21"/>
          <w:lang w:val="en-US" w:eastAsia="zh-CN"/>
        </w:rPr>
        <w:t>同金额的30%作为预付款；</w:t>
      </w:r>
    </w:p>
    <w:p w14:paraId="5EF08951">
      <w:pPr>
        <w:pStyle w:val="13"/>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本项目服务期满3个月后，中标人在服务期内的第4个月初提交等额有效发票至采购人处，经采购人确认无误后于10个工作日内支付合同金额的30%；</w:t>
      </w:r>
    </w:p>
    <w:p w14:paraId="43DF77B7">
      <w:pPr>
        <w:pStyle w:val="13"/>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本项目服务期满并经采购人完成项目验收后，中标人提交等额有效发票至采购人处，经采购人确认无误后于10个工作日内支付合同金额的40%。</w:t>
      </w:r>
    </w:p>
    <w:p w14:paraId="1DDB419B">
      <w:pPr>
        <w:pStyle w:val="28"/>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验收要求</w:t>
      </w:r>
    </w:p>
    <w:p w14:paraId="513A81C8">
      <w:pPr>
        <w:pStyle w:val="13"/>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验收工作由采购人（或采购人指定的单位）和中标人共同进行；</w:t>
      </w:r>
    </w:p>
    <w:p w14:paraId="26631A2C">
      <w:pPr>
        <w:pStyle w:val="13"/>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在验收时，中标人应向采购人提供服务的相关资料，按采购人提出的方式验收；</w:t>
      </w:r>
    </w:p>
    <w:p w14:paraId="5B2609BD">
      <w:pPr>
        <w:pStyle w:val="13"/>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auto"/>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由采购人对服务的质量和数量及其他进行检验。如发现质量和数量等任何一项与采购要求规定不符，采购人</w:t>
      </w:r>
      <w:r>
        <w:rPr>
          <w:rFonts w:hint="eastAsia" w:ascii="宋体" w:hAnsi="宋体" w:eastAsia="宋体" w:cs="宋体"/>
          <w:i w:val="0"/>
          <w:iCs w:val="0"/>
          <w:caps w:val="0"/>
          <w:color w:val="auto"/>
          <w:spacing w:val="0"/>
          <w:sz w:val="21"/>
          <w:szCs w:val="21"/>
          <w:lang w:val="en-US" w:eastAsia="zh-CN"/>
        </w:rPr>
        <w:t>有权拒绝接受。</w:t>
      </w:r>
    </w:p>
    <w:p w14:paraId="62A71971">
      <w:pPr>
        <w:pStyle w:val="28"/>
        <w:numPr>
          <w:ilvl w:val="0"/>
          <w:numId w:val="8"/>
        </w:numPr>
        <w:snapToGrid w:val="0"/>
        <w:spacing w:before="217" w:beforeLines="50" w:line="360" w:lineRule="auto"/>
        <w:ind w:left="442" w:hanging="442" w:firstLineChars="0"/>
        <w:contextualSpacing/>
        <w:rPr>
          <w:rFonts w:hint="eastAsia" w:ascii="宋体" w:hAnsi="宋体" w:eastAsia="宋体"/>
          <w:b/>
          <w:color w:val="auto"/>
          <w:szCs w:val="21"/>
        </w:rPr>
      </w:pPr>
      <w:r>
        <w:rPr>
          <w:rFonts w:ascii="宋体" w:hAnsi="宋体" w:eastAsia="宋体"/>
          <w:b/>
          <w:bCs/>
          <w:color w:val="auto"/>
        </w:rPr>
        <w:t>技术要求</w:t>
      </w:r>
    </w:p>
    <w:p w14:paraId="3F87E3F6">
      <w:pPr>
        <w:pStyle w:val="28"/>
        <w:numPr>
          <w:ilvl w:val="0"/>
          <w:numId w:val="13"/>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运营目标</w:t>
      </w:r>
    </w:p>
    <w:p w14:paraId="5B411B06">
      <w:pPr>
        <w:pStyle w:val="28"/>
        <w:numPr>
          <w:ilvl w:val="0"/>
          <w:numId w:val="14"/>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塘唇村“老幼共融”社区项目</w:t>
      </w:r>
    </w:p>
    <w:p w14:paraId="4BB09E31">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本项目旨在依托塘唇村社区平台，整合“社区+社工+社会组织+志愿者”资源，建立互助、包容、充满活力的老幼共融社区支持网络，通过赋能队伍和开展多元化活动，构建可持续的老幼互动共融场景，提升老年人与少年儿童的社区归属感、生活幸福感和自我价值感，推动社区和谐发展。</w:t>
      </w:r>
    </w:p>
    <w:p w14:paraId="6BB69A08">
      <w:pPr>
        <w:pStyle w:val="28"/>
        <w:numPr>
          <w:ilvl w:val="0"/>
          <w:numId w:val="14"/>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塘唇村“你的时光“游”我相伴”亲子项</w:t>
      </w:r>
      <w:r>
        <w:rPr>
          <w:rFonts w:hint="eastAsia" w:ascii="宋体" w:hAnsi="宋体" w:eastAsia="宋体"/>
          <w:color w:val="auto"/>
          <w:szCs w:val="21"/>
          <w:lang w:val="en-US" w:eastAsia="zh-CN"/>
        </w:rPr>
        <w:t>目</w:t>
      </w:r>
    </w:p>
    <w:p w14:paraId="32AA1CDB">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default" w:ascii="宋体" w:hAnsi="宋体" w:eastAsia="宋体"/>
          <w:color w:val="auto"/>
          <w:szCs w:val="21"/>
          <w:lang w:val="en-US" w:eastAsia="zh-CN"/>
        </w:rPr>
        <w:t>本项目旨在通过协作性游戏与任务</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融合中国传统文化元素的互动游戏与活动，使参与</w:t>
      </w:r>
      <w:r>
        <w:rPr>
          <w:rFonts w:hint="eastAsia" w:ascii="宋体" w:hAnsi="宋体" w:eastAsia="宋体"/>
          <w:color w:val="auto"/>
          <w:szCs w:val="21"/>
          <w:lang w:val="en-US" w:eastAsia="zh-CN"/>
        </w:rPr>
        <w:t>的</w:t>
      </w:r>
      <w:r>
        <w:rPr>
          <w:rFonts w:hint="default" w:ascii="宋体" w:hAnsi="宋体" w:eastAsia="宋体"/>
          <w:color w:val="auto"/>
          <w:szCs w:val="21"/>
          <w:lang w:val="en-US" w:eastAsia="zh-CN"/>
        </w:rPr>
        <w:t>亲子家庭在活动中有效沟通、相互支持，显著提升亲子间的亲密度、理解度和信任感</w:t>
      </w:r>
      <w:r>
        <w:rPr>
          <w:rFonts w:hint="eastAsia" w:ascii="宋体" w:hAnsi="宋体" w:eastAsia="宋体"/>
          <w:color w:val="auto"/>
          <w:szCs w:val="21"/>
          <w:lang w:val="en-US" w:eastAsia="zh-CN"/>
        </w:rPr>
        <w:t>，并且</w:t>
      </w:r>
      <w:r>
        <w:rPr>
          <w:rFonts w:hint="default" w:ascii="宋体" w:hAnsi="宋体" w:eastAsia="宋体"/>
          <w:color w:val="auto"/>
          <w:szCs w:val="21"/>
          <w:lang w:val="en-US" w:eastAsia="zh-CN"/>
        </w:rPr>
        <w:t>增强对中华优秀传统文化的兴趣、认知与认同感。为塘唇村的家长与孩子搭建一个深度交流、共同成长的平台。</w:t>
      </w:r>
    </w:p>
    <w:p w14:paraId="0623CEC3">
      <w:pPr>
        <w:pStyle w:val="28"/>
        <w:numPr>
          <w:ilvl w:val="0"/>
          <w:numId w:val="14"/>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塘唇村“涂美社区 绘梦先锋”青少年社区美化项目</w:t>
      </w:r>
    </w:p>
    <w:p w14:paraId="15A0C7B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本项目旨在通过搭建儿童青少年参与社区治理的平台，系统掌握垃圾分类知识、了解社区环境问题及其重要性，培养儿童青少年在日常生活中践行环保行为的意识和习惯，引导儿童青少年运用自身兴趣爱好（绘画、手工、宣传）服务社区、彩绘美化社区公共空间环境、改善环境的行动力和主人翁意识。在执行过程中，锻炼儿童青少年的团队协作能力、沟通表达能力和解决问题能力，增强儿童青少年作为社区一份子的归属感和社会责任感。</w:t>
      </w:r>
    </w:p>
    <w:p w14:paraId="5740117A">
      <w:pPr>
        <w:pStyle w:val="28"/>
        <w:numPr>
          <w:ilvl w:val="0"/>
          <w:numId w:val="13"/>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服务内容</w:t>
      </w:r>
    </w:p>
    <w:p w14:paraId="4FEB56CD">
      <w:pPr>
        <w:pStyle w:val="28"/>
        <w:widowControl/>
        <w:numPr>
          <w:ilvl w:val="0"/>
          <w:numId w:val="15"/>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塘唇村“老幼共融”社区项目</w:t>
      </w:r>
    </w:p>
    <w:p w14:paraId="760F8AAF">
      <w:pPr>
        <w:pStyle w:val="28"/>
        <w:widowControl/>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“小手牵大手”系列</w:t>
      </w:r>
    </w:p>
    <w:p w14:paraId="2C8ED2C1">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①系</w:t>
      </w:r>
      <w:r>
        <w:rPr>
          <w:rFonts w:hint="eastAsia" w:ascii="宋体" w:hAnsi="宋体" w:eastAsia="宋体"/>
          <w:color w:val="auto"/>
          <w:szCs w:val="21"/>
        </w:rPr>
        <w:t>统培训儿童志愿者沟通、礼仪、安全</w:t>
      </w:r>
      <w:r>
        <w:rPr>
          <w:rFonts w:hint="eastAsia" w:ascii="宋体" w:hAnsi="宋体" w:eastAsia="宋体"/>
          <w:color w:val="auto"/>
          <w:szCs w:val="21"/>
          <w:lang w:val="en-US" w:eastAsia="zh-CN"/>
        </w:rPr>
        <w:t>等技能</w:t>
      </w:r>
      <w:r>
        <w:rPr>
          <w:rFonts w:hint="eastAsia" w:ascii="宋体" w:hAnsi="宋体" w:eastAsia="宋体"/>
          <w:color w:val="auto"/>
          <w:szCs w:val="21"/>
        </w:rPr>
        <w:t>，参与社区敬老、环保、活动协助等志愿服务</w:t>
      </w:r>
      <w:r>
        <w:rPr>
          <w:rFonts w:hint="eastAsia" w:ascii="宋体" w:hAnsi="宋体" w:eastAsia="宋体"/>
          <w:color w:val="auto"/>
          <w:szCs w:val="21"/>
          <w:lang w:eastAsia="zh-CN"/>
        </w:rPr>
        <w:t>；</w:t>
      </w:r>
      <w:r>
        <w:rPr>
          <w:rFonts w:hint="eastAsia" w:ascii="宋体" w:hAnsi="宋体" w:eastAsia="宋体"/>
          <w:color w:val="auto"/>
          <w:szCs w:val="21"/>
          <w:lang w:val="en-US" w:eastAsia="zh-CN"/>
        </w:rPr>
        <w:t>组织儿童青少年志愿者为社区长者提供力所能及的陪伴服务（如读报、聊天、环境美化）、节日慰问让儿童青少年亲手制作手工礼物送社区长者、协助参与社区活动等。培养儿童的同理心、责任感和敬老意识与实践能力，给社区长者带来温暖和陪伴，减少孤独感。</w:t>
      </w:r>
    </w:p>
    <w:p w14:paraId="380AD0C6">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80" w:firstLineChars="200"/>
        <w:contextualSpacing/>
        <w:textAlignment w:val="auto"/>
        <w:rPr>
          <w:rFonts w:hint="eastAsia" w:ascii="宋体" w:hAnsi="宋体" w:eastAsia="宋体"/>
          <w:color w:val="auto"/>
          <w:szCs w:val="21"/>
        </w:rPr>
      </w:pPr>
      <w:r>
        <w:rPr>
          <w:rFonts w:hint="eastAsia" w:ascii="宋体" w:hAnsi="宋体" w:eastAsia="宋体" w:cs="Times New Roman"/>
          <w:color w:val="000000"/>
          <w:kern w:val="2"/>
          <w:sz w:val="24"/>
          <w:szCs w:val="28"/>
          <w:highlight w:val="none"/>
          <w:lang w:val="en-US" w:eastAsia="zh-CN" w:bidi="ar-SA"/>
        </w:rPr>
        <w:t>②</w:t>
      </w:r>
      <w:r>
        <w:rPr>
          <w:rFonts w:hint="eastAsia" w:ascii="宋体" w:hAnsi="宋体" w:eastAsia="宋体"/>
          <w:color w:val="auto"/>
          <w:szCs w:val="21"/>
          <w:lang w:val="en-US" w:eastAsia="zh-CN"/>
        </w:rPr>
        <w:t>开展适合祖孙共同参与的趣味运动会项目，通过肢体接触、语言接触，在轻松愉快的氛围中增加彼此间的感情，促进身体活动，笑声是最好的融合剂。</w:t>
      </w:r>
    </w:p>
    <w:p w14:paraId="126DDC61">
      <w:pPr>
        <w:pStyle w:val="28"/>
        <w:widowControl/>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“时光课堂”系列</w:t>
      </w:r>
    </w:p>
    <w:p w14:paraId="5AAD260D">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①邀请社区长者担任导师，向儿童青少年传授传统手艺、生活智慧、烹饪技巧、辨别食材新鲜度等，实现文化传承与长者价值体现。</w:t>
      </w:r>
    </w:p>
    <w:p w14:paraId="40DE5205">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②邀请小朋友作为小导师，教社区长者智能手机的基础应用，学习流行网络用语及表情包的解读；老人学习新技能融入时代，孩子学习生活智慧并锻炼表达能力，双向赋能，让老幼共融更急贴近于生活中。</w:t>
      </w:r>
    </w:p>
    <w:p w14:paraId="1BAC29EA">
      <w:pPr>
        <w:pStyle w:val="28"/>
        <w:widowControl/>
        <w:numPr>
          <w:ilvl w:val="0"/>
          <w:numId w:val="15"/>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塘唇村“你的时光“游”我相伴”亲子项目</w:t>
      </w:r>
    </w:p>
    <w:p w14:paraId="784ABFA6">
      <w:pPr>
        <w:pStyle w:val="28"/>
        <w:widowControl/>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“时光穿梭”主题系列</w:t>
      </w:r>
    </w:p>
    <w:p w14:paraId="36242AE5">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不同主题的沉浸式亲子互动活动。每次活动围绕一个核心传统文化元素，如：春节/元宵的团圆与灯谜、清明的踏青与节气、端午的龙舟与诗词、中秋的赏月与传说等，结合传统文化知识问答、诗词接龙、手工制作；让亲子一起讲述历史故事、民间传说，以任务形似让亲子共同参与，在过程中促进你沟通，学会理解与支持。</w:t>
      </w:r>
    </w:p>
    <w:p w14:paraId="1FF547DC">
      <w:pPr>
        <w:pStyle w:val="28"/>
        <w:widowControl/>
        <w:numPr>
          <w:ilvl w:val="0"/>
          <w:numId w:val="17"/>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“时光茶话会”主题</w:t>
      </w:r>
    </w:p>
    <w:p w14:paraId="38F91FC7">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组织亲子分享会，鼓励家长和孩子共同上台，分享在活动中的趣事、挑战、克服困难的经历、对彼此的新发现、学习到的传统文化知识以及内心的感悟。邀请专业人士（如家庭教育指导师、心理咨询师）进行简短点评或微讲座，引导更深入的反思与交流，传播科学陪伴理念。</w:t>
      </w:r>
    </w:p>
    <w:p w14:paraId="36D0C415">
      <w:pPr>
        <w:pStyle w:val="28"/>
        <w:widowControl/>
        <w:numPr>
          <w:ilvl w:val="0"/>
          <w:numId w:val="15"/>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塘唇村“涂美社区 绘梦先锋”青少年社区美化项目</w:t>
      </w:r>
    </w:p>
    <w:p w14:paraId="1E040551">
      <w:pPr>
        <w:pStyle w:val="28"/>
        <w:widowControl/>
        <w:numPr>
          <w:ilvl w:val="0"/>
          <w:numId w:val="18"/>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“环保先锋”系列</w:t>
      </w:r>
    </w:p>
    <w:p w14:paraId="7B6A9CA1">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组织生动有趣的垃圾分类知识讲座、互动游戏，确保青少年掌握分类标准、意义及操作；通过实地走访、观察记录，小组讨论等形式，识别塘唇村存在的具体环境美化需求点，形成“问题地图”。</w:t>
      </w:r>
    </w:p>
    <w:p w14:paraId="1395172C">
      <w:pPr>
        <w:pStyle w:val="28"/>
        <w:widowControl/>
        <w:numPr>
          <w:ilvl w:val="0"/>
          <w:numId w:val="18"/>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“绘梦行动”系列</w:t>
      </w:r>
    </w:p>
    <w:p w14:paraId="4C7D8479">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组织青少年设计并制作垃圾分类宣传标语、海报、小道具，在社区广场、篮球处进行宣传或入户讲解，向居民普及知识；对社区沙井盖、石墩、宣传栏等进行清洁和简单美化装饰。举办成果展览、改造前后对比图、手工作品展或小型表彰会，展示青少年工作成果，表彰优秀志愿者，提升成就感和社区影响力。</w:t>
      </w:r>
    </w:p>
    <w:p w14:paraId="37F3026B">
      <w:pPr>
        <w:pStyle w:val="28"/>
        <w:numPr>
          <w:ilvl w:val="0"/>
          <w:numId w:val="13"/>
        </w:numPr>
        <w:snapToGrid w:val="0"/>
        <w:spacing w:line="360" w:lineRule="auto"/>
        <w:ind w:firstLineChars="0"/>
        <w:contextualSpacing/>
        <w:rPr>
          <w:rFonts w:hint="eastAsia" w:ascii="宋体" w:hAnsi="宋体" w:eastAsia="宋体"/>
          <w:iCs/>
          <w:color w:val="auto"/>
          <w:szCs w:val="21"/>
        </w:rPr>
      </w:pPr>
      <w:r>
        <w:rPr>
          <w:rFonts w:hint="eastAsia" w:ascii="宋体" w:hAnsi="宋体" w:eastAsia="宋体"/>
          <w:iCs/>
          <w:color w:val="auto"/>
          <w:szCs w:val="21"/>
        </w:rPr>
        <w:t>人员要求</w:t>
      </w:r>
    </w:p>
    <w:p w14:paraId="5D9796B0">
      <w:pPr>
        <w:pStyle w:val="28"/>
        <w:numPr>
          <w:ilvl w:val="0"/>
          <w:numId w:val="19"/>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中标人应本着服务至上、诚信为本的宗旨，为采购人委派身体健康并符合要求的</w:t>
      </w:r>
      <w:r>
        <w:rPr>
          <w:rFonts w:hint="eastAsia" w:ascii="宋体" w:hAnsi="宋体" w:eastAsia="宋体"/>
          <w:iCs/>
          <w:color w:val="auto"/>
          <w:szCs w:val="21"/>
          <w:lang w:val="en-US" w:eastAsia="zh-CN"/>
        </w:rPr>
        <w:t>服务人员</w:t>
      </w:r>
      <w:r>
        <w:rPr>
          <w:rFonts w:hint="eastAsia" w:ascii="宋体" w:hAnsi="宋体" w:eastAsia="宋体"/>
          <w:iCs/>
          <w:color w:val="auto"/>
          <w:szCs w:val="21"/>
        </w:rPr>
        <w:t>，同时需监督管理并指导项目为采购人提供相关的优质服务。</w:t>
      </w:r>
    </w:p>
    <w:p w14:paraId="3A14BEE1">
      <w:pPr>
        <w:pStyle w:val="28"/>
        <w:numPr>
          <w:ilvl w:val="0"/>
          <w:numId w:val="19"/>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中标人</w:t>
      </w:r>
      <w:r>
        <w:rPr>
          <w:rFonts w:hint="eastAsia" w:ascii="宋体" w:hAnsi="宋体" w:eastAsia="宋体"/>
          <w:iCs/>
          <w:color w:val="auto"/>
          <w:szCs w:val="21"/>
          <w:lang w:val="en-US" w:eastAsia="zh-CN"/>
        </w:rPr>
        <w:t>需要对投入项目的服务人员</w:t>
      </w:r>
      <w:r>
        <w:rPr>
          <w:rFonts w:hint="eastAsia" w:ascii="宋体" w:hAnsi="宋体" w:eastAsia="宋体"/>
          <w:iCs/>
          <w:color w:val="auto"/>
          <w:szCs w:val="21"/>
        </w:rPr>
        <w:t>提供培训。</w:t>
      </w:r>
    </w:p>
    <w:p w14:paraId="00B0A303">
      <w:pPr>
        <w:pStyle w:val="28"/>
        <w:numPr>
          <w:ilvl w:val="0"/>
          <w:numId w:val="13"/>
        </w:numPr>
        <w:snapToGrid w:val="0"/>
        <w:spacing w:line="360" w:lineRule="auto"/>
        <w:ind w:firstLineChars="0"/>
        <w:contextualSpacing/>
        <w:rPr>
          <w:rFonts w:hint="eastAsia" w:ascii="宋体" w:hAnsi="宋体" w:eastAsia="宋体"/>
          <w:iCs/>
          <w:color w:val="auto"/>
          <w:szCs w:val="21"/>
        </w:rPr>
      </w:pPr>
      <w:r>
        <w:rPr>
          <w:rFonts w:hint="eastAsia" w:ascii="宋体" w:hAnsi="宋体" w:eastAsia="宋体"/>
          <w:iCs/>
          <w:color w:val="auto"/>
          <w:szCs w:val="21"/>
        </w:rPr>
        <w:t>其他要求</w:t>
      </w:r>
    </w:p>
    <w:p w14:paraId="2C9C3775">
      <w:pPr>
        <w:pStyle w:val="28"/>
        <w:numPr>
          <w:ilvl w:val="0"/>
          <w:numId w:val="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中标人应制定详细的总体服务方案，包括但不限于：社工服务需求调研，社工服务计划、社工服务工作流程与制度等，确保项目有序进行。</w:t>
      </w:r>
    </w:p>
    <w:p w14:paraId="4231CF60">
      <w:pPr>
        <w:pStyle w:val="28"/>
        <w:numPr>
          <w:ilvl w:val="0"/>
          <w:numId w:val="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中标人应制定服务质量保障方案，如项目管理方案、服务进度和质量保障方案等。</w:t>
      </w:r>
    </w:p>
    <w:p w14:paraId="0F64F49E">
      <w:pPr>
        <w:pStyle w:val="28"/>
        <w:numPr>
          <w:ilvl w:val="0"/>
          <w:numId w:val="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中标人应建立健全运营管理制度，包括不限于人员管理、服务管理、行政管理等制度。</w:t>
      </w:r>
    </w:p>
    <w:p w14:paraId="6A4BB379">
      <w:pPr>
        <w:pStyle w:val="28"/>
        <w:numPr>
          <w:ilvl w:val="0"/>
          <w:numId w:val="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中标人应根据服务对象特点、服务内容及服务要求，制定本项目的服务人员培训及考核方案，方案应包括培训计划、培训内容、考核及奖惩机制等。</w:t>
      </w:r>
    </w:p>
    <w:p w14:paraId="5F75B34A">
      <w:pPr>
        <w:pStyle w:val="28"/>
        <w:numPr>
          <w:ilvl w:val="0"/>
          <w:numId w:val="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中标人应制定跟踪服务、监控评估方案，定期委派专人负责跟进服务项目的开展情况，并对服务质量、服务效果进行监控评估，并反馈采购人。</w:t>
      </w:r>
    </w:p>
    <w:p w14:paraId="3AF45FA6">
      <w:pPr>
        <w:pStyle w:val="28"/>
        <w:numPr>
          <w:ilvl w:val="0"/>
          <w:numId w:val="20"/>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lang w:val="en-US" w:eastAsia="zh-Hans"/>
        </w:rPr>
        <w:t>因本项目履约过程中涉及人员众多，组成情况复杂，因此中标人应有一套完善的应急预案，以应对各类紧急情况的预判、突发事件等履约过程中可能出现的紧急情况，为此提供迅速的应急响应和善后措施。</w:t>
      </w:r>
      <w:r>
        <w:rPr>
          <w:rFonts w:hint="eastAsia" w:ascii="宋体" w:hAnsi="宋体" w:eastAsia="宋体"/>
          <w:iCs/>
          <w:color w:val="auto"/>
          <w:szCs w:val="21"/>
          <w:lang w:val="en-US" w:eastAsia="zh-CN"/>
        </w:rPr>
        <w:t>采购人如果有临时的服务要求需要中标人提供，中标人需要在4小时内派项目负责人到达采购人指定地点。</w:t>
      </w:r>
    </w:p>
    <w:p w14:paraId="136A4FEF">
      <w:pPr>
        <w:rPr>
          <w:rFonts w:hint="eastAsia" w:ascii="宋体" w:hAnsi="宋体" w:eastAsia="宋体"/>
          <w:szCs w:val="21"/>
        </w:rPr>
      </w:pPr>
      <w:r>
        <w:rPr>
          <w:rFonts w:hint="eastAsia" w:ascii="宋体" w:hAnsi="宋体" w:eastAsia="宋体"/>
          <w:szCs w:val="21"/>
        </w:rPr>
        <w:br w:type="page"/>
      </w:r>
    </w:p>
    <w:p w14:paraId="5D9F4323">
      <w:pPr>
        <w:pStyle w:val="28"/>
        <w:numPr>
          <w:ilvl w:val="0"/>
          <w:numId w:val="0"/>
        </w:numPr>
        <w:snapToGrid w:val="0"/>
        <w:spacing w:line="360" w:lineRule="auto"/>
        <w:ind w:leftChars="0"/>
        <w:contextualSpacing/>
        <w:rPr>
          <w:rFonts w:hint="eastAsia" w:ascii="宋体" w:hAnsi="宋体" w:eastAsia="宋体" w:cs="宋体"/>
          <w:b/>
          <w:bCs/>
          <w:lang w:val="en-US" w:eastAsia="zh-CN"/>
        </w:rPr>
      </w:pPr>
      <w:r>
        <w:rPr>
          <w:rFonts w:hint="eastAsia" w:ascii="宋体" w:hAnsi="宋体" w:eastAsia="宋体" w:cs="宋体"/>
          <w:b/>
          <w:bCs/>
          <w:sz w:val="24"/>
          <w:szCs w:val="28"/>
          <w:lang w:val="en-US" w:eastAsia="zh-CN"/>
        </w:rPr>
        <w:t>包组2：寮步镇浮竹山村专项项目运营</w:t>
      </w:r>
    </w:p>
    <w:p w14:paraId="5E8AA1D7">
      <w:pPr>
        <w:pStyle w:val="28"/>
        <w:numPr>
          <w:ilvl w:val="0"/>
          <w:numId w:val="21"/>
        </w:numPr>
        <w:snapToGrid w:val="0"/>
        <w:spacing w:line="360" w:lineRule="auto"/>
        <w:ind w:left="442" w:hanging="442" w:firstLineChars="0"/>
        <w:contextualSpacing/>
        <w:rPr>
          <w:rFonts w:hint="eastAsia" w:ascii="宋体" w:hAnsi="宋体" w:eastAsia="宋体"/>
          <w:b/>
          <w:szCs w:val="21"/>
        </w:rPr>
      </w:pPr>
      <w:r>
        <w:rPr>
          <w:rFonts w:hint="eastAsia" w:ascii="宋体" w:hAnsi="宋体" w:eastAsia="宋体"/>
          <w:b/>
          <w:szCs w:val="21"/>
          <w:lang w:val="en-US" w:eastAsia="zh-CN"/>
        </w:rPr>
        <w:t>项目概况</w:t>
      </w:r>
    </w:p>
    <w:p w14:paraId="7877EF82">
      <w:pPr>
        <w:pStyle w:val="28"/>
        <w:numPr>
          <w:ilvl w:val="0"/>
          <w:numId w:val="22"/>
        </w:numPr>
        <w:snapToGrid w:val="0"/>
        <w:spacing w:line="360" w:lineRule="auto"/>
        <w:ind w:firstLineChars="0"/>
        <w:contextualSpacing/>
        <w:rPr>
          <w:rFonts w:hint="eastAsia" w:ascii="宋体" w:hAnsi="宋体" w:eastAsia="宋体"/>
          <w:b w:val="0"/>
          <w:bCs/>
          <w:szCs w:val="21"/>
        </w:rPr>
      </w:pPr>
      <w:r>
        <w:rPr>
          <w:rFonts w:hint="eastAsia" w:ascii="宋体" w:hAnsi="宋体" w:eastAsia="宋体"/>
          <w:b w:val="0"/>
          <w:bCs/>
          <w:szCs w:val="21"/>
        </w:rPr>
        <w:t>“童参与 共传承”浮竹山青少年传统文化研学体验项目</w:t>
      </w:r>
    </w:p>
    <w:p w14:paraId="0BF127B9">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lang w:val="en-US" w:eastAsia="zh-CN"/>
        </w:rPr>
        <w:t>持续壮大社区小小文化导赏志愿服务队，持续培育社区青少年儿童了解传承本社区文化的基础下，融入非遗文化活动传承体验，通过认识、体验、参观、分享的方式，积极营造知晓传统文化，传承和弘扬非遗的浓厚文化氛围，让传统文化融入青少年的日常生活，培养他们对传统文化的认同感，从小增强保护传统文化的意识，提高保护传承水平，增强民族自信心和凝聚力。</w:t>
      </w:r>
    </w:p>
    <w:p w14:paraId="2CA6AF26">
      <w:pPr>
        <w:pStyle w:val="28"/>
        <w:numPr>
          <w:ilvl w:val="0"/>
          <w:numId w:val="22"/>
        </w:numPr>
        <w:snapToGrid w:val="0"/>
        <w:spacing w:line="360" w:lineRule="auto"/>
        <w:ind w:firstLineChars="0"/>
        <w:contextualSpacing/>
        <w:rPr>
          <w:rFonts w:hint="eastAsia" w:ascii="宋体" w:hAnsi="宋体" w:eastAsia="宋体"/>
          <w:b w:val="0"/>
          <w:bCs/>
          <w:szCs w:val="21"/>
        </w:rPr>
      </w:pPr>
      <w:r>
        <w:rPr>
          <w:rFonts w:hint="eastAsia" w:ascii="宋体" w:hAnsi="宋体" w:eastAsia="宋体"/>
          <w:b w:val="0"/>
          <w:bCs/>
          <w:szCs w:val="21"/>
          <w:lang w:val="en-US" w:eastAsia="zh-CN"/>
        </w:rPr>
        <w:t>“小手拉大手 美化环境齐动手”—社区环境美化项目</w:t>
      </w:r>
    </w:p>
    <w:p w14:paraId="1CCE1821">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lang w:val="en-US" w:eastAsia="zh-CN"/>
        </w:rPr>
        <w:t>以社区环境治理为切入点，通过“小手牵大手”，在社区招募培育以儿童青少年为主体的“家园美化小天使”志愿服务队和以青年为主体的“天使之翼”志愿服务队，开展以社区环境美化、文明倡导、节能减碳等为主要内容的美化家园系列服务，共创美好环境、共建美好家园。</w:t>
      </w:r>
    </w:p>
    <w:p w14:paraId="1EFBF7D2">
      <w:pPr>
        <w:pStyle w:val="28"/>
        <w:numPr>
          <w:ilvl w:val="0"/>
          <w:numId w:val="22"/>
        </w:numPr>
        <w:snapToGrid w:val="0"/>
        <w:spacing w:line="360" w:lineRule="auto"/>
        <w:ind w:firstLineChars="0"/>
        <w:contextualSpacing/>
        <w:rPr>
          <w:rFonts w:hint="eastAsia" w:ascii="宋体" w:hAnsi="宋体" w:eastAsia="宋体"/>
          <w:b w:val="0"/>
          <w:bCs/>
          <w:szCs w:val="21"/>
        </w:rPr>
      </w:pPr>
      <w:r>
        <w:rPr>
          <w:rFonts w:hint="eastAsia" w:ascii="宋体" w:hAnsi="宋体" w:eastAsia="宋体"/>
          <w:b w:val="0"/>
          <w:bCs/>
          <w:szCs w:val="21"/>
        </w:rPr>
        <w:t>手“竹”情深—社区共融项目</w:t>
      </w:r>
    </w:p>
    <w:p w14:paraId="45C608B4">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lang w:val="en-US" w:eastAsia="zh-CN"/>
        </w:rPr>
        <w:t>为增强居民社区认同感，引导并提升起参与社区治理的积极性，促进社区居民共融、互助，浮竹山社综结合社区实际与居民需求，开展本项目计划。该项目主要以辖区老年人、妇女、亲子家庭、志愿者四个不同群体为服务对象，通过“聚·一耆”“庆·家节”“传·家情”“义·家人”四大方面开展社区共融服务，提高社区居民社会交往能力，个人能力，家庭关系和谐，志愿服务精神，加强居民对社区的认同感，社区居民共融，齐心共建一个温馨融洽和谐的社区。</w:t>
      </w:r>
    </w:p>
    <w:p w14:paraId="12773D58">
      <w:pPr>
        <w:pStyle w:val="28"/>
        <w:numPr>
          <w:ilvl w:val="0"/>
          <w:numId w:val="21"/>
        </w:numPr>
        <w:snapToGrid w:val="0"/>
        <w:spacing w:line="360" w:lineRule="auto"/>
        <w:ind w:left="442" w:hanging="442" w:firstLineChars="0"/>
        <w:contextualSpacing/>
        <w:rPr>
          <w:rFonts w:hint="eastAsia" w:ascii="宋体" w:hAnsi="宋体" w:eastAsia="宋体"/>
          <w:b/>
          <w:szCs w:val="21"/>
        </w:rPr>
      </w:pPr>
      <w:r>
        <w:rPr>
          <w:rFonts w:ascii="宋体" w:hAnsi="宋体" w:eastAsia="宋体"/>
          <w:b/>
          <w:bCs/>
        </w:rPr>
        <w:t>采购标的</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5039"/>
        <w:gridCol w:w="779"/>
        <w:gridCol w:w="734"/>
        <w:gridCol w:w="1908"/>
      </w:tblGrid>
      <w:tr w14:paraId="11973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5A2DAF66">
            <w:pPr>
              <w:spacing w:line="360" w:lineRule="auto"/>
              <w:jc w:val="center"/>
              <w:rPr>
                <w:rFonts w:hint="eastAsia" w:ascii="宋体" w:hAnsi="宋体" w:eastAsia="宋体"/>
                <w:bCs/>
                <w:szCs w:val="21"/>
              </w:rPr>
            </w:pPr>
            <w:r>
              <w:rPr>
                <w:rFonts w:hint="eastAsia" w:ascii="宋体" w:hAnsi="宋体" w:eastAsia="宋体"/>
                <w:bCs/>
                <w:szCs w:val="21"/>
              </w:rPr>
              <w:t>序号</w:t>
            </w:r>
          </w:p>
        </w:tc>
        <w:tc>
          <w:tcPr>
            <w:tcW w:w="2712" w:type="pct"/>
          </w:tcPr>
          <w:p w14:paraId="3FBC1EAD">
            <w:pPr>
              <w:spacing w:line="360" w:lineRule="auto"/>
              <w:jc w:val="center"/>
              <w:rPr>
                <w:rFonts w:hint="eastAsia" w:ascii="宋体" w:hAnsi="宋体" w:eastAsia="宋体"/>
                <w:bCs/>
                <w:szCs w:val="21"/>
              </w:rPr>
            </w:pPr>
            <w:r>
              <w:rPr>
                <w:rFonts w:hint="eastAsia" w:ascii="宋体" w:hAnsi="宋体" w:eastAsia="宋体"/>
                <w:bCs/>
                <w:szCs w:val="21"/>
              </w:rPr>
              <w:t>标的名称</w:t>
            </w:r>
          </w:p>
        </w:tc>
        <w:tc>
          <w:tcPr>
            <w:tcW w:w="419" w:type="pct"/>
          </w:tcPr>
          <w:p w14:paraId="6ED914AE">
            <w:pPr>
              <w:spacing w:line="360" w:lineRule="auto"/>
              <w:jc w:val="center"/>
              <w:rPr>
                <w:rFonts w:hint="eastAsia" w:ascii="宋体" w:hAnsi="宋体" w:eastAsia="宋体"/>
                <w:bCs/>
                <w:szCs w:val="21"/>
              </w:rPr>
            </w:pPr>
            <w:r>
              <w:rPr>
                <w:rFonts w:hint="eastAsia" w:ascii="宋体" w:hAnsi="宋体" w:eastAsia="宋体"/>
                <w:bCs/>
                <w:szCs w:val="21"/>
              </w:rPr>
              <w:t>单位</w:t>
            </w:r>
          </w:p>
        </w:tc>
        <w:tc>
          <w:tcPr>
            <w:tcW w:w="395" w:type="pct"/>
          </w:tcPr>
          <w:p w14:paraId="317DD437">
            <w:pPr>
              <w:spacing w:line="360" w:lineRule="auto"/>
              <w:jc w:val="center"/>
              <w:rPr>
                <w:rFonts w:hint="eastAsia" w:ascii="宋体" w:hAnsi="宋体" w:eastAsia="宋体"/>
                <w:bCs/>
                <w:szCs w:val="21"/>
              </w:rPr>
            </w:pPr>
            <w:r>
              <w:rPr>
                <w:rFonts w:hint="eastAsia" w:ascii="宋体" w:hAnsi="宋体" w:eastAsia="宋体"/>
                <w:bCs/>
                <w:szCs w:val="21"/>
              </w:rPr>
              <w:t>数量</w:t>
            </w:r>
          </w:p>
        </w:tc>
        <w:tc>
          <w:tcPr>
            <w:tcW w:w="1027" w:type="pct"/>
          </w:tcPr>
          <w:p w14:paraId="2DD5D0C9">
            <w:pPr>
              <w:spacing w:line="360" w:lineRule="auto"/>
              <w:jc w:val="center"/>
              <w:rPr>
                <w:rFonts w:hint="eastAsia" w:ascii="宋体" w:hAnsi="宋体" w:eastAsia="宋体"/>
                <w:bCs/>
                <w:szCs w:val="21"/>
              </w:rPr>
            </w:pPr>
            <w:r>
              <w:rPr>
                <w:rFonts w:hint="eastAsia" w:ascii="宋体" w:hAnsi="宋体" w:eastAsia="宋体"/>
                <w:bCs/>
                <w:szCs w:val="21"/>
              </w:rPr>
              <w:t>采购标的所属行业</w:t>
            </w:r>
          </w:p>
        </w:tc>
      </w:tr>
      <w:tr w14:paraId="6BD4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22C6BB4A">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2712" w:type="pct"/>
          </w:tcPr>
          <w:p w14:paraId="0CBA1560">
            <w:pPr>
              <w:spacing w:line="360" w:lineRule="auto"/>
              <w:jc w:val="center"/>
              <w:rPr>
                <w:rFonts w:hint="eastAsia" w:ascii="宋体" w:hAnsi="宋体" w:eastAsia="宋体"/>
                <w:bCs/>
                <w:szCs w:val="21"/>
              </w:rPr>
            </w:pPr>
            <w:r>
              <w:rPr>
                <w:rFonts w:hint="eastAsia" w:ascii="宋体" w:hAnsi="宋体" w:eastAsia="宋体"/>
                <w:bCs/>
                <w:szCs w:val="21"/>
                <w:lang w:val="en-US" w:eastAsia="zh-CN"/>
              </w:rPr>
              <w:t>寮步镇浮竹山村专项项目运营</w:t>
            </w:r>
          </w:p>
        </w:tc>
        <w:tc>
          <w:tcPr>
            <w:tcW w:w="419" w:type="pct"/>
          </w:tcPr>
          <w:p w14:paraId="2AB658F0">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项</w:t>
            </w:r>
          </w:p>
        </w:tc>
        <w:tc>
          <w:tcPr>
            <w:tcW w:w="395" w:type="pct"/>
          </w:tcPr>
          <w:p w14:paraId="02A53B15">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1027" w:type="pct"/>
          </w:tcPr>
          <w:p w14:paraId="724709DD">
            <w:pPr>
              <w:spacing w:line="360" w:lineRule="auto"/>
              <w:jc w:val="center"/>
              <w:rPr>
                <w:rFonts w:hint="eastAsia" w:ascii="宋体" w:hAnsi="宋体" w:eastAsia="宋体"/>
                <w:bCs/>
                <w:szCs w:val="21"/>
              </w:rPr>
            </w:pPr>
            <w:r>
              <w:rPr>
                <w:rFonts w:hint="eastAsia" w:ascii="宋体" w:hAnsi="宋体" w:eastAsia="宋体"/>
                <w:bCs/>
                <w:szCs w:val="21"/>
                <w:lang w:eastAsia="zh-CN"/>
              </w:rPr>
              <w:t>其他未列明行业</w:t>
            </w:r>
          </w:p>
        </w:tc>
      </w:tr>
    </w:tbl>
    <w:p w14:paraId="0BA436C5">
      <w:pPr>
        <w:pStyle w:val="28"/>
        <w:numPr>
          <w:ilvl w:val="0"/>
          <w:numId w:val="21"/>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商务要求</w:t>
      </w:r>
    </w:p>
    <w:p w14:paraId="4F9652DC">
      <w:pPr>
        <w:pStyle w:val="28"/>
        <w:numPr>
          <w:ilvl w:val="0"/>
          <w:numId w:val="23"/>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服务时间</w:t>
      </w:r>
    </w:p>
    <w:p w14:paraId="5BE3913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Cs w:val="21"/>
        </w:rPr>
      </w:pPr>
      <w:r>
        <w:rPr>
          <w:rFonts w:hint="eastAsia" w:ascii="宋体" w:hAnsi="宋体" w:eastAsia="宋体" w:cs="宋体"/>
          <w:color w:val="auto"/>
          <w:kern w:val="0"/>
          <w:sz w:val="21"/>
          <w:szCs w:val="21"/>
          <w:lang w:eastAsia="zh-Hans"/>
        </w:rPr>
        <w:t>自合同签订日期起至202</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Hans"/>
        </w:rPr>
        <w:t>年</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lang w:eastAsia="zh-Hans"/>
        </w:rPr>
        <w:t>月</w:t>
      </w:r>
      <w:r>
        <w:rPr>
          <w:rFonts w:hint="eastAsia" w:ascii="宋体" w:hAnsi="宋体" w:eastAsia="宋体" w:cs="宋体"/>
          <w:color w:val="auto"/>
          <w:kern w:val="0"/>
          <w:sz w:val="21"/>
          <w:szCs w:val="21"/>
          <w:lang w:val="en-US" w:eastAsia="zh-CN"/>
        </w:rPr>
        <w:t>31</w:t>
      </w:r>
      <w:r>
        <w:rPr>
          <w:rFonts w:hint="eastAsia" w:ascii="宋体" w:hAnsi="宋体" w:eastAsia="宋体" w:cs="宋体"/>
          <w:color w:val="auto"/>
          <w:kern w:val="0"/>
          <w:sz w:val="21"/>
          <w:szCs w:val="21"/>
          <w:lang w:eastAsia="zh-Hans"/>
        </w:rPr>
        <w:t>日</w:t>
      </w:r>
      <w:r>
        <w:rPr>
          <w:rFonts w:hint="eastAsia" w:ascii="宋体" w:hAnsi="宋体" w:eastAsia="宋体"/>
          <w:iCs/>
          <w:szCs w:val="21"/>
        </w:rPr>
        <w:t>。</w:t>
      </w:r>
    </w:p>
    <w:p w14:paraId="13B2A979">
      <w:pPr>
        <w:pStyle w:val="28"/>
        <w:numPr>
          <w:ilvl w:val="0"/>
          <w:numId w:val="23"/>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服务地点</w:t>
      </w:r>
    </w:p>
    <w:p w14:paraId="4CBE60A4">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szCs w:val="21"/>
          <w:lang w:val="en-US" w:eastAsia="zh-CN"/>
        </w:rPr>
      </w:pPr>
      <w:r>
        <w:rPr>
          <w:rFonts w:hint="eastAsia" w:ascii="宋体" w:hAnsi="宋体" w:eastAsia="宋体"/>
          <w:iCs/>
          <w:szCs w:val="21"/>
        </w:rPr>
        <w:t>寮步镇</w:t>
      </w:r>
      <w:r>
        <w:rPr>
          <w:rFonts w:hint="eastAsia" w:ascii="宋体" w:hAnsi="宋体" w:eastAsia="宋体"/>
          <w:iCs/>
          <w:szCs w:val="21"/>
          <w:lang w:val="en-US" w:eastAsia="zh-CN"/>
        </w:rPr>
        <w:t>浮竹山村内或采购人指定地点。</w:t>
      </w:r>
    </w:p>
    <w:p w14:paraId="0E49EFE9">
      <w:pPr>
        <w:pStyle w:val="28"/>
        <w:numPr>
          <w:ilvl w:val="0"/>
          <w:numId w:val="23"/>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lang w:val="en-US" w:eastAsia="zh-CN"/>
        </w:rPr>
        <w:t>报价要求</w:t>
      </w:r>
    </w:p>
    <w:p w14:paraId="34605203">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Cs w:val="21"/>
        </w:rPr>
      </w:pPr>
      <w:r>
        <w:rPr>
          <w:rFonts w:hint="eastAsia" w:ascii="宋体" w:hAnsi="宋体" w:eastAsia="宋体"/>
          <w:iCs/>
          <w:szCs w:val="21"/>
        </w:rPr>
        <w:t>投标人报价应包含服务人员工资、社保费用、管理费、开展活动的物资成本费用、培训费用、税费及合同实施过程中不可预见费用等全</w:t>
      </w:r>
      <w:r>
        <w:rPr>
          <w:rFonts w:hint="eastAsia" w:ascii="宋体" w:hAnsi="宋体" w:eastAsia="宋体"/>
          <w:iCs/>
          <w:szCs w:val="21"/>
          <w:lang w:val="en-US" w:eastAsia="zh-CN"/>
        </w:rPr>
        <w:tab/>
      </w:r>
      <w:r>
        <w:rPr>
          <w:rFonts w:hint="eastAsia" w:ascii="宋体" w:hAnsi="宋体" w:eastAsia="宋体"/>
          <w:iCs/>
          <w:szCs w:val="21"/>
        </w:rPr>
        <w:t>部费用。</w:t>
      </w:r>
    </w:p>
    <w:p w14:paraId="6F19026E">
      <w:pPr>
        <w:pStyle w:val="28"/>
        <w:numPr>
          <w:ilvl w:val="0"/>
          <w:numId w:val="23"/>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付款条件（进度和方式）</w:t>
      </w:r>
    </w:p>
    <w:p w14:paraId="6A45C2B7">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合同签订后中标人向采购人提交等额有效发票，经采购人确认无误后于5个工作日内支付合同金额的30%作为预付款；</w:t>
      </w:r>
    </w:p>
    <w:p w14:paraId="501B5D03">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本项目服务期满3个月后，中标人在服务期内的第4个月初提交等额有效发票至采购人处，经采购人确认无误后于10个工作日内支付合同金额的30%；</w:t>
      </w:r>
    </w:p>
    <w:p w14:paraId="485B5056">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本项目服务期满并经采购人完成项目验收后，中标人提交等额有效发票至采购人处，经采购人确认无误后于10个工作日内支付合同金额的40%。</w:t>
      </w:r>
    </w:p>
    <w:p w14:paraId="0EE8BAD5">
      <w:pPr>
        <w:pStyle w:val="28"/>
        <w:numPr>
          <w:ilvl w:val="0"/>
          <w:numId w:val="23"/>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验收要求</w:t>
      </w:r>
    </w:p>
    <w:p w14:paraId="040DA76C">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验收工作由采购人（或采购人指定的单位）和中标人共同进行；</w:t>
      </w:r>
    </w:p>
    <w:p w14:paraId="4114DE4C">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在验收时，中标人应向采购人提供服务的相关资料，按采购人提出的方式验收；</w:t>
      </w:r>
    </w:p>
    <w:p w14:paraId="0EA2BA95">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auto"/>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由采购人对服务的质量和数量及其他进行检验。如发现质量和数量等任何一项与采购要求规定不符，采购人</w:t>
      </w:r>
      <w:r>
        <w:rPr>
          <w:rFonts w:hint="eastAsia" w:ascii="宋体" w:hAnsi="宋体" w:eastAsia="宋体" w:cs="宋体"/>
          <w:i w:val="0"/>
          <w:iCs w:val="0"/>
          <w:caps w:val="0"/>
          <w:color w:val="auto"/>
          <w:spacing w:val="0"/>
          <w:kern w:val="0"/>
          <w:sz w:val="21"/>
          <w:szCs w:val="21"/>
          <w:lang w:val="en-US" w:eastAsia="zh-CN" w:bidi="ar"/>
        </w:rPr>
        <w:t>有权拒绝接受。</w:t>
      </w:r>
    </w:p>
    <w:p w14:paraId="43DE0A5E">
      <w:pPr>
        <w:pStyle w:val="28"/>
        <w:numPr>
          <w:ilvl w:val="0"/>
          <w:numId w:val="21"/>
        </w:numPr>
        <w:snapToGrid w:val="0"/>
        <w:spacing w:before="217" w:beforeLines="50" w:line="360" w:lineRule="auto"/>
        <w:ind w:left="442" w:hanging="442" w:firstLineChars="0"/>
        <w:contextualSpacing/>
        <w:rPr>
          <w:rFonts w:hint="eastAsia" w:ascii="宋体" w:hAnsi="宋体" w:eastAsia="宋体"/>
          <w:b/>
          <w:color w:val="auto"/>
          <w:szCs w:val="21"/>
        </w:rPr>
      </w:pPr>
      <w:r>
        <w:rPr>
          <w:rFonts w:ascii="宋体" w:hAnsi="宋体" w:eastAsia="宋体"/>
          <w:b/>
          <w:bCs/>
          <w:color w:val="auto"/>
        </w:rPr>
        <w:t>技术要求</w:t>
      </w:r>
    </w:p>
    <w:p w14:paraId="5DFA15CC">
      <w:pPr>
        <w:pStyle w:val="28"/>
        <w:numPr>
          <w:ilvl w:val="0"/>
          <w:numId w:val="26"/>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运营目标</w:t>
      </w:r>
    </w:p>
    <w:p w14:paraId="7C9BB7CB">
      <w:pPr>
        <w:pStyle w:val="28"/>
        <w:numPr>
          <w:ilvl w:val="0"/>
          <w:numId w:val="2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“童参与 共传承”浮竹山青少年传统文化研学体验项目</w:t>
      </w:r>
    </w:p>
    <w:p w14:paraId="59003C3D">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让优秀传统文化在社区内继续传播，同时借浮竹山村发展乡村文化振兴契机，让青少年儿童及居民了解到社区乡村发展前后的对比，同时自己也参与其中，为乡村振兴作出贡献，增强居民的社区服务参与感，从而增强社区文化认同感。</w:t>
      </w:r>
    </w:p>
    <w:p w14:paraId="10173C6A">
      <w:pPr>
        <w:pStyle w:val="28"/>
        <w:numPr>
          <w:ilvl w:val="0"/>
          <w:numId w:val="2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“小手拉大手 美化环境齐动手”—社区环境美化项目</w:t>
      </w:r>
    </w:p>
    <w:p w14:paraId="52EE7A20">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浮竹山村正大力发展乡村振兴文化，美化家园是其中非常重要的一环，以增进社区青少年以及居民参与社区文化建设、社区环境保护为目的，在参与中亲身体验与观察社区的变化、在乡村振兴方面作出的努力，提高居民对社区的认同感和对社区建设的参与感，共建美好绿色家园。</w:t>
      </w:r>
    </w:p>
    <w:p w14:paraId="54534061">
      <w:pPr>
        <w:pStyle w:val="28"/>
        <w:numPr>
          <w:ilvl w:val="0"/>
          <w:numId w:val="2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手“竹”情深—社区共融项目</w:t>
      </w:r>
    </w:p>
    <w:p w14:paraId="01ACEF2F">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通过社区文化活动的开展为长者提供，在一个社会参与的平台，使得老年人的日常生活空间得以扩大、休闲娱乐活动得以拓展、精神生活得到填补。丰富长者的晚年生活，倡导社区关爱老人，形成和谐的社区氛围。拓展社区的不同群体的交际圈子，促进了不同年龄层、家庭间的融合，以达致和谐、互助社区的建设。</w:t>
      </w:r>
    </w:p>
    <w:p w14:paraId="45C0A506">
      <w:pPr>
        <w:pStyle w:val="28"/>
        <w:numPr>
          <w:ilvl w:val="0"/>
          <w:numId w:val="26"/>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Cs w:val="21"/>
          <w:lang w:val="en-US" w:eastAsia="zh-CN"/>
        </w:rPr>
        <w:t>服务内容</w:t>
      </w:r>
    </w:p>
    <w:p w14:paraId="50289F11">
      <w:pPr>
        <w:pStyle w:val="28"/>
        <w:widowControl/>
        <w:numPr>
          <w:ilvl w:val="0"/>
          <w:numId w:val="28"/>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“童参与 共传承”浮竹山青少年传统文化研学体验项目</w:t>
      </w:r>
    </w:p>
    <w:p w14:paraId="0E413D10">
      <w:pPr>
        <w:pStyle w:val="28"/>
        <w:widowControl/>
        <w:numPr>
          <w:ilvl w:val="0"/>
          <w:numId w:val="29"/>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寻迹“香市”课堂</w:t>
      </w:r>
    </w:p>
    <w:p w14:paraId="08C4BB14">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①开展寻迹香市，探寻寮步经典文化路线，寮步豆酱园、寮步沉香博物馆、寮步牙香街，领略香市文化。</w:t>
      </w:r>
    </w:p>
    <w:p w14:paraId="2DF01328">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rPr>
      </w:pPr>
      <w:r>
        <w:rPr>
          <w:rFonts w:hint="eastAsia" w:ascii="宋体" w:hAnsi="宋体" w:eastAsia="宋体" w:cs="Times New Roman"/>
          <w:color w:val="000000"/>
          <w:kern w:val="2"/>
          <w:sz w:val="21"/>
          <w:szCs w:val="21"/>
          <w:highlight w:val="none"/>
          <w:lang w:val="en-US" w:eastAsia="zh-CN" w:bidi="ar-SA"/>
        </w:rPr>
        <w:t>②开展寮步传统手艺传承学习体验活动，如体验老耳水、艾角等传统美食制作,体验舌尖上的香市文化。</w:t>
      </w:r>
    </w:p>
    <w:p w14:paraId="02AC6FFC">
      <w:pPr>
        <w:pStyle w:val="28"/>
        <w:widowControl/>
        <w:numPr>
          <w:ilvl w:val="0"/>
          <w:numId w:val="29"/>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探寻“非遗文化”课堂</w:t>
      </w:r>
    </w:p>
    <w:p w14:paraId="6563591B">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①体验中国传统技艺，如造纸术、扎染、</w:t>
      </w:r>
      <w:r>
        <w:rPr>
          <w:rFonts w:hint="eastAsia" w:ascii="宋体" w:hAnsi="宋体" w:eastAsia="宋体" w:cs="Times New Roman"/>
          <w:color w:val="000000"/>
          <w:kern w:val="2"/>
          <w:sz w:val="21"/>
          <w:szCs w:val="22"/>
          <w:highlight w:val="none"/>
          <w:lang w:val="en-US" w:eastAsia="zh-CN" w:bidi="ar-SA"/>
        </w:rPr>
        <w:t>中国结、油纸伞等非遗传统文化，根植中华优秀传统文化的渊源，感受传统文化蕴含的人文精神，树立文化自信，培养优秀人格。</w:t>
      </w:r>
    </w:p>
    <w:p w14:paraId="2376C256">
      <w:pPr>
        <w:pStyle w:val="28"/>
        <w:widowControl/>
        <w:numPr>
          <w:ilvl w:val="0"/>
          <w:numId w:val="29"/>
        </w:numPr>
        <w:snapToGrid w:val="0"/>
        <w:spacing w:line="360" w:lineRule="auto"/>
        <w:ind w:left="425" w:leftChars="0" w:hanging="425" w:firstLineChars="0"/>
        <w:contextualSpacing/>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“志愿践行，知行合一”课堂</w:t>
      </w:r>
    </w:p>
    <w:p w14:paraId="6CC1D3B3">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①开展社区文化体验节，大力传播社区文化。</w:t>
      </w:r>
    </w:p>
    <w:p w14:paraId="1AD8D358">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②践行在传统优秀文化课堂学习到的内容和精神，积极参与社区公益服务，营造传承和弘扬优秀传统文化的社区文化氛围。</w:t>
      </w:r>
    </w:p>
    <w:p w14:paraId="7B249029">
      <w:pPr>
        <w:pStyle w:val="28"/>
        <w:widowControl/>
        <w:numPr>
          <w:ilvl w:val="0"/>
          <w:numId w:val="2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“小手拉大手 美化环境齐动手”—社区环境美化项目</w:t>
      </w:r>
    </w:p>
    <w:p w14:paraId="3AB16186">
      <w:pPr>
        <w:pStyle w:val="28"/>
        <w:widowControl/>
        <w:numPr>
          <w:ilvl w:val="0"/>
          <w:numId w:val="3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社区美化服务</w:t>
      </w:r>
    </w:p>
    <w:p w14:paraId="5024D376">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开展开展墙绘、增添标识牌、绿植美化、井盖涂鸦等社区美化活动，用实际行动美化社区环境，提升社区居民“自己家园自己建设，自己家园自己维护”的意识，共同建设美好家园。</w:t>
      </w:r>
    </w:p>
    <w:p w14:paraId="18F7126E">
      <w:pPr>
        <w:pStyle w:val="28"/>
        <w:widowControl/>
        <w:numPr>
          <w:ilvl w:val="0"/>
          <w:numId w:val="30"/>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环保教育服务</w:t>
      </w:r>
    </w:p>
    <w:p w14:paraId="7CF8002E">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开展再生环保手工、资源环境保护等环保课堂，提高社区居民生活垃圾分类和资源环境保护意识，使大家从小养成低碳环保的行为习惯，为创建绿色家园、共建生态文明作贡献。</w:t>
      </w:r>
    </w:p>
    <w:p w14:paraId="0CA550A0">
      <w:pPr>
        <w:pStyle w:val="28"/>
        <w:widowControl/>
        <w:numPr>
          <w:ilvl w:val="0"/>
          <w:numId w:val="30"/>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积分兑换服务</w:t>
      </w:r>
    </w:p>
    <w:p w14:paraId="7B28BBC6">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推动居民参与积分兑换计划，鼓励为主，激励为辅，居民通过积极参与社区服务获得积分，积分可兑换不同奖品的形式，提高社区居民参与社区建设的动力。</w:t>
      </w:r>
    </w:p>
    <w:p w14:paraId="23CE95BE">
      <w:pPr>
        <w:pStyle w:val="28"/>
        <w:widowControl/>
        <w:numPr>
          <w:ilvl w:val="0"/>
          <w:numId w:val="2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手“竹”情深——社区共融项目</w:t>
      </w:r>
    </w:p>
    <w:p w14:paraId="5D45FEF2">
      <w:pPr>
        <w:pStyle w:val="28"/>
        <w:widowControl/>
        <w:numPr>
          <w:ilvl w:val="0"/>
          <w:numId w:val="3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“聚·一耆”</w:t>
      </w:r>
    </w:p>
    <w:p w14:paraId="582A14BF">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搭建老年人社区服务参与平台，提高社区老人的凝聚力和归属感。开展文化类、手工类、运动会等社区活动，满足老年人的多样化、精细化需求。提升社区粘性，深化社区动员。</w:t>
      </w:r>
    </w:p>
    <w:p w14:paraId="7981631C">
      <w:pPr>
        <w:pStyle w:val="28"/>
        <w:widowControl/>
        <w:numPr>
          <w:ilvl w:val="0"/>
          <w:numId w:val="31"/>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“庆·家节”</w:t>
      </w:r>
    </w:p>
    <w:p w14:paraId="501527F3">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开展各类主题丰富多彩的节庆活动、亲子游园会、家庭运动会等，丰富居民的节日文化生活，提高居民幸福感、归属感。</w:t>
      </w:r>
    </w:p>
    <w:p w14:paraId="2DAC3B46">
      <w:pPr>
        <w:pStyle w:val="28"/>
        <w:widowControl/>
        <w:numPr>
          <w:ilvl w:val="0"/>
          <w:numId w:val="31"/>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“传·家情”</w:t>
      </w:r>
    </w:p>
    <w:p w14:paraId="1732B29E">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为社区妇女提供亲子正面管教服务、烘焙技能培训、瑜伽课堂等服务，让妇女“享受服务，提升自我”；开展亲子主题活动，增加亲子陪伴，增强亲子关系，促进家庭和谐。</w:t>
      </w:r>
    </w:p>
    <w:p w14:paraId="08080500">
      <w:pPr>
        <w:pStyle w:val="28"/>
        <w:widowControl/>
        <w:numPr>
          <w:ilvl w:val="0"/>
          <w:numId w:val="31"/>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“义·家人”</w:t>
      </w:r>
    </w:p>
    <w:p w14:paraId="7FA7A341">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培育社区志愿者，定期组织开展社区志愿服务，推动目标群体互动反哺社区，为社区和谐发展贡献力量；动员志愿者开展暖“竹”行动，关爱社区老人、弱势群体等社区邻里互助服务。</w:t>
      </w:r>
    </w:p>
    <w:p w14:paraId="0574A4B8">
      <w:pPr>
        <w:pStyle w:val="28"/>
        <w:numPr>
          <w:ilvl w:val="0"/>
          <w:numId w:val="26"/>
        </w:numPr>
        <w:snapToGrid w:val="0"/>
        <w:spacing w:line="360" w:lineRule="auto"/>
        <w:ind w:firstLineChars="0"/>
        <w:contextualSpacing/>
        <w:rPr>
          <w:rFonts w:hint="eastAsia" w:ascii="宋体" w:hAnsi="宋体" w:eastAsia="宋体"/>
          <w:iCs/>
          <w:color w:val="auto"/>
          <w:szCs w:val="21"/>
        </w:rPr>
      </w:pPr>
      <w:r>
        <w:rPr>
          <w:rFonts w:hint="eastAsia" w:ascii="宋体" w:hAnsi="宋体" w:eastAsia="宋体"/>
          <w:iCs/>
          <w:color w:val="auto"/>
          <w:szCs w:val="21"/>
        </w:rPr>
        <w:t>人员要求</w:t>
      </w:r>
    </w:p>
    <w:p w14:paraId="6BCF97B1">
      <w:pPr>
        <w:pStyle w:val="28"/>
        <w:numPr>
          <w:ilvl w:val="0"/>
          <w:numId w:val="32"/>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中标人应本着服务至上、诚信为本的宗旨，为采购人委派身体健康并符合要求的</w:t>
      </w:r>
      <w:r>
        <w:rPr>
          <w:rFonts w:hint="eastAsia" w:ascii="宋体" w:hAnsi="宋体" w:eastAsia="宋体"/>
          <w:iCs/>
          <w:color w:val="auto"/>
          <w:szCs w:val="21"/>
          <w:lang w:val="en-US" w:eastAsia="zh-CN"/>
        </w:rPr>
        <w:t>服务人员</w:t>
      </w:r>
      <w:r>
        <w:rPr>
          <w:rFonts w:hint="eastAsia" w:ascii="宋体" w:hAnsi="宋体" w:eastAsia="宋体"/>
          <w:iCs/>
          <w:color w:val="auto"/>
          <w:szCs w:val="21"/>
        </w:rPr>
        <w:t>，同时需监督管理并指导项目为采购人提供相关的优质服务。</w:t>
      </w:r>
    </w:p>
    <w:p w14:paraId="18DCE8C3">
      <w:pPr>
        <w:pStyle w:val="28"/>
        <w:numPr>
          <w:ilvl w:val="0"/>
          <w:numId w:val="32"/>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中标人</w:t>
      </w:r>
      <w:r>
        <w:rPr>
          <w:rFonts w:hint="eastAsia" w:ascii="宋体" w:hAnsi="宋体" w:eastAsia="宋体"/>
          <w:iCs/>
          <w:color w:val="auto"/>
          <w:szCs w:val="21"/>
          <w:lang w:val="en-US" w:eastAsia="zh-CN"/>
        </w:rPr>
        <w:t>需要对投入项目的服务人员</w:t>
      </w:r>
      <w:r>
        <w:rPr>
          <w:rFonts w:hint="eastAsia" w:ascii="宋体" w:hAnsi="宋体" w:eastAsia="宋体"/>
          <w:iCs/>
          <w:color w:val="auto"/>
          <w:szCs w:val="21"/>
        </w:rPr>
        <w:t>提供培训。</w:t>
      </w:r>
    </w:p>
    <w:p w14:paraId="1BEE0F16">
      <w:pPr>
        <w:pStyle w:val="28"/>
        <w:numPr>
          <w:ilvl w:val="0"/>
          <w:numId w:val="26"/>
        </w:numPr>
        <w:snapToGrid w:val="0"/>
        <w:spacing w:line="360" w:lineRule="auto"/>
        <w:ind w:firstLineChars="0"/>
        <w:contextualSpacing/>
        <w:rPr>
          <w:rFonts w:hint="eastAsia" w:ascii="宋体" w:hAnsi="宋体" w:eastAsia="宋体"/>
          <w:iCs/>
          <w:color w:val="auto"/>
          <w:szCs w:val="21"/>
        </w:rPr>
      </w:pPr>
      <w:r>
        <w:rPr>
          <w:rFonts w:hint="eastAsia" w:ascii="宋体" w:hAnsi="宋体" w:eastAsia="宋体"/>
          <w:iCs/>
          <w:color w:val="auto"/>
          <w:szCs w:val="21"/>
        </w:rPr>
        <w:t>其他要求</w:t>
      </w:r>
    </w:p>
    <w:p w14:paraId="07F65069">
      <w:pPr>
        <w:pStyle w:val="28"/>
        <w:numPr>
          <w:ilvl w:val="0"/>
          <w:numId w:val="33"/>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中标人应制定详细的总体服务方案，包括但不限于：社工服务需求调研，社工服务计划、社工服务工作流程与制度等，确保项目有序进行。</w:t>
      </w:r>
    </w:p>
    <w:p w14:paraId="7516B848">
      <w:pPr>
        <w:pStyle w:val="28"/>
        <w:numPr>
          <w:ilvl w:val="0"/>
          <w:numId w:val="33"/>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中标人应制定服务质量保障方案，如项目管理方案、服务进度和质量保障方案等。</w:t>
      </w:r>
    </w:p>
    <w:p w14:paraId="30CBBDF7">
      <w:pPr>
        <w:pStyle w:val="28"/>
        <w:numPr>
          <w:ilvl w:val="0"/>
          <w:numId w:val="33"/>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中标人应建立健全运营管理制度，包括不限于人员管理、服务管理、行政管理等制度。</w:t>
      </w:r>
    </w:p>
    <w:p w14:paraId="1A03917C">
      <w:pPr>
        <w:pStyle w:val="28"/>
        <w:numPr>
          <w:ilvl w:val="0"/>
          <w:numId w:val="33"/>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中标人应根据服务对象特点、服务内容及服务要求，制定本项目的服务人员培训及考核方案，方案应包括培训计划、培训内容、考核及奖惩机制等。</w:t>
      </w:r>
    </w:p>
    <w:p w14:paraId="15A7EA30">
      <w:pPr>
        <w:pStyle w:val="28"/>
        <w:numPr>
          <w:ilvl w:val="0"/>
          <w:numId w:val="33"/>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Hans"/>
        </w:rPr>
        <w:t>中标人应制定跟踪服务、监控评估方案，定期委派专人负责跟进服务项目的开展情况，并对服务质量、服务效果进行监控评估，并反馈采购人。</w:t>
      </w:r>
    </w:p>
    <w:p w14:paraId="5A4D8152">
      <w:pPr>
        <w:pStyle w:val="28"/>
        <w:numPr>
          <w:ilvl w:val="0"/>
          <w:numId w:val="33"/>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lang w:val="en-US" w:eastAsia="zh-Hans"/>
        </w:rPr>
        <w:t>因本项目履约过程中涉及人员众多，组成情况复杂，因此中标人应有一套完善的应急预案，以应对各类紧急情况的预判、突发事件等履约过程中可能出现的紧急情况，为此提供迅速的应急响应和善后措施。</w:t>
      </w:r>
      <w:r>
        <w:rPr>
          <w:rFonts w:hint="eastAsia" w:ascii="宋体" w:hAnsi="宋体" w:eastAsia="宋体"/>
          <w:iCs/>
          <w:color w:val="auto"/>
          <w:szCs w:val="21"/>
          <w:lang w:val="en-US" w:eastAsia="zh-CN"/>
        </w:rPr>
        <w:t>采购人如果有临时的服务要求需要中标人提供，中标人需要在4小时内派项目负责人到达采购人指定地点。</w:t>
      </w:r>
    </w:p>
    <w:p w14:paraId="73F241CF">
      <w:pPr>
        <w:rPr>
          <w:rFonts w:hint="eastAsia" w:ascii="宋体" w:hAnsi="宋体" w:eastAsia="宋体"/>
          <w:szCs w:val="21"/>
        </w:rPr>
      </w:pPr>
      <w:r>
        <w:rPr>
          <w:rFonts w:hint="eastAsia" w:ascii="宋体" w:hAnsi="宋体" w:eastAsia="宋体"/>
          <w:szCs w:val="21"/>
        </w:rPr>
        <w:br w:type="page"/>
      </w:r>
    </w:p>
    <w:p w14:paraId="7BCFA334">
      <w:pPr>
        <w:pStyle w:val="28"/>
        <w:numPr>
          <w:ilvl w:val="0"/>
          <w:numId w:val="0"/>
        </w:numPr>
        <w:snapToGrid w:val="0"/>
        <w:spacing w:line="360" w:lineRule="auto"/>
        <w:ind w:leftChars="0"/>
        <w:contextualSpacing/>
        <w:rPr>
          <w:rFonts w:hint="eastAsia" w:ascii="宋体" w:hAnsi="宋体" w:eastAsia="宋体" w:cs="宋体"/>
          <w:b/>
          <w:bCs/>
          <w:lang w:val="en-US" w:eastAsia="zh-CN"/>
        </w:rPr>
      </w:pPr>
      <w:r>
        <w:rPr>
          <w:rFonts w:hint="eastAsia" w:ascii="宋体" w:hAnsi="宋体" w:eastAsia="宋体" w:cs="宋体"/>
          <w:b/>
          <w:bCs/>
          <w:sz w:val="24"/>
          <w:szCs w:val="28"/>
          <w:lang w:val="en-US" w:eastAsia="zh-CN"/>
        </w:rPr>
        <w:t>包组3：寮步镇石龙坑村专项项目运营</w:t>
      </w:r>
    </w:p>
    <w:p w14:paraId="07B0D0AA">
      <w:pPr>
        <w:pStyle w:val="28"/>
        <w:numPr>
          <w:ilvl w:val="0"/>
          <w:numId w:val="34"/>
        </w:numPr>
        <w:snapToGrid w:val="0"/>
        <w:spacing w:line="360" w:lineRule="auto"/>
        <w:ind w:left="442" w:hanging="442" w:firstLineChars="0"/>
        <w:contextualSpacing/>
        <w:rPr>
          <w:rFonts w:hint="eastAsia" w:ascii="宋体" w:hAnsi="宋体" w:eastAsia="宋体"/>
          <w:b/>
          <w:szCs w:val="21"/>
        </w:rPr>
      </w:pPr>
      <w:r>
        <w:rPr>
          <w:rFonts w:hint="eastAsia" w:ascii="宋体" w:hAnsi="宋体" w:eastAsia="宋体"/>
          <w:b/>
          <w:szCs w:val="21"/>
          <w:lang w:val="en-US" w:eastAsia="zh-CN"/>
        </w:rPr>
        <w:t>项目概况</w:t>
      </w:r>
    </w:p>
    <w:p w14:paraId="1156C675">
      <w:pPr>
        <w:pStyle w:val="28"/>
        <w:numPr>
          <w:ilvl w:val="0"/>
          <w:numId w:val="35"/>
        </w:numPr>
        <w:snapToGrid w:val="0"/>
        <w:spacing w:line="360" w:lineRule="auto"/>
        <w:ind w:firstLineChars="0"/>
        <w:contextualSpacing/>
        <w:rPr>
          <w:rFonts w:hint="eastAsia" w:ascii="宋体" w:hAnsi="宋体" w:eastAsia="宋体"/>
          <w:b w:val="0"/>
          <w:bCs/>
          <w:sz w:val="21"/>
          <w:szCs w:val="21"/>
        </w:rPr>
      </w:pPr>
      <w:r>
        <w:rPr>
          <w:rFonts w:hint="eastAsia" w:ascii="宋体" w:hAnsi="宋体" w:eastAsia="宋体"/>
          <w:b w:val="0"/>
          <w:bCs/>
          <w:sz w:val="21"/>
          <w:szCs w:val="21"/>
        </w:rPr>
        <w:t>“邻里味，共分享”石龙坑村巾帼美食队分享项目</w:t>
      </w:r>
    </w:p>
    <w:p w14:paraId="2D85A9A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 w:val="21"/>
          <w:szCs w:val="21"/>
        </w:rPr>
      </w:pPr>
      <w:r>
        <w:rPr>
          <w:rFonts w:hint="eastAsia" w:ascii="宋体" w:hAnsi="宋体" w:eastAsia="宋体"/>
          <w:b w:val="0"/>
          <w:bCs/>
          <w:sz w:val="21"/>
          <w:szCs w:val="21"/>
          <w:lang w:val="en-US" w:eastAsia="zh-CN"/>
        </w:rPr>
        <w:t>社区美食队是社区治理创新的一种形式，项目继续培育、充实壮大巾帼美食志愿队，挖掘队伍的服务潜力。拟根据节日庆典、时令节气，深耕传统节日美食和地方特色美食，以美食和文化为纽带，通过组织美食分享、教学体验、公益探访、搭建交流平台等方式，将美食成品传递给社区中的长者、儿童和特殊群体。在活动分享过程中，增进邻里之间的交流与情感，享受美食带来的乐趣，鼓励更多的居民积极参与，产生更多的社区互助，同时促进居民对社区社会组织的认可，加深对社区的认同感与归属感，共同营造和谐温馨的睦邻氛围，为社区文化建设及社区治理贡献力量。</w:t>
      </w:r>
    </w:p>
    <w:p w14:paraId="47937E38">
      <w:pPr>
        <w:pStyle w:val="28"/>
        <w:numPr>
          <w:ilvl w:val="0"/>
          <w:numId w:val="35"/>
        </w:numPr>
        <w:snapToGrid w:val="0"/>
        <w:spacing w:line="360" w:lineRule="auto"/>
        <w:ind w:firstLineChars="0"/>
        <w:contextualSpacing/>
        <w:rPr>
          <w:rFonts w:hint="eastAsia" w:ascii="宋体" w:hAnsi="宋体" w:eastAsia="宋体"/>
          <w:b w:val="0"/>
          <w:bCs/>
          <w:sz w:val="21"/>
          <w:szCs w:val="21"/>
        </w:rPr>
      </w:pPr>
      <w:r>
        <w:rPr>
          <w:rFonts w:hint="eastAsia" w:ascii="宋体" w:hAnsi="宋体" w:eastAsia="宋体"/>
          <w:b w:val="0"/>
          <w:bCs/>
          <w:sz w:val="21"/>
          <w:szCs w:val="21"/>
        </w:rPr>
        <w:t>“幸福家，邻聚里”石龙坑村多元创享项目</w:t>
      </w:r>
    </w:p>
    <w:p w14:paraId="5CF9EA08">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 w:val="21"/>
          <w:szCs w:val="21"/>
          <w:lang w:val="en-US" w:eastAsia="zh-CN"/>
        </w:rPr>
      </w:pPr>
      <w:r>
        <w:rPr>
          <w:rFonts w:hint="eastAsia" w:ascii="宋体" w:hAnsi="宋体" w:eastAsia="宋体"/>
          <w:b w:val="0"/>
          <w:bCs/>
          <w:sz w:val="21"/>
          <w:szCs w:val="21"/>
          <w:lang w:val="en-US" w:eastAsia="zh-CN"/>
        </w:rPr>
        <w:t>该项目在计划在社区文化齐参与、银龄长者齐关怀、少年儿童齐成长三方面展开活动，走进村民生活区。从传统文化、教育活动等方面开展，如游园会、环境美化、知识学习提升等，增强社区的凝聚力，促进邻里之间的交流与合作；从60岁以上长者为主，结合敬老月与公益资源，开展美食分享、手工、义剪等，丰富长者晚年生活，让生活更有温度与趣味；通过开展传统文化学习、安全五防教育、社区实践等青少年活动，给孩子增添课余生活乐趣，提升其文化修养和综合素质，营造学养深厚的社区文化氛围。</w:t>
      </w:r>
    </w:p>
    <w:p w14:paraId="0D522153">
      <w:pPr>
        <w:pStyle w:val="28"/>
        <w:numPr>
          <w:ilvl w:val="0"/>
          <w:numId w:val="35"/>
        </w:numPr>
        <w:snapToGrid w:val="0"/>
        <w:spacing w:line="360" w:lineRule="auto"/>
        <w:ind w:firstLineChars="0"/>
        <w:contextualSpacing/>
        <w:rPr>
          <w:rFonts w:hint="eastAsia" w:ascii="宋体" w:hAnsi="宋体" w:eastAsia="宋体"/>
          <w:b w:val="0"/>
          <w:bCs/>
          <w:sz w:val="21"/>
          <w:szCs w:val="21"/>
        </w:rPr>
      </w:pPr>
      <w:r>
        <w:rPr>
          <w:rFonts w:hint="eastAsia" w:ascii="宋体" w:hAnsi="宋体" w:eastAsia="宋体"/>
          <w:b w:val="0"/>
          <w:bCs/>
          <w:sz w:val="21"/>
          <w:szCs w:val="21"/>
          <w:lang w:val="en-US" w:eastAsia="zh-CN"/>
        </w:rPr>
        <w:t>“绿美生活，我在行动”石龙坑村儿童环保教育实践项目</w:t>
      </w:r>
    </w:p>
    <w:p w14:paraId="4849B82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 w:val="21"/>
          <w:szCs w:val="21"/>
        </w:rPr>
      </w:pPr>
      <w:r>
        <w:rPr>
          <w:rFonts w:hint="eastAsia" w:ascii="宋体" w:hAnsi="宋体" w:eastAsia="宋体"/>
          <w:b w:val="0"/>
          <w:bCs/>
          <w:sz w:val="21"/>
          <w:szCs w:val="21"/>
          <w:lang w:val="en-US" w:eastAsia="zh-CN"/>
        </w:rPr>
        <w:t>从旧墙彩绘到四小园建设，再到绿美家园改造等绿美宜居工程取得喜人的变化，石龙坑村环境美化行动持续进行中。据此，开设石龙坑村“绿美生活，我在行动”石龙坑村儿童环保教育实践项目。以青少年儿童为主体，倡导“保护环境从我做起”，以提升孩子低碳生活、爱护自然意识为切入点，运用探索、实践、宣传等方式，开展以环境美化、变废为宝、文明宣传、社区实践等主题系列活动，从中运营一支环保小卫士志愿队，让孩子亲身参与到社区环境美化保护当中，在活动中了解环保概念，增强环保意识，做自然的朋友，成为环保小卫士，共创美好家园。</w:t>
      </w:r>
    </w:p>
    <w:p w14:paraId="779FE048">
      <w:pPr>
        <w:pStyle w:val="28"/>
        <w:numPr>
          <w:ilvl w:val="0"/>
          <w:numId w:val="34"/>
        </w:numPr>
        <w:snapToGrid w:val="0"/>
        <w:spacing w:line="360" w:lineRule="auto"/>
        <w:ind w:left="442" w:hanging="442" w:firstLineChars="0"/>
        <w:contextualSpacing/>
        <w:rPr>
          <w:rFonts w:hint="eastAsia" w:ascii="宋体" w:hAnsi="宋体" w:eastAsia="宋体"/>
          <w:b/>
          <w:sz w:val="21"/>
          <w:szCs w:val="21"/>
        </w:rPr>
      </w:pPr>
      <w:r>
        <w:rPr>
          <w:rFonts w:ascii="宋体" w:hAnsi="宋体" w:eastAsia="宋体"/>
          <w:b/>
          <w:bCs/>
          <w:sz w:val="21"/>
          <w:szCs w:val="21"/>
        </w:rPr>
        <w:t>采购标的</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5039"/>
        <w:gridCol w:w="779"/>
        <w:gridCol w:w="734"/>
        <w:gridCol w:w="1908"/>
      </w:tblGrid>
      <w:tr w14:paraId="7B810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092F595F">
            <w:pPr>
              <w:spacing w:line="360" w:lineRule="auto"/>
              <w:jc w:val="center"/>
              <w:rPr>
                <w:rFonts w:hint="eastAsia" w:ascii="宋体" w:hAnsi="宋体" w:eastAsia="宋体"/>
                <w:bCs/>
                <w:sz w:val="21"/>
                <w:szCs w:val="21"/>
              </w:rPr>
            </w:pPr>
            <w:r>
              <w:rPr>
                <w:rFonts w:hint="eastAsia" w:ascii="宋体" w:hAnsi="宋体" w:eastAsia="宋体"/>
                <w:bCs/>
                <w:sz w:val="21"/>
                <w:szCs w:val="21"/>
              </w:rPr>
              <w:t>序号</w:t>
            </w:r>
          </w:p>
        </w:tc>
        <w:tc>
          <w:tcPr>
            <w:tcW w:w="2712" w:type="pct"/>
          </w:tcPr>
          <w:p w14:paraId="1D135A84">
            <w:pPr>
              <w:spacing w:line="360" w:lineRule="auto"/>
              <w:jc w:val="center"/>
              <w:rPr>
                <w:rFonts w:hint="eastAsia" w:ascii="宋体" w:hAnsi="宋体" w:eastAsia="宋体"/>
                <w:bCs/>
                <w:sz w:val="21"/>
                <w:szCs w:val="21"/>
              </w:rPr>
            </w:pPr>
            <w:r>
              <w:rPr>
                <w:rFonts w:hint="eastAsia" w:ascii="宋体" w:hAnsi="宋体" w:eastAsia="宋体"/>
                <w:bCs/>
                <w:sz w:val="21"/>
                <w:szCs w:val="21"/>
              </w:rPr>
              <w:t>标的名称</w:t>
            </w:r>
          </w:p>
        </w:tc>
        <w:tc>
          <w:tcPr>
            <w:tcW w:w="419" w:type="pct"/>
          </w:tcPr>
          <w:p w14:paraId="27DB500E">
            <w:pPr>
              <w:spacing w:line="360" w:lineRule="auto"/>
              <w:jc w:val="center"/>
              <w:rPr>
                <w:rFonts w:hint="eastAsia" w:ascii="宋体" w:hAnsi="宋体" w:eastAsia="宋体"/>
                <w:bCs/>
                <w:sz w:val="21"/>
                <w:szCs w:val="21"/>
              </w:rPr>
            </w:pPr>
            <w:r>
              <w:rPr>
                <w:rFonts w:hint="eastAsia" w:ascii="宋体" w:hAnsi="宋体" w:eastAsia="宋体"/>
                <w:bCs/>
                <w:sz w:val="21"/>
                <w:szCs w:val="21"/>
              </w:rPr>
              <w:t>单位</w:t>
            </w:r>
          </w:p>
        </w:tc>
        <w:tc>
          <w:tcPr>
            <w:tcW w:w="395" w:type="pct"/>
          </w:tcPr>
          <w:p w14:paraId="4787A4A0">
            <w:pPr>
              <w:spacing w:line="360" w:lineRule="auto"/>
              <w:jc w:val="center"/>
              <w:rPr>
                <w:rFonts w:hint="eastAsia" w:ascii="宋体" w:hAnsi="宋体" w:eastAsia="宋体"/>
                <w:bCs/>
                <w:sz w:val="21"/>
                <w:szCs w:val="21"/>
              </w:rPr>
            </w:pPr>
            <w:r>
              <w:rPr>
                <w:rFonts w:hint="eastAsia" w:ascii="宋体" w:hAnsi="宋体" w:eastAsia="宋体"/>
                <w:bCs/>
                <w:sz w:val="21"/>
                <w:szCs w:val="21"/>
              </w:rPr>
              <w:t>数量</w:t>
            </w:r>
          </w:p>
        </w:tc>
        <w:tc>
          <w:tcPr>
            <w:tcW w:w="1027" w:type="pct"/>
          </w:tcPr>
          <w:p w14:paraId="4B05F279">
            <w:pPr>
              <w:spacing w:line="360" w:lineRule="auto"/>
              <w:jc w:val="center"/>
              <w:rPr>
                <w:rFonts w:hint="eastAsia" w:ascii="宋体" w:hAnsi="宋体" w:eastAsia="宋体"/>
                <w:bCs/>
                <w:sz w:val="21"/>
                <w:szCs w:val="21"/>
              </w:rPr>
            </w:pPr>
            <w:r>
              <w:rPr>
                <w:rFonts w:hint="eastAsia" w:ascii="宋体" w:hAnsi="宋体" w:eastAsia="宋体"/>
                <w:bCs/>
                <w:sz w:val="21"/>
                <w:szCs w:val="21"/>
              </w:rPr>
              <w:t>采购标的所属行业</w:t>
            </w:r>
          </w:p>
        </w:tc>
      </w:tr>
      <w:tr w14:paraId="07D2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4D6E7E48">
            <w:pPr>
              <w:spacing w:line="360" w:lineRule="auto"/>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1</w:t>
            </w:r>
          </w:p>
        </w:tc>
        <w:tc>
          <w:tcPr>
            <w:tcW w:w="2712" w:type="pct"/>
          </w:tcPr>
          <w:p w14:paraId="4BD3711F">
            <w:pPr>
              <w:spacing w:line="360" w:lineRule="auto"/>
              <w:jc w:val="center"/>
              <w:rPr>
                <w:rFonts w:hint="eastAsia" w:ascii="宋体" w:hAnsi="宋体" w:eastAsia="宋体"/>
                <w:bCs/>
                <w:sz w:val="21"/>
                <w:szCs w:val="21"/>
              </w:rPr>
            </w:pPr>
            <w:r>
              <w:rPr>
                <w:rFonts w:hint="eastAsia" w:ascii="宋体" w:hAnsi="宋体" w:eastAsia="宋体"/>
                <w:bCs/>
                <w:sz w:val="21"/>
                <w:szCs w:val="21"/>
              </w:rPr>
              <w:t>寮步镇石龙坑村专项项目运营</w:t>
            </w:r>
          </w:p>
        </w:tc>
        <w:tc>
          <w:tcPr>
            <w:tcW w:w="419" w:type="pct"/>
          </w:tcPr>
          <w:p w14:paraId="29846003">
            <w:pPr>
              <w:spacing w:line="360" w:lineRule="auto"/>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项</w:t>
            </w:r>
          </w:p>
        </w:tc>
        <w:tc>
          <w:tcPr>
            <w:tcW w:w="395" w:type="pct"/>
          </w:tcPr>
          <w:p w14:paraId="653F5FA7">
            <w:pPr>
              <w:spacing w:line="360" w:lineRule="auto"/>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1</w:t>
            </w:r>
          </w:p>
        </w:tc>
        <w:tc>
          <w:tcPr>
            <w:tcW w:w="1027" w:type="pct"/>
          </w:tcPr>
          <w:p w14:paraId="3D61167D">
            <w:pPr>
              <w:spacing w:line="360" w:lineRule="auto"/>
              <w:jc w:val="center"/>
              <w:rPr>
                <w:rFonts w:hint="eastAsia" w:ascii="宋体" w:hAnsi="宋体" w:eastAsia="宋体"/>
                <w:bCs/>
                <w:sz w:val="21"/>
                <w:szCs w:val="21"/>
              </w:rPr>
            </w:pPr>
            <w:r>
              <w:rPr>
                <w:rFonts w:hint="eastAsia" w:ascii="宋体" w:hAnsi="宋体" w:eastAsia="宋体"/>
                <w:bCs/>
                <w:sz w:val="21"/>
                <w:szCs w:val="21"/>
                <w:lang w:eastAsia="zh-CN"/>
              </w:rPr>
              <w:t>其他未列明行业</w:t>
            </w:r>
          </w:p>
        </w:tc>
      </w:tr>
    </w:tbl>
    <w:p w14:paraId="490BBECB">
      <w:pPr>
        <w:pStyle w:val="28"/>
        <w:numPr>
          <w:ilvl w:val="0"/>
          <w:numId w:val="34"/>
        </w:numPr>
        <w:snapToGrid w:val="0"/>
        <w:spacing w:before="217" w:beforeLines="50" w:line="360" w:lineRule="auto"/>
        <w:ind w:left="442" w:hanging="442" w:firstLineChars="0"/>
        <w:contextualSpacing/>
        <w:rPr>
          <w:rFonts w:hint="eastAsia" w:ascii="宋体" w:hAnsi="宋体" w:eastAsia="宋体"/>
          <w:b/>
          <w:sz w:val="21"/>
          <w:szCs w:val="21"/>
        </w:rPr>
      </w:pPr>
      <w:r>
        <w:rPr>
          <w:rFonts w:ascii="宋体" w:hAnsi="宋体" w:eastAsia="宋体"/>
          <w:b/>
          <w:bCs/>
          <w:sz w:val="21"/>
          <w:szCs w:val="21"/>
        </w:rPr>
        <w:t>商务要求</w:t>
      </w:r>
    </w:p>
    <w:p w14:paraId="7BB663DB">
      <w:pPr>
        <w:pStyle w:val="28"/>
        <w:numPr>
          <w:ilvl w:val="0"/>
          <w:numId w:val="36"/>
        </w:numPr>
        <w:snapToGrid w:val="0"/>
        <w:spacing w:line="360" w:lineRule="auto"/>
        <w:ind w:firstLineChars="0"/>
        <w:contextualSpacing/>
        <w:rPr>
          <w:rFonts w:hint="eastAsia" w:ascii="宋体" w:hAnsi="宋体" w:eastAsia="宋体"/>
          <w:iCs/>
          <w:sz w:val="21"/>
          <w:szCs w:val="21"/>
        </w:rPr>
      </w:pPr>
      <w:r>
        <w:rPr>
          <w:rFonts w:hint="eastAsia" w:ascii="宋体" w:hAnsi="宋体" w:eastAsia="宋体"/>
          <w:iCs/>
          <w:sz w:val="21"/>
          <w:szCs w:val="21"/>
        </w:rPr>
        <w:t>服务时间</w:t>
      </w:r>
    </w:p>
    <w:p w14:paraId="6F7A81E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 w:val="21"/>
          <w:szCs w:val="21"/>
        </w:rPr>
      </w:pPr>
      <w:r>
        <w:rPr>
          <w:rFonts w:hint="eastAsia" w:ascii="宋体" w:hAnsi="宋体" w:eastAsia="宋体" w:cs="宋体"/>
          <w:color w:val="auto"/>
          <w:kern w:val="0"/>
          <w:sz w:val="21"/>
          <w:szCs w:val="21"/>
          <w:lang w:eastAsia="zh-Hans"/>
        </w:rPr>
        <w:t>自合同签订日期起至202</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Hans"/>
        </w:rPr>
        <w:t>年</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lang w:eastAsia="zh-Hans"/>
        </w:rPr>
        <w:t>月</w:t>
      </w:r>
      <w:r>
        <w:rPr>
          <w:rFonts w:hint="eastAsia" w:ascii="宋体" w:hAnsi="宋体" w:eastAsia="宋体" w:cs="宋体"/>
          <w:color w:val="auto"/>
          <w:kern w:val="0"/>
          <w:sz w:val="21"/>
          <w:szCs w:val="21"/>
          <w:lang w:val="en-US" w:eastAsia="zh-CN"/>
        </w:rPr>
        <w:t>31</w:t>
      </w:r>
      <w:r>
        <w:rPr>
          <w:rFonts w:hint="eastAsia" w:ascii="宋体" w:hAnsi="宋体" w:eastAsia="宋体" w:cs="宋体"/>
          <w:color w:val="auto"/>
          <w:kern w:val="0"/>
          <w:sz w:val="21"/>
          <w:szCs w:val="21"/>
          <w:lang w:eastAsia="zh-Hans"/>
        </w:rPr>
        <w:t>日</w:t>
      </w:r>
      <w:r>
        <w:rPr>
          <w:rFonts w:hint="eastAsia" w:ascii="宋体" w:hAnsi="宋体" w:eastAsia="宋体"/>
          <w:iCs/>
          <w:sz w:val="21"/>
          <w:szCs w:val="21"/>
        </w:rPr>
        <w:t>。</w:t>
      </w:r>
    </w:p>
    <w:p w14:paraId="62841342">
      <w:pPr>
        <w:pStyle w:val="28"/>
        <w:numPr>
          <w:ilvl w:val="0"/>
          <w:numId w:val="36"/>
        </w:numPr>
        <w:snapToGrid w:val="0"/>
        <w:spacing w:line="360" w:lineRule="auto"/>
        <w:ind w:firstLineChars="0"/>
        <w:contextualSpacing/>
        <w:rPr>
          <w:rFonts w:hint="eastAsia" w:ascii="宋体" w:hAnsi="宋体" w:eastAsia="宋体"/>
          <w:iCs/>
          <w:sz w:val="21"/>
          <w:szCs w:val="21"/>
        </w:rPr>
      </w:pPr>
      <w:r>
        <w:rPr>
          <w:rFonts w:hint="eastAsia" w:ascii="宋体" w:hAnsi="宋体" w:eastAsia="宋体"/>
          <w:iCs/>
          <w:sz w:val="21"/>
          <w:szCs w:val="21"/>
        </w:rPr>
        <w:t>服务地点</w:t>
      </w:r>
    </w:p>
    <w:p w14:paraId="633E9D1F">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sz w:val="21"/>
          <w:szCs w:val="21"/>
          <w:lang w:val="en-US" w:eastAsia="zh-CN"/>
        </w:rPr>
      </w:pPr>
      <w:r>
        <w:rPr>
          <w:rFonts w:hint="eastAsia" w:ascii="宋体" w:hAnsi="宋体" w:eastAsia="宋体"/>
          <w:iCs/>
          <w:sz w:val="21"/>
          <w:szCs w:val="21"/>
          <w:lang w:val="en-US" w:eastAsia="zh-CN"/>
        </w:rPr>
        <w:t>寮步镇石龙坑村内或采购人指定地点。</w:t>
      </w:r>
    </w:p>
    <w:p w14:paraId="7474AA5E">
      <w:pPr>
        <w:pStyle w:val="28"/>
        <w:numPr>
          <w:ilvl w:val="0"/>
          <w:numId w:val="36"/>
        </w:numPr>
        <w:snapToGrid w:val="0"/>
        <w:spacing w:line="360" w:lineRule="auto"/>
        <w:ind w:firstLineChars="0"/>
        <w:contextualSpacing/>
        <w:rPr>
          <w:rFonts w:hint="eastAsia" w:ascii="宋体" w:hAnsi="宋体" w:eastAsia="宋体"/>
          <w:iCs/>
          <w:sz w:val="21"/>
          <w:szCs w:val="21"/>
        </w:rPr>
      </w:pPr>
      <w:r>
        <w:rPr>
          <w:rFonts w:hint="eastAsia" w:ascii="宋体" w:hAnsi="宋体" w:eastAsia="宋体"/>
          <w:iCs/>
          <w:sz w:val="21"/>
          <w:szCs w:val="21"/>
          <w:lang w:val="en-US" w:eastAsia="zh-CN"/>
        </w:rPr>
        <w:t>报价要求</w:t>
      </w:r>
    </w:p>
    <w:p w14:paraId="3CB42309">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 w:val="21"/>
          <w:szCs w:val="21"/>
        </w:rPr>
      </w:pPr>
      <w:r>
        <w:rPr>
          <w:rFonts w:hint="eastAsia" w:ascii="宋体" w:hAnsi="宋体" w:eastAsia="宋体"/>
          <w:iCs/>
          <w:sz w:val="21"/>
          <w:szCs w:val="21"/>
        </w:rPr>
        <w:t>投标人报价应包含服务人员工资、社保费用、管理费、开展活动的物资成本费用、培训费用、税费及合同实施过程中不可预见费用等全部费用。</w:t>
      </w:r>
    </w:p>
    <w:p w14:paraId="0C54DD7B">
      <w:pPr>
        <w:pStyle w:val="28"/>
        <w:numPr>
          <w:ilvl w:val="0"/>
          <w:numId w:val="36"/>
        </w:numPr>
        <w:snapToGrid w:val="0"/>
        <w:spacing w:line="360" w:lineRule="auto"/>
        <w:ind w:firstLineChars="0"/>
        <w:contextualSpacing/>
        <w:rPr>
          <w:rFonts w:hint="eastAsia" w:ascii="宋体" w:hAnsi="宋体" w:eastAsia="宋体"/>
          <w:iCs/>
          <w:sz w:val="21"/>
          <w:szCs w:val="21"/>
        </w:rPr>
      </w:pPr>
      <w:r>
        <w:rPr>
          <w:rFonts w:hint="eastAsia" w:ascii="宋体" w:hAnsi="宋体" w:eastAsia="宋体"/>
          <w:iCs/>
          <w:sz w:val="21"/>
          <w:szCs w:val="21"/>
        </w:rPr>
        <w:t>付款条件（进度和方式）</w:t>
      </w:r>
    </w:p>
    <w:p w14:paraId="25AE441E">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合同生效后服务费分两期付清。第一期于签订合同满1个月后支付服务费用的40%；</w:t>
      </w:r>
    </w:p>
    <w:p w14:paraId="698AEAD6">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第二期于签订合同满3个月后支付服务费用的60%。</w:t>
      </w:r>
    </w:p>
    <w:p w14:paraId="5E619445">
      <w:pPr>
        <w:pStyle w:val="28"/>
        <w:numPr>
          <w:ilvl w:val="0"/>
          <w:numId w:val="36"/>
        </w:numPr>
        <w:snapToGrid w:val="0"/>
        <w:spacing w:line="360" w:lineRule="auto"/>
        <w:ind w:firstLineChars="0"/>
        <w:contextualSpacing/>
        <w:rPr>
          <w:rFonts w:hint="eastAsia" w:ascii="宋体" w:hAnsi="宋体" w:eastAsia="宋体"/>
          <w:iCs/>
          <w:sz w:val="21"/>
          <w:szCs w:val="21"/>
        </w:rPr>
      </w:pPr>
      <w:r>
        <w:rPr>
          <w:rFonts w:hint="eastAsia" w:ascii="宋体" w:hAnsi="宋体" w:eastAsia="宋体"/>
          <w:iCs/>
          <w:sz w:val="21"/>
          <w:szCs w:val="21"/>
        </w:rPr>
        <w:t>验收要求</w:t>
      </w:r>
    </w:p>
    <w:p w14:paraId="07A0C71A">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验收工作由采购人（或采购人指定的单位）和中标人共同进行；</w:t>
      </w:r>
    </w:p>
    <w:p w14:paraId="52FADA56">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在验收时，中标人应向采购人提供服务的相关资料，按采购人提出的方式验收；</w:t>
      </w:r>
    </w:p>
    <w:p w14:paraId="0E3D2047">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auto"/>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由采购人对服务的质量和数量及其他进行检验。如发现质量和数量等任何一项与采购要求规定不符，采购人</w:t>
      </w:r>
      <w:r>
        <w:rPr>
          <w:rFonts w:hint="eastAsia" w:ascii="宋体" w:hAnsi="宋体" w:eastAsia="宋体" w:cs="宋体"/>
          <w:i w:val="0"/>
          <w:iCs w:val="0"/>
          <w:caps w:val="0"/>
          <w:color w:val="auto"/>
          <w:spacing w:val="0"/>
          <w:kern w:val="0"/>
          <w:sz w:val="21"/>
          <w:szCs w:val="21"/>
          <w:lang w:val="en-US" w:eastAsia="zh-CN" w:bidi="ar"/>
        </w:rPr>
        <w:t>有权拒绝接受。</w:t>
      </w:r>
    </w:p>
    <w:p w14:paraId="2D3583F6">
      <w:pPr>
        <w:pStyle w:val="28"/>
        <w:numPr>
          <w:ilvl w:val="0"/>
          <w:numId w:val="34"/>
        </w:numPr>
        <w:snapToGrid w:val="0"/>
        <w:spacing w:before="217" w:beforeLines="50" w:line="360" w:lineRule="auto"/>
        <w:ind w:left="442" w:hanging="442" w:firstLineChars="0"/>
        <w:contextualSpacing/>
        <w:rPr>
          <w:rFonts w:hint="eastAsia" w:ascii="宋体" w:hAnsi="宋体" w:eastAsia="宋体"/>
          <w:b/>
          <w:color w:val="auto"/>
          <w:sz w:val="21"/>
          <w:szCs w:val="21"/>
        </w:rPr>
      </w:pPr>
      <w:r>
        <w:rPr>
          <w:rFonts w:ascii="宋体" w:hAnsi="宋体" w:eastAsia="宋体"/>
          <w:b/>
          <w:bCs/>
          <w:color w:val="auto"/>
          <w:sz w:val="21"/>
          <w:szCs w:val="21"/>
        </w:rPr>
        <w:t>技术要求</w:t>
      </w:r>
    </w:p>
    <w:p w14:paraId="789AE146">
      <w:pPr>
        <w:pStyle w:val="28"/>
        <w:numPr>
          <w:ilvl w:val="0"/>
          <w:numId w:val="39"/>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运营目标</w:t>
      </w:r>
    </w:p>
    <w:p w14:paraId="16295821">
      <w:pPr>
        <w:pStyle w:val="28"/>
        <w:numPr>
          <w:ilvl w:val="0"/>
          <w:numId w:val="40"/>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“邻里味，共分享”石龙坑村巾帼美食队分享项目</w:t>
      </w:r>
    </w:p>
    <w:p w14:paraId="30F4E40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rPr>
      </w:pPr>
      <w:r>
        <w:rPr>
          <w:rFonts w:hint="eastAsia" w:ascii="宋体" w:hAnsi="宋体" w:eastAsia="宋体"/>
          <w:color w:val="auto"/>
          <w:sz w:val="21"/>
          <w:szCs w:val="21"/>
          <w:lang w:val="en-US" w:eastAsia="zh-CN"/>
        </w:rPr>
        <w:t>本项目旨在持续培育壮大巾帼美食志愿队，充分挖掘其服务潜力，通过深耕节日节气美食与地方特色文化，组织多元化的美食分享、教学、公益探访与交流活动，将美食关怀传递给社区长者、将美食文化传承给儿童。核心目标是增进邻里情感交流与社区互助，提升居民对社区社会组织的认可度与社区归属感，最终营造和谐温馨的睦邻氛围，为社区文化建设和治理创新贡献力量。</w:t>
      </w:r>
    </w:p>
    <w:p w14:paraId="035B028F">
      <w:pPr>
        <w:pStyle w:val="28"/>
        <w:numPr>
          <w:ilvl w:val="0"/>
          <w:numId w:val="40"/>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“幸福家，邻聚里”石龙坑村多元创享项目</w:t>
      </w:r>
    </w:p>
    <w:p w14:paraId="18635970">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本项目秉持“以人为本、助人自助”理念，以“构建更和谐社区、创造更美好居民生活”为核心主线，积极探索创新睦邻文化活动形式，旨在提升社区参与度与和谐度，倡导资源共享与培育新型邻里关系，为村社区注入新活力，最终实现社区凝聚力的增强和居民幸福感的提升。</w:t>
      </w:r>
    </w:p>
    <w:p w14:paraId="4EB2F6FD">
      <w:pPr>
        <w:pStyle w:val="28"/>
        <w:numPr>
          <w:ilvl w:val="0"/>
          <w:numId w:val="40"/>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“绿美生活，我在行动”石龙坑村儿童环保教育实践项目</w:t>
      </w:r>
    </w:p>
    <w:p w14:paraId="69A14D5A">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rPr>
      </w:pPr>
      <w:r>
        <w:rPr>
          <w:rFonts w:hint="eastAsia" w:ascii="宋体" w:hAnsi="宋体" w:eastAsia="宋体"/>
          <w:color w:val="auto"/>
          <w:sz w:val="21"/>
          <w:szCs w:val="21"/>
          <w:lang w:val="en-US" w:eastAsia="zh-CN"/>
        </w:rPr>
        <w:t>以石龙坑村青少年儿童为主体，通过开展系列环保教育实践活动，提升其低碳生活与爱护自然的环保意识，培养亲身参与社区环境保护的责任感和行动力（“保护环境从我做起”），并组建运营一支儿童环保小卫士志愿队。最终目标是赋能儿童成为社区环保的积极倡导者和实践者，将环保理念内化于心、外化于行，亲身参与并推动社区环境美化与绿美家园建设，共创美好家园。</w:t>
      </w:r>
    </w:p>
    <w:p w14:paraId="5FF240F6">
      <w:pPr>
        <w:pStyle w:val="28"/>
        <w:numPr>
          <w:ilvl w:val="0"/>
          <w:numId w:val="39"/>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服务内容</w:t>
      </w:r>
    </w:p>
    <w:p w14:paraId="4319EB41">
      <w:pPr>
        <w:pStyle w:val="28"/>
        <w:widowControl/>
        <w:numPr>
          <w:ilvl w:val="0"/>
          <w:numId w:val="41"/>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“邻里味，共分享”石龙坑村巾帼美食队分享项目</w:t>
      </w:r>
    </w:p>
    <w:p w14:paraId="4BFCB61F">
      <w:pPr>
        <w:pStyle w:val="28"/>
        <w:widowControl/>
        <w:numPr>
          <w:ilvl w:val="0"/>
          <w:numId w:val="42"/>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志愿队伍的培育</w:t>
      </w:r>
    </w:p>
    <w:p w14:paraId="70786B5B">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依托已组建的石龙坑村巾帼美食队，建立团队管理机制，维系队伍活力与凝聚力，挖掘队员特长和服务意愿，增加社区长者、妇女的服务影响力。在日常活动和团建中，为成员/居民提供围绕美食文化进行持续交流的空间。</w:t>
      </w:r>
    </w:p>
    <w:p w14:paraId="7A40F133">
      <w:pPr>
        <w:pStyle w:val="28"/>
        <w:widowControl/>
        <w:numPr>
          <w:ilvl w:val="0"/>
          <w:numId w:val="42"/>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多元化美食互动</w:t>
      </w:r>
    </w:p>
    <w:p w14:paraId="3CCE8A46">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①美食教学体验：由志愿队员教授居民（尤其是年轻一代或感兴趣者）制作传统或特色美食，进行动手体验，将其生活经验和本土文化通过美食这一载体传递下去。</w:t>
      </w:r>
    </w:p>
    <w:p w14:paraId="5192F034">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②公益美食探访：志愿队制作美食成品，主动上门或集中分发给社区内的长者、儿童、特殊群体（如困难家庭、残障人士等），传递关爱。</w:t>
      </w:r>
    </w:p>
    <w:p w14:paraId="4618EFFF">
      <w:pPr>
        <w:pStyle w:val="28"/>
        <w:widowControl/>
        <w:numPr>
          <w:ilvl w:val="0"/>
          <w:numId w:val="41"/>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“幸福家，邻聚里”石龙坑村多元创享项目</w:t>
      </w:r>
    </w:p>
    <w:p w14:paraId="1B3926E6">
      <w:pPr>
        <w:pStyle w:val="28"/>
        <w:widowControl/>
        <w:numPr>
          <w:ilvl w:val="0"/>
          <w:numId w:val="43"/>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社区文化齐建设</w:t>
      </w:r>
    </w:p>
    <w:p w14:paraId="55CFF061">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组织游园会、社区环境美化行动、各类知识讲座与学习活动（如文化、技能、健康等）。增强社区凝聚力，促进邻里间的交流、理解与合作，营造共建共享的社区文化氛围。</w:t>
      </w:r>
    </w:p>
    <w:p w14:paraId="76B8204C">
      <w:pPr>
        <w:pStyle w:val="28"/>
        <w:widowControl/>
        <w:numPr>
          <w:ilvl w:val="0"/>
          <w:numId w:val="43"/>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银龄长者齐关怀</w:t>
      </w:r>
    </w:p>
    <w:p w14:paraId="48D1ABE2">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为社区长者开展如恒常走访、义诊、义剪与敬老月主题活动，丰富社区独居高龄长者的精神慰藉需求。让长者晚年生活更有温度、趣味和尊严，感受到社区关爱，提升其生活幸福感与社会融入感。</w:t>
      </w:r>
    </w:p>
    <w:p w14:paraId="64583BF0">
      <w:pPr>
        <w:pStyle w:val="28"/>
        <w:widowControl/>
        <w:numPr>
          <w:ilvl w:val="0"/>
          <w:numId w:val="43"/>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少年儿童齐成长</w:t>
      </w:r>
    </w:p>
    <w:p w14:paraId="65A41143">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社区儿童青少年方面，开展传统文化学习体验活动（如书法、节日习俗）、儿童安全“五防”教育（防性侵、防拐卖、防校园暴力、防意外、防灾害）、社区实践与志愿服务等，促进青少年全面健康的发展。</w:t>
      </w:r>
    </w:p>
    <w:p w14:paraId="2A356F54">
      <w:pPr>
        <w:pStyle w:val="28"/>
        <w:widowControl/>
        <w:numPr>
          <w:ilvl w:val="0"/>
          <w:numId w:val="41"/>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“绿美生活，我在行动”石龙坑村儿童环保教育实践项目</w:t>
      </w:r>
    </w:p>
    <w:p w14:paraId="0F18FC5E">
      <w:pPr>
        <w:pStyle w:val="28"/>
        <w:widowControl/>
        <w:numPr>
          <w:ilvl w:val="0"/>
          <w:numId w:val="44"/>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社区环保实践与志愿服务</w:t>
      </w:r>
    </w:p>
    <w:p w14:paraId="01F6858E">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在社工的组织下，组建并运营一支环保小卫士队伍，定期开展力所能及的社区环保服务（如：环境清扫活动、文明宣传活动），培养孩子们养成良好生活习惯，树立环保理念，让儿童以主人翁身份参与社区治理，深化责任感。</w:t>
      </w:r>
    </w:p>
    <w:p w14:paraId="506DA007">
      <w:pPr>
        <w:pStyle w:val="28"/>
        <w:widowControl/>
        <w:numPr>
          <w:ilvl w:val="0"/>
          <w:numId w:val="44"/>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“变废为宝”创意手工</w:t>
      </w:r>
    </w:p>
    <w:p w14:paraId="07441232">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开展手工工作坊，引导儿童利用废旧物品（如塑料瓶、纸盒、旧布料等）进行创意改造，制作成实用的物品或艺术品，体会废弃物再生价值。在实践中深刻理解资源回收利用的价值，减少垃圾产生，培养珍惜资源的习惯和动手创造能力。</w:t>
      </w:r>
    </w:p>
    <w:p w14:paraId="1C780879">
      <w:pPr>
        <w:pStyle w:val="28"/>
        <w:widowControl/>
        <w:numPr>
          <w:ilvl w:val="0"/>
          <w:numId w:val="44"/>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环境美化行动</w:t>
      </w:r>
    </w:p>
    <w:p w14:paraId="417A1789">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组织儿童亲身参与社区环境美化活动，例如：协助进行小范围的清洁扫除、绿化养护（如：浇水、除草）。在指导下进行简单的社区井盖、墙面美化（如涂鸦、标语绘制），将环保知识转化为实际行动，让儿童直接为社区环境改善出力，美化人居环境。</w:t>
      </w:r>
    </w:p>
    <w:p w14:paraId="71202A20">
      <w:pPr>
        <w:pStyle w:val="28"/>
        <w:widowControl/>
        <w:numPr>
          <w:ilvl w:val="0"/>
          <w:numId w:val="44"/>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绿美积分系统</w:t>
      </w:r>
    </w:p>
    <w:p w14:paraId="2A5DDAC0">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通过参与绿美系列活动获取相应积分，累计一定的积分可以兑换不同的绿植盆栽，点缀家中环境，鼓励孩子们参与环保实践计划。</w:t>
      </w:r>
    </w:p>
    <w:p w14:paraId="200856C3">
      <w:pPr>
        <w:pStyle w:val="28"/>
        <w:numPr>
          <w:ilvl w:val="0"/>
          <w:numId w:val="39"/>
        </w:numPr>
        <w:snapToGrid w:val="0"/>
        <w:spacing w:line="360" w:lineRule="auto"/>
        <w:ind w:firstLineChars="0"/>
        <w:contextualSpacing/>
        <w:rPr>
          <w:rFonts w:hint="eastAsia" w:ascii="宋体" w:hAnsi="宋体" w:eastAsia="宋体"/>
          <w:iCs/>
          <w:color w:val="auto"/>
          <w:sz w:val="21"/>
          <w:szCs w:val="21"/>
        </w:rPr>
      </w:pPr>
      <w:r>
        <w:rPr>
          <w:rFonts w:hint="eastAsia" w:ascii="宋体" w:hAnsi="宋体" w:eastAsia="宋体"/>
          <w:iCs/>
          <w:color w:val="auto"/>
          <w:sz w:val="21"/>
          <w:szCs w:val="21"/>
        </w:rPr>
        <w:t>人员要求</w:t>
      </w:r>
    </w:p>
    <w:p w14:paraId="2857262B">
      <w:pPr>
        <w:pStyle w:val="28"/>
        <w:numPr>
          <w:ilvl w:val="0"/>
          <w:numId w:val="32"/>
        </w:numPr>
        <w:snapToGrid w:val="0"/>
        <w:spacing w:line="360" w:lineRule="auto"/>
        <w:ind w:left="425" w:leftChars="0" w:hanging="425" w:firstLineChars="0"/>
        <w:contextualSpacing/>
        <w:rPr>
          <w:rFonts w:hint="eastAsia" w:ascii="宋体" w:hAnsi="宋体" w:eastAsia="宋体"/>
          <w:iCs/>
          <w:color w:val="auto"/>
          <w:sz w:val="21"/>
          <w:szCs w:val="21"/>
        </w:rPr>
      </w:pPr>
      <w:r>
        <w:rPr>
          <w:rFonts w:hint="eastAsia" w:ascii="宋体" w:hAnsi="宋体" w:eastAsia="宋体"/>
          <w:iCs/>
          <w:color w:val="auto"/>
          <w:sz w:val="21"/>
          <w:szCs w:val="21"/>
        </w:rPr>
        <w:t>中标人应本着服务至上、诚信为本的宗旨，为采购人委派身体健康并符合要求的</w:t>
      </w:r>
      <w:r>
        <w:rPr>
          <w:rFonts w:hint="eastAsia" w:ascii="宋体" w:hAnsi="宋体" w:eastAsia="宋体"/>
          <w:iCs/>
          <w:color w:val="auto"/>
          <w:sz w:val="21"/>
          <w:szCs w:val="21"/>
          <w:lang w:val="en-US" w:eastAsia="zh-CN"/>
        </w:rPr>
        <w:t>服务人员</w:t>
      </w:r>
      <w:r>
        <w:rPr>
          <w:rFonts w:hint="eastAsia" w:ascii="宋体" w:hAnsi="宋体" w:eastAsia="宋体"/>
          <w:iCs/>
          <w:color w:val="auto"/>
          <w:sz w:val="21"/>
          <w:szCs w:val="21"/>
        </w:rPr>
        <w:t>，同时需监督管理并指导项目为采购人提供相关的优质服务。</w:t>
      </w:r>
    </w:p>
    <w:p w14:paraId="3615B000">
      <w:pPr>
        <w:pStyle w:val="28"/>
        <w:numPr>
          <w:ilvl w:val="0"/>
          <w:numId w:val="32"/>
        </w:numPr>
        <w:snapToGrid w:val="0"/>
        <w:spacing w:line="360" w:lineRule="auto"/>
        <w:ind w:left="425" w:leftChars="0" w:hanging="425" w:firstLineChars="0"/>
        <w:contextualSpacing/>
        <w:rPr>
          <w:rFonts w:hint="eastAsia" w:ascii="宋体" w:hAnsi="宋体" w:eastAsia="宋体"/>
          <w:iCs/>
          <w:color w:val="auto"/>
          <w:sz w:val="21"/>
          <w:szCs w:val="21"/>
        </w:rPr>
      </w:pPr>
      <w:r>
        <w:rPr>
          <w:rFonts w:hint="eastAsia" w:ascii="宋体" w:hAnsi="宋体" w:eastAsia="宋体"/>
          <w:iCs/>
          <w:color w:val="auto"/>
          <w:sz w:val="21"/>
          <w:szCs w:val="21"/>
        </w:rPr>
        <w:t>中标人</w:t>
      </w:r>
      <w:r>
        <w:rPr>
          <w:rFonts w:hint="eastAsia" w:ascii="宋体" w:hAnsi="宋体" w:eastAsia="宋体"/>
          <w:iCs/>
          <w:color w:val="auto"/>
          <w:sz w:val="21"/>
          <w:szCs w:val="21"/>
          <w:lang w:val="en-US" w:eastAsia="zh-CN"/>
        </w:rPr>
        <w:t>需要对投入项目的服务人员</w:t>
      </w:r>
      <w:r>
        <w:rPr>
          <w:rFonts w:hint="eastAsia" w:ascii="宋体" w:hAnsi="宋体" w:eastAsia="宋体"/>
          <w:iCs/>
          <w:color w:val="auto"/>
          <w:sz w:val="21"/>
          <w:szCs w:val="21"/>
        </w:rPr>
        <w:t>提供培训。</w:t>
      </w:r>
    </w:p>
    <w:p w14:paraId="1144B31E">
      <w:pPr>
        <w:pStyle w:val="28"/>
        <w:numPr>
          <w:ilvl w:val="0"/>
          <w:numId w:val="39"/>
        </w:numPr>
        <w:snapToGrid w:val="0"/>
        <w:spacing w:line="360" w:lineRule="auto"/>
        <w:ind w:firstLineChars="0"/>
        <w:contextualSpacing/>
        <w:rPr>
          <w:rFonts w:hint="eastAsia" w:ascii="宋体" w:hAnsi="宋体" w:eastAsia="宋体"/>
          <w:iCs/>
          <w:color w:val="auto"/>
          <w:sz w:val="21"/>
          <w:szCs w:val="21"/>
        </w:rPr>
      </w:pPr>
      <w:r>
        <w:rPr>
          <w:rFonts w:hint="eastAsia" w:ascii="宋体" w:hAnsi="宋体" w:eastAsia="宋体"/>
          <w:iCs/>
          <w:color w:val="auto"/>
          <w:sz w:val="21"/>
          <w:szCs w:val="21"/>
        </w:rPr>
        <w:t>其他要求</w:t>
      </w:r>
    </w:p>
    <w:p w14:paraId="0FBEE9B6">
      <w:pPr>
        <w:pStyle w:val="28"/>
        <w:numPr>
          <w:ilvl w:val="0"/>
          <w:numId w:val="33"/>
        </w:numPr>
        <w:snapToGrid w:val="0"/>
        <w:spacing w:line="360" w:lineRule="auto"/>
        <w:ind w:left="425" w:leftChars="0" w:hanging="425" w:firstLineChars="0"/>
        <w:contextualSpacing/>
        <w:rPr>
          <w:rFonts w:hint="eastAsia" w:ascii="宋体" w:hAnsi="宋体" w:eastAsia="宋体"/>
          <w:iCs/>
          <w:color w:val="auto"/>
          <w:sz w:val="21"/>
          <w:szCs w:val="21"/>
          <w:lang w:val="en-US" w:eastAsia="zh-Hans"/>
        </w:rPr>
      </w:pPr>
      <w:r>
        <w:rPr>
          <w:rFonts w:hint="eastAsia" w:ascii="宋体" w:hAnsi="宋体" w:eastAsia="宋体"/>
          <w:iCs/>
          <w:color w:val="auto"/>
          <w:sz w:val="21"/>
          <w:szCs w:val="21"/>
          <w:lang w:val="en-US" w:eastAsia="zh-Hans"/>
        </w:rPr>
        <w:t>中标人应制定详细的总体服务方案，包括但不限于：社工服务需求调研，社工服务计划、社工服务工作流程与制度等，确保项目有序进行。</w:t>
      </w:r>
    </w:p>
    <w:p w14:paraId="4860B61C">
      <w:pPr>
        <w:pStyle w:val="28"/>
        <w:numPr>
          <w:ilvl w:val="0"/>
          <w:numId w:val="33"/>
        </w:numPr>
        <w:snapToGrid w:val="0"/>
        <w:spacing w:line="360" w:lineRule="auto"/>
        <w:ind w:left="425" w:leftChars="0" w:hanging="425" w:firstLineChars="0"/>
        <w:contextualSpacing/>
        <w:rPr>
          <w:rFonts w:hint="eastAsia" w:ascii="宋体" w:hAnsi="宋体" w:eastAsia="宋体"/>
          <w:iCs/>
          <w:color w:val="auto"/>
          <w:sz w:val="21"/>
          <w:szCs w:val="21"/>
          <w:lang w:val="en-US" w:eastAsia="zh-Hans"/>
        </w:rPr>
      </w:pPr>
      <w:r>
        <w:rPr>
          <w:rFonts w:hint="eastAsia" w:ascii="宋体" w:hAnsi="宋体" w:eastAsia="宋体"/>
          <w:iCs/>
          <w:color w:val="auto"/>
          <w:sz w:val="21"/>
          <w:szCs w:val="21"/>
          <w:lang w:val="en-US" w:eastAsia="zh-Hans"/>
        </w:rPr>
        <w:t>中标人应制定服务质量保障方案，如项目管理方案、服务进度和质量保障方案等。</w:t>
      </w:r>
    </w:p>
    <w:p w14:paraId="40D27055">
      <w:pPr>
        <w:pStyle w:val="28"/>
        <w:numPr>
          <w:ilvl w:val="0"/>
          <w:numId w:val="33"/>
        </w:numPr>
        <w:snapToGrid w:val="0"/>
        <w:spacing w:line="360" w:lineRule="auto"/>
        <w:ind w:left="425" w:leftChars="0" w:hanging="425" w:firstLineChars="0"/>
        <w:contextualSpacing/>
        <w:rPr>
          <w:rFonts w:hint="eastAsia" w:ascii="宋体" w:hAnsi="宋体" w:eastAsia="宋体"/>
          <w:iCs/>
          <w:color w:val="auto"/>
          <w:sz w:val="21"/>
          <w:szCs w:val="21"/>
          <w:lang w:val="en-US" w:eastAsia="zh-Hans"/>
        </w:rPr>
      </w:pPr>
      <w:r>
        <w:rPr>
          <w:rFonts w:hint="eastAsia" w:ascii="宋体" w:hAnsi="宋体" w:eastAsia="宋体"/>
          <w:iCs/>
          <w:color w:val="auto"/>
          <w:sz w:val="21"/>
          <w:szCs w:val="21"/>
          <w:lang w:val="en-US" w:eastAsia="zh-Hans"/>
        </w:rPr>
        <w:t>中标人应建立健全运营管理制度，包括不限于人员管理、服务管理、行政管理等制度。</w:t>
      </w:r>
    </w:p>
    <w:p w14:paraId="626DEC1D">
      <w:pPr>
        <w:pStyle w:val="28"/>
        <w:numPr>
          <w:ilvl w:val="0"/>
          <w:numId w:val="33"/>
        </w:numPr>
        <w:snapToGrid w:val="0"/>
        <w:spacing w:line="360" w:lineRule="auto"/>
        <w:ind w:left="425" w:leftChars="0" w:hanging="425" w:firstLineChars="0"/>
        <w:contextualSpacing/>
        <w:rPr>
          <w:rFonts w:hint="eastAsia" w:ascii="宋体" w:hAnsi="宋体" w:eastAsia="宋体"/>
          <w:iCs/>
          <w:color w:val="auto"/>
          <w:sz w:val="21"/>
          <w:szCs w:val="21"/>
          <w:lang w:val="en-US" w:eastAsia="zh-Hans"/>
        </w:rPr>
      </w:pPr>
      <w:r>
        <w:rPr>
          <w:rFonts w:hint="eastAsia" w:ascii="宋体" w:hAnsi="宋体" w:eastAsia="宋体"/>
          <w:iCs/>
          <w:color w:val="auto"/>
          <w:sz w:val="21"/>
          <w:szCs w:val="21"/>
          <w:lang w:val="en-US" w:eastAsia="zh-Hans"/>
        </w:rPr>
        <w:t>中标人应根据服务对象特点、服务内容及服务要求，制定本项目的服务人员培训及考核方案，方案应包括培训计划、培训内容、考核及奖惩机制等。</w:t>
      </w:r>
    </w:p>
    <w:p w14:paraId="0391BC26">
      <w:pPr>
        <w:pStyle w:val="28"/>
        <w:numPr>
          <w:ilvl w:val="0"/>
          <w:numId w:val="33"/>
        </w:numPr>
        <w:snapToGrid w:val="0"/>
        <w:spacing w:line="360" w:lineRule="auto"/>
        <w:ind w:left="425" w:leftChars="0" w:hanging="425" w:firstLineChars="0"/>
        <w:contextualSpacing/>
        <w:rPr>
          <w:rFonts w:hint="eastAsia" w:ascii="宋体" w:hAnsi="宋体" w:eastAsia="宋体"/>
          <w:iCs/>
          <w:color w:val="auto"/>
          <w:sz w:val="21"/>
          <w:szCs w:val="21"/>
          <w:lang w:val="en-US" w:eastAsia="zh-Hans"/>
        </w:rPr>
      </w:pPr>
      <w:r>
        <w:rPr>
          <w:rFonts w:hint="eastAsia" w:ascii="宋体" w:hAnsi="宋体" w:eastAsia="宋体"/>
          <w:iCs/>
          <w:color w:val="auto"/>
          <w:sz w:val="21"/>
          <w:szCs w:val="21"/>
          <w:lang w:val="en-US" w:eastAsia="zh-Hans"/>
        </w:rPr>
        <w:t>中标人应制定跟踪服务、监控评估方案，定期委派专人负责跟进服务项目的开展情况，并对服务质量、服务效果进行监控评估，并反馈采购人。</w:t>
      </w:r>
    </w:p>
    <w:p w14:paraId="22036B4D">
      <w:pPr>
        <w:pStyle w:val="28"/>
        <w:numPr>
          <w:ilvl w:val="0"/>
          <w:numId w:val="33"/>
        </w:numPr>
        <w:snapToGrid w:val="0"/>
        <w:spacing w:line="360" w:lineRule="auto"/>
        <w:ind w:left="425" w:leftChars="0" w:hanging="425" w:firstLineChars="0"/>
        <w:contextualSpacing/>
        <w:rPr>
          <w:rFonts w:hint="eastAsia" w:ascii="宋体" w:hAnsi="宋体" w:eastAsia="宋体"/>
          <w:iCs/>
          <w:color w:val="auto"/>
          <w:sz w:val="21"/>
          <w:szCs w:val="21"/>
        </w:rPr>
      </w:pPr>
      <w:r>
        <w:rPr>
          <w:rFonts w:hint="eastAsia" w:ascii="宋体" w:hAnsi="宋体" w:eastAsia="宋体"/>
          <w:iCs/>
          <w:color w:val="auto"/>
          <w:sz w:val="21"/>
          <w:szCs w:val="21"/>
          <w:lang w:val="en-US" w:eastAsia="zh-Hans"/>
        </w:rPr>
        <w:t>因本项目履约过程中涉及人员众多，组成情况复杂，因此中标人应有一套完善的应急预案，以应对各类紧急情况的预判、突发事件等履约过程中可能出现的紧急情况，为此提供迅速的应急响应和善后措施。</w:t>
      </w:r>
      <w:r>
        <w:rPr>
          <w:rFonts w:hint="eastAsia" w:ascii="宋体" w:hAnsi="宋体" w:eastAsia="宋体"/>
          <w:iCs/>
          <w:color w:val="auto"/>
          <w:sz w:val="21"/>
          <w:szCs w:val="21"/>
          <w:lang w:val="en-US" w:eastAsia="zh-CN"/>
        </w:rPr>
        <w:t>采购人如果有临时的服务要求需要中标人提供，中标人需要在4小时内派项目负责人到达采购人指定地点。</w:t>
      </w:r>
    </w:p>
    <w:p w14:paraId="38905E20">
      <w:pPr>
        <w:adjustRightInd w:val="0"/>
        <w:spacing w:line="360" w:lineRule="auto"/>
        <w:contextualSpacing/>
        <w:jc w:val="left"/>
        <w:rPr>
          <w:rFonts w:hint="eastAsia" w:ascii="宋体" w:hAnsi="宋体" w:eastAsia="宋体"/>
          <w:szCs w:val="21"/>
        </w:rPr>
      </w:pPr>
    </w:p>
    <w:p w14:paraId="76867BC3">
      <w:pPr>
        <w:adjustRightInd w:val="0"/>
        <w:spacing w:line="360" w:lineRule="auto"/>
        <w:contextualSpacing/>
        <w:jc w:val="left"/>
        <w:rPr>
          <w:rFonts w:hint="eastAsia" w:ascii="宋体" w:hAnsi="宋体" w:eastAsia="宋体"/>
          <w:szCs w:val="21"/>
        </w:rPr>
      </w:pP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9" w:name="_Toc169799780"/>
      <w:bookmarkStart w:id="10" w:name="_Toc169807542"/>
      <w:r>
        <w:rPr>
          <w:rFonts w:ascii="Calibri" w:hAnsi="Calibri" w:eastAsia="宋体" w:cs="Times New Roman"/>
          <w:b/>
          <w:kern w:val="0"/>
          <w:sz w:val="36"/>
          <w:szCs w:val="20"/>
          <w:lang w:eastAsia="zh-Hans"/>
        </w:rPr>
        <w:t>第三章 投标人须知</w:t>
      </w:r>
      <w:bookmarkEnd w:id="9"/>
      <w:bookmarkEnd w:id="10"/>
    </w:p>
    <w:p w14:paraId="2050E244">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8"/>
        <w:widowControl/>
        <w:numPr>
          <w:ilvl w:val="0"/>
          <w:numId w:val="45"/>
        </w:numPr>
        <w:tabs>
          <w:tab w:val="left" w:pos="426"/>
          <w:tab w:val="left" w:pos="709"/>
          <w:tab w:val="left" w:pos="1418"/>
        </w:tabs>
        <w:ind w:hanging="2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8"/>
        <w:widowControl/>
        <w:numPr>
          <w:ilvl w:val="0"/>
          <w:numId w:val="4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8"/>
        <w:widowControl/>
        <w:numPr>
          <w:ilvl w:val="0"/>
          <w:numId w:val="4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8"/>
        <w:widowControl/>
        <w:numPr>
          <w:ilvl w:val="0"/>
          <w:numId w:val="4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8"/>
        <w:widowControl/>
        <w:numPr>
          <w:ilvl w:val="0"/>
          <w:numId w:val="4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8"/>
        <w:widowControl/>
        <w:numPr>
          <w:ilvl w:val="0"/>
          <w:numId w:val="4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8"/>
        <w:widowControl/>
        <w:numPr>
          <w:ilvl w:val="0"/>
          <w:numId w:val="4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8"/>
        <w:widowControl/>
        <w:numPr>
          <w:ilvl w:val="0"/>
          <w:numId w:val="45"/>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Times New Roman"/>
                <w:kern w:val="0"/>
                <w:szCs w:val="21"/>
                <w:lang w:eastAsia="zh-Hans"/>
              </w:rPr>
            </w:pPr>
            <w:bookmarkStart w:id="11"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r>
              <w:rPr>
                <w:rFonts w:hint="eastAsia" w:ascii="宋体" w:hAnsi="宋体" w:eastAsia="宋体" w:cs="Times New Roman"/>
                <w:kern w:val="0"/>
                <w:szCs w:val="21"/>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资金属性</w:t>
            </w:r>
          </w:p>
        </w:tc>
        <w:tc>
          <w:tcPr>
            <w:tcW w:w="3619" w:type="pct"/>
            <w:vAlign w:val="center"/>
          </w:tcPr>
          <w:p w14:paraId="23B5DB27">
            <w:pPr>
              <w:widowControl/>
              <w:rPr>
                <w:rFonts w:hint="eastAsia" w:ascii="宋体" w:hAnsi="宋体" w:eastAsia="宋体" w:cs="Times New Roman"/>
                <w:kern w:val="0"/>
                <w:szCs w:val="21"/>
              </w:rPr>
            </w:pPr>
            <w:r>
              <w:rPr>
                <w:rFonts w:hint="eastAsia" w:ascii="宋体" w:hAnsi="宋体" w:eastAsia="宋体" w:cs="Times New Roman"/>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3619" w:type="pct"/>
          </w:tcPr>
          <w:p w14:paraId="24CD24CA">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03EDA9B2">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5E78C339">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从提交投标文件的截止之日起90日历天</w:t>
            </w:r>
            <w:r>
              <w:rPr>
                <w:rFonts w:hint="eastAsia" w:ascii="宋体" w:hAnsi="宋体" w:eastAsia="宋体" w:cs="Times New Roman"/>
                <w:color w:val="auto"/>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0BDB161A">
            <w:pPr>
              <w:widowControl/>
              <w:jc w:val="left"/>
              <w:rPr>
                <w:rFonts w:hint="default" w:ascii="宋体" w:hAnsi="宋体" w:eastAsia="宋体" w:cs="Times New Roman"/>
                <w:kern w:val="0"/>
                <w:szCs w:val="21"/>
                <w:lang w:val="en-US" w:eastAsia="zh-CN"/>
              </w:rPr>
            </w:pPr>
            <w:r>
              <w:rPr>
                <w:rFonts w:hint="eastAsia" w:ascii="宋体" w:hAnsi="宋体" w:eastAsia="宋体" w:cs="Times New Roman"/>
                <w:kern w:val="0"/>
                <w:szCs w:val="21"/>
                <w:lang w:val="en-US" w:eastAsia="zh-CN"/>
              </w:rPr>
              <w:t>本项目不收取</w:t>
            </w:r>
            <w:r>
              <w:rPr>
                <w:rFonts w:ascii="宋体" w:hAnsi="宋体" w:eastAsia="宋体" w:cs="Times New Roman"/>
                <w:kern w:val="0"/>
                <w:szCs w:val="21"/>
                <w:lang w:eastAsia="zh-Hans"/>
              </w:rPr>
              <w:t>投标保证金</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3DE569D8">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722E9ECD">
            <w:pPr>
              <w:widowControl/>
              <w:jc w:val="left"/>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0E437443">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592934D7">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727708AC">
            <w:pPr>
              <w:widowControl/>
              <w:jc w:val="left"/>
              <w:rPr>
                <w:rFonts w:hint="eastAsia"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251A53DE">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3619" w:type="pct"/>
            <w:vAlign w:val="center"/>
          </w:tcPr>
          <w:p w14:paraId="7C9E2491">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3家</w:t>
            </w:r>
          </w:p>
          <w:p w14:paraId="36886E4B">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hint="eastAsia" w:ascii="宋体" w:hAnsi="宋体" w:eastAsia="宋体" w:cs="Times New Roman"/>
                <w:kern w:val="0"/>
                <w:szCs w:val="21"/>
                <w:lang w:val="en-US" w:eastAsia="zh-CN"/>
              </w:rPr>
            </w:pPr>
            <w:r>
              <w:rPr>
                <w:rFonts w:hint="eastAsia" w:ascii="宋体" w:hAnsi="宋体" w:eastAsia="宋体" w:cs="Times New Roman"/>
                <w:color w:val="auto"/>
                <w:kern w:val="0"/>
                <w:szCs w:val="21"/>
                <w:lang w:eastAsia="zh-Hans"/>
              </w:rPr>
              <w:t>收取。采购机构代理服务收费标准：</w:t>
            </w:r>
            <w:r>
              <w:rPr>
                <w:rFonts w:hint="eastAsia" w:ascii="宋体" w:hAnsi="宋体" w:eastAsia="宋体" w:cs="Times New Roman"/>
                <w:color w:val="auto"/>
                <w:kern w:val="0"/>
                <w:szCs w:val="21"/>
                <w:lang w:val="en-US" w:eastAsia="zh-CN"/>
              </w:rPr>
              <w:t>向包组1中标人定额收取3,000.00元</w:t>
            </w:r>
            <w:r>
              <w:rPr>
                <w:rFonts w:ascii="宋体" w:hAnsi="宋体" w:eastAsia="宋体" w:cs="Times New Roman"/>
                <w:color w:val="auto"/>
                <w:kern w:val="0"/>
                <w:szCs w:val="21"/>
                <w:lang w:eastAsia="zh-Hans"/>
              </w:rPr>
              <w:t>代理服务费</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向包组2中标人定额收取3,000.00元</w:t>
            </w:r>
            <w:r>
              <w:rPr>
                <w:rFonts w:ascii="宋体" w:hAnsi="宋体" w:eastAsia="宋体" w:cs="Times New Roman"/>
                <w:color w:val="auto"/>
                <w:kern w:val="0"/>
                <w:szCs w:val="21"/>
                <w:lang w:eastAsia="zh-Hans"/>
              </w:rPr>
              <w:t>代理服务费</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向包组3中标人定额收取3,000.00元</w:t>
            </w:r>
            <w:r>
              <w:rPr>
                <w:rFonts w:ascii="宋体" w:hAnsi="宋体" w:eastAsia="宋体" w:cs="Times New Roman"/>
                <w:color w:val="auto"/>
                <w:kern w:val="0"/>
                <w:szCs w:val="21"/>
                <w:lang w:eastAsia="zh-Hans"/>
              </w:rPr>
              <w:t>代理服务费</w:t>
            </w:r>
            <w:r>
              <w:rPr>
                <w:rFonts w:hint="eastAsia" w:ascii="宋体" w:hAnsi="宋体" w:eastAsia="宋体" w:cs="Times New Roman"/>
                <w:color w:val="auto"/>
                <w:kern w:val="0"/>
                <w:szCs w:val="21"/>
                <w:lang w:val="en-US" w:eastAsia="zh-CN"/>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履约担保</w:t>
            </w:r>
          </w:p>
        </w:tc>
        <w:tc>
          <w:tcPr>
            <w:tcW w:w="3619" w:type="pct"/>
            <w:vAlign w:val="center"/>
          </w:tcPr>
          <w:p w14:paraId="0C0F662F">
            <w:pPr>
              <w:rPr>
                <w:rFonts w:hint="default" w:ascii="宋体" w:hAnsi="宋体" w:eastAsia="宋体" w:cs="Times New Roman"/>
                <w:kern w:val="0"/>
                <w:szCs w:val="21"/>
                <w:lang w:val="en-US" w:eastAsia="zh-CN"/>
              </w:rPr>
            </w:pPr>
            <w:r>
              <w:rPr>
                <w:rFonts w:hint="eastAsia" w:ascii="宋体" w:hAnsi="宋体" w:eastAsia="宋体" w:cs="Times New Roman"/>
                <w:kern w:val="0"/>
                <w:szCs w:val="21"/>
                <w:lang w:val="en-US" w:eastAsia="zh-CN"/>
              </w:rPr>
              <w:t>本项目不收取</w:t>
            </w:r>
            <w:r>
              <w:rPr>
                <w:rFonts w:hint="eastAsia" w:ascii="宋体" w:hAnsi="宋体" w:eastAsia="宋体" w:cs="Times New Roman"/>
                <w:kern w:val="0"/>
                <w:szCs w:val="21"/>
                <w:lang w:eastAsia="zh-Hans"/>
              </w:rPr>
              <w:t>履约担保</w:t>
            </w:r>
          </w:p>
        </w:tc>
      </w:tr>
      <w:bookmarkEnd w:id="11"/>
    </w:tbl>
    <w:p w14:paraId="5685938B">
      <w:pPr>
        <w:pStyle w:val="28"/>
        <w:keepLines/>
        <w:numPr>
          <w:ilvl w:val="0"/>
          <w:numId w:val="45"/>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4A0E9A7F">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8"/>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8"/>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8"/>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8"/>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8"/>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8"/>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8"/>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8"/>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8"/>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8"/>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8"/>
        <w:widowControl/>
        <w:numPr>
          <w:ilvl w:val="3"/>
          <w:numId w:val="4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8"/>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8"/>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8"/>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8"/>
        <w:widowControl/>
        <w:numPr>
          <w:ilvl w:val="3"/>
          <w:numId w:val="47"/>
        </w:numPr>
        <w:ind w:left="284" w:hanging="284"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8"/>
        <w:widowControl/>
        <w:numPr>
          <w:ilvl w:val="0"/>
          <w:numId w:val="5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8"/>
        <w:widowControl/>
        <w:numPr>
          <w:ilvl w:val="0"/>
          <w:numId w:val="5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8"/>
        <w:widowControl/>
        <w:numPr>
          <w:ilvl w:val="0"/>
          <w:numId w:val="5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8"/>
        <w:widowControl/>
        <w:numPr>
          <w:ilvl w:val="0"/>
          <w:numId w:val="45"/>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8"/>
        <w:widowControl/>
        <w:numPr>
          <w:ilvl w:val="0"/>
          <w:numId w:val="53"/>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8"/>
        <w:widowControl/>
        <w:numPr>
          <w:ilvl w:val="0"/>
          <w:numId w:val="53"/>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8"/>
        <w:widowControl/>
        <w:numPr>
          <w:ilvl w:val="0"/>
          <w:numId w:val="53"/>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8"/>
        <w:widowControl/>
        <w:numPr>
          <w:ilvl w:val="0"/>
          <w:numId w:val="45"/>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8"/>
        <w:widowControl/>
        <w:numPr>
          <w:ilvl w:val="0"/>
          <w:numId w:val="54"/>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8"/>
        <w:widowControl/>
        <w:numPr>
          <w:ilvl w:val="0"/>
          <w:numId w:val="5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8"/>
        <w:widowControl/>
        <w:numPr>
          <w:ilvl w:val="0"/>
          <w:numId w:val="5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8"/>
        <w:widowControl/>
        <w:numPr>
          <w:ilvl w:val="0"/>
          <w:numId w:val="5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8"/>
        <w:widowControl/>
        <w:numPr>
          <w:ilvl w:val="0"/>
          <w:numId w:val="5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8"/>
        <w:widowControl/>
        <w:numPr>
          <w:ilvl w:val="0"/>
          <w:numId w:val="5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8"/>
        <w:widowControl/>
        <w:numPr>
          <w:ilvl w:val="0"/>
          <w:numId w:val="5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8"/>
        <w:widowControl/>
        <w:numPr>
          <w:ilvl w:val="0"/>
          <w:numId w:val="55"/>
        </w:numPr>
        <w:tabs>
          <w:tab w:val="left" w:pos="709"/>
        </w:tabs>
        <w:ind w:left="567" w:hanging="567" w:firstLineChars="0"/>
        <w:jc w:val="left"/>
        <w:rPr>
          <w:rFonts w:hint="eastAsia"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val="en-US" w:eastAsia="zh-CN"/>
        </w:rPr>
        <w:t>采购人有关</w:t>
      </w:r>
      <w:r>
        <w:rPr>
          <w:rFonts w:hint="eastAsia" w:ascii="宋体" w:hAnsi="宋体" w:eastAsia="宋体" w:cs="Times New Roman"/>
          <w:kern w:val="0"/>
          <w:szCs w:val="21"/>
          <w:lang w:eastAsia="zh-Hans"/>
        </w:rPr>
        <w:t>部门</w:t>
      </w:r>
      <w:r>
        <w:rPr>
          <w:rFonts w:ascii="宋体" w:hAnsi="宋体" w:eastAsia="宋体" w:cs="Times New Roman"/>
          <w:kern w:val="0"/>
          <w:szCs w:val="21"/>
          <w:lang w:eastAsia="zh-Hans"/>
        </w:rPr>
        <w:t>。</w:t>
      </w:r>
    </w:p>
    <w:p w14:paraId="204880C2">
      <w:pPr>
        <w:pStyle w:val="28"/>
        <w:widowControl/>
        <w:numPr>
          <w:ilvl w:val="0"/>
          <w:numId w:val="54"/>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8"/>
        <w:widowControl/>
        <w:numPr>
          <w:ilvl w:val="0"/>
          <w:numId w:val="56"/>
        </w:numPr>
        <w:ind w:firstLineChars="0"/>
        <w:jc w:val="left"/>
        <w:outlineLvl w:val="3"/>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8"/>
        <w:widowControl/>
        <w:numPr>
          <w:ilvl w:val="0"/>
          <w:numId w:val="56"/>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8"/>
        <w:widowControl/>
        <w:numPr>
          <w:ilvl w:val="0"/>
          <w:numId w:val="57"/>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8"/>
        <w:widowControl/>
        <w:numPr>
          <w:ilvl w:val="0"/>
          <w:numId w:val="57"/>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8"/>
        <w:widowControl/>
        <w:numPr>
          <w:ilvl w:val="0"/>
          <w:numId w:val="56"/>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8"/>
        <w:widowControl/>
        <w:numPr>
          <w:ilvl w:val="0"/>
          <w:numId w:val="54"/>
        </w:numPr>
        <w:ind w:left="284" w:hanging="284" w:firstLineChars="0"/>
        <w:jc w:val="left"/>
        <w:outlineLvl w:val="3"/>
        <w:rPr>
          <w:rFonts w:hint="eastAsia"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8"/>
        <w:numPr>
          <w:ilvl w:val="0"/>
          <w:numId w:val="58"/>
        </w:numPr>
        <w:ind w:firstLineChars="0"/>
        <w:rPr>
          <w:rFonts w:hint="eastAsia" w:ascii="宋体" w:hAnsi="宋体" w:eastAsia="宋体"/>
          <w:b/>
          <w:color w:val="000000" w:themeColor="text1"/>
          <w:szCs w:val="21"/>
          <w14:textFill>
            <w14:solidFill>
              <w14:schemeClr w14:val="tx1"/>
            </w14:solidFill>
          </w14:textFill>
        </w:rPr>
      </w:pPr>
      <w:bookmarkStart w:id="12"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2"/>
    </w:p>
    <w:p w14:paraId="07A59821">
      <w:pPr>
        <w:pStyle w:val="28"/>
        <w:numPr>
          <w:ilvl w:val="0"/>
          <w:numId w:val="59"/>
        </w:numPr>
        <w:tabs>
          <w:tab w:val="left" w:pos="851"/>
        </w:tabs>
        <w:ind w:left="567" w:hanging="567" w:firstLineChars="0"/>
        <w:rPr>
          <w:rFonts w:hint="eastAsia"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hint="eastAsia"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hint="eastAsia"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hint="eastAsia"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hint="eastAsia"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hint="eastAsia" w:ascii="宋体" w:hAnsi="宋体" w:eastAsia="宋体"/>
                <w:szCs w:val="21"/>
              </w:rPr>
            </w:pPr>
            <w:r>
              <w:rPr>
                <w:rFonts w:hint="eastAsia" w:ascii="宋体" w:hAnsi="宋体" w:eastAsia="宋体"/>
                <w:szCs w:val="21"/>
              </w:rPr>
              <w:t>正本、副本一起密封包装</w:t>
            </w:r>
          </w:p>
          <w:p w14:paraId="7A90E36D">
            <w:pPr>
              <w:jc w:val="center"/>
              <w:rPr>
                <w:rFonts w:hint="eastAsia"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szCs w:val="21"/>
              </w:rPr>
            </w:pPr>
            <w:r>
              <w:rPr>
                <w:rFonts w:ascii="宋体" w:hAnsi="宋体" w:eastAsia="宋体"/>
                <w:szCs w:val="21"/>
              </w:rPr>
              <w:t>2</w:t>
            </w:r>
          </w:p>
        </w:tc>
        <w:tc>
          <w:tcPr>
            <w:tcW w:w="1413" w:type="pct"/>
            <w:vAlign w:val="center"/>
          </w:tcPr>
          <w:p w14:paraId="6C498650">
            <w:pPr>
              <w:jc w:val="center"/>
              <w:rPr>
                <w:rFonts w:hint="eastAsia"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hint="eastAsia" w:ascii="宋体" w:hAnsi="宋体" w:eastAsia="宋体"/>
                <w:szCs w:val="21"/>
              </w:rPr>
            </w:pPr>
            <w:r>
              <w:rPr>
                <w:rFonts w:hint="eastAsia" w:ascii="宋体" w:hAnsi="宋体" w:eastAsia="宋体"/>
                <w:szCs w:val="21"/>
              </w:rPr>
              <w:t>单独密封包装</w:t>
            </w:r>
          </w:p>
        </w:tc>
      </w:tr>
    </w:tbl>
    <w:p w14:paraId="2473E1C4">
      <w:pPr>
        <w:pStyle w:val="28"/>
        <w:numPr>
          <w:ilvl w:val="0"/>
          <w:numId w:val="59"/>
        </w:numPr>
        <w:tabs>
          <w:tab w:val="left" w:pos="851"/>
        </w:tabs>
        <w:ind w:left="567" w:hanging="567" w:firstLineChars="0"/>
        <w:rPr>
          <w:rFonts w:hint="eastAsia" w:ascii="宋体" w:hAnsi="宋体" w:eastAsia="宋体"/>
          <w:bCs/>
          <w:szCs w:val="21"/>
        </w:rPr>
      </w:pPr>
      <w:r>
        <w:rPr>
          <w:rFonts w:hint="eastAsia" w:ascii="宋体" w:hAnsi="宋体" w:eastAsia="宋体"/>
          <w:bCs/>
          <w:szCs w:val="21"/>
        </w:rPr>
        <w:t>电子投标文件</w:t>
      </w:r>
      <w:bookmarkStart w:id="13" w:name="_Hlk86740118"/>
      <w:r>
        <w:rPr>
          <w:rFonts w:hint="eastAsia" w:ascii="宋体" w:hAnsi="宋体" w:eastAsia="宋体"/>
          <w:bCs/>
          <w:szCs w:val="21"/>
        </w:rPr>
        <w:t>须同时提交以下文件</w:t>
      </w:r>
      <w:bookmarkEnd w:id="13"/>
      <w:r>
        <w:rPr>
          <w:rFonts w:hint="eastAsia" w:ascii="宋体" w:hAnsi="宋体" w:eastAsia="宋体"/>
          <w:bCs/>
          <w:szCs w:val="21"/>
        </w:rPr>
        <w:t>：</w:t>
      </w:r>
      <w:bookmarkStart w:id="14"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4"/>
      <w:r>
        <w:rPr>
          <w:rFonts w:hint="eastAsia" w:ascii="宋体" w:hAnsi="宋体" w:eastAsia="宋体"/>
          <w:bCs/>
          <w:szCs w:val="21"/>
        </w:rPr>
        <w:t>。</w:t>
      </w:r>
    </w:p>
    <w:p w14:paraId="0CA8DBE5">
      <w:pPr>
        <w:pStyle w:val="28"/>
        <w:numPr>
          <w:ilvl w:val="0"/>
          <w:numId w:val="59"/>
        </w:numPr>
        <w:tabs>
          <w:tab w:val="left" w:pos="851"/>
        </w:tabs>
        <w:ind w:left="567" w:hanging="567" w:firstLineChars="0"/>
        <w:rPr>
          <w:rFonts w:hint="eastAsia" w:ascii="宋体" w:hAnsi="宋体" w:eastAsia="宋体"/>
          <w:bCs/>
          <w:szCs w:val="21"/>
        </w:rPr>
      </w:pPr>
      <w:r>
        <w:rPr>
          <w:rFonts w:hint="eastAsia" w:ascii="宋体" w:hAnsi="宋体" w:eastAsia="宋体"/>
          <w:bCs/>
          <w:szCs w:val="21"/>
        </w:rPr>
        <w:t>为方便开标唱标，投标人应将开标一览表、分项报价表（如适用）、法定代表人身份证明书或法定代表人授权委托书一起密封提交；并在信封上标明“唱标信封”的字样。</w:t>
      </w:r>
    </w:p>
    <w:p w14:paraId="4508A2CD">
      <w:pPr>
        <w:pStyle w:val="28"/>
        <w:widowControl/>
        <w:numPr>
          <w:ilvl w:val="0"/>
          <w:numId w:val="54"/>
        </w:numPr>
        <w:ind w:left="284" w:hanging="284" w:firstLineChars="0"/>
        <w:jc w:val="left"/>
        <w:outlineLvl w:val="3"/>
        <w:rPr>
          <w:rFonts w:hint="eastAsia"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8"/>
        <w:numPr>
          <w:ilvl w:val="0"/>
          <w:numId w:val="60"/>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8"/>
        <w:numPr>
          <w:ilvl w:val="0"/>
          <w:numId w:val="60"/>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8"/>
        <w:numPr>
          <w:ilvl w:val="0"/>
          <w:numId w:val="60"/>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8"/>
        <w:ind w:left="567" w:firstLine="0" w:firstLineChars="0"/>
        <w:rPr>
          <w:rFonts w:hint="eastAsia"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8"/>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8"/>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8"/>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8"/>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（详见投标邀请）之前不得启封”的字样。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8"/>
        <w:widowControl/>
        <w:numPr>
          <w:ilvl w:val="0"/>
          <w:numId w:val="54"/>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8"/>
        <w:widowControl/>
        <w:numPr>
          <w:ilvl w:val="0"/>
          <w:numId w:val="61"/>
        </w:numPr>
        <w:ind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8"/>
        <w:widowControl/>
        <w:numPr>
          <w:ilvl w:val="0"/>
          <w:numId w:val="61"/>
        </w:numPr>
        <w:ind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8"/>
        <w:widowControl/>
        <w:numPr>
          <w:ilvl w:val="0"/>
          <w:numId w:val="61"/>
        </w:numPr>
        <w:ind w:firstLineChars="0"/>
        <w:jc w:val="left"/>
        <w:rPr>
          <w:rFonts w:ascii="Calibri" w:hAnsi="Calibri" w:eastAsia="宋体" w:cs="Times New Roman"/>
          <w:kern w:val="0"/>
          <w:sz w:val="20"/>
          <w:szCs w:val="20"/>
        </w:rPr>
      </w:pPr>
      <w:r>
        <w:rPr>
          <w:rFonts w:ascii="Calibri" w:hAnsi="Calibri" w:eastAsia="宋体" w:cs="Times New Roman"/>
          <w:kern w:val="0"/>
          <w:szCs w:val="21"/>
        </w:rPr>
        <w:t>在提交投标文件截止时间至投标有效期满之前，投标人不得撤回其投标文件。</w:t>
      </w:r>
    </w:p>
    <w:p w14:paraId="5B06180D">
      <w:pPr>
        <w:pStyle w:val="28"/>
        <w:widowControl/>
        <w:numPr>
          <w:ilvl w:val="0"/>
          <w:numId w:val="54"/>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lang w:eastAsia="zh-CN"/>
        </w:rPr>
        <w:t>（</w:t>
      </w:r>
      <w:r>
        <w:rPr>
          <w:rFonts w:hint="eastAsia" w:ascii="Calibri" w:hAnsi="Calibri" w:eastAsia="宋体" w:cs="Times New Roman"/>
          <w:b/>
          <w:kern w:val="0"/>
          <w:szCs w:val="21"/>
          <w:lang w:val="en-US" w:eastAsia="zh-CN"/>
        </w:rPr>
        <w:t>本项目不收取</w:t>
      </w:r>
      <w:r>
        <w:rPr>
          <w:rFonts w:hint="eastAsia" w:ascii="Calibri" w:hAnsi="Calibri" w:eastAsia="宋体" w:cs="Times New Roman"/>
          <w:b/>
          <w:kern w:val="0"/>
          <w:szCs w:val="21"/>
          <w:lang w:eastAsia="zh-CN"/>
        </w:rPr>
        <w:t>）</w:t>
      </w:r>
    </w:p>
    <w:p w14:paraId="13D58769">
      <w:pPr>
        <w:pStyle w:val="28"/>
        <w:widowControl/>
        <w:numPr>
          <w:ilvl w:val="0"/>
          <w:numId w:val="62"/>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5909AF1A">
      <w:pPr>
        <w:pStyle w:val="28"/>
        <w:widowControl/>
        <w:numPr>
          <w:ilvl w:val="0"/>
          <w:numId w:val="63"/>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投标人在提交投标文件时，应按投标人须知前附表规定的金额和缴纳要求缴纳投标保证金，并作为其投标文件的组成部分。</w:t>
      </w:r>
    </w:p>
    <w:p w14:paraId="09E9AB64">
      <w:pPr>
        <w:pStyle w:val="28"/>
        <w:widowControl/>
        <w:numPr>
          <w:ilvl w:val="0"/>
          <w:numId w:val="63"/>
        </w:numPr>
        <w:ind w:left="567" w:hanging="567"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如采用转账、支票、本票、汇票形式提交的，</w:t>
      </w:r>
      <w:r>
        <w:rPr>
          <w:rFonts w:ascii="宋体" w:hAnsi="宋体" w:eastAsia="宋体" w:cs="Times New Roman"/>
          <w:color w:val="auto"/>
          <w:kern w:val="0"/>
          <w:szCs w:val="21"/>
          <w:lang w:eastAsia="zh-Hans"/>
        </w:rPr>
        <w:t>投标保证金从投标人基本账户递交；请各投标人在投标文件递交截止时间前按</w:t>
      </w:r>
      <w:bookmarkStart w:id="15"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5"/>
    <w:p w14:paraId="08ED3A20">
      <w:pPr>
        <w:pStyle w:val="28"/>
        <w:widowControl/>
        <w:numPr>
          <w:ilvl w:val="0"/>
          <w:numId w:val="63"/>
        </w:numPr>
        <w:ind w:left="567" w:hanging="567" w:firstLineChars="0"/>
        <w:jc w:val="left"/>
        <w:rPr>
          <w:rFonts w:hint="eastAsia" w:ascii="宋体" w:hAnsi="宋体" w:eastAsia="宋体" w:cs="Times New Roman"/>
          <w:kern w:val="0"/>
          <w:szCs w:val="21"/>
          <w:lang w:eastAsia="zh-Hans"/>
        </w:rPr>
      </w:pPr>
      <w:r>
        <w:rPr>
          <w:rFonts w:ascii="Calibri" w:hAnsi="Calibri" w:eastAsia="宋体" w:cs="Times New Roman"/>
          <w:color w:val="auto"/>
          <w:kern w:val="0"/>
          <w:szCs w:val="21"/>
          <w:lang w:eastAsia="zh-Hans"/>
        </w:rPr>
        <w:t>如采用金融机构、专业担保机构开具的投标担保</w:t>
      </w:r>
      <w:r>
        <w:rPr>
          <w:rFonts w:ascii="Calibri" w:hAnsi="Calibri" w:eastAsia="宋体" w:cs="Times New Roman"/>
          <w:kern w:val="0"/>
          <w:szCs w:val="21"/>
          <w:lang w:eastAsia="zh-Hans"/>
        </w:rPr>
        <w:t>函、投标保证保险函等形式提交投标保证金的，投标担保函须开具给采购人，并与投标文件一同递交。</w:t>
      </w:r>
    </w:p>
    <w:p w14:paraId="39B77C9D">
      <w:pPr>
        <w:pStyle w:val="28"/>
        <w:widowControl/>
        <w:numPr>
          <w:ilvl w:val="0"/>
          <w:numId w:val="6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81BB39B">
      <w:pPr>
        <w:pStyle w:val="28"/>
        <w:widowControl/>
        <w:numPr>
          <w:ilvl w:val="0"/>
          <w:numId w:val="6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2B29E50">
      <w:pPr>
        <w:pStyle w:val="28"/>
        <w:widowControl/>
        <w:numPr>
          <w:ilvl w:val="0"/>
          <w:numId w:val="6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8"/>
        <w:widowControl/>
        <w:numPr>
          <w:ilvl w:val="0"/>
          <w:numId w:val="6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8"/>
        <w:widowControl/>
        <w:numPr>
          <w:ilvl w:val="0"/>
          <w:numId w:val="6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8"/>
        <w:widowControl/>
        <w:numPr>
          <w:ilvl w:val="0"/>
          <w:numId w:val="6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8"/>
        <w:widowControl/>
        <w:numPr>
          <w:ilvl w:val="0"/>
          <w:numId w:val="6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8"/>
        <w:widowControl/>
        <w:numPr>
          <w:ilvl w:val="0"/>
          <w:numId w:val="6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8"/>
        <w:widowControl/>
        <w:numPr>
          <w:ilvl w:val="0"/>
          <w:numId w:val="6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8"/>
        <w:widowControl/>
        <w:numPr>
          <w:ilvl w:val="0"/>
          <w:numId w:val="6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8"/>
        <w:widowControl/>
        <w:numPr>
          <w:ilvl w:val="0"/>
          <w:numId w:val="5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8"/>
        <w:widowControl/>
        <w:numPr>
          <w:ilvl w:val="0"/>
          <w:numId w:val="6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8"/>
        <w:widowControl/>
        <w:numPr>
          <w:ilvl w:val="0"/>
          <w:numId w:val="6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8"/>
        <w:widowControl/>
        <w:numPr>
          <w:ilvl w:val="0"/>
          <w:numId w:val="5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8"/>
        <w:widowControl/>
        <w:numPr>
          <w:ilvl w:val="0"/>
          <w:numId w:val="6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8"/>
        <w:widowControl/>
        <w:numPr>
          <w:ilvl w:val="0"/>
          <w:numId w:val="6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8"/>
        <w:widowControl/>
        <w:numPr>
          <w:ilvl w:val="0"/>
          <w:numId w:val="6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8"/>
        <w:widowControl/>
        <w:numPr>
          <w:ilvl w:val="0"/>
          <w:numId w:val="5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8"/>
        <w:widowControl/>
        <w:numPr>
          <w:ilvl w:val="0"/>
          <w:numId w:val="6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8"/>
        <w:widowControl/>
        <w:numPr>
          <w:ilvl w:val="0"/>
          <w:numId w:val="6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8"/>
        <w:widowControl/>
        <w:numPr>
          <w:ilvl w:val="0"/>
          <w:numId w:val="6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8"/>
        <w:widowControl/>
        <w:numPr>
          <w:ilvl w:val="0"/>
          <w:numId w:val="6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8"/>
        <w:widowControl/>
        <w:numPr>
          <w:ilvl w:val="0"/>
          <w:numId w:val="6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8"/>
        <w:widowControl/>
        <w:numPr>
          <w:ilvl w:val="0"/>
          <w:numId w:val="45"/>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8"/>
        <w:widowControl/>
        <w:numPr>
          <w:ilvl w:val="3"/>
          <w:numId w:val="69"/>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8"/>
        <w:widowControl/>
        <w:numPr>
          <w:ilvl w:val="0"/>
          <w:numId w:val="7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8"/>
        <w:widowControl/>
        <w:numPr>
          <w:ilvl w:val="0"/>
          <w:numId w:val="7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8"/>
        <w:widowControl/>
        <w:numPr>
          <w:ilvl w:val="0"/>
          <w:numId w:val="7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8"/>
        <w:widowControl/>
        <w:numPr>
          <w:ilvl w:val="0"/>
          <w:numId w:val="7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8"/>
        <w:widowControl/>
        <w:numPr>
          <w:ilvl w:val="0"/>
          <w:numId w:val="7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8"/>
        <w:widowControl/>
        <w:numPr>
          <w:ilvl w:val="0"/>
          <w:numId w:val="7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8"/>
        <w:widowControl/>
        <w:numPr>
          <w:ilvl w:val="0"/>
          <w:numId w:val="7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8"/>
        <w:widowControl/>
        <w:numPr>
          <w:ilvl w:val="3"/>
          <w:numId w:val="69"/>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8"/>
        <w:widowControl/>
        <w:numPr>
          <w:ilvl w:val="3"/>
          <w:numId w:val="69"/>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8"/>
        <w:widowControl/>
        <w:numPr>
          <w:ilvl w:val="0"/>
          <w:numId w:val="71"/>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8"/>
        <w:widowControl/>
        <w:numPr>
          <w:ilvl w:val="0"/>
          <w:numId w:val="72"/>
        </w:numPr>
        <w:ind w:left="709" w:hanging="709" w:firstLineChars="0"/>
        <w:jc w:val="left"/>
        <w:rPr>
          <w:rFonts w:hint="eastAsia"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6" w:name="_Hlk169881051"/>
      <w:r>
        <w:rPr>
          <w:rFonts w:ascii="宋体" w:hAnsi="宋体" w:eastAsia="宋体" w:cs="Times New Roman"/>
          <w:kern w:val="0"/>
          <w:szCs w:val="21"/>
        </w:rPr>
        <w:t>指定媒体</w:t>
      </w:r>
      <w:bookmarkEnd w:id="16"/>
      <w:r>
        <w:rPr>
          <w:rFonts w:ascii="宋体" w:hAnsi="宋体" w:eastAsia="宋体" w:cs="Times New Roman"/>
          <w:kern w:val="0"/>
          <w:szCs w:val="21"/>
        </w:rPr>
        <w:t>公告中标结果和发出中标通知书，公告期为1个工作日。</w:t>
      </w:r>
    </w:p>
    <w:p w14:paraId="00414DA4">
      <w:pPr>
        <w:pStyle w:val="28"/>
        <w:widowControl/>
        <w:numPr>
          <w:ilvl w:val="0"/>
          <w:numId w:val="71"/>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8"/>
        <w:widowControl/>
        <w:numPr>
          <w:ilvl w:val="0"/>
          <w:numId w:val="73"/>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8"/>
        <w:widowControl/>
        <w:numPr>
          <w:ilvl w:val="0"/>
          <w:numId w:val="73"/>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8"/>
        <w:widowControl/>
        <w:numPr>
          <w:ilvl w:val="0"/>
          <w:numId w:val="73"/>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8"/>
        <w:widowControl/>
        <w:numPr>
          <w:ilvl w:val="0"/>
          <w:numId w:val="45"/>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8"/>
        <w:widowControl/>
        <w:numPr>
          <w:ilvl w:val="3"/>
          <w:numId w:val="74"/>
        </w:numPr>
        <w:tabs>
          <w:tab w:val="left" w:pos="426"/>
          <w:tab w:val="left" w:pos="709"/>
          <w:tab w:val="left" w:pos="993"/>
          <w:tab w:val="left" w:pos="1418"/>
        </w:tabs>
        <w:ind w:hanging="1760"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8"/>
        <w:widowControl/>
        <w:numPr>
          <w:ilvl w:val="0"/>
          <w:numId w:val="7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8"/>
        <w:widowControl/>
        <w:numPr>
          <w:ilvl w:val="3"/>
          <w:numId w:val="74"/>
        </w:numPr>
        <w:tabs>
          <w:tab w:val="left" w:pos="426"/>
          <w:tab w:val="left" w:pos="709"/>
          <w:tab w:val="left" w:pos="993"/>
          <w:tab w:val="left" w:pos="1418"/>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8"/>
        <w:widowControl/>
        <w:numPr>
          <w:ilvl w:val="0"/>
          <w:numId w:val="7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8"/>
        <w:widowControl/>
        <w:numPr>
          <w:ilvl w:val="0"/>
          <w:numId w:val="77"/>
        </w:numPr>
        <w:tabs>
          <w:tab w:val="left" w:pos="709"/>
        </w:tabs>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8"/>
        <w:widowControl/>
        <w:numPr>
          <w:ilvl w:val="0"/>
          <w:numId w:val="77"/>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8"/>
        <w:widowControl/>
        <w:numPr>
          <w:ilvl w:val="0"/>
          <w:numId w:val="77"/>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8"/>
        <w:widowControl/>
        <w:numPr>
          <w:ilvl w:val="0"/>
          <w:numId w:val="7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8"/>
        <w:widowControl/>
        <w:numPr>
          <w:ilvl w:val="0"/>
          <w:numId w:val="7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8"/>
        <w:widowControl/>
        <w:numPr>
          <w:ilvl w:val="0"/>
          <w:numId w:val="7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8"/>
        <w:widowControl/>
        <w:numPr>
          <w:ilvl w:val="0"/>
          <w:numId w:val="7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8"/>
        <w:widowControl/>
        <w:numPr>
          <w:ilvl w:val="0"/>
          <w:numId w:val="7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8"/>
        <w:widowControl/>
        <w:numPr>
          <w:ilvl w:val="0"/>
          <w:numId w:val="7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8"/>
        <w:widowControl/>
        <w:numPr>
          <w:ilvl w:val="0"/>
          <w:numId w:val="7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8"/>
        <w:widowControl/>
        <w:numPr>
          <w:ilvl w:val="0"/>
          <w:numId w:val="7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kern w:val="0"/>
          <w:szCs w:val="21"/>
          <w:lang w:val="en-US" w:eastAsia="zh-CN"/>
        </w:rPr>
        <w:t>采购人有关</w:t>
      </w:r>
      <w:r>
        <w:rPr>
          <w:rFonts w:ascii="宋体" w:hAnsi="宋体" w:eastAsia="宋体" w:cs="Times New Roman"/>
          <w:kern w:val="0"/>
          <w:szCs w:val="21"/>
          <w:lang w:eastAsia="zh-Hans"/>
        </w:rPr>
        <w:t>部门依法处理。</w:t>
      </w:r>
    </w:p>
    <w:p w14:paraId="4B25D179">
      <w:pPr>
        <w:pStyle w:val="28"/>
        <w:widowControl/>
        <w:numPr>
          <w:ilvl w:val="0"/>
          <w:numId w:val="76"/>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质疑联系方式如下：</w:t>
      </w:r>
    </w:p>
    <w:p w14:paraId="04E1EE58">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何舜禹</w:t>
      </w:r>
    </w:p>
    <w:p w14:paraId="6A816235">
      <w:pPr>
        <w:widowControl/>
        <w:ind w:firstLine="480"/>
        <w:jc w:val="left"/>
        <w:rPr>
          <w:rFonts w:hint="eastAsia" w:ascii="宋体" w:hAnsi="宋体" w:eastAsia="宋体" w:cs="Times New Roman"/>
          <w:color w:val="auto"/>
          <w:kern w:val="0"/>
          <w:szCs w:val="21"/>
          <w:lang w:eastAsia="zh-Hans"/>
        </w:rPr>
      </w:pPr>
      <w:bookmarkStart w:id="17" w:name="_Hlk170237862"/>
      <w:r>
        <w:rPr>
          <w:rFonts w:ascii="宋体" w:hAnsi="宋体" w:eastAsia="宋体" w:cs="Times New Roman"/>
          <w:color w:val="auto"/>
          <w:kern w:val="0"/>
          <w:szCs w:val="21"/>
          <w:lang w:eastAsia="zh-Hans"/>
        </w:rPr>
        <w:t>电话：（0769）22367009</w:t>
      </w:r>
    </w:p>
    <w:p w14:paraId="50A95697">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662604D3">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7"/>
    </w:p>
    <w:p w14:paraId="4ABBDBCF">
      <w:pPr>
        <w:widowControl/>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23EC7FB9">
      <w:pPr>
        <w:pStyle w:val="28"/>
        <w:widowControl/>
        <w:numPr>
          <w:ilvl w:val="0"/>
          <w:numId w:val="79"/>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质疑人对采购人或采购代理机构的质疑答复不满意或在规定时间内未得到答复的，可以在答复期满后15个工作日内，向本项目</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部门提起投诉。</w:t>
      </w:r>
    </w:p>
    <w:p w14:paraId="7D73C36D">
      <w:pPr>
        <w:pStyle w:val="28"/>
        <w:widowControl/>
        <w:numPr>
          <w:ilvl w:val="0"/>
          <w:numId w:val="45"/>
        </w:numPr>
        <w:spacing w:before="217" w:beforeLines="50"/>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本项目不收取</w:t>
      </w:r>
      <w:r>
        <w:rPr>
          <w:rFonts w:hint="eastAsia" w:ascii="宋体" w:hAnsi="宋体" w:eastAsia="宋体" w:cs="Times New Roman"/>
          <w:b/>
          <w:color w:val="auto"/>
          <w:kern w:val="0"/>
          <w:szCs w:val="21"/>
          <w:lang w:eastAsia="zh-CN"/>
        </w:rPr>
        <w:t>）</w:t>
      </w:r>
    </w:p>
    <w:p w14:paraId="550A4FCD">
      <w:pPr>
        <w:pStyle w:val="28"/>
        <w:widowControl/>
        <w:numPr>
          <w:ilvl w:val="0"/>
          <w:numId w:val="80"/>
        </w:numPr>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8"/>
        <w:widowControl/>
        <w:numPr>
          <w:ilvl w:val="0"/>
          <w:numId w:val="80"/>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8"/>
        <w:widowControl/>
        <w:numPr>
          <w:ilvl w:val="0"/>
          <w:numId w:val="45"/>
        </w:numPr>
        <w:spacing w:before="217" w:beforeLines="50"/>
        <w:ind w:left="442" w:hanging="442"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02041DF9">
      <w:pPr>
        <w:pStyle w:val="28"/>
        <w:widowControl/>
        <w:numPr>
          <w:ilvl w:val="3"/>
          <w:numId w:val="81"/>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8"/>
        <w:widowControl/>
        <w:numPr>
          <w:ilvl w:val="0"/>
          <w:numId w:val="8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8"/>
        <w:widowControl/>
        <w:numPr>
          <w:ilvl w:val="0"/>
          <w:numId w:val="8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4F3F062F">
      <w:pPr>
        <w:pStyle w:val="28"/>
        <w:widowControl/>
        <w:numPr>
          <w:ilvl w:val="3"/>
          <w:numId w:val="81"/>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kern w:val="0"/>
          <w:szCs w:val="21"/>
          <w:lang w:eastAsia="zh-Hans"/>
        </w:rPr>
        <w:t>合同的履行</w:t>
      </w:r>
    </w:p>
    <w:p w14:paraId="63899B25">
      <w:pPr>
        <w:pStyle w:val="28"/>
        <w:widowControl/>
        <w:numPr>
          <w:ilvl w:val="0"/>
          <w:numId w:val="83"/>
        </w:numPr>
        <w:ind w:firstLineChars="0"/>
        <w:jc w:val="left"/>
        <w:rPr>
          <w:rFonts w:hint="eastAsia" w:ascii="宋体" w:hAnsi="宋体" w:eastAsia="宋体" w:cs="Times New Roman"/>
          <w:color w:val="auto"/>
          <w:kern w:val="0"/>
          <w:szCs w:val="21"/>
          <w:lang w:eastAsia="zh-Hans"/>
        </w:rPr>
      </w:pPr>
      <w:bookmarkStart w:id="18"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8"/>
    </w:p>
    <w:p w14:paraId="7DB3A8A0">
      <w:pPr>
        <w:pStyle w:val="28"/>
        <w:widowControl/>
        <w:numPr>
          <w:ilvl w:val="0"/>
          <w:numId w:val="83"/>
        </w:numPr>
        <w:tabs>
          <w:tab w:val="left" w:pos="993"/>
        </w:tabs>
        <w:ind w:firstLineChars="0"/>
        <w:jc w:val="left"/>
        <w:rPr>
          <w:rFonts w:hint="eastAsia"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采购合同履行中，采购人需追加与合同标的相同的货物、工程或者服务的，在不改变合同其他条款的前提下，可以与中标人签订补充合同，但所补充合同</w:t>
      </w:r>
      <w:r>
        <w:rPr>
          <w:rFonts w:ascii="宋体" w:hAnsi="宋体" w:eastAsia="宋体" w:cs="Times New Roman"/>
          <w:kern w:val="0"/>
          <w:szCs w:val="21"/>
          <w:lang w:eastAsia="zh-Hans"/>
        </w:rPr>
        <w:t>的采购金额不得超过原合同采购金额的百分之十。</w:t>
      </w:r>
      <w:bookmarkStart w:id="19" w:name="_Hlk170237986"/>
      <w:r>
        <w:rPr>
          <w:rFonts w:ascii="宋体" w:hAnsi="宋体" w:eastAsia="宋体" w:cs="Times New Roman"/>
          <w:kern w:val="0"/>
          <w:szCs w:val="21"/>
          <w:lang w:eastAsia="zh-Hans"/>
        </w:rPr>
        <w:t>签订补充合同的必须按规定备案。</w:t>
      </w:r>
    </w:p>
    <w:bookmarkEnd w:id="19"/>
    <w:p w14:paraId="7058F3DD">
      <w:pPr>
        <w:pageBreakBefore/>
        <w:widowControl/>
        <w:jc w:val="center"/>
        <w:outlineLvl w:val="1"/>
        <w:rPr>
          <w:rFonts w:ascii="Calibri" w:hAnsi="Calibri" w:eastAsia="宋体" w:cs="Times New Roman"/>
          <w:kern w:val="0"/>
          <w:sz w:val="20"/>
          <w:szCs w:val="20"/>
          <w:lang w:eastAsia="zh-Hans"/>
        </w:rPr>
      </w:pPr>
      <w:bookmarkStart w:id="20" w:name="_Toc169807543"/>
      <w:bookmarkStart w:id="21" w:name="_Toc169799781"/>
      <w:r>
        <w:rPr>
          <w:rFonts w:ascii="Calibri" w:hAnsi="Calibri" w:eastAsia="宋体" w:cs="Times New Roman"/>
          <w:b/>
          <w:kern w:val="0"/>
          <w:sz w:val="36"/>
          <w:szCs w:val="20"/>
          <w:lang w:eastAsia="zh-Hans"/>
        </w:rPr>
        <w:t>第四章 评标</w:t>
      </w:r>
      <w:bookmarkEnd w:id="20"/>
      <w:bookmarkEnd w:id="21"/>
    </w:p>
    <w:p w14:paraId="1F905B4D">
      <w:pPr>
        <w:pStyle w:val="28"/>
        <w:numPr>
          <w:ilvl w:val="0"/>
          <w:numId w:val="84"/>
        </w:numPr>
        <w:ind w:firstLineChars="0"/>
        <w:rPr>
          <w:rFonts w:hint="eastAsia" w:ascii="宋体" w:hAnsi="宋体" w:eastAsia="宋体"/>
          <w:b/>
          <w:bCs/>
        </w:rPr>
      </w:pPr>
      <w:r>
        <w:rPr>
          <w:rFonts w:ascii="宋体" w:hAnsi="宋体" w:eastAsia="宋体"/>
          <w:b/>
          <w:bCs/>
        </w:rPr>
        <w:t>评标要求</w:t>
      </w:r>
    </w:p>
    <w:p w14:paraId="000B4FC0">
      <w:pPr>
        <w:pStyle w:val="28"/>
        <w:widowControl/>
        <w:numPr>
          <w:ilvl w:val="3"/>
          <w:numId w:val="8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8"/>
        <w:widowControl/>
        <w:numPr>
          <w:ilvl w:val="0"/>
          <w:numId w:val="86"/>
        </w:numPr>
        <w:ind w:firstLineChars="0"/>
        <w:jc w:val="left"/>
        <w:rPr>
          <w:rFonts w:hint="eastAsia"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8"/>
        <w:widowControl/>
        <w:numPr>
          <w:ilvl w:val="0"/>
          <w:numId w:val="86"/>
        </w:numPr>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8"/>
        <w:widowControl/>
        <w:numPr>
          <w:ilvl w:val="3"/>
          <w:numId w:val="8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8"/>
        <w:widowControl/>
        <w:numPr>
          <w:ilvl w:val="0"/>
          <w:numId w:val="87"/>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8"/>
        <w:widowControl/>
        <w:numPr>
          <w:ilvl w:val="0"/>
          <w:numId w:val="87"/>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8"/>
        <w:widowControl/>
        <w:numPr>
          <w:ilvl w:val="0"/>
          <w:numId w:val="87"/>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1328CF1C">
      <w:pPr>
        <w:pStyle w:val="28"/>
        <w:widowControl/>
        <w:numPr>
          <w:ilvl w:val="3"/>
          <w:numId w:val="8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8"/>
        <w:widowControl/>
        <w:numPr>
          <w:ilvl w:val="0"/>
          <w:numId w:val="88"/>
        </w:numPr>
        <w:tabs>
          <w:tab w:val="left" w:pos="284"/>
          <w:tab w:val="left" w:pos="426"/>
          <w:tab w:val="left" w:pos="851"/>
          <w:tab w:val="left" w:pos="1134"/>
          <w:tab w:val="left" w:pos="1560"/>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8"/>
        <w:widowControl/>
        <w:numPr>
          <w:ilvl w:val="0"/>
          <w:numId w:val="88"/>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8"/>
        <w:widowControl/>
        <w:numPr>
          <w:ilvl w:val="0"/>
          <w:numId w:val="8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8"/>
        <w:widowControl/>
        <w:numPr>
          <w:ilvl w:val="0"/>
          <w:numId w:val="8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8"/>
        <w:widowControl/>
        <w:numPr>
          <w:ilvl w:val="0"/>
          <w:numId w:val="8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8"/>
        <w:widowControl/>
        <w:numPr>
          <w:ilvl w:val="0"/>
          <w:numId w:val="89"/>
        </w:numPr>
        <w:tabs>
          <w:tab w:val="left" w:pos="709"/>
          <w:tab w:val="left" w:pos="851"/>
          <w:tab w:val="left" w:pos="1418"/>
        </w:tabs>
        <w:ind w:left="709" w:hanging="709" w:firstLineChars="0"/>
        <w:jc w:val="left"/>
        <w:rPr>
          <w:rFonts w:hint="eastAsia"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8"/>
        <w:widowControl/>
        <w:numPr>
          <w:ilvl w:val="0"/>
          <w:numId w:val="8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8"/>
        <w:widowControl/>
        <w:numPr>
          <w:ilvl w:val="0"/>
          <w:numId w:val="88"/>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8"/>
        <w:widowControl/>
        <w:numPr>
          <w:ilvl w:val="0"/>
          <w:numId w:val="9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8"/>
        <w:widowControl/>
        <w:numPr>
          <w:ilvl w:val="0"/>
          <w:numId w:val="9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8"/>
        <w:widowControl/>
        <w:numPr>
          <w:ilvl w:val="0"/>
          <w:numId w:val="9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8"/>
        <w:widowControl/>
        <w:numPr>
          <w:ilvl w:val="0"/>
          <w:numId w:val="9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8"/>
        <w:widowControl/>
        <w:numPr>
          <w:ilvl w:val="0"/>
          <w:numId w:val="9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8"/>
        <w:widowControl/>
        <w:numPr>
          <w:ilvl w:val="0"/>
          <w:numId w:val="90"/>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8"/>
        <w:widowControl/>
        <w:numPr>
          <w:ilvl w:val="0"/>
          <w:numId w:val="90"/>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8"/>
        <w:widowControl/>
        <w:numPr>
          <w:ilvl w:val="0"/>
          <w:numId w:val="90"/>
        </w:numPr>
        <w:tabs>
          <w:tab w:val="left" w:pos="567"/>
          <w:tab w:val="left" w:pos="709"/>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参与评标工作的所有人员必</w:t>
      </w:r>
      <w:r>
        <w:rPr>
          <w:rFonts w:hint="eastAsia" w:ascii="宋体" w:hAnsi="宋体" w:eastAsia="宋体" w:cs="Times New Roman"/>
          <w:kern w:val="0"/>
          <w:szCs w:val="21"/>
          <w:lang w:val="en-US" w:eastAsia="zh-CN"/>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《中华人民共和国政府采购法》、《中华人民共和国政府采购法实施条例》、财政部《政府采购货物和服务招标投标管理办法》及相关法律、法规的规定，以确保评标的公平、公正。</w:t>
      </w:r>
    </w:p>
    <w:p w14:paraId="087B6B85">
      <w:pPr>
        <w:pStyle w:val="28"/>
        <w:widowControl/>
        <w:numPr>
          <w:ilvl w:val="3"/>
          <w:numId w:val="8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8"/>
        <w:numPr>
          <w:ilvl w:val="0"/>
          <w:numId w:val="9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8"/>
        <w:numPr>
          <w:ilvl w:val="0"/>
          <w:numId w:val="9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8"/>
        <w:numPr>
          <w:ilvl w:val="0"/>
          <w:numId w:val="9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8"/>
        <w:numPr>
          <w:ilvl w:val="0"/>
          <w:numId w:val="9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8"/>
        <w:numPr>
          <w:ilvl w:val="0"/>
          <w:numId w:val="9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8"/>
        <w:numPr>
          <w:ilvl w:val="0"/>
          <w:numId w:val="91"/>
        </w:numPr>
        <w:tabs>
          <w:tab w:val="left" w:pos="426"/>
          <w:tab w:val="left" w:pos="1276"/>
        </w:tabs>
        <w:ind w:hanging="2240" w:firstLineChars="0"/>
        <w:jc w:val="left"/>
        <w:rPr>
          <w:rFonts w:hint="eastAsia"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8"/>
        <w:widowControl/>
        <w:numPr>
          <w:ilvl w:val="3"/>
          <w:numId w:val="8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8"/>
        <w:widowControl/>
        <w:numPr>
          <w:ilvl w:val="3"/>
          <w:numId w:val="8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8"/>
        <w:widowControl/>
        <w:numPr>
          <w:ilvl w:val="0"/>
          <w:numId w:val="92"/>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8"/>
        <w:widowControl/>
        <w:numPr>
          <w:ilvl w:val="3"/>
          <w:numId w:val="8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8"/>
        <w:widowControl/>
        <w:numPr>
          <w:ilvl w:val="0"/>
          <w:numId w:val="93"/>
        </w:numPr>
        <w:tabs>
          <w:tab w:val="left" w:pos="426"/>
          <w:tab w:val="left" w:pos="993"/>
          <w:tab w:val="left" w:pos="1276"/>
        </w:tabs>
        <w:ind w:hanging="2240"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8"/>
        <w:widowControl/>
        <w:numPr>
          <w:ilvl w:val="0"/>
          <w:numId w:val="94"/>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8"/>
        <w:widowControl/>
        <w:numPr>
          <w:ilvl w:val="0"/>
          <w:numId w:val="94"/>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8"/>
        <w:widowControl/>
        <w:numPr>
          <w:ilvl w:val="0"/>
          <w:numId w:val="94"/>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8"/>
        <w:widowControl/>
        <w:numPr>
          <w:ilvl w:val="0"/>
          <w:numId w:val="94"/>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kern w:val="0"/>
          <w:szCs w:val="21"/>
          <w:lang w:eastAsia="zh-Hans"/>
        </w:rPr>
        <w:t>总价金额与按单价汇总金额不一致的，以单价</w:t>
      </w:r>
      <w:r>
        <w:rPr>
          <w:rFonts w:ascii="宋体" w:hAnsi="宋体" w:eastAsia="宋体" w:cs="Times New Roman"/>
          <w:color w:val="auto"/>
          <w:kern w:val="0"/>
          <w:szCs w:val="21"/>
          <w:highlight w:val="none"/>
          <w:lang w:eastAsia="zh-Hans"/>
        </w:rPr>
        <w:t>金额计算结果为准。但是单价金额计算结果超过预算价的，对其按无效投标处理。</w:t>
      </w:r>
    </w:p>
    <w:p w14:paraId="7015B870">
      <w:pPr>
        <w:widowControl/>
        <w:jc w:val="left"/>
        <w:rPr>
          <w:rFonts w:hint="eastAsia" w:ascii="宋体" w:hAnsi="宋体" w:eastAsia="宋体"/>
          <w:color w:val="auto"/>
          <w:szCs w:val="21"/>
          <w:highlight w:val="none"/>
          <w:shd w:val="clear" w:color="auto" w:fill="FFFFFF"/>
        </w:rPr>
      </w:pPr>
      <w:bookmarkStart w:id="22"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8"/>
        <w:widowControl/>
        <w:numPr>
          <w:ilvl w:val="0"/>
          <w:numId w:val="93"/>
        </w:numPr>
        <w:tabs>
          <w:tab w:val="left" w:pos="426"/>
          <w:tab w:val="left" w:pos="993"/>
          <w:tab w:val="left" w:pos="1276"/>
          <w:tab w:val="left" w:pos="1843"/>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609FC80E">
      <w:pPr>
        <w:pStyle w:val="28"/>
        <w:numPr>
          <w:ilvl w:val="0"/>
          <w:numId w:val="84"/>
        </w:numPr>
        <w:ind w:firstLineChars="0"/>
        <w:rPr>
          <w:rFonts w:hint="eastAsia"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政府采购政策落实</w:t>
      </w:r>
      <w:bookmarkEnd w:id="23"/>
    </w:p>
    <w:p w14:paraId="79D17283">
      <w:pPr>
        <w:pStyle w:val="28"/>
        <w:numPr>
          <w:ilvl w:val="1"/>
          <w:numId w:val="9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8"/>
        <w:numPr>
          <w:ilvl w:val="2"/>
          <w:numId w:val="96"/>
        </w:numPr>
        <w:tabs>
          <w:tab w:val="left" w:pos="1418"/>
        </w:tabs>
        <w:ind w:left="426" w:hanging="426" w:firstLineChars="0"/>
        <w:rPr>
          <w:rFonts w:hint="eastAsia" w:ascii="宋体" w:hAnsi="宋体" w:eastAsia="宋体"/>
          <w:bCs/>
          <w:color w:val="auto"/>
          <w:szCs w:val="21"/>
          <w:highlight w:val="none"/>
        </w:rPr>
      </w:pPr>
      <w:bookmarkStart w:id="24"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8"/>
        <w:numPr>
          <w:ilvl w:val="1"/>
          <w:numId w:val="9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8"/>
        <w:numPr>
          <w:ilvl w:val="2"/>
          <w:numId w:val="97"/>
        </w:numPr>
        <w:ind w:firstLineChars="0"/>
        <w:rPr>
          <w:rFonts w:hint="eastAsia"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8"/>
        <w:numPr>
          <w:ilvl w:val="1"/>
          <w:numId w:val="9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8"/>
        <w:numPr>
          <w:ilvl w:val="2"/>
          <w:numId w:val="98"/>
        </w:numPr>
        <w:ind w:left="424" w:hanging="424" w:hangingChars="202"/>
        <w:rPr>
          <w:rFonts w:hint="eastAsia"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8"/>
        <w:numPr>
          <w:ilvl w:val="1"/>
          <w:numId w:val="95"/>
        </w:numPr>
        <w:ind w:left="426" w:hanging="426" w:firstLineChars="0"/>
        <w:jc w:val="left"/>
        <w:rPr>
          <w:rFonts w:hint="eastAsia"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8"/>
        <w:numPr>
          <w:ilvl w:val="1"/>
          <w:numId w:val="95"/>
        </w:numPr>
        <w:tabs>
          <w:tab w:val="left" w:pos="426"/>
          <w:tab w:val="left" w:pos="1418"/>
        </w:tabs>
        <w:ind w:left="851" w:hanging="851" w:firstLineChars="0"/>
        <w:rPr>
          <w:rFonts w:hint="eastAsia"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FA076BC">
      <w:pPr>
        <w:pStyle w:val="28"/>
        <w:ind w:left="-141" w:leftChars="-67" w:firstLine="567" w:firstLineChars="270"/>
        <w:rPr>
          <w:rFonts w:hint="eastAsia"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29F7F539">
      <w:pPr>
        <w:rPr>
          <w:rFonts w:hint="eastAsia"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8"/>
        <w:numPr>
          <w:ilvl w:val="1"/>
          <w:numId w:val="95"/>
        </w:numPr>
        <w:ind w:left="426" w:hanging="426" w:firstLineChars="0"/>
        <w:rPr>
          <w:rFonts w:hint="eastAsia"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8"/>
        <w:numPr>
          <w:ilvl w:val="0"/>
          <w:numId w:val="99"/>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8"/>
        <w:numPr>
          <w:ilvl w:val="0"/>
          <w:numId w:val="99"/>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31417427">
      <w:pPr>
        <w:pStyle w:val="28"/>
        <w:numPr>
          <w:ilvl w:val="1"/>
          <w:numId w:val="95"/>
        </w:numPr>
        <w:ind w:left="426" w:hanging="426"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r>
        <w:rPr>
          <w:rFonts w:ascii="宋体" w:hAnsi="宋体" w:eastAsia="宋体"/>
          <w:bCs/>
          <w:color w:val="auto"/>
          <w:szCs w:val="21"/>
          <w:highlight w:val="none"/>
        </w:rPr>
        <w:t>（四舍五入后保留小数点后两位）</w:t>
      </w: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hint="eastAsia" w:ascii="宋体" w:hAnsi="宋体" w:eastAsia="宋体"/>
          <w:bCs/>
          <w:spacing w:val="-4"/>
          <w:szCs w:val="21"/>
        </w:rPr>
      </w:pPr>
      <w:r>
        <w:rPr>
          <w:rFonts w:hint="eastAsia" w:ascii="宋体" w:hAnsi="宋体" w:eastAsia="宋体"/>
          <w:bCs/>
          <w:color w:val="auto"/>
          <w:spacing w:val="-4"/>
          <w:szCs w:val="21"/>
          <w:highlight w:val="none"/>
        </w:rPr>
        <w:t>注：因落实政府采购政策进行价格调整的，以调整后的价格计算评标基准</w:t>
      </w:r>
      <w:r>
        <w:rPr>
          <w:rFonts w:hint="eastAsia" w:ascii="宋体" w:hAnsi="宋体" w:eastAsia="宋体"/>
          <w:bCs/>
          <w:color w:val="000000" w:themeColor="text1"/>
          <w:spacing w:val="-4"/>
          <w:szCs w:val="21"/>
          <w14:textFill>
            <w14:solidFill>
              <w14:schemeClr w14:val="tx1"/>
            </w14:solidFill>
          </w14:textFill>
        </w:rPr>
        <w:t>价和投标报价。</w:t>
      </w:r>
    </w:p>
    <w:p w14:paraId="3EA2C08B">
      <w:pPr>
        <w:pStyle w:val="28"/>
        <w:numPr>
          <w:ilvl w:val="1"/>
          <w:numId w:val="95"/>
        </w:numPr>
        <w:ind w:left="426" w:hanging="426" w:firstLineChars="0"/>
        <w:rPr>
          <w:rFonts w:hint="eastAsia" w:ascii="宋体" w:hAnsi="宋体" w:eastAsia="宋体"/>
          <w:b/>
          <w:bCs/>
          <w:szCs w:val="21"/>
        </w:rPr>
      </w:pPr>
      <w:r>
        <w:rPr>
          <w:rFonts w:hint="eastAsia" w:ascii="宋体" w:hAnsi="宋体" w:eastAsia="宋体"/>
          <w:b/>
          <w:bCs/>
          <w:szCs w:val="21"/>
        </w:rPr>
        <w:t>商务技术及价格评分权值分配</w:t>
      </w:r>
      <w:r>
        <w:rPr>
          <w:rFonts w:hint="eastAsia" w:ascii="宋体" w:hAnsi="宋体" w:eastAsia="宋体" w:cs="宋体"/>
          <w:b/>
          <w:color w:val="auto"/>
          <w:kern w:val="0"/>
          <w:sz w:val="21"/>
          <w:szCs w:val="21"/>
          <w:lang w:eastAsia="zh-CN"/>
        </w:rPr>
        <w:t>（</w:t>
      </w:r>
      <w:r>
        <w:rPr>
          <w:rFonts w:hint="eastAsia" w:ascii="宋体" w:hAnsi="宋体" w:eastAsia="宋体" w:cs="宋体"/>
          <w:b/>
          <w:color w:val="auto"/>
          <w:kern w:val="0"/>
          <w:sz w:val="21"/>
          <w:szCs w:val="21"/>
          <w:lang w:val="en-US" w:eastAsia="zh-CN"/>
        </w:rPr>
        <w:t>适用于包组1、2、3</w:t>
      </w:r>
      <w:r>
        <w:rPr>
          <w:rFonts w:hint="eastAsia" w:ascii="宋体" w:hAnsi="宋体" w:eastAsia="宋体" w:cs="宋体"/>
          <w:b/>
          <w:color w:val="auto"/>
          <w:kern w:val="0"/>
          <w:sz w:val="21"/>
          <w:szCs w:val="21"/>
          <w:lang w:eastAsia="zh-CN"/>
        </w:rPr>
        <w:t>）</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szCs w:val="21"/>
              </w:rPr>
            </w:pPr>
            <w:r>
              <w:rPr>
                <w:rFonts w:hint="eastAsia" w:ascii="宋体" w:hAnsi="宋体" w:eastAsia="宋体"/>
                <w:szCs w:val="21"/>
              </w:rPr>
              <w:t>评分项目</w:t>
            </w:r>
          </w:p>
        </w:tc>
        <w:tc>
          <w:tcPr>
            <w:tcW w:w="1082" w:type="pct"/>
            <w:vAlign w:val="center"/>
          </w:tcPr>
          <w:p w14:paraId="0CC69E81">
            <w:pPr>
              <w:jc w:val="center"/>
              <w:rPr>
                <w:rFonts w:hint="eastAsia" w:ascii="宋体" w:hAnsi="宋体" w:eastAsia="宋体"/>
                <w:szCs w:val="21"/>
              </w:rPr>
            </w:pPr>
            <w:r>
              <w:rPr>
                <w:rFonts w:hint="eastAsia" w:ascii="宋体" w:hAnsi="宋体" w:eastAsia="宋体"/>
                <w:szCs w:val="21"/>
              </w:rPr>
              <w:t>价格部分</w:t>
            </w:r>
          </w:p>
        </w:tc>
        <w:tc>
          <w:tcPr>
            <w:tcW w:w="1081" w:type="pct"/>
            <w:vAlign w:val="center"/>
          </w:tcPr>
          <w:p w14:paraId="3ABB61E7">
            <w:pPr>
              <w:jc w:val="center"/>
              <w:rPr>
                <w:rFonts w:hint="eastAsia" w:ascii="宋体" w:hAnsi="宋体" w:eastAsia="宋体"/>
                <w:szCs w:val="21"/>
              </w:rPr>
            </w:pPr>
            <w:r>
              <w:rPr>
                <w:rFonts w:hint="eastAsia" w:ascii="宋体" w:hAnsi="宋体" w:eastAsia="宋体"/>
                <w:szCs w:val="21"/>
              </w:rPr>
              <w:t>商务部分</w:t>
            </w:r>
          </w:p>
        </w:tc>
        <w:tc>
          <w:tcPr>
            <w:tcW w:w="1081" w:type="pct"/>
            <w:vAlign w:val="center"/>
          </w:tcPr>
          <w:p w14:paraId="41A7A6BF">
            <w:pPr>
              <w:jc w:val="center"/>
              <w:rPr>
                <w:rFonts w:hint="eastAsia" w:ascii="宋体" w:hAnsi="宋体" w:eastAsia="宋体"/>
                <w:szCs w:val="21"/>
              </w:rPr>
            </w:pPr>
            <w:r>
              <w:rPr>
                <w:rFonts w:hint="eastAsia" w:ascii="宋体" w:hAnsi="宋体" w:eastAsia="宋体"/>
                <w:szCs w:val="21"/>
              </w:rPr>
              <w:t>技术部分</w:t>
            </w:r>
          </w:p>
        </w:tc>
        <w:tc>
          <w:tcPr>
            <w:tcW w:w="780" w:type="pct"/>
            <w:vAlign w:val="center"/>
          </w:tcPr>
          <w:p w14:paraId="57B4C055">
            <w:pPr>
              <w:jc w:val="center"/>
              <w:rPr>
                <w:rFonts w:hint="eastAsia" w:ascii="宋体" w:hAnsi="宋体" w:eastAsia="宋体"/>
                <w:szCs w:val="21"/>
              </w:rPr>
            </w:pPr>
            <w:r>
              <w:rPr>
                <w:rFonts w:hint="eastAsia" w:ascii="宋体" w:hAnsi="宋体" w:eastAsia="宋体"/>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szCs w:val="21"/>
              </w:rPr>
            </w:pPr>
            <w:r>
              <w:rPr>
                <w:rFonts w:hint="eastAsia" w:ascii="宋体" w:hAnsi="宋体" w:eastAsia="宋体"/>
                <w:szCs w:val="21"/>
              </w:rPr>
              <w:t>权值</w:t>
            </w:r>
          </w:p>
        </w:tc>
        <w:tc>
          <w:tcPr>
            <w:tcW w:w="1082" w:type="pct"/>
            <w:vAlign w:val="center"/>
          </w:tcPr>
          <w:p w14:paraId="05BB9D15">
            <w:pPr>
              <w:jc w:val="center"/>
              <w:rPr>
                <w:rFonts w:hint="eastAsia" w:ascii="宋体" w:hAnsi="宋体" w:eastAsia="宋体"/>
                <w:szCs w:val="21"/>
              </w:rPr>
            </w:pPr>
            <w:r>
              <w:rPr>
                <w:rFonts w:hint="eastAsia" w:ascii="宋体" w:hAnsi="宋体" w:eastAsia="宋体"/>
                <w:szCs w:val="21"/>
                <w:lang w:val="en-US" w:eastAsia="zh-CN"/>
              </w:rPr>
              <w:t>10</w:t>
            </w:r>
            <w:r>
              <w:rPr>
                <w:rFonts w:hint="eastAsia" w:ascii="宋体" w:hAnsi="宋体" w:eastAsia="宋体"/>
                <w:szCs w:val="21"/>
              </w:rPr>
              <w:t>%</w:t>
            </w:r>
          </w:p>
        </w:tc>
        <w:tc>
          <w:tcPr>
            <w:tcW w:w="1081" w:type="pct"/>
            <w:vAlign w:val="center"/>
          </w:tcPr>
          <w:p w14:paraId="0985E51B">
            <w:pPr>
              <w:jc w:val="center"/>
              <w:rPr>
                <w:rFonts w:hint="eastAsia" w:ascii="宋体" w:hAnsi="宋体" w:eastAsia="宋体"/>
                <w:szCs w:val="21"/>
                <w:highlight w:val="red"/>
              </w:rPr>
            </w:pPr>
            <w:r>
              <w:rPr>
                <w:rFonts w:hint="eastAsia" w:ascii="宋体" w:hAnsi="宋体" w:eastAsia="宋体"/>
                <w:szCs w:val="21"/>
                <w:lang w:val="en-US" w:eastAsia="zh-CN"/>
              </w:rPr>
              <w:t>35</w:t>
            </w:r>
            <w:r>
              <w:rPr>
                <w:rFonts w:hint="eastAsia" w:ascii="宋体" w:hAnsi="宋体" w:eastAsia="宋体"/>
                <w:szCs w:val="21"/>
              </w:rPr>
              <w:t>%</w:t>
            </w:r>
          </w:p>
        </w:tc>
        <w:tc>
          <w:tcPr>
            <w:tcW w:w="1081" w:type="pct"/>
            <w:vAlign w:val="center"/>
          </w:tcPr>
          <w:p w14:paraId="70B2F24E">
            <w:pPr>
              <w:jc w:val="center"/>
              <w:rPr>
                <w:rFonts w:hint="eastAsia" w:ascii="宋体" w:hAnsi="宋体" w:eastAsia="宋体"/>
                <w:i/>
                <w:szCs w:val="21"/>
                <w:highlight w:val="red"/>
              </w:rPr>
            </w:pPr>
            <w:r>
              <w:rPr>
                <w:rFonts w:hint="eastAsia" w:ascii="宋体" w:hAnsi="宋体" w:eastAsia="宋体"/>
                <w:szCs w:val="21"/>
                <w:lang w:val="en-US" w:eastAsia="zh-CN"/>
              </w:rPr>
              <w:t>55</w:t>
            </w:r>
            <w:r>
              <w:rPr>
                <w:rFonts w:hint="eastAsia" w:ascii="宋体" w:hAnsi="宋体" w:eastAsia="宋体"/>
                <w:szCs w:val="21"/>
              </w:rPr>
              <w:t>%</w:t>
            </w:r>
          </w:p>
        </w:tc>
        <w:tc>
          <w:tcPr>
            <w:tcW w:w="780" w:type="pct"/>
          </w:tcPr>
          <w:p w14:paraId="1C068EB4">
            <w:pPr>
              <w:jc w:val="center"/>
              <w:rPr>
                <w:rFonts w:hint="eastAsia"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269F4A60">
      <w:pPr>
        <w:pStyle w:val="28"/>
        <w:numPr>
          <w:ilvl w:val="0"/>
          <w:numId w:val="100"/>
        </w:numPr>
        <w:ind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8"/>
        <w:numPr>
          <w:ilvl w:val="0"/>
          <w:numId w:val="84"/>
        </w:numPr>
        <w:spacing w:before="217" w:beforeLines="50"/>
        <w:ind w:left="442" w:hanging="442" w:firstLineChars="0"/>
        <w:rPr>
          <w:rFonts w:hint="eastAsia" w:ascii="宋体" w:hAnsi="宋体" w:eastAsia="宋体" w:cs="Times New Roman"/>
          <w:kern w:val="0"/>
          <w:szCs w:val="21"/>
          <w:lang w:eastAsia="zh-Hans"/>
        </w:rPr>
      </w:pPr>
      <w:r>
        <w:rPr>
          <w:rFonts w:ascii="宋体" w:hAnsi="宋体" w:eastAsia="宋体"/>
          <w:b/>
          <w:bCs/>
        </w:rPr>
        <w:t>评审程序</w:t>
      </w:r>
    </w:p>
    <w:p w14:paraId="458046BA">
      <w:pPr>
        <w:pStyle w:val="28"/>
        <w:widowControl/>
        <w:numPr>
          <w:ilvl w:val="3"/>
          <w:numId w:val="101"/>
        </w:numPr>
        <w:ind w:left="426" w:hanging="426"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8"/>
        <w:widowControl/>
        <w:numPr>
          <w:ilvl w:val="0"/>
          <w:numId w:val="102"/>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8"/>
        <w:widowControl/>
        <w:numPr>
          <w:ilvl w:val="0"/>
          <w:numId w:val="102"/>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8"/>
        <w:widowControl/>
        <w:numPr>
          <w:ilvl w:val="0"/>
          <w:numId w:val="102"/>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8"/>
        <w:widowControl/>
        <w:numPr>
          <w:ilvl w:val="0"/>
          <w:numId w:val="102"/>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8"/>
        <w:widowControl/>
        <w:numPr>
          <w:ilvl w:val="0"/>
          <w:numId w:val="102"/>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hint="eastAsia" w:ascii="宋体" w:hAnsi="宋体" w:eastAsia="宋体" w:cs="Times New Roman"/>
          <w:b/>
          <w:bCs/>
          <w:kern w:val="0"/>
          <w:szCs w:val="21"/>
        </w:rPr>
      </w:pPr>
      <w:r>
        <w:rPr>
          <w:rFonts w:ascii="宋体" w:hAnsi="宋体" w:eastAsia="宋体" w:cs="Times New Roman"/>
          <w:b/>
          <w:bCs/>
          <w:kern w:val="0"/>
          <w:szCs w:val="21"/>
          <w:lang w:eastAsia="zh-Hans"/>
        </w:rPr>
        <w:t>表一资格性审查表</w:t>
      </w:r>
      <w:r>
        <w:rPr>
          <w:rFonts w:hint="eastAsia" w:ascii="宋体" w:hAnsi="宋体" w:eastAsia="宋体" w:cs="宋体"/>
          <w:b/>
          <w:color w:val="auto"/>
          <w:kern w:val="0"/>
          <w:sz w:val="21"/>
          <w:szCs w:val="21"/>
          <w:lang w:eastAsia="zh-CN"/>
        </w:rPr>
        <w:t>（</w:t>
      </w:r>
      <w:r>
        <w:rPr>
          <w:rFonts w:hint="eastAsia" w:ascii="宋体" w:hAnsi="宋体" w:eastAsia="宋体" w:cs="宋体"/>
          <w:b/>
          <w:color w:val="auto"/>
          <w:kern w:val="0"/>
          <w:sz w:val="21"/>
          <w:szCs w:val="21"/>
          <w:lang w:val="en-US" w:eastAsia="zh-CN"/>
        </w:rPr>
        <w:t>适用于包组1、2、3</w:t>
      </w:r>
      <w:r>
        <w:rPr>
          <w:rFonts w:hint="eastAsia" w:ascii="宋体" w:hAnsi="宋体" w:eastAsia="宋体" w:cs="宋体"/>
          <w:b/>
          <w:color w:val="auto"/>
          <w:kern w:val="0"/>
          <w:sz w:val="21"/>
          <w:szCs w:val="21"/>
          <w:lang w:eastAsia="zh-CN"/>
        </w:rPr>
        <w:t>）</w:t>
      </w:r>
      <w:r>
        <w:rPr>
          <w:rFonts w:ascii="宋体" w:hAnsi="宋体" w:eastAsia="宋体" w:cs="Times New Roman"/>
          <w:b/>
          <w:bCs/>
          <w:kern w:val="0"/>
          <w:szCs w:val="21"/>
          <w:lang w:eastAsia="zh-Hans"/>
        </w:rPr>
        <w:t>：</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hint="eastAsia" w:ascii="宋体" w:hAnsi="宋体" w:eastAsia="宋体" w:cs="Times New Roman"/>
                <w:b/>
                <w:bCs/>
                <w:kern w:val="0"/>
                <w:szCs w:val="21"/>
                <w:lang w:eastAsia="zh-Hans"/>
              </w:rPr>
            </w:pPr>
            <w:bookmarkStart w:id="27"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hint="eastAsia"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4DE1DEA5">
            <w:pPr>
              <w:widowControl/>
              <w:rPr>
                <w:rFonts w:hint="eastAsia"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409A9692">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在投标文件中填报设备及专业技术能力情况或</w:t>
            </w:r>
            <w:r>
              <w:rPr>
                <w:rFonts w:ascii="宋体" w:hAnsi="宋体" w:eastAsia="宋体" w:cs="Times New Roman"/>
                <w:kern w:val="0"/>
                <w:szCs w:val="21"/>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w:t>
            </w:r>
            <w:r>
              <w:rPr>
                <w:rFonts w:ascii="宋体" w:hAnsi="宋体" w:eastAsia="宋体" w:cs="Times New Roman"/>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2000BE63">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提供资格条件承诺函（详见投标文件格式）。</w:t>
            </w:r>
          </w:p>
          <w:p w14:paraId="45A3F9AD">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22E2D3AF">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kern w:val="0"/>
                <w:szCs w:val="21"/>
                <w:lang w:eastAsia="zh-Hans"/>
              </w:rPr>
              <w:t>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kern w:val="0"/>
                <w:szCs w:val="21"/>
                <w:lang w:eastAsia="zh-Hans"/>
              </w:rPr>
              <w:t>不得再参与本项目投标。</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bookmarkEnd w:id="27"/>
    </w:tbl>
    <w:p w14:paraId="33A23CF5">
      <w:pPr>
        <w:pageBreakBefore/>
        <w:jc w:val="left"/>
        <w:rPr>
          <w:rFonts w:hint="eastAsia" w:ascii="宋体" w:hAnsi="宋体" w:eastAsia="宋体" w:cs="Times New Roman"/>
          <w:b/>
          <w:bCs/>
          <w:kern w:val="0"/>
          <w:szCs w:val="21"/>
          <w:lang w:eastAsia="zh-Hans"/>
        </w:rPr>
      </w:pPr>
      <w:bookmarkStart w:id="28" w:name="_Hlk169888893"/>
      <w:r>
        <w:rPr>
          <w:rFonts w:ascii="宋体" w:hAnsi="宋体" w:eastAsia="宋体" w:cs="Times New Roman"/>
          <w:b/>
          <w:bCs/>
          <w:kern w:val="0"/>
          <w:szCs w:val="21"/>
          <w:lang w:eastAsia="zh-Hans"/>
        </w:rPr>
        <w:t>表二符合性审查表</w:t>
      </w:r>
      <w:r>
        <w:rPr>
          <w:rFonts w:hint="eastAsia" w:ascii="宋体" w:hAnsi="宋体" w:eastAsia="宋体" w:cs="宋体"/>
          <w:b/>
          <w:color w:val="auto"/>
          <w:kern w:val="0"/>
          <w:sz w:val="21"/>
          <w:szCs w:val="21"/>
          <w:lang w:eastAsia="zh-CN"/>
        </w:rPr>
        <w:t>（</w:t>
      </w:r>
      <w:r>
        <w:rPr>
          <w:rFonts w:hint="eastAsia" w:ascii="宋体" w:hAnsi="宋体" w:eastAsia="宋体" w:cs="宋体"/>
          <w:b/>
          <w:color w:val="auto"/>
          <w:kern w:val="0"/>
          <w:sz w:val="21"/>
          <w:szCs w:val="21"/>
          <w:lang w:val="en-US" w:eastAsia="zh-CN"/>
        </w:rPr>
        <w:t>适用于包组1、2、3</w:t>
      </w:r>
      <w:r>
        <w:rPr>
          <w:rFonts w:hint="eastAsia" w:ascii="宋体" w:hAnsi="宋体" w:eastAsia="宋体" w:cs="宋体"/>
          <w:b/>
          <w:color w:val="auto"/>
          <w:kern w:val="0"/>
          <w:sz w:val="21"/>
          <w:szCs w:val="21"/>
          <w:lang w:eastAsia="zh-CN"/>
        </w:rPr>
        <w:t>）</w:t>
      </w:r>
      <w:r>
        <w:rPr>
          <w:rFonts w:ascii="宋体" w:hAnsi="宋体" w:eastAsia="宋体" w:cs="Times New Roman"/>
          <w:b/>
          <w:bCs/>
          <w:kern w:val="0"/>
          <w:szCs w:val="21"/>
          <w:lang w:eastAsia="zh-Hans"/>
        </w:rPr>
        <w:t>：</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8"/>
    </w:tbl>
    <w:p w14:paraId="0AEDB113">
      <w:pPr>
        <w:pStyle w:val="28"/>
        <w:numPr>
          <w:ilvl w:val="3"/>
          <w:numId w:val="101"/>
        </w:numPr>
        <w:spacing w:before="217" w:beforeLines="50"/>
        <w:ind w:left="284" w:hanging="284" w:firstLineChars="0"/>
        <w:jc w:val="left"/>
        <w:outlineLvl w:val="3"/>
        <w:rPr>
          <w:rFonts w:hint="eastAsia" w:ascii="宋体" w:hAnsi="宋体" w:eastAsia="宋体" w:cs="Times New Roman"/>
          <w:kern w:val="0"/>
          <w:szCs w:val="21"/>
          <w:lang w:eastAsia="zh-Hans"/>
        </w:rPr>
      </w:pPr>
      <w:bookmarkStart w:id="29" w:name="_Hlk169889470"/>
      <w:r>
        <w:rPr>
          <w:rFonts w:ascii="宋体" w:hAnsi="宋体" w:eastAsia="宋体" w:cs="Times New Roman"/>
          <w:b/>
          <w:kern w:val="0"/>
          <w:szCs w:val="21"/>
          <w:lang w:eastAsia="zh-Hans"/>
        </w:rPr>
        <w:t>详细评审</w:t>
      </w:r>
      <w:bookmarkEnd w:id="29"/>
      <w:r>
        <w:rPr>
          <w:rFonts w:hint="eastAsia" w:ascii="宋体" w:hAnsi="宋体" w:eastAsia="宋体" w:cs="宋体"/>
          <w:b/>
          <w:color w:val="auto"/>
          <w:kern w:val="0"/>
          <w:sz w:val="21"/>
          <w:szCs w:val="21"/>
          <w:lang w:eastAsia="zh-CN"/>
        </w:rPr>
        <w:t>（</w:t>
      </w:r>
      <w:r>
        <w:rPr>
          <w:rFonts w:hint="eastAsia" w:ascii="宋体" w:hAnsi="宋体" w:eastAsia="宋体" w:cs="宋体"/>
          <w:b/>
          <w:color w:val="auto"/>
          <w:kern w:val="0"/>
          <w:sz w:val="21"/>
          <w:szCs w:val="21"/>
          <w:lang w:val="en-US" w:eastAsia="zh-CN"/>
        </w:rPr>
        <w:t>适用于包组1、2、3</w:t>
      </w:r>
      <w:r>
        <w:rPr>
          <w:rFonts w:hint="eastAsia" w:ascii="宋体" w:hAnsi="宋体" w:eastAsia="宋体" w:cs="宋体"/>
          <w:b/>
          <w:color w:val="auto"/>
          <w:kern w:val="0"/>
          <w:sz w:val="21"/>
          <w:szCs w:val="21"/>
          <w:lang w:eastAsia="zh-CN"/>
        </w:rPr>
        <w:t>）</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31"/>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bookmarkStart w:id="30" w:name="_Hlk169889554"/>
            <w:r>
              <w:rPr>
                <w:rFonts w:hint="eastAsia" w:ascii="宋体" w:eastAsia="宋体"/>
                <w:b/>
                <w:color w:val="000000" w:themeColor="text1"/>
                <w:sz w:val="21"/>
                <w:szCs w:val="21"/>
                <w14:textFill>
                  <w14:solidFill>
                    <w14:schemeClr w14:val="tx1"/>
                  </w14:solidFill>
                </w14:textFill>
              </w:rPr>
              <w:t>序号</w:t>
            </w:r>
          </w:p>
        </w:tc>
        <w:tc>
          <w:tcPr>
            <w:tcW w:w="830" w:type="pct"/>
            <w:gridSpan w:val="2"/>
            <w:vAlign w:val="center"/>
          </w:tcPr>
          <w:p w14:paraId="6B159EA7">
            <w:pPr>
              <w:pStyle w:val="31"/>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377468C0">
            <w:pPr>
              <w:pStyle w:val="31"/>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07E35FCD">
            <w:pPr>
              <w:pStyle w:val="31"/>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31"/>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35</w:t>
            </w:r>
            <w:r>
              <w:rPr>
                <w:rFonts w:hint="eastAsia" w:ascii="宋体" w:eastAsia="宋体"/>
                <w:b/>
                <w:color w:val="000000" w:themeColor="text1"/>
                <w:sz w:val="21"/>
                <w:szCs w:val="21"/>
                <w14:textFill>
                  <w14:solidFill>
                    <w14:schemeClr w14:val="tx1"/>
                  </w14:solidFill>
                </w14:textFill>
              </w:rPr>
              <w:t>分）</w:t>
            </w:r>
          </w:p>
        </w:tc>
      </w:tr>
      <w:tr w14:paraId="74578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262B30D2">
            <w:pPr>
              <w:widowControl/>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w:t>
            </w:r>
          </w:p>
        </w:tc>
        <w:tc>
          <w:tcPr>
            <w:tcW w:w="821" w:type="pct"/>
            <w:vAlign w:val="center"/>
          </w:tcPr>
          <w:p w14:paraId="2578FDC9">
            <w:pPr>
              <w:widowControl/>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业绩情况</w:t>
            </w:r>
          </w:p>
        </w:tc>
        <w:tc>
          <w:tcPr>
            <w:tcW w:w="537" w:type="pct"/>
            <w:gridSpan w:val="2"/>
            <w:vAlign w:val="center"/>
          </w:tcPr>
          <w:p w14:paraId="40DA812C">
            <w:pPr>
              <w:widowControl/>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21分</w:t>
            </w:r>
          </w:p>
        </w:tc>
        <w:tc>
          <w:tcPr>
            <w:tcW w:w="3161" w:type="pct"/>
            <w:vAlign w:val="center"/>
          </w:tcPr>
          <w:p w14:paraId="40649404">
            <w:pPr>
              <w:widowControl/>
              <w:spacing w:line="400" w:lineRule="exact"/>
              <w:jc w:val="left"/>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根据投标人具有的社会工作服务类项目业绩进行评审，每提供一项得3分，本项最高得21分。</w:t>
            </w:r>
          </w:p>
          <w:p w14:paraId="18B9ECB9">
            <w:pPr>
              <w:widowControl/>
              <w:spacing w:line="400" w:lineRule="exact"/>
              <w:jc w:val="left"/>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
                <w:bCs w:val="0"/>
                <w:color w:val="000000" w:themeColor="text1"/>
                <w:szCs w:val="21"/>
                <w:u w:val="single"/>
                <w:lang w:val="en-US" w:eastAsia="zh-CN"/>
                <w14:textFill>
                  <w14:solidFill>
                    <w14:schemeClr w14:val="tx1"/>
                  </w14:solidFill>
                </w14:textFill>
              </w:rPr>
              <w:t>注</w:t>
            </w:r>
            <w:r>
              <w:rPr>
                <w:rFonts w:hint="eastAsia" w:ascii="宋体" w:hAnsi="宋体" w:eastAsia="宋体"/>
                <w:b/>
                <w:bCs w:val="0"/>
                <w:color w:val="000000" w:themeColor="text1"/>
                <w:szCs w:val="21"/>
                <w:u w:val="none"/>
                <w:lang w:val="en-US" w:eastAsia="zh-CN"/>
                <w14:textFill>
                  <w14:solidFill>
                    <w14:schemeClr w14:val="tx1"/>
                  </w14:solidFill>
                </w14:textFill>
              </w:rPr>
              <w:t>：</w:t>
            </w:r>
            <w:r>
              <w:rPr>
                <w:rFonts w:hint="eastAsia" w:ascii="宋体" w:hAnsi="宋体" w:eastAsia="宋体"/>
                <w:b/>
                <w:bCs w:val="0"/>
                <w:color w:val="000000" w:themeColor="text1"/>
                <w:szCs w:val="21"/>
                <w:u w:val="single"/>
                <w:lang w:val="en-US" w:eastAsia="zh-CN"/>
                <w14:textFill>
                  <w14:solidFill>
                    <w14:schemeClr w14:val="tx1"/>
                  </w14:solidFill>
                </w14:textFill>
              </w:rPr>
              <w:t>须提供合同复印件加盖投标人公章。</w:t>
            </w:r>
          </w:p>
        </w:tc>
      </w:tr>
      <w:tr w14:paraId="0DE93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24945174">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2</w:t>
            </w:r>
          </w:p>
        </w:tc>
        <w:tc>
          <w:tcPr>
            <w:tcW w:w="821" w:type="pct"/>
            <w:vAlign w:val="center"/>
          </w:tcPr>
          <w:p w14:paraId="763E938B">
            <w:pPr>
              <w:widowControl/>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拟投入服务人员情况</w:t>
            </w:r>
          </w:p>
        </w:tc>
        <w:tc>
          <w:tcPr>
            <w:tcW w:w="537" w:type="pct"/>
            <w:gridSpan w:val="2"/>
            <w:vAlign w:val="center"/>
          </w:tcPr>
          <w:p w14:paraId="55A11B3A">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9分</w:t>
            </w:r>
          </w:p>
        </w:tc>
        <w:tc>
          <w:tcPr>
            <w:tcW w:w="3161" w:type="pct"/>
            <w:vAlign w:val="center"/>
          </w:tcPr>
          <w:p w14:paraId="21B00A78">
            <w:pPr>
              <w:widowControl/>
              <w:spacing w:line="400" w:lineRule="exact"/>
              <w:jc w:val="left"/>
              <w:rPr>
                <w:rFonts w:hint="eastAsia" w:ascii="宋体" w:hAnsi="宋体" w:eastAsia="宋体"/>
                <w:b w:val="0"/>
                <w:bCs/>
                <w:color w:val="000000" w:themeColor="text1"/>
                <w:szCs w:val="21"/>
                <w:lang w:val="en-US" w:eastAsia="zh-CN"/>
                <w14:textFill>
                  <w14:solidFill>
                    <w14:schemeClr w14:val="tx1"/>
                  </w14:solidFill>
                </w14:textFill>
              </w:rPr>
            </w:pPr>
            <w:r>
              <w:rPr>
                <w:rFonts w:hint="eastAsia" w:ascii="宋体" w:hAnsi="宋体" w:eastAsia="宋体"/>
                <w:b w:val="0"/>
                <w:bCs/>
                <w:color w:val="000000" w:themeColor="text1"/>
                <w:szCs w:val="21"/>
                <w:lang w:val="en-US" w:eastAsia="zh-CN"/>
                <w14:textFill>
                  <w14:solidFill>
                    <w14:schemeClr w14:val="tx1"/>
                  </w14:solidFill>
                </w14:textFill>
              </w:rPr>
              <w:t>根据投标人拟投入本项目的服务人员具有行政主管部门颁发的社会工作师中级或以上证书的进行评审，每提供1人得3分，本项最高得9分；</w:t>
            </w:r>
          </w:p>
          <w:p w14:paraId="6CC538B6">
            <w:pPr>
              <w:widowControl/>
              <w:spacing w:line="400" w:lineRule="exact"/>
              <w:jc w:val="left"/>
              <w:rPr>
                <w:rFonts w:hint="eastAsia" w:ascii="宋体" w:hAnsi="宋体" w:eastAsia="宋体"/>
                <w:b/>
                <w:bCs w:val="0"/>
                <w:color w:val="000000" w:themeColor="text1"/>
                <w:szCs w:val="21"/>
                <w:lang w:val="en-US" w:eastAsia="zh-CN"/>
                <w14:textFill>
                  <w14:solidFill>
                    <w14:schemeClr w14:val="tx1"/>
                  </w14:solidFill>
                </w14:textFill>
              </w:rPr>
            </w:pPr>
            <w:r>
              <w:rPr>
                <w:rFonts w:hint="eastAsia" w:ascii="宋体" w:hAnsi="宋体" w:eastAsia="宋体"/>
                <w:b/>
                <w:bCs w:val="0"/>
                <w:color w:val="000000" w:themeColor="text1"/>
                <w:szCs w:val="21"/>
                <w:u w:val="none"/>
                <w:lang w:val="en-US" w:eastAsia="zh-CN"/>
                <w14:textFill>
                  <w14:solidFill>
                    <w14:schemeClr w14:val="tx1"/>
                  </w14:solidFill>
                </w14:textFill>
              </w:rPr>
              <w:t>注：</w:t>
            </w:r>
            <w:r>
              <w:rPr>
                <w:rFonts w:hint="eastAsia" w:ascii="宋体" w:hAnsi="宋体" w:eastAsia="宋体"/>
                <w:b/>
                <w:bCs w:val="0"/>
                <w:color w:val="000000" w:themeColor="text1"/>
                <w:szCs w:val="21"/>
                <w:u w:val="single"/>
                <w:lang w:val="en-US" w:eastAsia="zh-CN"/>
                <w14:textFill>
                  <w14:solidFill>
                    <w14:schemeClr w14:val="tx1"/>
                  </w14:solidFill>
                </w14:textFill>
              </w:rPr>
              <w:t>投标人须提供对应人员证书复印件及开标前三个月任意一个月（含开标当月）投标人为其购买的社会保险证明材料复印件并加盖投标人公章。</w:t>
            </w:r>
          </w:p>
        </w:tc>
      </w:tr>
      <w:tr w14:paraId="508FF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1D685C70">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w:t>
            </w:r>
          </w:p>
        </w:tc>
        <w:tc>
          <w:tcPr>
            <w:tcW w:w="821" w:type="pct"/>
            <w:vAlign w:val="center"/>
          </w:tcPr>
          <w:p w14:paraId="5EB38BF8">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投标人实力</w:t>
            </w:r>
          </w:p>
        </w:tc>
        <w:tc>
          <w:tcPr>
            <w:tcW w:w="537" w:type="pct"/>
            <w:gridSpan w:val="2"/>
            <w:vAlign w:val="center"/>
          </w:tcPr>
          <w:p w14:paraId="66ACFB11">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2分</w:t>
            </w:r>
          </w:p>
        </w:tc>
        <w:tc>
          <w:tcPr>
            <w:tcW w:w="3161" w:type="pct"/>
            <w:vAlign w:val="center"/>
          </w:tcPr>
          <w:p w14:paraId="24ED276F">
            <w:pPr>
              <w:widowControl/>
              <w:spacing w:line="400" w:lineRule="exact"/>
              <w:jc w:val="lef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 xml:space="preserve">投标人具有由国家认证认可监督管理部门批准设立的认证机构颁发并在有效期内的质量管理体系认证证书的，得2分。 </w:t>
            </w:r>
          </w:p>
          <w:p w14:paraId="7482CBC7">
            <w:pPr>
              <w:widowControl/>
              <w:spacing w:line="400" w:lineRule="exact"/>
              <w:jc w:val="left"/>
              <w:rPr>
                <w:rFonts w:hint="eastAsia" w:ascii="宋体" w:hAnsi="宋体" w:eastAsia="宋体"/>
                <w:b/>
                <w:bCs w:val="0"/>
                <w:color w:val="000000" w:themeColor="text1"/>
                <w:szCs w:val="21"/>
                <w:u w:val="none"/>
                <w:lang w:val="en-US" w:eastAsia="zh-CN"/>
                <w14:textFill>
                  <w14:solidFill>
                    <w14:schemeClr w14:val="tx1"/>
                  </w14:solidFill>
                </w14:textFill>
              </w:rPr>
            </w:pPr>
            <w:r>
              <w:rPr>
                <w:rFonts w:hint="eastAsia" w:ascii="宋体" w:hAnsi="宋体" w:eastAsia="宋体"/>
                <w:b/>
                <w:bCs w:val="0"/>
                <w:color w:val="000000" w:themeColor="text1"/>
                <w:szCs w:val="21"/>
                <w:u w:val="none"/>
                <w:lang w:val="en-US" w:eastAsia="zh-CN"/>
                <w14:textFill>
                  <w14:solidFill>
                    <w14:schemeClr w14:val="tx1"/>
                  </w14:solidFill>
                </w14:textFill>
              </w:rPr>
              <w:t>注：</w:t>
            </w:r>
            <w:r>
              <w:rPr>
                <w:rFonts w:hint="eastAsia" w:ascii="宋体" w:hAnsi="宋体" w:eastAsia="宋体"/>
                <w:b/>
                <w:bCs w:val="0"/>
                <w:color w:val="000000" w:themeColor="text1"/>
                <w:szCs w:val="21"/>
                <w:u w:val="single"/>
                <w:lang w:val="en-US" w:eastAsia="zh-CN"/>
                <w14:textFill>
                  <w14:solidFill>
                    <w14:schemeClr w14:val="tx1"/>
                  </w14:solidFill>
                </w14:textFill>
              </w:rPr>
              <w:t>须提供相关有效的证书复印件和中国国家认证认可监督管理委员会网站（https://www.cnca.gov.cn/）所查询的证书有效状态的截图并加盖投标人公章。没有提供不得分。</w:t>
            </w:r>
          </w:p>
        </w:tc>
      </w:tr>
      <w:tr w14:paraId="11E80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DA97CB3">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4</w:t>
            </w:r>
          </w:p>
        </w:tc>
        <w:tc>
          <w:tcPr>
            <w:tcW w:w="821" w:type="pct"/>
            <w:vAlign w:val="center"/>
          </w:tcPr>
          <w:p w14:paraId="50E8A53B">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应急响应服务时间</w:t>
            </w:r>
          </w:p>
        </w:tc>
        <w:tc>
          <w:tcPr>
            <w:tcW w:w="537" w:type="pct"/>
            <w:gridSpan w:val="2"/>
            <w:vAlign w:val="center"/>
          </w:tcPr>
          <w:p w14:paraId="4653AB7B">
            <w:pPr>
              <w:widowControl/>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3分</w:t>
            </w:r>
          </w:p>
        </w:tc>
        <w:tc>
          <w:tcPr>
            <w:tcW w:w="3161" w:type="pct"/>
            <w:vAlign w:val="center"/>
          </w:tcPr>
          <w:p w14:paraId="03A4160E">
            <w:pPr>
              <w:widowControl/>
              <w:spacing w:line="400" w:lineRule="exact"/>
              <w:jc w:val="lef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根据拟投入本项目的负责人对采购人应急响应服务时间要求进行评审：</w:t>
            </w:r>
          </w:p>
          <w:p w14:paraId="331841D2">
            <w:pPr>
              <w:widowControl/>
              <w:spacing w:line="400" w:lineRule="exact"/>
              <w:jc w:val="lef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1、投标人承诺接到采购人通知后能于2小时（含）内派遣项目负责人到达采购人指定地点的，得3分；</w:t>
            </w:r>
          </w:p>
          <w:p w14:paraId="179D26E7">
            <w:pPr>
              <w:widowControl/>
              <w:spacing w:line="400" w:lineRule="exact"/>
              <w:jc w:val="lef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2、投标人承诺接到采购人通知后能于2小时（不含）-3小时（含）内派遣项目负责人到达采购人指定地点的，得2分；</w:t>
            </w:r>
          </w:p>
          <w:p w14:paraId="4CC608C1">
            <w:pPr>
              <w:widowControl/>
              <w:spacing w:line="400" w:lineRule="exact"/>
              <w:jc w:val="lef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 xml:space="preserve">3、投标人承诺接到采购人通知后能于后3小时（不含）-4小时（含）内派遣项目负责人到达采购人指定地点的，得1分。 </w:t>
            </w:r>
          </w:p>
          <w:p w14:paraId="67618631">
            <w:pPr>
              <w:widowControl/>
              <w:spacing w:line="400" w:lineRule="exact"/>
              <w:jc w:val="lef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4、投标人没有提供承诺函或其他情况的，不得分。</w:t>
            </w:r>
          </w:p>
          <w:p w14:paraId="4B2462A1">
            <w:pPr>
              <w:widowControl/>
              <w:spacing w:line="400" w:lineRule="exact"/>
              <w:jc w:val="left"/>
              <w:rPr>
                <w:rFonts w:hint="eastAsia" w:ascii="宋体" w:hAnsi="宋体" w:eastAsia="宋体"/>
                <w:b/>
                <w:bCs w:val="0"/>
                <w:color w:val="000000" w:themeColor="text1"/>
                <w:szCs w:val="21"/>
                <w:u w:val="none"/>
                <w:lang w:val="en-US" w:eastAsia="zh-CN"/>
                <w14:textFill>
                  <w14:solidFill>
                    <w14:schemeClr w14:val="tx1"/>
                  </w14:solidFill>
                </w14:textFill>
              </w:rPr>
            </w:pPr>
            <w:r>
              <w:rPr>
                <w:rFonts w:hint="eastAsia" w:ascii="宋体" w:hAnsi="宋体" w:eastAsia="宋体"/>
                <w:b/>
                <w:bCs w:val="0"/>
                <w:color w:val="000000" w:themeColor="text1"/>
                <w:szCs w:val="21"/>
                <w:u w:val="none"/>
                <w:lang w:val="en-US" w:eastAsia="zh-CN"/>
                <w14:textFill>
                  <w14:solidFill>
                    <w14:schemeClr w14:val="tx1"/>
                  </w14:solidFill>
                </w14:textFill>
              </w:rPr>
              <w:t>注：</w:t>
            </w:r>
            <w:r>
              <w:rPr>
                <w:rFonts w:hint="eastAsia" w:ascii="宋体" w:hAnsi="宋体" w:eastAsia="宋体"/>
                <w:b/>
                <w:bCs w:val="0"/>
                <w:color w:val="000000" w:themeColor="text1"/>
                <w:szCs w:val="21"/>
                <w:u w:val="single"/>
                <w:lang w:val="en-US" w:eastAsia="zh-CN"/>
                <w14:textFill>
                  <w14:solidFill>
                    <w14:schemeClr w14:val="tx1"/>
                  </w14:solidFill>
                </w14:textFill>
              </w:rPr>
              <w:t>须提供承诺函（格式自拟）加盖投标人公章，无提供的不得分。</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31"/>
              <w:spacing w:line="400" w:lineRule="exact"/>
              <w:ind w:firstLine="0" w:firstLineChars="0"/>
              <w:jc w:val="center"/>
              <w:rPr>
                <w:rFonts w:hint="eastAsia"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821" w:type="pct"/>
            <w:vAlign w:val="center"/>
          </w:tcPr>
          <w:p w14:paraId="3D6118E7">
            <w:pPr>
              <w:pStyle w:val="22"/>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rPr>
              <w:t>总体服务方案</w:t>
            </w:r>
          </w:p>
        </w:tc>
        <w:tc>
          <w:tcPr>
            <w:tcW w:w="537" w:type="pct"/>
            <w:gridSpan w:val="2"/>
            <w:vAlign w:val="center"/>
          </w:tcPr>
          <w:p w14:paraId="51051921">
            <w:pPr>
              <w:widowControl/>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w:t>
            </w:r>
            <w:r>
              <w:rPr>
                <w:rFonts w:hint="eastAsia" w:ascii="宋体" w:hAnsi="宋体" w:eastAsia="宋体" w:cs="宋体"/>
                <w:color w:val="000000" w:themeColor="text1"/>
                <w:sz w:val="21"/>
                <w:szCs w:val="21"/>
                <w14:textFill>
                  <w14:solidFill>
                    <w14:schemeClr w14:val="tx1"/>
                  </w14:solidFill>
                </w14:textFill>
              </w:rPr>
              <w:t>分</w:t>
            </w:r>
          </w:p>
        </w:tc>
        <w:tc>
          <w:tcPr>
            <w:tcW w:w="3161" w:type="pct"/>
            <w:vAlign w:val="top"/>
          </w:tcPr>
          <w:p w14:paraId="7DC2DA73">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根据投标人针对本项目提供的总体服务方案（包括但不限于：社工需求调研，社工服务计划、社工服务工作流程与制度等）进行评审：</w:t>
            </w:r>
          </w:p>
          <w:p w14:paraId="5B085E09">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1、方案详细全面，社工服务计划科学且可行性强，社工服务工作流程与制度完整、全面，与项目服务内容相适应，能完全结合项目实际情况且完全满足采购需求要求的，得15分；</w:t>
            </w:r>
          </w:p>
          <w:p w14:paraId="4AB42FBE">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2、方案全面，社工服务计划可行性较强，社工服务工作流程与制度完整，能部分结合项目实际情况且满足采购需求要求的，得10分；</w:t>
            </w:r>
          </w:p>
          <w:p w14:paraId="2B3362EE">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3、方案较为全面，社工服务计划具有可行性，社工服务工作流程与制度基本完整，未结合项目实际情况但基本满足采购需求要求的，得5分；</w:t>
            </w:r>
          </w:p>
          <w:p w14:paraId="77875710">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4、方案不全面，社工服务计划不可行，社工服务工作流程与制度一般，难以满足采购需求要求的，得1分；</w:t>
            </w:r>
          </w:p>
          <w:p w14:paraId="4BA1DE34">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5、未提供相关方案或其它情形的，得0分。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79" w:type="pct"/>
            <w:vAlign w:val="center"/>
          </w:tcPr>
          <w:p w14:paraId="09761D28">
            <w:pPr>
              <w:spacing w:line="4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p>
        </w:tc>
        <w:tc>
          <w:tcPr>
            <w:tcW w:w="821" w:type="pct"/>
            <w:vAlign w:val="center"/>
          </w:tcPr>
          <w:p w14:paraId="134948A6">
            <w:pPr>
              <w:pStyle w:val="22"/>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sz w:val="21"/>
                <w:szCs w:val="21"/>
              </w:rPr>
              <w:t>服务质量保障方案</w:t>
            </w:r>
          </w:p>
        </w:tc>
        <w:tc>
          <w:tcPr>
            <w:tcW w:w="537" w:type="pct"/>
            <w:gridSpan w:val="2"/>
            <w:vAlign w:val="center"/>
          </w:tcPr>
          <w:p w14:paraId="7D74B5DC">
            <w:pPr>
              <w:widowControl/>
              <w:spacing w:line="400" w:lineRule="exact"/>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r>
              <w:rPr>
                <w:rFonts w:hint="eastAsia" w:ascii="宋体" w:hAnsi="宋体" w:eastAsia="宋体" w:cs="宋体"/>
                <w:color w:val="000000" w:themeColor="text1"/>
                <w:sz w:val="21"/>
                <w:szCs w:val="21"/>
                <w14:textFill>
                  <w14:solidFill>
                    <w14:schemeClr w14:val="tx1"/>
                  </w14:solidFill>
                </w14:textFill>
              </w:rPr>
              <w:t>分</w:t>
            </w:r>
          </w:p>
        </w:tc>
        <w:tc>
          <w:tcPr>
            <w:tcW w:w="3161" w:type="pct"/>
            <w:vAlign w:val="top"/>
          </w:tcPr>
          <w:p w14:paraId="6DEA4EE9">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根据投标人为本项目提供的服务质量保障方案（包括但不限于：项目管理方案、服务质量及成果自检方案，项目管理制度等）进行评审：</w:t>
            </w:r>
          </w:p>
          <w:p w14:paraId="28E42750">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1、投标人提供了全面科学的项目管理方案，项目管理制度非常完善，对服务各环节质量有严格的自检和把控措施，能完全结合项目实际情况且完全满足采购需求要求的，得10分；</w:t>
            </w:r>
          </w:p>
          <w:p w14:paraId="1BD1242D">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2、投标人提供了全面的项目管理方案，项目管理制度较为完善，对服务各环节质量有较为严格的自检和把控措施，能部分结合项目实际情况且满足采购需求要求的，得7分；</w:t>
            </w:r>
          </w:p>
          <w:p w14:paraId="7E178926">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3、投标人提供了较为全面的项目管理方案，项目管理制度完善，对服务各环节质量有相应的自检和把控措施，未结合项目实际情况但基本能满足采购需求要求的，得4分；</w:t>
            </w:r>
          </w:p>
          <w:p w14:paraId="0BFFA11F">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4、投标人提供了粗略的项目管理方案和项目管理制度，对服务各环节质量没有相应的自检和把控措施，难以满足采购需求要求的，得1分；</w:t>
            </w:r>
          </w:p>
          <w:p w14:paraId="0171A38D">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5、未提供相关方案或其他情形的，得0分。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821" w:type="pct"/>
            <w:vAlign w:val="center"/>
          </w:tcPr>
          <w:p w14:paraId="03D31443">
            <w:pPr>
              <w:pStyle w:val="22"/>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培训方案</w:t>
            </w:r>
          </w:p>
        </w:tc>
        <w:tc>
          <w:tcPr>
            <w:tcW w:w="537" w:type="pct"/>
            <w:gridSpan w:val="2"/>
            <w:vAlign w:val="center"/>
          </w:tcPr>
          <w:p w14:paraId="53BD03D6">
            <w:pPr>
              <w:widowControl/>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r>
              <w:rPr>
                <w:rFonts w:hint="eastAsia" w:ascii="宋体" w:hAnsi="宋体" w:eastAsia="宋体" w:cs="宋体"/>
                <w:color w:val="000000" w:themeColor="text1"/>
                <w:sz w:val="21"/>
                <w:szCs w:val="21"/>
                <w14:textFill>
                  <w14:solidFill>
                    <w14:schemeClr w14:val="tx1"/>
                  </w14:solidFill>
                </w14:textFill>
              </w:rPr>
              <w:t>分</w:t>
            </w:r>
          </w:p>
        </w:tc>
        <w:tc>
          <w:tcPr>
            <w:tcW w:w="3161" w:type="pct"/>
            <w:vAlign w:val="top"/>
          </w:tcPr>
          <w:p w14:paraId="285676BA">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根据投标人针对本项目提供的培训方案（包括但不限于培训计划、培训内容、考核及奖惩机制等）进行评审：</w:t>
            </w:r>
          </w:p>
          <w:p w14:paraId="56501BD6">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1、投标人培训方案具有针对性，各服务人员培训内容完善详细，针对本项目服务人员服务情况制定了科学的考核方案和奖惩机制，能完全结合项目实际情况且完全满足采购需求要求的，得10分；</w:t>
            </w:r>
          </w:p>
          <w:p w14:paraId="7E85AB95">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2、投标人培训方案具有一定针对性，各服务人员培训内容完整，对本项目服务人员服务情况制定的考核方案和奖惩机制合理，能部分结合项目实际情况且满足采购需求要求的，得7分；</w:t>
            </w:r>
          </w:p>
          <w:p w14:paraId="6DF6ADF2">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3、投标人培训方案完整，各服务人员培训内容较为全面，对本项目服务人员服务情况制定了考核方案和奖惩机制，未结合项目实际情况但基本能满足采购需求要求的，得4分；</w:t>
            </w:r>
          </w:p>
          <w:p w14:paraId="29B7CF04">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4、投标人培训方案不完整，各服务人员培训内容一般，未制定考核方案和奖惩机制，难以满足采购需求要求的，得1分；</w:t>
            </w:r>
          </w:p>
          <w:p w14:paraId="15491D1C">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5、未提供相关方案或其他情形的，得0分。</w:t>
            </w:r>
          </w:p>
        </w:tc>
      </w:tr>
      <w:tr w14:paraId="05755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0E66170">
            <w:pPr>
              <w:spacing w:line="4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821" w:type="pct"/>
            <w:vAlign w:val="center"/>
          </w:tcPr>
          <w:p w14:paraId="5B2A0B50">
            <w:pPr>
              <w:pStyle w:val="22"/>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sz w:val="21"/>
                <w:szCs w:val="21"/>
              </w:rPr>
              <w:t>服务跟踪与监控评估等流程方案</w:t>
            </w:r>
          </w:p>
        </w:tc>
        <w:tc>
          <w:tcPr>
            <w:tcW w:w="537" w:type="pct"/>
            <w:gridSpan w:val="2"/>
            <w:vAlign w:val="center"/>
          </w:tcPr>
          <w:p w14:paraId="735423F2">
            <w:pPr>
              <w:widowControl/>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r>
              <w:rPr>
                <w:rFonts w:hint="eastAsia" w:ascii="宋体" w:hAnsi="宋体" w:eastAsia="宋体" w:cs="宋体"/>
                <w:color w:val="000000" w:themeColor="text1"/>
                <w:sz w:val="21"/>
                <w:szCs w:val="21"/>
                <w14:textFill>
                  <w14:solidFill>
                    <w14:schemeClr w14:val="tx1"/>
                  </w14:solidFill>
                </w14:textFill>
              </w:rPr>
              <w:t>分</w:t>
            </w:r>
          </w:p>
        </w:tc>
        <w:tc>
          <w:tcPr>
            <w:tcW w:w="3161" w:type="pct"/>
            <w:vAlign w:val="top"/>
          </w:tcPr>
          <w:p w14:paraId="598B57AD">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根据投标人提供的跟踪服务、监控评估等流程方案的操作性进行评审进行评审：</w:t>
            </w:r>
          </w:p>
          <w:p w14:paraId="52B54025">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1、项目跟踪服务流程清晰合理，监控评估方案完善，可操作性非常强，非常有利于本项目的顺利实施的，得10分；</w:t>
            </w:r>
          </w:p>
          <w:p w14:paraId="262E19A9">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2、项目跟踪服务流程完整，监控评估方案基本完善，可操作性较强的，能保证本项目的顺利验收要求实施的，得7分；</w:t>
            </w:r>
          </w:p>
          <w:p w14:paraId="58F9DBED">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3、项目跟踪服务流程完整，监控评估方案基本完善，可操作性一般，基本能完成本项目的实施，得4分；</w:t>
            </w:r>
          </w:p>
          <w:p w14:paraId="315776CD">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4、项目跟踪服务流程含糊不合理，监控评估方案不完善，可操作性差，对项目实施无帮助的，得1分；</w:t>
            </w:r>
          </w:p>
          <w:p w14:paraId="6D58B366">
            <w:pPr>
              <w:spacing w:line="400" w:lineRule="exact"/>
              <w:rPr>
                <w:rFonts w:hint="eastAsia" w:ascii="宋体" w:hAnsi="宋体" w:eastAsia="宋体" w:cs="宋体"/>
                <w:b w:val="0"/>
                <w:bCs w:val="0"/>
                <w:color w:val="000000" w:themeColor="text1"/>
                <w:sz w:val="21"/>
                <w:szCs w:val="21"/>
                <w:u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u w:val="none"/>
                <w:lang w:val="en-US" w:eastAsia="zh-CN"/>
                <w14:textFill>
                  <w14:solidFill>
                    <w14:schemeClr w14:val="tx1"/>
                  </w14:solidFill>
                </w14:textFill>
              </w:rPr>
              <w:t>5、未提供相关方案或其他情形的，得0分。</w:t>
            </w:r>
          </w:p>
        </w:tc>
      </w:tr>
      <w:tr w14:paraId="1B47D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823B878">
            <w:pPr>
              <w:spacing w:line="4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821" w:type="pct"/>
            <w:vAlign w:val="center"/>
          </w:tcPr>
          <w:p w14:paraId="7B5E0A74">
            <w:pPr>
              <w:spacing w:line="4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应急预案</w:t>
            </w:r>
          </w:p>
        </w:tc>
        <w:tc>
          <w:tcPr>
            <w:tcW w:w="537" w:type="pct"/>
            <w:gridSpan w:val="2"/>
            <w:vAlign w:val="center"/>
          </w:tcPr>
          <w:p w14:paraId="1B24A224">
            <w:pPr>
              <w:spacing w:line="4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10分</w:t>
            </w:r>
          </w:p>
        </w:tc>
        <w:tc>
          <w:tcPr>
            <w:tcW w:w="3161" w:type="pct"/>
            <w:vAlign w:val="center"/>
          </w:tcPr>
          <w:p w14:paraId="619E1F21">
            <w:pPr>
              <w:spacing w:line="400" w:lineRule="exact"/>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根据投标人针对本项目提供的应急预案（包括但不限于各类紧急情况的预判、突发事件、应急响应与善后措施等）进行综合评审：</w:t>
            </w:r>
          </w:p>
          <w:p w14:paraId="6627F4C6">
            <w:pPr>
              <w:spacing w:line="400" w:lineRule="exact"/>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1、投标人对本项目履约中可能出现的紧急情况预见全面，有科学合理的临时应对措施和成熟的善后方案，能很好地控制影响，能完全结合项目实际情况且完全满足采购需求要求的，得10分；</w:t>
            </w:r>
          </w:p>
          <w:p w14:paraId="4E9DA0C9">
            <w:pPr>
              <w:spacing w:line="400" w:lineRule="exact"/>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2、投标人对本项目履约中可能出现的紧急情况预见较全面，有科学的临时应对措施和较成熟的善后方案，能较好地消除负面影响，能部分结合项目实际情况且满足采购需求要求的，得7分；</w:t>
            </w:r>
          </w:p>
          <w:p w14:paraId="78DEDD91">
            <w:pPr>
              <w:spacing w:line="400" w:lineRule="exact"/>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3、投标人对本项目履约中可能出现的紧急情况预见一般，有对应的临时应对措施，能减少部分负面影响的，未结合项目实际情况但基本能满足采购需求要求的，得4分；</w:t>
            </w:r>
          </w:p>
          <w:p w14:paraId="494E6ACC">
            <w:pPr>
              <w:spacing w:line="400" w:lineRule="exact"/>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4、投标人对本项目履约中可能出现的紧急情况预见不足，应对措施不完善，难以满足采购需求要求的，得1分；</w:t>
            </w:r>
          </w:p>
          <w:p w14:paraId="7CE40A6D">
            <w:pPr>
              <w:spacing w:line="400" w:lineRule="exact"/>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5、未提供相关方案或其他情形的，得0分。</w:t>
            </w:r>
          </w:p>
        </w:tc>
      </w:tr>
      <w:bookmarkEnd w:id="30"/>
    </w:tbl>
    <w:p w14:paraId="151CEF5D">
      <w:pPr>
        <w:pStyle w:val="28"/>
        <w:numPr>
          <w:ilvl w:val="3"/>
          <w:numId w:val="101"/>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8"/>
        <w:widowControl/>
        <w:numPr>
          <w:ilvl w:val="0"/>
          <w:numId w:val="103"/>
        </w:numPr>
        <w:ind w:left="426" w:hanging="426" w:firstLineChars="0"/>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评标委员会将根据各投标人的评标排序，依次推荐本项目（各采购包）的中标候选人，起草并签署评标报告。一个投标人可同时对</w:t>
      </w:r>
      <w:r>
        <w:rPr>
          <w:rFonts w:hint="eastAsia" w:ascii="宋体" w:hAnsi="宋体" w:eastAsia="宋体" w:cs="Times New Roman"/>
          <w:kern w:val="0"/>
          <w:szCs w:val="21"/>
          <w:lang w:val="en-US" w:eastAsia="zh-Hans"/>
        </w:rPr>
        <w:t>三</w:t>
      </w:r>
      <w:r>
        <w:rPr>
          <w:rFonts w:hint="eastAsia" w:ascii="宋体" w:hAnsi="宋体" w:eastAsia="宋体" w:cs="Times New Roman"/>
          <w:kern w:val="0"/>
          <w:szCs w:val="21"/>
          <w:lang w:eastAsia="zh-Hans"/>
        </w:rPr>
        <w:t>个包组投标，按包号分别提交投标文件，评审顺序按照</w:t>
      </w:r>
      <w:r>
        <w:rPr>
          <w:rFonts w:hint="eastAsia" w:ascii="宋体" w:hAnsi="宋体" w:eastAsia="宋体" w:cs="Times New Roman"/>
          <w:kern w:val="0"/>
          <w:szCs w:val="21"/>
          <w:lang w:val="en-US" w:eastAsia="zh-CN"/>
        </w:rPr>
        <w:t>包组1</w:t>
      </w:r>
      <w:r>
        <w:rPr>
          <w:rFonts w:hint="eastAsia" w:ascii="宋体" w:hAnsi="宋体" w:eastAsia="宋体" w:cs="Times New Roman"/>
          <w:kern w:val="0"/>
          <w:szCs w:val="21"/>
          <w:lang w:eastAsia="zh-Hans"/>
        </w:rPr>
        <w:t>、</w:t>
      </w:r>
      <w:r>
        <w:rPr>
          <w:rFonts w:hint="eastAsia" w:ascii="宋体" w:hAnsi="宋体" w:eastAsia="宋体" w:cs="Times New Roman"/>
          <w:kern w:val="0"/>
          <w:szCs w:val="21"/>
          <w:lang w:val="en-US" w:eastAsia="zh-CN"/>
        </w:rPr>
        <w:t>2</w:t>
      </w:r>
      <w:r>
        <w:rPr>
          <w:rFonts w:hint="eastAsia" w:ascii="宋体" w:hAnsi="宋体" w:eastAsia="宋体" w:cs="Times New Roman"/>
          <w:kern w:val="0"/>
          <w:szCs w:val="21"/>
          <w:lang w:eastAsia="zh-Hans"/>
        </w:rPr>
        <w:t>、</w:t>
      </w:r>
      <w:r>
        <w:rPr>
          <w:rFonts w:hint="eastAsia" w:ascii="宋体" w:hAnsi="宋体" w:eastAsia="宋体" w:cs="Times New Roman"/>
          <w:kern w:val="0"/>
          <w:szCs w:val="21"/>
          <w:lang w:val="en-US" w:eastAsia="zh-CN"/>
        </w:rPr>
        <w:t>3</w:t>
      </w:r>
      <w:r>
        <w:rPr>
          <w:rFonts w:hint="eastAsia" w:ascii="宋体" w:hAnsi="宋体" w:eastAsia="宋体" w:cs="Times New Roman"/>
          <w:kern w:val="0"/>
          <w:szCs w:val="21"/>
          <w:lang w:eastAsia="zh-Hans"/>
        </w:rPr>
        <w:t>的顺序进行评审，本项目允许兼投兼中。各采购包评标委员会共（各）推荐</w:t>
      </w:r>
      <w:r>
        <w:rPr>
          <w:rFonts w:hint="eastAsia" w:ascii="宋体" w:hAnsi="宋体" w:eastAsia="宋体" w:cs="Times New Roman"/>
          <w:kern w:val="0"/>
          <w:szCs w:val="21"/>
          <w:lang w:val="en-US" w:eastAsia="zh-CN"/>
        </w:rPr>
        <w:t>3</w:t>
      </w:r>
      <w:r>
        <w:rPr>
          <w:rFonts w:hint="eastAsia" w:ascii="宋体" w:hAnsi="宋体" w:eastAsia="宋体" w:cs="Times New Roman"/>
          <w:kern w:val="0"/>
          <w:szCs w:val="21"/>
          <w:lang w:eastAsia="zh-Hans"/>
        </w:rPr>
        <w:t>名中标候选人。</w:t>
      </w:r>
    </w:p>
    <w:p w14:paraId="29C1B2C5">
      <w:pPr>
        <w:pStyle w:val="28"/>
        <w:numPr>
          <w:ilvl w:val="3"/>
          <w:numId w:val="10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kern w:val="0"/>
          <w:szCs w:val="21"/>
          <w:lang w:eastAsia="zh-Hans"/>
        </w:rPr>
        <w:t>中标价的确定</w:t>
      </w:r>
    </w:p>
    <w:p w14:paraId="06F4085C">
      <w:pPr>
        <w:widowControl/>
        <w:ind w:firstLine="420" w:firstLineChars="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8"/>
        <w:numPr>
          <w:ilvl w:val="3"/>
          <w:numId w:val="10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7B1FED0F">
      <w:pPr>
        <w:pStyle w:val="28"/>
        <w:widowControl/>
        <w:numPr>
          <w:ilvl w:val="0"/>
          <w:numId w:val="104"/>
        </w:numPr>
        <w:ind w:firstLineChars="0"/>
        <w:jc w:val="left"/>
        <w:rPr>
          <w:rFonts w:hint="eastAsia" w:ascii="宋体" w:hAnsi="宋体" w:eastAsia="宋体" w:cs="Times New Roman"/>
          <w:kern w:val="0"/>
          <w:szCs w:val="21"/>
          <w:lang w:eastAsia="zh-Hans"/>
        </w:rPr>
      </w:pPr>
      <w:r>
        <w:rPr>
          <w:rFonts w:ascii="宋体" w:hAnsi="宋体" w:eastAsia="宋体" w:cs="Times New Roman"/>
          <w:color w:val="auto"/>
          <w:kern w:val="0"/>
          <w:szCs w:val="21"/>
          <w:lang w:eastAsia="zh-Hans"/>
        </w:rPr>
        <w:t>评标期间，投标人没有按评标委员会</w:t>
      </w:r>
      <w:r>
        <w:rPr>
          <w:rFonts w:ascii="宋体" w:hAnsi="宋体" w:eastAsia="宋体" w:cs="Times New Roman"/>
          <w:kern w:val="0"/>
          <w:szCs w:val="21"/>
          <w:lang w:eastAsia="zh-Hans"/>
        </w:rPr>
        <w:t>的要求提交法定代表人或其委托代理人签字的澄清、说明、补正或改变了投标文件的实质性内容的。</w:t>
      </w:r>
    </w:p>
    <w:p w14:paraId="12D647CC">
      <w:pPr>
        <w:pStyle w:val="28"/>
        <w:widowControl/>
        <w:numPr>
          <w:ilvl w:val="0"/>
          <w:numId w:val="10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8"/>
        <w:widowControl/>
        <w:numPr>
          <w:ilvl w:val="0"/>
          <w:numId w:val="10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8"/>
        <w:widowControl/>
        <w:numPr>
          <w:ilvl w:val="0"/>
          <w:numId w:val="104"/>
        </w:numPr>
        <w:ind w:firstLineChars="0"/>
        <w:jc w:val="left"/>
        <w:rPr>
          <w:rFonts w:hint="eastAsia"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8"/>
        <w:widowControl/>
        <w:numPr>
          <w:ilvl w:val="0"/>
          <w:numId w:val="10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8"/>
        <w:widowControl/>
        <w:numPr>
          <w:ilvl w:val="0"/>
          <w:numId w:val="10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4AC98C66">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13B3D5BA">
      <w:pPr>
        <w:pStyle w:val="22"/>
        <w:rPr>
          <w:lang w:eastAsia="zh-CN"/>
        </w:rPr>
      </w:pPr>
    </w:p>
    <w:p w14:paraId="4058F9B5">
      <w:pPr>
        <w:pStyle w:val="22"/>
        <w:rPr>
          <w:lang w:eastAsia="zh-CN"/>
        </w:rPr>
      </w:pPr>
    </w:p>
    <w:p w14:paraId="621388A0">
      <w:pPr>
        <w:pStyle w:val="22"/>
        <w:rPr>
          <w:lang w:eastAsia="zh-CN"/>
        </w:rPr>
      </w:pPr>
    </w:p>
    <w:p w14:paraId="2096565D">
      <w:pPr>
        <w:pageBreakBefore/>
        <w:widowControl/>
        <w:jc w:val="center"/>
        <w:outlineLvl w:val="1"/>
        <w:rPr>
          <w:rFonts w:hint="eastAsia" w:ascii="宋体" w:hAnsi="宋体" w:eastAsia="宋体"/>
          <w:sz w:val="36"/>
          <w:szCs w:val="36"/>
        </w:rPr>
      </w:pPr>
      <w:bookmarkStart w:id="31" w:name="_Toc169807544"/>
      <w:bookmarkStart w:id="32" w:name="_Toc169799783"/>
      <w:r>
        <w:rPr>
          <w:rFonts w:ascii="宋体" w:hAnsi="宋体" w:eastAsia="宋体" w:cs="Times New Roman"/>
          <w:b/>
          <w:kern w:val="0"/>
          <w:sz w:val="36"/>
          <w:szCs w:val="36"/>
          <w:lang w:eastAsia="zh-Hans"/>
        </w:rPr>
        <w:t>第五章 合同文本</w:t>
      </w:r>
      <w:bookmarkEnd w:id="31"/>
      <w:bookmarkEnd w:id="32"/>
    </w:p>
    <w:p w14:paraId="17FBBB9F">
      <w:pPr>
        <w:keepNext w:val="0"/>
        <w:keepLines w:val="0"/>
        <w:pageBreakBefore w:val="0"/>
        <w:widowControl w:val="0"/>
        <w:kinsoku/>
        <w:wordWrap/>
        <w:overflowPunct/>
        <w:topLinePunct w:val="0"/>
        <w:autoSpaceDE/>
        <w:autoSpaceDN/>
        <w:bidi w:val="0"/>
        <w:adjustRightInd/>
        <w:snapToGrid/>
        <w:spacing w:before="437" w:beforeLines="100" w:after="437" w:afterLines="100"/>
        <w:jc w:val="center"/>
        <w:textAlignment w:val="auto"/>
        <w:rPr>
          <w:rFonts w:hint="default" w:ascii="宋体" w:hAnsi="宋体" w:eastAsia="宋体"/>
          <w:b/>
          <w:bCs/>
          <w:color w:val="000000" w:themeColor="text1"/>
          <w:sz w:val="32"/>
          <w:szCs w:val="32"/>
          <w:lang w:val="en-US" w:eastAsia="zh-CN"/>
          <w14:textFill>
            <w14:solidFill>
              <w14:schemeClr w14:val="tx1"/>
            </w14:solidFill>
          </w14:textFill>
        </w:rPr>
      </w:pPr>
      <w:r>
        <w:rPr>
          <w:rFonts w:hint="eastAsia" w:ascii="宋体" w:hAnsi="宋体" w:eastAsia="宋体"/>
          <w:b/>
          <w:bCs/>
          <w:color w:val="000000" w:themeColor="text1"/>
          <w:sz w:val="32"/>
          <w:szCs w:val="32"/>
          <w:lang w:val="en-US" w:eastAsia="zh-CN"/>
          <w14:textFill>
            <w14:solidFill>
              <w14:schemeClr w14:val="tx1"/>
            </w14:solidFill>
          </w14:textFill>
        </w:rPr>
        <w:t>合同模板（包组1）</w:t>
      </w:r>
    </w:p>
    <w:p w14:paraId="7854F0AE">
      <w:pPr>
        <w:keepLines/>
        <w:spacing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甲方（采购人）：</w:t>
      </w:r>
      <w:r>
        <w:rPr>
          <w:rFonts w:hint="eastAsia" w:ascii="宋体" w:hAnsi="宋体" w:eastAsia="宋体"/>
          <w:color w:val="000000" w:themeColor="text1"/>
          <w:szCs w:val="21"/>
          <w:u w:val="single"/>
          <w14:textFill>
            <w14:solidFill>
              <w14:schemeClr w14:val="tx1"/>
            </w14:solidFill>
          </w14:textFill>
        </w:rPr>
        <w:t xml:space="preserve">                          </w:t>
      </w:r>
    </w:p>
    <w:p w14:paraId="6DA243B6">
      <w:pPr>
        <w:spacing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p>
    <w:p w14:paraId="050C8ABE">
      <w:pPr>
        <w:ind w:firstLine="420" w:firstLineChars="200"/>
        <w:rPr>
          <w:rFonts w:hint="eastAsia" w:ascii="宋体" w:hAnsi="宋体" w:eastAsia="宋体"/>
          <w:color w:val="auto"/>
          <w:szCs w:val="21"/>
        </w:rPr>
      </w:pPr>
      <w:r>
        <w:rPr>
          <w:rFonts w:hint="eastAsia" w:ascii="宋体" w:hAnsi="宋体" w:eastAsia="宋体" w:cs="Times New Roman"/>
          <w:color w:val="auto"/>
          <w:szCs w:val="21"/>
        </w:rPr>
        <w:t>根据</w:t>
      </w:r>
      <w:bookmarkStart w:id="33" w:name="_Hlk90988984"/>
      <w:r>
        <w:rPr>
          <w:rFonts w:hint="eastAsia" w:ascii="宋体" w:hAnsi="宋体" w:eastAsia="宋体" w:cs="Times New Roman"/>
          <w:color w:val="auto"/>
          <w:szCs w:val="21"/>
        </w:rPr>
        <w:t>《中华人民共和国民法典</w:t>
      </w:r>
      <w:bookmarkEnd w:id="33"/>
      <w:r>
        <w:rPr>
          <w:rFonts w:hint="eastAsia" w:ascii="宋体" w:hAnsi="宋体" w:eastAsia="宋体" w:cs="Times New Roman"/>
          <w:color w:val="auto"/>
          <w:szCs w:val="21"/>
        </w:rPr>
        <w:t>》及招标文件、中标通知书等相关资料的要求，经双方协商一致，签订本合同，共同遵守如下条款</w:t>
      </w:r>
      <w:r>
        <w:rPr>
          <w:rFonts w:hint="eastAsia" w:ascii="宋体" w:hAnsi="宋体" w:eastAsia="宋体"/>
          <w:color w:val="auto"/>
          <w:szCs w:val="21"/>
        </w:rPr>
        <w:t>。</w:t>
      </w:r>
    </w:p>
    <w:p w14:paraId="4D33449C">
      <w:pPr>
        <w:pStyle w:val="28"/>
        <w:numPr>
          <w:ilvl w:val="0"/>
          <w:numId w:val="105"/>
        </w:numPr>
        <w:ind w:firstLineChars="0"/>
        <w:rPr>
          <w:rFonts w:hint="eastAsia" w:ascii="宋体" w:hAnsi="宋体" w:eastAsia="宋体"/>
          <w:b/>
          <w:bCs/>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合同项目</w:t>
      </w:r>
    </w:p>
    <w:p w14:paraId="42DBE73E">
      <w:pPr>
        <w:pStyle w:val="28"/>
        <w:numPr>
          <w:ilvl w:val="0"/>
          <w:numId w:val="106"/>
        </w:numPr>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项目名称：</w:t>
      </w:r>
      <w:r>
        <w:rPr>
          <w:rFonts w:hint="eastAsia" w:ascii="宋体" w:hAnsi="宋体" w:eastAsia="宋体"/>
          <w:color w:val="000000" w:themeColor="text1"/>
          <w:szCs w:val="21"/>
          <w:u w:val="single"/>
          <w14:textFill>
            <w14:solidFill>
              <w14:schemeClr w14:val="tx1"/>
            </w14:solidFill>
          </w14:textFill>
        </w:rPr>
        <w:t xml:space="preserve">      （详见投标邀请）         </w:t>
      </w:r>
    </w:p>
    <w:p w14:paraId="094315CF">
      <w:pPr>
        <w:pStyle w:val="28"/>
        <w:numPr>
          <w:ilvl w:val="0"/>
          <w:numId w:val="106"/>
        </w:numPr>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项目编号：</w:t>
      </w:r>
      <w:r>
        <w:rPr>
          <w:rFonts w:hint="eastAsia" w:ascii="宋体" w:hAnsi="宋体" w:eastAsia="宋体"/>
          <w:color w:val="000000" w:themeColor="text1"/>
          <w:szCs w:val="21"/>
          <w:u w:val="single"/>
          <w14:textFill>
            <w14:solidFill>
              <w14:schemeClr w14:val="tx1"/>
            </w14:solidFill>
          </w14:textFill>
        </w:rPr>
        <w:t xml:space="preserve">      （详见投标邀请）        </w:t>
      </w:r>
    </w:p>
    <w:p w14:paraId="2F3D3925">
      <w:pPr>
        <w:pStyle w:val="28"/>
        <w:numPr>
          <w:ilvl w:val="0"/>
          <w:numId w:val="106"/>
        </w:numPr>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u w:val="none"/>
          <w:lang w:val="en-US" w:eastAsia="zh-CN"/>
          <w14:textFill>
            <w14:solidFill>
              <w14:schemeClr w14:val="tx1"/>
            </w14:solidFill>
          </w14:textFill>
        </w:rPr>
        <w:t>包组号：</w:t>
      </w:r>
      <w:r>
        <w:rPr>
          <w:rFonts w:hint="eastAsia" w:ascii="宋体" w:hAnsi="宋体" w:eastAsia="宋体"/>
          <w:color w:val="000000" w:themeColor="text1"/>
          <w:szCs w:val="21"/>
          <w:u w:val="single"/>
          <w:lang w:val="en-US" w:eastAsia="zh-CN"/>
          <w14:textFill>
            <w14:solidFill>
              <w14:schemeClr w14:val="tx1"/>
            </w14:solidFill>
          </w14:textFill>
        </w:rPr>
        <w:t xml:space="preserve">                                 </w:t>
      </w:r>
    </w:p>
    <w:p w14:paraId="39682312">
      <w:pPr>
        <w:pStyle w:val="28"/>
        <w:numPr>
          <w:ilvl w:val="0"/>
          <w:numId w:val="106"/>
        </w:numPr>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u w:val="none"/>
          <w:lang w:val="en-US" w:eastAsia="zh-CN"/>
          <w14:textFill>
            <w14:solidFill>
              <w14:schemeClr w14:val="tx1"/>
            </w14:solidFill>
          </w14:textFill>
        </w:rPr>
        <w:t>服务地点：</w:t>
      </w:r>
      <w:r>
        <w:rPr>
          <w:rFonts w:hint="eastAsia" w:ascii="宋体" w:hAnsi="宋体" w:eastAsia="宋体"/>
          <w:color w:val="000000" w:themeColor="text1"/>
          <w:szCs w:val="21"/>
          <w:u w:val="single"/>
          <w:lang w:val="en-US" w:eastAsia="zh-CN"/>
          <w14:textFill>
            <w14:solidFill>
              <w14:schemeClr w14:val="tx1"/>
            </w14:solidFill>
          </w14:textFill>
        </w:rPr>
        <w:t xml:space="preserve">                                </w:t>
      </w:r>
    </w:p>
    <w:p w14:paraId="6FB97436">
      <w:pPr>
        <w:pStyle w:val="28"/>
        <w:numPr>
          <w:ilvl w:val="0"/>
          <w:numId w:val="105"/>
        </w:numPr>
        <w:ind w:firstLineChars="0"/>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项目概况</w:t>
      </w:r>
    </w:p>
    <w:p w14:paraId="141343BE">
      <w:pPr>
        <w:pStyle w:val="28"/>
        <w:numPr>
          <w:ilvl w:val="0"/>
          <w:numId w:val="107"/>
        </w:numPr>
        <w:snapToGrid w:val="0"/>
        <w:spacing w:line="360" w:lineRule="auto"/>
        <w:ind w:left="420" w:leftChars="0" w:hanging="420" w:firstLineChars="0"/>
        <w:contextualSpacing/>
        <w:rPr>
          <w:rFonts w:hint="eastAsia" w:ascii="宋体" w:hAnsi="宋体" w:eastAsia="宋体"/>
          <w:b w:val="0"/>
          <w:bCs/>
          <w:szCs w:val="21"/>
        </w:rPr>
      </w:pPr>
      <w:r>
        <w:rPr>
          <w:rFonts w:hint="eastAsia" w:ascii="宋体" w:hAnsi="宋体" w:eastAsia="宋体"/>
          <w:b w:val="0"/>
          <w:bCs/>
          <w:szCs w:val="21"/>
        </w:rPr>
        <w:t>塘唇村“老幼共融”社区项目</w:t>
      </w:r>
    </w:p>
    <w:p w14:paraId="46276A7A">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rPr>
        <w:t>伴随家庭结构和居住模式的变化，传统的家庭照料服务已不再适应老幼发展需求，社区逐渐成为养老育幼服务的重要载体。</w:t>
      </w:r>
      <w:r>
        <w:rPr>
          <w:rFonts w:hint="eastAsia" w:ascii="宋体" w:hAnsi="宋体" w:eastAsia="宋体"/>
          <w:b w:val="0"/>
          <w:bCs/>
          <w:szCs w:val="21"/>
          <w:lang w:val="en-US" w:eastAsia="zh-CN"/>
        </w:rPr>
        <w:t>本</w:t>
      </w:r>
      <w:r>
        <w:rPr>
          <w:rFonts w:hint="eastAsia" w:ascii="宋体" w:hAnsi="宋体" w:eastAsia="宋体"/>
          <w:b w:val="0"/>
          <w:bCs/>
          <w:szCs w:val="21"/>
        </w:rPr>
        <w:t>项目依托“社区+社工+社会组织+志愿者”</w:t>
      </w:r>
      <w:r>
        <w:rPr>
          <w:rFonts w:hint="eastAsia" w:ascii="宋体" w:hAnsi="宋体" w:eastAsia="宋体"/>
          <w:b w:val="0"/>
          <w:bCs/>
          <w:szCs w:val="21"/>
          <w:lang w:val="en-US" w:eastAsia="zh-CN"/>
        </w:rPr>
        <w:t>和</w:t>
      </w:r>
      <w:r>
        <w:rPr>
          <w:rFonts w:hint="eastAsia" w:ascii="宋体" w:hAnsi="宋体" w:eastAsia="宋体"/>
          <w:b w:val="0"/>
          <w:bCs/>
          <w:szCs w:val="21"/>
        </w:rPr>
        <w:t>队伍赋能的服务模式，开展老幼共融活动，进一步构建老幼融合场景，编织成长摇篮。项目旨在改善辖区内老年人日常生活质量，让他们老有所依、老有所为、老有所乐；聚焦少年儿童视角下的自我发展和社区发展相结合，依托当地资源、志愿服务等培养少年儿童的社区归属感和幸福感。</w:t>
      </w:r>
    </w:p>
    <w:p w14:paraId="4D97F1ED">
      <w:pPr>
        <w:pStyle w:val="28"/>
        <w:numPr>
          <w:ilvl w:val="0"/>
          <w:numId w:val="107"/>
        </w:numPr>
        <w:snapToGrid w:val="0"/>
        <w:spacing w:line="360" w:lineRule="auto"/>
        <w:ind w:left="420" w:leftChars="0" w:hanging="420" w:firstLineChars="0"/>
        <w:contextualSpacing/>
        <w:rPr>
          <w:rFonts w:hint="eastAsia" w:ascii="宋体" w:hAnsi="宋体" w:eastAsia="宋体"/>
          <w:b w:val="0"/>
          <w:bCs/>
          <w:szCs w:val="21"/>
        </w:rPr>
      </w:pPr>
      <w:r>
        <w:rPr>
          <w:rFonts w:hint="eastAsia" w:ascii="宋体" w:hAnsi="宋体" w:eastAsia="宋体"/>
          <w:b w:val="0"/>
          <w:bCs/>
          <w:szCs w:val="21"/>
        </w:rPr>
        <w:t>塘唇村“你的时光“游”我相伴”亲子项目</w:t>
      </w:r>
    </w:p>
    <w:p w14:paraId="497BD467">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rPr>
        <w:t>在忙碌的生活中，往往忽略了与孩子之间的情感交流。而“你的成长‘游’我陪伴”亲子项目，便是为家长和孩子提供一个温馨的互动平台。旨在游戏互动结合中国的传统文化元素，了解学习传统节日、历史故事、智力问答等，在游戏中，家长与孩子相互协作、共同解决问题，增进彼此之间的了解和信任。通过游戏过程中的照片、视频等方式，记录下亲子共度的美好时光，组织家长和孩子分享游戏心得和成长感悟，共同成长，让孩子和家长一起感受传统文化的博大精深。不仅能让孩子们在游戏中学习到知识，还能在快乐中增进亲子间的感情，共同成长。</w:t>
      </w:r>
    </w:p>
    <w:p w14:paraId="1493E76A">
      <w:pPr>
        <w:pStyle w:val="28"/>
        <w:numPr>
          <w:ilvl w:val="0"/>
          <w:numId w:val="107"/>
        </w:numPr>
        <w:snapToGrid w:val="0"/>
        <w:spacing w:line="360" w:lineRule="auto"/>
        <w:ind w:left="420" w:leftChars="0" w:hanging="420" w:firstLineChars="0"/>
        <w:contextualSpacing/>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val="0"/>
          <w:bCs/>
          <w:szCs w:val="21"/>
        </w:rPr>
        <w:t>塘唇村“涂美社区 绘梦先锋”青少年社区美化项目</w:t>
      </w:r>
    </w:p>
    <w:p w14:paraId="32815A13">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val="0"/>
          <w:bCs/>
          <w:szCs w:val="21"/>
        </w:rPr>
        <w:t>“涂美社区 绘梦先锋”塘唇村青少年社区美化项目以塘唇村社区垃圾分类、环境美化的需求为切入点，结合辖区青少年的特征，从青少年学习需求出发，提升社区青少年的环保意识，促进青少年投身社区活动，发挥自身兴趣爱好。以社区为载体，搭建其参与和学习的平台，社工带动社区青少年志愿者参与社区治理志</w:t>
      </w:r>
    </w:p>
    <w:p w14:paraId="78DEBB32">
      <w:pPr>
        <w:pStyle w:val="28"/>
        <w:numPr>
          <w:ilvl w:val="0"/>
          <w:numId w:val="105"/>
        </w:numPr>
        <w:ind w:firstLineChars="0"/>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运营目标</w:t>
      </w:r>
    </w:p>
    <w:p w14:paraId="0EAD7B9F">
      <w:pPr>
        <w:pStyle w:val="28"/>
        <w:numPr>
          <w:ilvl w:val="0"/>
          <w:numId w:val="10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塘唇村“老幼共融”社区项目</w:t>
      </w:r>
    </w:p>
    <w:p w14:paraId="4DB37B9F">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本项目旨在依托塘唇村社区平台，整合“社区+社工+社会组织+志愿者”资源，建立互助、包容、充满活力的老幼共融社区支持网络，通过赋能队伍和开展多元化活动，构建可持续的老幼互动共融场景，提升老年人与少年儿童的社区归属感、生活幸福感和自我价值感，推动社区和谐发展。</w:t>
      </w:r>
    </w:p>
    <w:p w14:paraId="6A7B785F">
      <w:pPr>
        <w:pStyle w:val="28"/>
        <w:numPr>
          <w:ilvl w:val="0"/>
          <w:numId w:val="10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塘唇村“你的时光“游”我相伴”亲子项</w:t>
      </w:r>
      <w:r>
        <w:rPr>
          <w:rFonts w:hint="eastAsia" w:ascii="宋体" w:hAnsi="宋体" w:eastAsia="宋体"/>
          <w:color w:val="auto"/>
          <w:szCs w:val="21"/>
          <w:lang w:val="en-US" w:eastAsia="zh-CN"/>
        </w:rPr>
        <w:t>目</w:t>
      </w:r>
    </w:p>
    <w:p w14:paraId="6051FC6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default" w:ascii="宋体" w:hAnsi="宋体" w:eastAsia="宋体"/>
          <w:color w:val="auto"/>
          <w:szCs w:val="21"/>
          <w:lang w:val="en-US" w:eastAsia="zh-CN"/>
        </w:rPr>
        <w:t>本项目旨在通过协作性游戏与任务</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融合中国传统文化元素的互动游戏与活动，使参与</w:t>
      </w:r>
      <w:r>
        <w:rPr>
          <w:rFonts w:hint="eastAsia" w:ascii="宋体" w:hAnsi="宋体" w:eastAsia="宋体"/>
          <w:color w:val="auto"/>
          <w:szCs w:val="21"/>
          <w:lang w:val="en-US" w:eastAsia="zh-CN"/>
        </w:rPr>
        <w:t>的</w:t>
      </w:r>
      <w:r>
        <w:rPr>
          <w:rFonts w:hint="default" w:ascii="宋体" w:hAnsi="宋体" w:eastAsia="宋体"/>
          <w:color w:val="auto"/>
          <w:szCs w:val="21"/>
          <w:lang w:val="en-US" w:eastAsia="zh-CN"/>
        </w:rPr>
        <w:t>亲子家庭在活动中有效沟通、相互支持，显著提升亲子间的亲密度、理解度和信任感</w:t>
      </w:r>
      <w:r>
        <w:rPr>
          <w:rFonts w:hint="eastAsia" w:ascii="宋体" w:hAnsi="宋体" w:eastAsia="宋体"/>
          <w:color w:val="auto"/>
          <w:szCs w:val="21"/>
          <w:lang w:val="en-US" w:eastAsia="zh-CN"/>
        </w:rPr>
        <w:t>，并且</w:t>
      </w:r>
      <w:r>
        <w:rPr>
          <w:rFonts w:hint="default" w:ascii="宋体" w:hAnsi="宋体" w:eastAsia="宋体"/>
          <w:color w:val="auto"/>
          <w:szCs w:val="21"/>
          <w:lang w:val="en-US" w:eastAsia="zh-CN"/>
        </w:rPr>
        <w:t>增强对中华优秀传统文化的兴趣、认知与认同感。为塘唇村的家长与孩子搭建一个深度交流、共同成长的平台。</w:t>
      </w:r>
    </w:p>
    <w:p w14:paraId="0D5CC15B">
      <w:pPr>
        <w:pStyle w:val="28"/>
        <w:numPr>
          <w:ilvl w:val="0"/>
          <w:numId w:val="10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塘唇村“涂美社区 绘梦先锋”青少年社区美化项目</w:t>
      </w:r>
    </w:p>
    <w:p w14:paraId="5CC23057">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本项目旨在通过搭建儿童青少年参与社区治理的平台，系统掌握垃圾分类知识、了解社区环境问题及其重要性，培养儿童青少年在日常生活中践行环保行为的意识和习惯，引导儿童青少年运用自身兴趣爱好（绘画、手工、宣传）服务社区、彩绘美化社区公共空间环境、改善环境的行动力和主人翁意识。在执行过程中，锻炼儿童青少年的团队协作能力、沟通表达能力和解决问题能力，增强儿童青少年作为社区一份子的归属感和社会责任感。</w:t>
      </w:r>
    </w:p>
    <w:p w14:paraId="53117F64">
      <w:pPr>
        <w:pStyle w:val="28"/>
        <w:numPr>
          <w:ilvl w:val="0"/>
          <w:numId w:val="105"/>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auto"/>
          <w:szCs w:val="21"/>
          <w:lang w:val="en-US" w:eastAsia="zh-CN"/>
        </w:rPr>
        <w:t>服务内容</w:t>
      </w:r>
    </w:p>
    <w:p w14:paraId="355EAB60">
      <w:pPr>
        <w:pStyle w:val="28"/>
        <w:widowControl/>
        <w:numPr>
          <w:ilvl w:val="0"/>
          <w:numId w:val="10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塘唇村“老幼共融”社区项目</w:t>
      </w:r>
    </w:p>
    <w:p w14:paraId="7DBB2206">
      <w:pPr>
        <w:pStyle w:val="28"/>
        <w:widowControl/>
        <w:numPr>
          <w:ilvl w:val="0"/>
          <w:numId w:val="11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“小手牵大手”系列</w:t>
      </w:r>
    </w:p>
    <w:p w14:paraId="722C3BA0">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①系</w:t>
      </w:r>
      <w:r>
        <w:rPr>
          <w:rFonts w:hint="eastAsia" w:ascii="宋体" w:hAnsi="宋体" w:eastAsia="宋体"/>
          <w:color w:val="auto"/>
          <w:szCs w:val="21"/>
        </w:rPr>
        <w:t>统培训儿童志愿者沟通、礼仪、安全</w:t>
      </w:r>
      <w:r>
        <w:rPr>
          <w:rFonts w:hint="eastAsia" w:ascii="宋体" w:hAnsi="宋体" w:eastAsia="宋体"/>
          <w:color w:val="auto"/>
          <w:szCs w:val="21"/>
          <w:lang w:val="en-US" w:eastAsia="zh-CN"/>
        </w:rPr>
        <w:t>等技能</w:t>
      </w:r>
      <w:r>
        <w:rPr>
          <w:rFonts w:hint="eastAsia" w:ascii="宋体" w:hAnsi="宋体" w:eastAsia="宋体"/>
          <w:color w:val="auto"/>
          <w:szCs w:val="21"/>
        </w:rPr>
        <w:t>，参与社区敬老、环保、活动协助等志愿服务</w:t>
      </w:r>
      <w:r>
        <w:rPr>
          <w:rFonts w:hint="eastAsia" w:ascii="宋体" w:hAnsi="宋体" w:eastAsia="宋体"/>
          <w:color w:val="auto"/>
          <w:szCs w:val="21"/>
          <w:lang w:eastAsia="zh-CN"/>
        </w:rPr>
        <w:t>；</w:t>
      </w:r>
      <w:r>
        <w:rPr>
          <w:rFonts w:hint="eastAsia" w:ascii="宋体" w:hAnsi="宋体" w:eastAsia="宋体"/>
          <w:color w:val="auto"/>
          <w:szCs w:val="21"/>
          <w:lang w:val="en-US" w:eastAsia="zh-CN"/>
        </w:rPr>
        <w:t>组织儿童青少年志愿者为社区长者提供力所能及的陪伴服务（如读报、聊天、环境美化）、节日慰问让儿童青少年亲手制作手工礼物送社区长者、协助参与社区活动等。培养儿童的同理心、责任感和敬老意识与实践能力，给社区长者带来温暖和陪伴，减少孤独感。</w:t>
      </w:r>
    </w:p>
    <w:p w14:paraId="3D6795CC">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80" w:firstLineChars="200"/>
        <w:contextualSpacing/>
        <w:textAlignment w:val="auto"/>
        <w:rPr>
          <w:rFonts w:hint="eastAsia" w:ascii="宋体" w:hAnsi="宋体" w:eastAsia="宋体"/>
          <w:color w:val="auto"/>
          <w:szCs w:val="21"/>
        </w:rPr>
      </w:pPr>
      <w:r>
        <w:rPr>
          <w:rFonts w:hint="eastAsia" w:ascii="宋体" w:hAnsi="宋体" w:eastAsia="宋体" w:cs="Times New Roman"/>
          <w:color w:val="000000"/>
          <w:kern w:val="2"/>
          <w:sz w:val="24"/>
          <w:szCs w:val="28"/>
          <w:highlight w:val="none"/>
          <w:lang w:val="en-US" w:eastAsia="zh-CN" w:bidi="ar-SA"/>
        </w:rPr>
        <w:t>②</w:t>
      </w:r>
      <w:r>
        <w:rPr>
          <w:rFonts w:hint="eastAsia" w:ascii="宋体" w:hAnsi="宋体" w:eastAsia="宋体"/>
          <w:color w:val="auto"/>
          <w:szCs w:val="21"/>
          <w:lang w:val="en-US" w:eastAsia="zh-CN"/>
        </w:rPr>
        <w:t>开展适合祖孙共同参与的趣味运动会项目，通过肢体接触、语言接触，在轻松愉快的氛围中增加彼此间的感情，促进身体活动，笑声是最好的融合剂。</w:t>
      </w:r>
    </w:p>
    <w:p w14:paraId="34521F17">
      <w:pPr>
        <w:pStyle w:val="28"/>
        <w:widowControl/>
        <w:numPr>
          <w:ilvl w:val="0"/>
          <w:numId w:val="110"/>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“时光课堂”系列</w:t>
      </w:r>
    </w:p>
    <w:p w14:paraId="7D813ACF">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①邀请社区长者担任导师，向儿童青少年传授传统手艺、生活智慧、烹饪技巧、辨别食材新鲜度等，实现文化传承与长者价值体现。</w:t>
      </w:r>
    </w:p>
    <w:p w14:paraId="55EA6F60">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②邀请小朋友作为小导师，教社区长者智能手机的基础应用，学习流行网络用语及表情包的解读；老人学习新技能融入时代，孩子学习生活智慧并锻炼表达能力，双向赋能，让老幼共融更急贴近于生活中。</w:t>
      </w:r>
    </w:p>
    <w:p w14:paraId="0C8516FB">
      <w:pPr>
        <w:pStyle w:val="28"/>
        <w:widowControl/>
        <w:numPr>
          <w:ilvl w:val="0"/>
          <w:numId w:val="10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塘唇村“你的时光“游”我相伴”亲子项目</w:t>
      </w:r>
    </w:p>
    <w:p w14:paraId="5A2503FC">
      <w:pPr>
        <w:pStyle w:val="28"/>
        <w:widowControl/>
        <w:numPr>
          <w:ilvl w:val="0"/>
          <w:numId w:val="111"/>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“时光穿梭”主题系列</w:t>
      </w:r>
    </w:p>
    <w:p w14:paraId="167F5E2B">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不同主题的沉浸式亲子互动活动。每次活动围绕一个核心传统文化元素，如：春节/元宵的团圆与灯谜、清明的踏青与节气、端午的龙舟与诗词、中秋的赏月与传说等，结合传统文化知识问答、诗词接龙、手工制作；让亲子一起讲述历史故事、民间传说，以任务形似让亲子共同参与，在过程中促进你沟通，学会理解与支持。</w:t>
      </w:r>
    </w:p>
    <w:p w14:paraId="6B5207FE">
      <w:pPr>
        <w:pStyle w:val="28"/>
        <w:widowControl/>
        <w:numPr>
          <w:ilvl w:val="0"/>
          <w:numId w:val="111"/>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“时光茶话会”主题</w:t>
      </w:r>
    </w:p>
    <w:p w14:paraId="313E2C73">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组织亲子分享会，鼓励家长和孩子共同上台，分享在活动中的趣事、挑战、克服困难的经历、对彼此的新发现、学习到的传统文化知识以及内心的感悟。邀请专业人士（如家庭教育指导师、心理咨询师）进行简短点评或微讲座，引导更深入的反思与交流，传播科学陪伴理念。</w:t>
      </w:r>
    </w:p>
    <w:p w14:paraId="67F748B6">
      <w:pPr>
        <w:pStyle w:val="28"/>
        <w:widowControl/>
        <w:numPr>
          <w:ilvl w:val="0"/>
          <w:numId w:val="10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塘唇村“涂美社区 绘梦先锋”青少年社区美化项目</w:t>
      </w:r>
    </w:p>
    <w:p w14:paraId="156F19F6">
      <w:pPr>
        <w:pStyle w:val="28"/>
        <w:widowControl/>
        <w:numPr>
          <w:ilvl w:val="0"/>
          <w:numId w:val="112"/>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“环保先锋”系列</w:t>
      </w:r>
    </w:p>
    <w:p w14:paraId="3CE9AC54">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组织生动有趣的垃圾分类知识讲座、互动游戏，确保青少年掌握分类标准、意义及操作；通过实地走访、观察记录，小组讨论等形式，识别塘唇村存在的具体环境美化需求点，形成“问题地图”。</w:t>
      </w:r>
    </w:p>
    <w:p w14:paraId="2AFF2777">
      <w:pPr>
        <w:pStyle w:val="28"/>
        <w:widowControl/>
        <w:numPr>
          <w:ilvl w:val="0"/>
          <w:numId w:val="112"/>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“绘梦行动”系列</w:t>
      </w:r>
    </w:p>
    <w:p w14:paraId="6DA86955">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color w:val="auto"/>
          <w:szCs w:val="21"/>
          <w:lang w:val="en-US" w:eastAsia="zh-CN"/>
        </w:rPr>
        <w:t>组织青少年设计并制作垃圾分类宣传标语、海报、小道具，在社区广场、篮球处进行宣传或入户讲解，向居民普及知识；对社区沙井盖、石墩、宣传栏等进行清洁和简单美化装饰。举办成果展览、改造前后对比图、手工作品展或小型表彰会，展示青少年工作成果，表彰优秀志愿者，提升成就感和社区影响力。</w:t>
      </w:r>
    </w:p>
    <w:p w14:paraId="376D7E4E">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总体要求</w:t>
      </w:r>
    </w:p>
    <w:p w14:paraId="7E933DD0">
      <w:pPr>
        <w:pStyle w:val="28"/>
        <w:numPr>
          <w:ilvl w:val="0"/>
          <w:numId w:val="113"/>
        </w:numPr>
        <w:autoSpaceDE w:val="0"/>
        <w:autoSpaceDN w:val="0"/>
        <w:adjustRightInd w:val="0"/>
        <w:ind w:left="420" w:leftChars="0" w:hanging="42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甲方权利和义务</w:t>
      </w:r>
    </w:p>
    <w:p w14:paraId="71B75FB4">
      <w:pPr>
        <w:pStyle w:val="28"/>
        <w:numPr>
          <w:ilvl w:val="0"/>
          <w:numId w:val="114"/>
        </w:numPr>
        <w:tabs>
          <w:tab w:val="left" w:pos="1080"/>
        </w:tabs>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甲方有权随时检查乙方的服务履行情况，并向乙方提出修改。</w:t>
      </w:r>
    </w:p>
    <w:p w14:paraId="22DF6212">
      <w:pPr>
        <w:pStyle w:val="28"/>
        <w:numPr>
          <w:ilvl w:val="0"/>
          <w:numId w:val="114"/>
        </w:numPr>
        <w:tabs>
          <w:tab w:val="left" w:pos="1080"/>
        </w:tabs>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当发生服务违约时，则甲方有权按约定在支付乙方合同款项中进行扣款 。</w:t>
      </w:r>
    </w:p>
    <w:p w14:paraId="6EC212BF">
      <w:pPr>
        <w:pStyle w:val="28"/>
        <w:numPr>
          <w:ilvl w:val="0"/>
          <w:numId w:val="114"/>
        </w:numPr>
        <w:tabs>
          <w:tab w:val="left" w:pos="1080"/>
        </w:tabs>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在乙方提供服务时，如对甲方的设备造成了损坏，甲方有权要求乙方赔偿。</w:t>
      </w:r>
    </w:p>
    <w:p w14:paraId="26560ACC">
      <w:pPr>
        <w:pStyle w:val="28"/>
        <w:numPr>
          <w:ilvl w:val="0"/>
          <w:numId w:val="114"/>
        </w:numPr>
        <w:tabs>
          <w:tab w:val="left" w:pos="1080"/>
        </w:tabs>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甲方应按合同规定向乙方支付服务费用。</w:t>
      </w:r>
    </w:p>
    <w:p w14:paraId="4DE8ECAE">
      <w:pPr>
        <w:pStyle w:val="28"/>
        <w:numPr>
          <w:ilvl w:val="0"/>
          <w:numId w:val="113"/>
        </w:numPr>
        <w:autoSpaceDE w:val="0"/>
        <w:autoSpaceDN w:val="0"/>
        <w:adjustRightInd w:val="0"/>
        <w:ind w:left="420" w:leftChars="0" w:hanging="42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乙方权利和义务</w:t>
      </w:r>
    </w:p>
    <w:p w14:paraId="7BCCAE5E">
      <w:pPr>
        <w:pStyle w:val="28"/>
        <w:numPr>
          <w:ilvl w:val="0"/>
          <w:numId w:val="115"/>
        </w:numPr>
        <w:tabs>
          <w:tab w:val="left" w:pos="1080"/>
        </w:tabs>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乙方应按招标文件的要求和投标文件的承诺进行服务，发生任何服务的变更均须向甲方提出交书面报审报告。</w:t>
      </w:r>
    </w:p>
    <w:p w14:paraId="764A4036">
      <w:pPr>
        <w:pStyle w:val="28"/>
        <w:numPr>
          <w:ilvl w:val="0"/>
          <w:numId w:val="115"/>
        </w:numPr>
        <w:tabs>
          <w:tab w:val="left" w:pos="1080"/>
        </w:tabs>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乙方有权要求甲方按时支付服务费用。如甲方不按时支付乙方有权要求甲方支付滞纳金。但服务费得支付应以符合东莞市财政局的相关规定为前提。</w:t>
      </w:r>
    </w:p>
    <w:p w14:paraId="198E3F65">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价格</w:t>
      </w:r>
    </w:p>
    <w:p w14:paraId="0122CF33">
      <w:pPr>
        <w:pStyle w:val="28"/>
        <w:numPr>
          <w:ilvl w:val="0"/>
          <w:numId w:val="116"/>
        </w:numPr>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合同总价：大写：人民币</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元整（小写：￥</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w:t>
      </w:r>
    </w:p>
    <w:p w14:paraId="2F739246">
      <w:pPr>
        <w:pStyle w:val="28"/>
        <w:numPr>
          <w:ilvl w:val="0"/>
          <w:numId w:val="116"/>
        </w:numPr>
        <w:ind w:left="420" w:leftChars="0" w:hanging="420"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本合同价为固定不变价。</w:t>
      </w:r>
    </w:p>
    <w:p w14:paraId="45C4AF67">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验收要求</w:t>
      </w:r>
    </w:p>
    <w:p w14:paraId="1956E14B">
      <w:pPr>
        <w:pStyle w:val="13"/>
        <w:keepNext w:val="0"/>
        <w:keepLines w:val="0"/>
        <w:widowControl/>
        <w:numPr>
          <w:ilvl w:val="0"/>
          <w:numId w:val="1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验收工作由甲方（或甲方指定的单位）和乙方共同进行；</w:t>
      </w:r>
    </w:p>
    <w:p w14:paraId="6AC85CDA">
      <w:pPr>
        <w:pStyle w:val="13"/>
        <w:keepNext w:val="0"/>
        <w:keepLines w:val="0"/>
        <w:widowControl/>
        <w:numPr>
          <w:ilvl w:val="0"/>
          <w:numId w:val="1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在验收时，乙方应向甲方提供服务的相关资料，按甲方提出的方式验收；</w:t>
      </w:r>
    </w:p>
    <w:p w14:paraId="2A3D3E5F">
      <w:pPr>
        <w:pStyle w:val="13"/>
        <w:keepNext w:val="0"/>
        <w:keepLines w:val="0"/>
        <w:widowControl/>
        <w:numPr>
          <w:ilvl w:val="0"/>
          <w:numId w:val="117"/>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auto"/>
          <w:spacing w:val="0"/>
          <w:sz w:val="21"/>
          <w:szCs w:val="21"/>
          <w:lang w:val="en-US" w:eastAsia="zh-CN"/>
        </w:rPr>
      </w:pPr>
      <w:r>
        <w:rPr>
          <w:rFonts w:hint="eastAsia" w:ascii="宋体" w:hAnsi="宋体" w:eastAsia="宋体" w:cs="宋体"/>
          <w:i w:val="0"/>
          <w:iCs w:val="0"/>
          <w:caps w:val="0"/>
          <w:color w:val="000000"/>
          <w:spacing w:val="0"/>
          <w:sz w:val="21"/>
          <w:szCs w:val="21"/>
          <w:lang w:val="en-US" w:eastAsia="zh-CN"/>
        </w:rPr>
        <w:t>由甲方对服务的质量和数量及其他进行检验。如发现质量和数量等任何一项与采购要求规定不符，甲方</w:t>
      </w:r>
      <w:r>
        <w:rPr>
          <w:rFonts w:hint="eastAsia" w:ascii="宋体" w:hAnsi="宋体" w:eastAsia="宋体" w:cs="宋体"/>
          <w:i w:val="0"/>
          <w:iCs w:val="0"/>
          <w:caps w:val="0"/>
          <w:color w:val="auto"/>
          <w:spacing w:val="0"/>
          <w:sz w:val="21"/>
          <w:szCs w:val="21"/>
          <w:lang w:val="en-US" w:eastAsia="zh-CN"/>
        </w:rPr>
        <w:t>有权拒绝接受。</w:t>
      </w:r>
    </w:p>
    <w:p w14:paraId="7FBF4A7D">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付款</w:t>
      </w:r>
    </w:p>
    <w:p w14:paraId="6899988D">
      <w:pPr>
        <w:pStyle w:val="28"/>
        <w:numPr>
          <w:ilvl w:val="0"/>
          <w:numId w:val="118"/>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服务期：</w:t>
      </w:r>
      <w:r>
        <w:rPr>
          <w:rFonts w:hint="eastAsia" w:ascii="宋体" w:hAnsi="宋体" w:eastAsia="宋体"/>
          <w:color w:val="000000" w:themeColor="text1"/>
          <w:szCs w:val="21"/>
          <w:u w:val="single"/>
          <w14:textFill>
            <w14:solidFill>
              <w14:schemeClr w14:val="tx1"/>
            </w14:solidFill>
          </w14:textFill>
        </w:rPr>
        <w:t xml:space="preserve">     年   月   日至    年   月    日</w:t>
      </w:r>
    </w:p>
    <w:p w14:paraId="5894A4CB">
      <w:pPr>
        <w:pStyle w:val="28"/>
        <w:numPr>
          <w:ilvl w:val="0"/>
          <w:numId w:val="118"/>
        </w:numPr>
        <w:ind w:firstLineChars="0"/>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合同签订后</w:t>
      </w:r>
      <w:r>
        <w:rPr>
          <w:rFonts w:hint="eastAsia" w:ascii="宋体" w:hAnsi="宋体" w:eastAsia="宋体"/>
          <w:color w:val="000000" w:themeColor="text1"/>
          <w:szCs w:val="21"/>
          <w:lang w:val="en-US" w:eastAsia="zh-CN"/>
          <w14:textFill>
            <w14:solidFill>
              <w14:schemeClr w14:val="tx1"/>
            </w14:solidFill>
          </w14:textFill>
        </w:rPr>
        <w:t>乙方向甲方提交等额有效发票</w:t>
      </w:r>
      <w:r>
        <w:rPr>
          <w:rFonts w:hint="eastAsia" w:ascii="宋体" w:hAnsi="宋体" w:eastAsia="宋体"/>
          <w:color w:val="000000" w:themeColor="text1"/>
          <w:szCs w:val="21"/>
          <w14:textFill>
            <w14:solidFill>
              <w14:schemeClr w14:val="tx1"/>
            </w14:solidFill>
          </w14:textFill>
        </w:rPr>
        <w:t>，经</w:t>
      </w:r>
      <w:r>
        <w:rPr>
          <w:rFonts w:hint="eastAsia" w:ascii="宋体" w:hAnsi="宋体" w:eastAsia="宋体"/>
          <w:color w:val="000000" w:themeColor="text1"/>
          <w:szCs w:val="21"/>
          <w:lang w:eastAsia="zh-CN"/>
          <w14:textFill>
            <w14:solidFill>
              <w14:schemeClr w14:val="tx1"/>
            </w14:solidFill>
          </w14:textFill>
        </w:rPr>
        <w:t>甲方</w:t>
      </w:r>
      <w:r>
        <w:rPr>
          <w:rFonts w:hint="eastAsia" w:ascii="宋体" w:hAnsi="宋体" w:eastAsia="宋体"/>
          <w:color w:val="000000" w:themeColor="text1"/>
          <w:szCs w:val="21"/>
          <w14:textFill>
            <w14:solidFill>
              <w14:schemeClr w14:val="tx1"/>
            </w14:solidFill>
          </w14:textFill>
        </w:rPr>
        <w:t>确认无误</w:t>
      </w:r>
      <w:r>
        <w:rPr>
          <w:rFonts w:hint="eastAsia" w:ascii="宋体" w:hAnsi="宋体" w:eastAsia="宋体"/>
          <w:color w:val="000000" w:themeColor="text1"/>
          <w:szCs w:val="21"/>
          <w:lang w:val="en-US" w:eastAsia="zh-CN"/>
          <w14:textFill>
            <w14:solidFill>
              <w14:schemeClr w14:val="tx1"/>
            </w14:solidFill>
          </w14:textFill>
        </w:rPr>
        <w:t>后</w:t>
      </w:r>
      <w:r>
        <w:rPr>
          <w:rFonts w:hint="eastAsia" w:ascii="宋体" w:hAnsi="宋体" w:eastAsia="宋体"/>
          <w:color w:val="000000" w:themeColor="text1"/>
          <w:szCs w:val="21"/>
          <w14:textFill>
            <w14:solidFill>
              <w14:schemeClr w14:val="tx1"/>
            </w14:solidFill>
          </w14:textFill>
        </w:rPr>
        <w:t>于</w:t>
      </w:r>
      <w:r>
        <w:rPr>
          <w:rFonts w:hint="eastAsia" w:ascii="宋体" w:hAnsi="宋体" w:eastAsia="宋体"/>
          <w:color w:val="000000" w:themeColor="text1"/>
          <w:szCs w:val="21"/>
          <w:lang w:val="en-US" w:eastAsia="zh-CN"/>
          <w14:textFill>
            <w14:solidFill>
              <w14:schemeClr w14:val="tx1"/>
            </w14:solidFill>
          </w14:textFill>
        </w:rPr>
        <w:t>5</w:t>
      </w:r>
      <w:r>
        <w:rPr>
          <w:rFonts w:hint="eastAsia" w:ascii="宋体" w:hAnsi="宋体" w:eastAsia="宋体"/>
          <w:color w:val="000000" w:themeColor="text1"/>
          <w:szCs w:val="21"/>
          <w14:textFill>
            <w14:solidFill>
              <w14:schemeClr w14:val="tx1"/>
            </w14:solidFill>
          </w14:textFill>
        </w:rPr>
        <w:t>个工作日内支付合</w:t>
      </w:r>
      <w:r>
        <w:rPr>
          <w:rFonts w:hint="eastAsia" w:ascii="宋体" w:hAnsi="宋体" w:eastAsia="宋体"/>
          <w:color w:val="000000" w:themeColor="text1"/>
          <w:szCs w:val="21"/>
          <w:lang w:val="en-US" w:eastAsia="zh-CN"/>
          <w14:textFill>
            <w14:solidFill>
              <w14:schemeClr w14:val="tx1"/>
            </w14:solidFill>
          </w14:textFill>
        </w:rPr>
        <w:t>同金额的30%作为预付款；</w:t>
      </w:r>
    </w:p>
    <w:p w14:paraId="2D863932">
      <w:pPr>
        <w:pStyle w:val="28"/>
        <w:numPr>
          <w:ilvl w:val="0"/>
          <w:numId w:val="118"/>
        </w:numPr>
        <w:ind w:firstLineChars="0"/>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本项目服务期满3个月后，乙方在服务期内的第4个月初提交等额有效发票至甲方处，经甲方确认无误后于10个工作日内支付合同金额的30%；</w:t>
      </w:r>
    </w:p>
    <w:p w14:paraId="7C415731">
      <w:pPr>
        <w:pStyle w:val="28"/>
        <w:numPr>
          <w:ilvl w:val="0"/>
          <w:numId w:val="118"/>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本项目服务期满并经甲方完成项目验收后，乙方提交等额有效发票至甲方处，经甲方确认无误后于10个工作日内支付合同金额的40%。</w:t>
      </w:r>
    </w:p>
    <w:p w14:paraId="7561BA75">
      <w:pPr>
        <w:pStyle w:val="28"/>
        <w:numPr>
          <w:ilvl w:val="0"/>
          <w:numId w:val="118"/>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根据现行税法规定对甲方征收的与本合同有关的一切税费均应由甲方负担；</w:t>
      </w:r>
    </w:p>
    <w:p w14:paraId="413B06ED">
      <w:pPr>
        <w:pStyle w:val="28"/>
        <w:numPr>
          <w:ilvl w:val="0"/>
          <w:numId w:val="118"/>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根据现行税法规定对乙方或其雇员征收的与本合同有关的一切税费均应由乙方负担。</w:t>
      </w:r>
    </w:p>
    <w:p w14:paraId="7B1B0730">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人员要求</w:t>
      </w:r>
    </w:p>
    <w:p w14:paraId="177C0B88">
      <w:pPr>
        <w:pStyle w:val="28"/>
        <w:numPr>
          <w:ilvl w:val="0"/>
          <w:numId w:val="119"/>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lang w:eastAsia="zh-CN"/>
        </w:rPr>
        <w:t>乙方</w:t>
      </w:r>
      <w:r>
        <w:rPr>
          <w:rFonts w:hint="eastAsia" w:ascii="宋体" w:hAnsi="宋体" w:eastAsia="宋体"/>
          <w:iCs/>
          <w:color w:val="auto"/>
          <w:szCs w:val="21"/>
        </w:rPr>
        <w:t>应本着服务至上、诚信为本的宗旨，为</w:t>
      </w:r>
      <w:r>
        <w:rPr>
          <w:rFonts w:hint="eastAsia" w:ascii="宋体" w:hAnsi="宋体" w:eastAsia="宋体"/>
          <w:iCs/>
          <w:color w:val="auto"/>
          <w:szCs w:val="21"/>
          <w:lang w:eastAsia="zh-CN"/>
        </w:rPr>
        <w:t>甲方</w:t>
      </w:r>
      <w:r>
        <w:rPr>
          <w:rFonts w:hint="eastAsia" w:ascii="宋体" w:hAnsi="宋体" w:eastAsia="宋体"/>
          <w:iCs/>
          <w:color w:val="auto"/>
          <w:szCs w:val="21"/>
        </w:rPr>
        <w:t>委派身体健康并符合要求的</w:t>
      </w:r>
      <w:r>
        <w:rPr>
          <w:rFonts w:hint="eastAsia" w:ascii="宋体" w:hAnsi="宋体" w:eastAsia="宋体"/>
          <w:iCs/>
          <w:color w:val="auto"/>
          <w:szCs w:val="21"/>
          <w:lang w:val="en-US" w:eastAsia="zh-CN"/>
        </w:rPr>
        <w:t>服务人员</w:t>
      </w:r>
      <w:r>
        <w:rPr>
          <w:rFonts w:hint="eastAsia" w:ascii="宋体" w:hAnsi="宋体" w:eastAsia="宋体"/>
          <w:iCs/>
          <w:color w:val="auto"/>
          <w:szCs w:val="21"/>
        </w:rPr>
        <w:t>，同时需监督管理并指导项目为</w:t>
      </w:r>
      <w:r>
        <w:rPr>
          <w:rFonts w:hint="eastAsia" w:ascii="宋体" w:hAnsi="宋体" w:eastAsia="宋体"/>
          <w:iCs/>
          <w:color w:val="auto"/>
          <w:szCs w:val="21"/>
          <w:lang w:eastAsia="zh-CN"/>
        </w:rPr>
        <w:t>甲方</w:t>
      </w:r>
      <w:r>
        <w:rPr>
          <w:rFonts w:hint="eastAsia" w:ascii="宋体" w:hAnsi="宋体" w:eastAsia="宋体"/>
          <w:iCs/>
          <w:color w:val="auto"/>
          <w:szCs w:val="21"/>
        </w:rPr>
        <w:t>提供相关的优质服务。</w:t>
      </w:r>
    </w:p>
    <w:p w14:paraId="765E6A17">
      <w:pPr>
        <w:pStyle w:val="28"/>
        <w:numPr>
          <w:ilvl w:val="0"/>
          <w:numId w:val="119"/>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lang w:eastAsia="zh-CN"/>
        </w:rPr>
        <w:t>乙方</w:t>
      </w:r>
      <w:r>
        <w:rPr>
          <w:rFonts w:hint="eastAsia" w:ascii="宋体" w:hAnsi="宋体" w:eastAsia="宋体"/>
          <w:iCs/>
          <w:color w:val="auto"/>
          <w:szCs w:val="21"/>
          <w:lang w:val="en-US" w:eastAsia="zh-CN"/>
        </w:rPr>
        <w:t>需要对投入项目的服务人员</w:t>
      </w:r>
      <w:r>
        <w:rPr>
          <w:rFonts w:hint="eastAsia" w:ascii="宋体" w:hAnsi="宋体" w:eastAsia="宋体"/>
          <w:iCs/>
          <w:color w:val="auto"/>
          <w:szCs w:val="21"/>
        </w:rPr>
        <w:t>提供培训。</w:t>
      </w:r>
    </w:p>
    <w:p w14:paraId="0A7006C4">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其他要求</w:t>
      </w:r>
    </w:p>
    <w:p w14:paraId="6AA126F1">
      <w:pPr>
        <w:pStyle w:val="28"/>
        <w:numPr>
          <w:ilvl w:val="0"/>
          <w:numId w:val="1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CN"/>
        </w:rPr>
        <w:t>乙方</w:t>
      </w:r>
      <w:r>
        <w:rPr>
          <w:rFonts w:hint="eastAsia" w:ascii="宋体" w:hAnsi="宋体" w:eastAsia="宋体"/>
          <w:iCs/>
          <w:color w:val="auto"/>
          <w:szCs w:val="21"/>
          <w:lang w:val="en-US" w:eastAsia="zh-Hans"/>
        </w:rPr>
        <w:t>应制定详细的总体服务方案，包括但不限于：社工服务需求调研，社工服务计划、社工服务工作流程与制度等，确保项目有序进行。</w:t>
      </w:r>
    </w:p>
    <w:p w14:paraId="24248EC9">
      <w:pPr>
        <w:pStyle w:val="28"/>
        <w:numPr>
          <w:ilvl w:val="0"/>
          <w:numId w:val="1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CN"/>
        </w:rPr>
        <w:t>乙方</w:t>
      </w:r>
      <w:r>
        <w:rPr>
          <w:rFonts w:hint="eastAsia" w:ascii="宋体" w:hAnsi="宋体" w:eastAsia="宋体"/>
          <w:iCs/>
          <w:color w:val="auto"/>
          <w:szCs w:val="21"/>
          <w:lang w:val="en-US" w:eastAsia="zh-Hans"/>
        </w:rPr>
        <w:t>应制定服务质量保障方案，如项目管理方案、服务进度和质量保障方案等。</w:t>
      </w:r>
    </w:p>
    <w:p w14:paraId="5EA60F8C">
      <w:pPr>
        <w:pStyle w:val="28"/>
        <w:numPr>
          <w:ilvl w:val="0"/>
          <w:numId w:val="1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CN"/>
        </w:rPr>
        <w:t>乙方</w:t>
      </w:r>
      <w:r>
        <w:rPr>
          <w:rFonts w:hint="eastAsia" w:ascii="宋体" w:hAnsi="宋体" w:eastAsia="宋体"/>
          <w:iCs/>
          <w:color w:val="auto"/>
          <w:szCs w:val="21"/>
          <w:lang w:val="en-US" w:eastAsia="zh-Hans"/>
        </w:rPr>
        <w:t>应建立健全运营管理制度，包括不限于人员管理、服务管理、行政管理等制度。</w:t>
      </w:r>
    </w:p>
    <w:p w14:paraId="434AE670">
      <w:pPr>
        <w:pStyle w:val="28"/>
        <w:numPr>
          <w:ilvl w:val="0"/>
          <w:numId w:val="1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CN"/>
        </w:rPr>
        <w:t>乙方</w:t>
      </w:r>
      <w:r>
        <w:rPr>
          <w:rFonts w:hint="eastAsia" w:ascii="宋体" w:hAnsi="宋体" w:eastAsia="宋体"/>
          <w:iCs/>
          <w:color w:val="auto"/>
          <w:szCs w:val="21"/>
          <w:lang w:val="en-US" w:eastAsia="zh-Hans"/>
        </w:rPr>
        <w:t>应根据服务对象特点、服务内容及服务要求，制定本项目的服务人员培训及考核方案，方案应包括培训计划、培训内容、考核及奖惩机制等。</w:t>
      </w:r>
    </w:p>
    <w:p w14:paraId="2DD29828">
      <w:pPr>
        <w:pStyle w:val="28"/>
        <w:numPr>
          <w:ilvl w:val="0"/>
          <w:numId w:val="120"/>
        </w:numPr>
        <w:snapToGrid w:val="0"/>
        <w:spacing w:line="360" w:lineRule="auto"/>
        <w:ind w:left="425" w:leftChars="0" w:hanging="425" w:firstLineChars="0"/>
        <w:contextualSpacing/>
        <w:rPr>
          <w:rFonts w:hint="eastAsia" w:ascii="宋体" w:hAnsi="宋体" w:eastAsia="宋体"/>
          <w:iCs/>
          <w:color w:val="auto"/>
          <w:szCs w:val="21"/>
          <w:lang w:val="en-US" w:eastAsia="zh-Hans"/>
        </w:rPr>
      </w:pPr>
      <w:r>
        <w:rPr>
          <w:rFonts w:hint="eastAsia" w:ascii="宋体" w:hAnsi="宋体" w:eastAsia="宋体"/>
          <w:iCs/>
          <w:color w:val="auto"/>
          <w:szCs w:val="21"/>
          <w:lang w:val="en-US" w:eastAsia="zh-CN"/>
        </w:rPr>
        <w:t>乙方</w:t>
      </w:r>
      <w:r>
        <w:rPr>
          <w:rFonts w:hint="eastAsia" w:ascii="宋体" w:hAnsi="宋体" w:eastAsia="宋体"/>
          <w:iCs/>
          <w:color w:val="auto"/>
          <w:szCs w:val="21"/>
          <w:lang w:val="en-US" w:eastAsia="zh-Hans"/>
        </w:rPr>
        <w:t>应制定跟踪服务、监控评估方案，定期委派专人负责跟进服务项目的开展情况，并对服务质量、服务效果进行监控评估，并反馈</w:t>
      </w:r>
      <w:r>
        <w:rPr>
          <w:rFonts w:hint="eastAsia" w:ascii="宋体" w:hAnsi="宋体" w:eastAsia="宋体"/>
          <w:iCs/>
          <w:color w:val="auto"/>
          <w:szCs w:val="21"/>
          <w:lang w:val="en-US" w:eastAsia="zh-CN"/>
        </w:rPr>
        <w:t>甲方</w:t>
      </w:r>
      <w:r>
        <w:rPr>
          <w:rFonts w:hint="eastAsia" w:ascii="宋体" w:hAnsi="宋体" w:eastAsia="宋体"/>
          <w:iCs/>
          <w:color w:val="auto"/>
          <w:szCs w:val="21"/>
          <w:lang w:val="en-US" w:eastAsia="zh-Hans"/>
        </w:rPr>
        <w:t>。</w:t>
      </w:r>
    </w:p>
    <w:p w14:paraId="5F4A3224">
      <w:pPr>
        <w:pStyle w:val="28"/>
        <w:numPr>
          <w:ilvl w:val="0"/>
          <w:numId w:val="120"/>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lang w:val="en-US" w:eastAsia="zh-Hans"/>
        </w:rPr>
        <w:t>因本项目履约过程中涉及人员众多，组成情况复杂，因此</w:t>
      </w:r>
      <w:r>
        <w:rPr>
          <w:rFonts w:hint="eastAsia" w:ascii="宋体" w:hAnsi="宋体" w:eastAsia="宋体"/>
          <w:iCs/>
          <w:color w:val="auto"/>
          <w:szCs w:val="21"/>
          <w:lang w:val="en-US" w:eastAsia="zh-CN"/>
        </w:rPr>
        <w:t>乙方</w:t>
      </w:r>
      <w:r>
        <w:rPr>
          <w:rFonts w:hint="eastAsia" w:ascii="宋体" w:hAnsi="宋体" w:eastAsia="宋体"/>
          <w:iCs/>
          <w:color w:val="auto"/>
          <w:szCs w:val="21"/>
          <w:lang w:val="en-US" w:eastAsia="zh-Hans"/>
        </w:rPr>
        <w:t>应有一套完善的应急预案，以应对各类紧急情况的预判、突发事件等履约过程中可能出现的紧急情况，为此提供迅速的应急响应和善后措施。</w:t>
      </w:r>
      <w:r>
        <w:rPr>
          <w:rFonts w:hint="eastAsia" w:ascii="宋体" w:hAnsi="宋体" w:eastAsia="宋体"/>
          <w:iCs/>
          <w:color w:val="auto"/>
          <w:szCs w:val="21"/>
          <w:lang w:val="en-US" w:eastAsia="zh-CN"/>
        </w:rPr>
        <w:t>甲方如果有临时的服务要求需要中标人提供，乙方需要在</w:t>
      </w:r>
      <w:r>
        <w:rPr>
          <w:rFonts w:hint="eastAsia" w:ascii="宋体" w:hAnsi="宋体" w:eastAsia="宋体"/>
          <w:iCs/>
          <w:color w:val="auto"/>
          <w:szCs w:val="21"/>
          <w:u w:val="single"/>
          <w:lang w:val="en-US" w:eastAsia="zh-CN"/>
        </w:rPr>
        <w:t xml:space="preserve">  </w:t>
      </w:r>
      <w:r>
        <w:rPr>
          <w:rFonts w:hint="eastAsia" w:ascii="宋体" w:hAnsi="宋体" w:eastAsia="宋体"/>
          <w:iCs/>
          <w:color w:val="auto"/>
          <w:szCs w:val="21"/>
          <w:lang w:val="en-US" w:eastAsia="zh-CN"/>
        </w:rPr>
        <w:t>小时内派项目负责人到达采购人指定地点。</w:t>
      </w:r>
    </w:p>
    <w:p w14:paraId="108585A5">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 xml:space="preserve">分包与转包 </w:t>
      </w:r>
    </w:p>
    <w:p w14:paraId="6D64D2B8">
      <w:pPr>
        <w:pStyle w:val="28"/>
        <w:numPr>
          <w:ilvl w:val="0"/>
          <w:numId w:val="121"/>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严禁转包，未经甲方书面同意不得分包</w:t>
      </w:r>
    </w:p>
    <w:p w14:paraId="4FF4DD7F">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违约责任</w:t>
      </w:r>
    </w:p>
    <w:p w14:paraId="7FE22654">
      <w:pPr>
        <w:pStyle w:val="33"/>
        <w:numPr>
          <w:ilvl w:val="0"/>
          <w:numId w:val="122"/>
        </w:numPr>
        <w:tabs>
          <w:tab w:val="left" w:pos="840"/>
        </w:tabs>
        <w:ind w:firstLineChars="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乙方违反合同及招标文件约定的有关义务，对甲方造成经济损失的，应给予甲方经济赔偿；如造成重大损失的，甲方有权终止合同。</w:t>
      </w:r>
    </w:p>
    <w:p w14:paraId="21E55283">
      <w:pPr>
        <w:pStyle w:val="33"/>
        <w:numPr>
          <w:ilvl w:val="0"/>
          <w:numId w:val="122"/>
        </w:numPr>
        <w:tabs>
          <w:tab w:val="left" w:pos="840"/>
        </w:tabs>
        <w:ind w:firstLineChars="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除合同规定外，如果乙方没有按照合同规定的时间交付或完成，甲方可要求乙方支付违约金。从逾期之日起每日按本合同总价</w:t>
      </w:r>
      <w:r>
        <w:rPr>
          <w:rFonts w:hint="eastAsia" w:ascii="宋体" w:hAnsi="宋体" w:cs="Times New Roman"/>
          <w:color w:val="000000" w:themeColor="text1"/>
          <w:szCs w:val="21"/>
          <w:u w:val="single"/>
          <w14:textFill>
            <w14:solidFill>
              <w14:schemeClr w14:val="tx1"/>
            </w14:solidFill>
          </w14:textFill>
        </w:rPr>
        <w:t xml:space="preserve"> 3 </w:t>
      </w:r>
      <w:r>
        <w:rPr>
          <w:rFonts w:hint="eastAsia" w:ascii="宋体" w:hAnsi="宋体" w:cs="Times New Roman"/>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的数额向甲方支付违约金；逾期15天或以上的，甲方有权终止合同，要求乙方一次性支付合同总金额</w:t>
      </w:r>
      <w:r>
        <w:rPr>
          <w:rFonts w:hint="eastAsia" w:ascii="宋体" w:hAnsi="宋体"/>
          <w:color w:val="000000" w:themeColor="text1"/>
          <w:szCs w:val="21"/>
          <w:u w:val="single"/>
          <w14:textFill>
            <w14:solidFill>
              <w14:schemeClr w14:val="tx1"/>
            </w14:solidFill>
          </w14:textFill>
        </w:rPr>
        <w:t xml:space="preserve"> 20 %</w:t>
      </w:r>
      <w:r>
        <w:rPr>
          <w:rFonts w:hint="eastAsia" w:ascii="宋体" w:hAnsi="宋体"/>
          <w:color w:val="000000" w:themeColor="text1"/>
          <w:szCs w:val="21"/>
          <w14:textFill>
            <w14:solidFill>
              <w14:schemeClr w14:val="tx1"/>
            </w14:solidFill>
          </w14:textFill>
        </w:rPr>
        <w:t>违约金，并且给甲方造成的经济损失由乙方承担赔偿责任。</w:t>
      </w:r>
    </w:p>
    <w:p w14:paraId="759B37F0">
      <w:pPr>
        <w:pStyle w:val="33"/>
        <w:numPr>
          <w:ilvl w:val="0"/>
          <w:numId w:val="122"/>
        </w:numPr>
        <w:tabs>
          <w:tab w:val="left" w:pos="840"/>
        </w:tabs>
        <w:ind w:firstLineChars="0"/>
        <w:rPr>
          <w:rFonts w:hint="eastAsia" w:ascii="宋体" w:hAnsi="宋体"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因乙方原因导致本合同解除或是无法履行的，乙方应向甲方支付合同总价</w:t>
      </w:r>
      <w:r>
        <w:rPr>
          <w:rFonts w:hint="eastAsia" w:ascii="宋体" w:hAnsi="宋体" w:cstheme="minorBidi"/>
          <w:color w:val="000000" w:themeColor="text1"/>
          <w:szCs w:val="21"/>
          <w:u w:val="single"/>
          <w14:textFill>
            <w14:solidFill>
              <w14:schemeClr w14:val="tx1"/>
            </w14:solidFill>
          </w14:textFill>
        </w:rPr>
        <w:t xml:space="preserve"> 20 %</w:t>
      </w:r>
      <w:r>
        <w:rPr>
          <w:rFonts w:hint="eastAsia" w:ascii="宋体" w:hAnsi="宋体" w:cstheme="minorBidi"/>
          <w:color w:val="000000" w:themeColor="text1"/>
          <w:szCs w:val="21"/>
          <w14:textFill>
            <w14:solidFill>
              <w14:schemeClr w14:val="tx1"/>
            </w14:solidFill>
          </w14:textFill>
        </w:rPr>
        <w:t>的违约金，并且给甲方造成的经济损失由乙方承担赔偿责任。</w:t>
      </w:r>
    </w:p>
    <w:p w14:paraId="5EBDF5E9">
      <w:pPr>
        <w:pStyle w:val="33"/>
        <w:numPr>
          <w:ilvl w:val="0"/>
          <w:numId w:val="122"/>
        </w:numPr>
        <w:tabs>
          <w:tab w:val="left" w:pos="840"/>
        </w:tabs>
        <w:ind w:firstLineChars="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甲方有权从未支付的款项或是履约保证金中直接扣除乙方的违约金，不足的部分由乙方另行补足。</w:t>
      </w:r>
    </w:p>
    <w:p w14:paraId="388FD213">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争议的解决办法</w:t>
      </w:r>
    </w:p>
    <w:p w14:paraId="007AE1FF">
      <w:pPr>
        <w:numPr>
          <w:ilvl w:val="0"/>
          <w:numId w:val="123"/>
        </w:num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凡与本合同有关而引起的一切争议，甲乙双方应首先通过友好协商解决，如经协商后仍不能达成协议时，任何一方可以向法院提出诉讼。</w:t>
      </w:r>
    </w:p>
    <w:p w14:paraId="053CA4DE">
      <w:pPr>
        <w:numPr>
          <w:ilvl w:val="0"/>
          <w:numId w:val="123"/>
        </w:num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本合同发生的诉讼管辖地为东莞市有管辖权的法院。</w:t>
      </w:r>
    </w:p>
    <w:p w14:paraId="028D9918">
      <w:pPr>
        <w:numPr>
          <w:ilvl w:val="0"/>
          <w:numId w:val="123"/>
        </w:num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在进行法院审理期间，除提交法院审理的事项外，合同其他部分仍继续履行。</w:t>
      </w:r>
    </w:p>
    <w:p w14:paraId="0D36CE6C">
      <w:pPr>
        <w:numPr>
          <w:ilvl w:val="0"/>
          <w:numId w:val="123"/>
        </w:num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本合同按照中华人民共和国的法律进行解释。</w:t>
      </w:r>
    </w:p>
    <w:p w14:paraId="0A99CF3F">
      <w:pPr>
        <w:pStyle w:val="28"/>
        <w:numPr>
          <w:ilvl w:val="0"/>
          <w:numId w:val="10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不可抗力</w:t>
      </w:r>
    </w:p>
    <w:p w14:paraId="49B059E6">
      <w:pPr>
        <w:numPr>
          <w:ilvl w:val="0"/>
          <w:numId w:val="124"/>
        </w:num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124"/>
        </w:num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8"/>
        <w:numPr>
          <w:ilvl w:val="0"/>
          <w:numId w:val="105"/>
        </w:numPr>
        <w:tabs>
          <w:tab w:val="left" w:pos="567"/>
        </w:tabs>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合同生效</w:t>
      </w:r>
    </w:p>
    <w:p w14:paraId="08401146">
      <w:pPr>
        <w:pStyle w:val="28"/>
        <w:numPr>
          <w:ilvl w:val="0"/>
          <w:numId w:val="125"/>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本合同由双方法定代表人或委托代理人签字盖章后立即生效，具有同等法律效力，服务期为合同签订日至</w:t>
      </w:r>
      <w:r>
        <w:rPr>
          <w:rFonts w:hint="eastAsia" w:ascii="宋体" w:hAnsi="宋体" w:eastAsia="宋体"/>
          <w:color w:val="000000" w:themeColor="text1"/>
          <w:szCs w:val="21"/>
          <w:u w:val="single"/>
          <w14:textFill>
            <w14:solidFill>
              <w14:schemeClr w14:val="tx1"/>
            </w14:solidFill>
          </w14:textFill>
        </w:rPr>
        <w:t xml:space="preserve">      年    月    日</w:t>
      </w:r>
      <w:r>
        <w:rPr>
          <w:rFonts w:hint="eastAsia" w:ascii="宋体" w:hAnsi="宋体" w:eastAsia="宋体"/>
          <w:color w:val="000000" w:themeColor="text1"/>
          <w:szCs w:val="21"/>
          <w14:textFill>
            <w14:solidFill>
              <w14:schemeClr w14:val="tx1"/>
            </w14:solidFill>
          </w14:textFill>
        </w:rPr>
        <w:t>，合同有效期随服务期结束而自然终止；</w:t>
      </w:r>
    </w:p>
    <w:p w14:paraId="1CE35990">
      <w:pPr>
        <w:pStyle w:val="28"/>
        <w:numPr>
          <w:ilvl w:val="0"/>
          <w:numId w:val="125"/>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本合同一式</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份，其中甲方</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份、乙方</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份，采购代理机构</w:t>
      </w:r>
      <w:r>
        <w:rPr>
          <w:rFonts w:hint="eastAsia" w:ascii="宋体" w:hAnsi="宋体" w:eastAsia="宋体"/>
          <w:color w:val="000000" w:themeColor="text1"/>
          <w:szCs w:val="21"/>
          <w:u w:val="single"/>
          <w14:textFill>
            <w14:solidFill>
              <w14:schemeClr w14:val="tx1"/>
            </w14:solidFill>
          </w14:textFill>
        </w:rPr>
        <w:t xml:space="preserve">  壹  </w:t>
      </w:r>
      <w:r>
        <w:rPr>
          <w:rFonts w:hint="eastAsia" w:ascii="宋体" w:hAnsi="宋体" w:eastAsia="宋体"/>
          <w:color w:val="000000" w:themeColor="text1"/>
          <w:szCs w:val="21"/>
          <w14:textFill>
            <w14:solidFill>
              <w14:schemeClr w14:val="tx1"/>
            </w14:solidFill>
          </w14:textFill>
        </w:rPr>
        <w:t>份（须在合同签订之日起5个工作日内递交）</w:t>
      </w:r>
    </w:p>
    <w:p w14:paraId="58EFA674">
      <w:pPr>
        <w:pStyle w:val="28"/>
        <w:numPr>
          <w:ilvl w:val="0"/>
          <w:numId w:val="105"/>
        </w:numPr>
        <w:tabs>
          <w:tab w:val="left" w:pos="567"/>
        </w:tabs>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其它</w:t>
      </w:r>
    </w:p>
    <w:p w14:paraId="7CD1925E">
      <w:pPr>
        <w:pStyle w:val="28"/>
        <w:numPr>
          <w:ilvl w:val="0"/>
          <w:numId w:val="126"/>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本合同未尽事宜，双方可签订补充合同，补充合同与所有附件均为合同的有效组成部分，与本合同具有同等法律效力；</w:t>
      </w:r>
    </w:p>
    <w:p w14:paraId="0EE92560">
      <w:pPr>
        <w:pStyle w:val="28"/>
        <w:numPr>
          <w:ilvl w:val="0"/>
          <w:numId w:val="126"/>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在执行本合同的过程中，所有经甲乙双方签署确认的文件（包括会议纪要、补充协议、往来信函、合同附件等）即成为本合同的有效组成部分，其生效日期为双方签字盖章或确认之日期；</w:t>
      </w:r>
    </w:p>
    <w:p w14:paraId="214B85DB">
      <w:pPr>
        <w:pStyle w:val="28"/>
        <w:numPr>
          <w:ilvl w:val="0"/>
          <w:numId w:val="126"/>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本合同合计</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页A4纸张，缺页之合同为无效合同。</w:t>
      </w:r>
    </w:p>
    <w:p w14:paraId="695ADBF4">
      <w:pPr>
        <w:rPr>
          <w:rFonts w:hint="eastAsia" w:ascii="宋体" w:hAnsi="宋体" w:eastAsia="宋体"/>
          <w:color w:val="000000" w:themeColor="text1"/>
          <w:szCs w:val="21"/>
          <w14:textFill>
            <w14:solidFill>
              <w14:schemeClr w14:val="tx1"/>
            </w14:solidFill>
          </w14:textFill>
        </w:rPr>
      </w:pPr>
    </w:p>
    <w:p w14:paraId="5DB4FEB9">
      <w:pPr>
        <w:rPr>
          <w:rFonts w:hint="eastAsia" w:ascii="宋体" w:hAnsi="宋体" w:eastAsia="宋体"/>
          <w:color w:val="000000" w:themeColor="text1"/>
          <w:szCs w:val="21"/>
          <w14:textFill>
            <w14:solidFill>
              <w14:schemeClr w14:val="tx1"/>
            </w14:solidFill>
          </w14:textFill>
        </w:rPr>
      </w:pPr>
    </w:p>
    <w:p w14:paraId="039CEC4E">
      <w:pPr>
        <w:rPr>
          <w:rFonts w:hint="eastAsia" w:ascii="宋体" w:hAnsi="宋体" w:eastAsia="宋体"/>
          <w:color w:val="000000" w:themeColor="text1"/>
          <w:szCs w:val="21"/>
          <w14:textFill>
            <w14:solidFill>
              <w14:schemeClr w14:val="tx1"/>
            </w14:solidFill>
          </w14:textFill>
        </w:rPr>
      </w:pP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甲方（盖章）：</w:t>
            </w:r>
          </w:p>
        </w:tc>
        <w:tc>
          <w:tcPr>
            <w:tcW w:w="2500" w:type="pct"/>
          </w:tcPr>
          <w:p w14:paraId="58DD2132">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甲方代表人(签字)：</w:t>
            </w:r>
          </w:p>
        </w:tc>
        <w:tc>
          <w:tcPr>
            <w:tcW w:w="2500" w:type="pct"/>
          </w:tcPr>
          <w:p w14:paraId="25C6E012">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c>
          <w:tcPr>
            <w:tcW w:w="2500" w:type="pct"/>
          </w:tcPr>
          <w:p w14:paraId="69401703">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c>
          <w:tcPr>
            <w:tcW w:w="2500" w:type="pct"/>
          </w:tcPr>
          <w:p w14:paraId="4878389F">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c>
          <w:tcPr>
            <w:tcW w:w="2500" w:type="pct"/>
          </w:tcPr>
          <w:p w14:paraId="3B614B20">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c>
          <w:tcPr>
            <w:tcW w:w="2500" w:type="pct"/>
          </w:tcPr>
          <w:p w14:paraId="6CC75BE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c>
          <w:tcPr>
            <w:tcW w:w="2500" w:type="pct"/>
          </w:tcPr>
          <w:p w14:paraId="212B9EE4">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c>
          <w:tcPr>
            <w:tcW w:w="2500" w:type="pct"/>
          </w:tcPr>
          <w:p w14:paraId="0165282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r>
    </w:tbl>
    <w:p w14:paraId="4F12B076">
      <w:pPr>
        <w:rPr>
          <w:rFonts w:hint="eastAsia" w:ascii="宋体" w:hAnsi="宋体" w:eastAsia="宋体"/>
          <w:szCs w:val="21"/>
        </w:rPr>
      </w:pPr>
    </w:p>
    <w:p w14:paraId="25BCF961">
      <w:pPr>
        <w:rPr>
          <w:rFonts w:hint="eastAsia"/>
        </w:rPr>
      </w:pPr>
      <w:r>
        <w:rPr>
          <w:rFonts w:hint="eastAsia"/>
        </w:rPr>
        <w:br w:type="page"/>
      </w:r>
    </w:p>
    <w:p w14:paraId="523195B7">
      <w:pPr>
        <w:keepNext w:val="0"/>
        <w:keepLines w:val="0"/>
        <w:pageBreakBefore w:val="0"/>
        <w:widowControl w:val="0"/>
        <w:kinsoku/>
        <w:wordWrap/>
        <w:overflowPunct/>
        <w:topLinePunct w:val="0"/>
        <w:autoSpaceDE/>
        <w:autoSpaceDN/>
        <w:bidi w:val="0"/>
        <w:adjustRightInd/>
        <w:snapToGrid/>
        <w:spacing w:before="437" w:beforeLines="100" w:after="437" w:afterLines="100"/>
        <w:jc w:val="center"/>
        <w:textAlignment w:val="auto"/>
        <w:rPr>
          <w:rFonts w:hint="default" w:ascii="宋体" w:hAnsi="宋体" w:eastAsia="宋体" w:cstheme="minorBidi"/>
          <w:b/>
          <w:bCs/>
          <w:color w:val="000000" w:themeColor="text1"/>
          <w:sz w:val="32"/>
          <w:szCs w:val="32"/>
          <w:lang w:val="en-US" w:eastAsia="zh-CN"/>
          <w14:textFill>
            <w14:solidFill>
              <w14:schemeClr w14:val="tx1"/>
            </w14:solidFill>
          </w14:textFill>
        </w:rPr>
      </w:pPr>
      <w:r>
        <w:rPr>
          <w:rFonts w:hint="eastAsia" w:ascii="宋体" w:hAnsi="宋体" w:eastAsia="宋体" w:cstheme="minorBidi"/>
          <w:b/>
          <w:bCs/>
          <w:color w:val="000000" w:themeColor="text1"/>
          <w:sz w:val="32"/>
          <w:szCs w:val="32"/>
          <w:lang w:val="en-US" w:eastAsia="zh-CN"/>
          <w14:textFill>
            <w14:solidFill>
              <w14:schemeClr w14:val="tx1"/>
            </w14:solidFill>
          </w14:textFill>
        </w:rPr>
        <w:t>合同模板（包组2）</w:t>
      </w:r>
    </w:p>
    <w:p w14:paraId="1920964C">
      <w:pPr>
        <w:keepLines/>
        <w:spacing w:line="360" w:lineRule="auto"/>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甲方（采购人）：</w:t>
      </w:r>
      <w:r>
        <w:rPr>
          <w:rFonts w:hint="eastAsia" w:ascii="宋体" w:hAnsi="宋体" w:eastAsia="宋体" w:cstheme="minorBidi"/>
          <w:color w:val="000000" w:themeColor="text1"/>
          <w:szCs w:val="21"/>
          <w:u w:val="single"/>
          <w14:textFill>
            <w14:solidFill>
              <w14:schemeClr w14:val="tx1"/>
            </w14:solidFill>
          </w14:textFill>
        </w:rPr>
        <w:t xml:space="preserve">                          </w:t>
      </w:r>
    </w:p>
    <w:p w14:paraId="3E7B215B">
      <w:pPr>
        <w:spacing w:line="360" w:lineRule="auto"/>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乙方（中标人）：</w:t>
      </w:r>
      <w:r>
        <w:rPr>
          <w:rFonts w:hint="eastAsia" w:ascii="宋体" w:hAnsi="宋体" w:eastAsia="宋体" w:cstheme="minorBidi"/>
          <w:color w:val="000000" w:themeColor="text1"/>
          <w:szCs w:val="21"/>
          <w:u w:val="single"/>
          <w14:textFill>
            <w14:solidFill>
              <w14:schemeClr w14:val="tx1"/>
            </w14:solidFill>
          </w14:textFill>
        </w:rPr>
        <w:t xml:space="preserve">                          </w:t>
      </w:r>
    </w:p>
    <w:p w14:paraId="697763C1">
      <w:pPr>
        <w:ind w:firstLine="420" w:firstLineChars="200"/>
        <w:rPr>
          <w:rFonts w:hint="eastAsia" w:ascii="宋体" w:hAnsi="宋体" w:eastAsia="宋体" w:cstheme="minorBidi"/>
          <w:color w:val="auto"/>
          <w:szCs w:val="21"/>
        </w:rPr>
      </w:pPr>
      <w:r>
        <w:rPr>
          <w:rFonts w:hint="eastAsia" w:ascii="宋体" w:hAnsi="宋体" w:eastAsia="宋体" w:cs="Times New Roman"/>
          <w:color w:val="auto"/>
          <w:szCs w:val="21"/>
        </w:rPr>
        <w:t>根据《中华人民共和国民法典》及招标文件、中标通知书等相关资料的要求，经双方协商一致，签订本合同，共同遵守如下条款</w:t>
      </w:r>
      <w:r>
        <w:rPr>
          <w:rFonts w:hint="eastAsia" w:ascii="宋体" w:hAnsi="宋体" w:eastAsia="宋体" w:cstheme="minorBidi"/>
          <w:color w:val="auto"/>
          <w:szCs w:val="21"/>
        </w:rPr>
        <w:t>。</w:t>
      </w:r>
    </w:p>
    <w:p w14:paraId="7D669E4F">
      <w:pPr>
        <w:pStyle w:val="28"/>
        <w:widowControl w:val="0"/>
        <w:numPr>
          <w:ilvl w:val="0"/>
          <w:numId w:val="127"/>
        </w:numPr>
        <w:ind w:firstLineChars="0"/>
        <w:jc w:val="both"/>
        <w:rPr>
          <w:rFonts w:hint="eastAsia" w:ascii="宋体" w:hAnsi="宋体" w:eastAsia="宋体" w:cstheme="minorBidi"/>
          <w:b/>
          <w:bCs/>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合同项目</w:t>
      </w:r>
    </w:p>
    <w:p w14:paraId="1DEFDD0D">
      <w:pPr>
        <w:pStyle w:val="28"/>
        <w:widowControl w:val="0"/>
        <w:numPr>
          <w:ilvl w:val="0"/>
          <w:numId w:val="128"/>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项目名称：</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（详见投标邀请）         </w:t>
      </w:r>
    </w:p>
    <w:p w14:paraId="258EF903">
      <w:pPr>
        <w:pStyle w:val="28"/>
        <w:widowControl w:val="0"/>
        <w:numPr>
          <w:ilvl w:val="0"/>
          <w:numId w:val="128"/>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项目编号：</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（详见投标邀请）        </w:t>
      </w:r>
    </w:p>
    <w:p w14:paraId="32F469F1">
      <w:pPr>
        <w:pStyle w:val="28"/>
        <w:widowControl w:val="0"/>
        <w:numPr>
          <w:ilvl w:val="0"/>
          <w:numId w:val="128"/>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u w:val="none"/>
          <w:lang w:val="en-US" w:eastAsia="zh-CN" w:bidi="ar-SA"/>
          <w14:textFill>
            <w14:solidFill>
              <w14:schemeClr w14:val="tx1"/>
            </w14:solidFill>
          </w14:textFill>
        </w:rPr>
        <w:t>包组号：</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p>
    <w:p w14:paraId="53EB73B9">
      <w:pPr>
        <w:pStyle w:val="28"/>
        <w:widowControl w:val="0"/>
        <w:numPr>
          <w:ilvl w:val="0"/>
          <w:numId w:val="128"/>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u w:val="none"/>
          <w:lang w:val="en-US" w:eastAsia="zh-CN" w:bidi="ar-SA"/>
          <w14:textFill>
            <w14:solidFill>
              <w14:schemeClr w14:val="tx1"/>
            </w14:solidFill>
          </w14:textFill>
        </w:rPr>
        <w:t>服务地点：</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p>
    <w:p w14:paraId="195237FE">
      <w:pPr>
        <w:pStyle w:val="28"/>
        <w:widowControl w:val="0"/>
        <w:numPr>
          <w:ilvl w:val="0"/>
          <w:numId w:val="127"/>
        </w:numPr>
        <w:ind w:firstLineChars="0"/>
        <w:jc w:val="both"/>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项目概况</w:t>
      </w:r>
    </w:p>
    <w:p w14:paraId="628C1858">
      <w:pPr>
        <w:pStyle w:val="28"/>
        <w:numPr>
          <w:ilvl w:val="0"/>
          <w:numId w:val="129"/>
        </w:numPr>
        <w:snapToGrid w:val="0"/>
        <w:spacing w:line="360" w:lineRule="auto"/>
        <w:ind w:left="420" w:leftChars="0" w:hanging="420" w:firstLineChars="0"/>
        <w:contextualSpacing/>
        <w:rPr>
          <w:rFonts w:hint="eastAsia" w:ascii="宋体" w:hAnsi="宋体" w:eastAsia="宋体"/>
          <w:b w:val="0"/>
          <w:bCs/>
          <w:szCs w:val="21"/>
        </w:rPr>
      </w:pPr>
      <w:r>
        <w:rPr>
          <w:rFonts w:hint="eastAsia" w:ascii="宋体" w:hAnsi="宋体" w:eastAsia="宋体"/>
          <w:b w:val="0"/>
          <w:bCs/>
          <w:szCs w:val="21"/>
        </w:rPr>
        <w:t>“童参与 共传承”浮竹山青少年传统文化研学体验项目</w:t>
      </w:r>
    </w:p>
    <w:p w14:paraId="021EFCC0">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lang w:val="en-US" w:eastAsia="zh-CN"/>
        </w:rPr>
        <w:t>持续壮大社区小小文化导赏志愿服务队，持续培育社区青少年儿童了解传承本社区文化的基础下，融入非遗文化活动传承体验，通过认识、体验、参观、分享的方式，积极营造知晓传统文化，传承和弘扬非遗的浓厚文化氛围，让传统文化融入青少年的日常生活，培养他们对传统文化的认同感，从小增强保护传统文化的意识，提高保护传承水平，增强民族自信心和凝聚力。</w:t>
      </w:r>
    </w:p>
    <w:p w14:paraId="36105EB1">
      <w:pPr>
        <w:pStyle w:val="28"/>
        <w:numPr>
          <w:ilvl w:val="0"/>
          <w:numId w:val="129"/>
        </w:numPr>
        <w:snapToGrid w:val="0"/>
        <w:spacing w:line="360" w:lineRule="auto"/>
        <w:ind w:left="420" w:leftChars="0" w:hanging="420" w:firstLineChars="0"/>
        <w:contextualSpacing/>
        <w:rPr>
          <w:rFonts w:hint="eastAsia" w:ascii="宋体" w:hAnsi="宋体" w:eastAsia="宋体"/>
          <w:b w:val="0"/>
          <w:bCs/>
          <w:szCs w:val="21"/>
        </w:rPr>
      </w:pPr>
      <w:r>
        <w:rPr>
          <w:rFonts w:hint="eastAsia" w:ascii="宋体" w:hAnsi="宋体" w:eastAsia="宋体"/>
          <w:b w:val="0"/>
          <w:bCs/>
          <w:szCs w:val="21"/>
          <w:lang w:val="en-US" w:eastAsia="zh-CN"/>
        </w:rPr>
        <w:t>“小手拉大手 美化环境齐动手”—社区环境美化项目</w:t>
      </w:r>
    </w:p>
    <w:p w14:paraId="60F8C39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lang w:val="en-US" w:eastAsia="zh-CN"/>
        </w:rPr>
        <w:t>以社区环境治理为切入点，通过“小手牵大手”，在社区招募培育以儿童青少年为主体的“家园美化小天使”志愿服务队和以青年为主体的“天使之翼”志愿服务队，开展以社区环境美化、文明倡导、节能减碳等为主要内容的美化家园系列服务，共创美好环境、共建美好家园。</w:t>
      </w:r>
    </w:p>
    <w:p w14:paraId="0A9580D5">
      <w:pPr>
        <w:pStyle w:val="28"/>
        <w:numPr>
          <w:ilvl w:val="0"/>
          <w:numId w:val="129"/>
        </w:numPr>
        <w:snapToGrid w:val="0"/>
        <w:spacing w:line="360" w:lineRule="auto"/>
        <w:ind w:left="420" w:leftChars="0" w:hanging="420" w:firstLineChars="0"/>
        <w:contextualSpacing/>
        <w:rPr>
          <w:rFonts w:hint="eastAsia" w:ascii="宋体" w:hAnsi="宋体" w:eastAsia="宋体"/>
          <w:b w:val="0"/>
          <w:bCs/>
          <w:szCs w:val="21"/>
        </w:rPr>
      </w:pPr>
      <w:r>
        <w:rPr>
          <w:rFonts w:hint="eastAsia" w:ascii="宋体" w:hAnsi="宋体" w:eastAsia="宋体"/>
          <w:b w:val="0"/>
          <w:bCs/>
          <w:szCs w:val="21"/>
        </w:rPr>
        <w:t>手“竹”情深—社区共融项目</w:t>
      </w:r>
    </w:p>
    <w:p w14:paraId="3D7CE1BD">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lang w:val="en-US" w:eastAsia="zh-CN"/>
        </w:rPr>
        <w:t>为增强居民社区认同感，引导并提升起参与社区治理的积极性，促进社区居民共融、互助，浮竹山社综结合社区实际与居民需求，开展本项目计划。该项目主要以辖区老年人、妇女、亲子家庭、志愿者四个不同群体为服务对象，通过“聚·一耆”“庆·家节”“传·家情”“义·家人”四大方面开展社区共融服务，提高社区居民社会交往能力，个人能力，家庭关系和谐，志愿服务精神，加强居民对社区的认同感，社区居民共融，齐心共建一个温馨融洽和谐的社区。</w:t>
      </w:r>
    </w:p>
    <w:p w14:paraId="69F01FBB">
      <w:pPr>
        <w:pStyle w:val="28"/>
        <w:widowControl w:val="0"/>
        <w:numPr>
          <w:ilvl w:val="0"/>
          <w:numId w:val="127"/>
        </w:numPr>
        <w:ind w:firstLineChars="0"/>
        <w:jc w:val="both"/>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t>运营目标</w:t>
      </w:r>
    </w:p>
    <w:p w14:paraId="2F44D8C7">
      <w:pPr>
        <w:pStyle w:val="28"/>
        <w:numPr>
          <w:ilvl w:val="0"/>
          <w:numId w:val="13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“童参与 共传承”浮竹山青少年传统文化研学体验项目</w:t>
      </w:r>
    </w:p>
    <w:p w14:paraId="6E00125D">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让优秀传统文化在社区内继续传播，同时借浮竹山村发展乡村文化振兴契机，让青少年儿童及居民了解到社区乡村发展前后的对比，同时自己也参与其中，为乡村振兴作出贡献，增强居民的社区服务参与感，从而增强社区文化认同感。</w:t>
      </w:r>
    </w:p>
    <w:p w14:paraId="6A5CDAB6">
      <w:pPr>
        <w:pStyle w:val="28"/>
        <w:numPr>
          <w:ilvl w:val="0"/>
          <w:numId w:val="13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“小手拉大手 美化环境齐动手”—社区环境美化项目</w:t>
      </w:r>
    </w:p>
    <w:p w14:paraId="705F6C9B">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浮竹山村正大力发展乡村振兴文化，美化家园是其中非常重要的一环，以增进社区青少年以及居民参与社区文化建设、社区环境保护为目的，在参与中亲身体验与观察社区的变化、在乡村振兴方面作出的努力，提高居民对社区的认同感和对社区建设的参与感，共建美好绿色家园。</w:t>
      </w:r>
    </w:p>
    <w:p w14:paraId="15198C05">
      <w:pPr>
        <w:pStyle w:val="28"/>
        <w:numPr>
          <w:ilvl w:val="0"/>
          <w:numId w:val="13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手“竹”情深—社区共融项目</w:t>
      </w:r>
    </w:p>
    <w:p w14:paraId="14764610">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通过社区文化活动的开展为长者提供，在一个社会参与的平台，使得老年人的日常生活空间得以扩大、休闲娱乐活动得以拓展、精神生活得到填补。丰富长者的晚年生活，倡导社区关爱老人，形成和谐的社区氛围。拓展社区的不同群体的交际圈子，促进了不同年龄层、家庭间的融合，以达致和谐、互助社区的建设。</w:t>
      </w:r>
    </w:p>
    <w:p w14:paraId="009C7982">
      <w:pPr>
        <w:pStyle w:val="28"/>
        <w:widowControl w:val="0"/>
        <w:numPr>
          <w:ilvl w:val="0"/>
          <w:numId w:val="127"/>
        </w:numPr>
        <w:ind w:firstLineChars="0"/>
        <w:jc w:val="both"/>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b/>
          <w:bCs/>
          <w:color w:val="auto"/>
          <w:kern w:val="2"/>
          <w:sz w:val="21"/>
          <w:szCs w:val="21"/>
          <w:lang w:val="en-US" w:eastAsia="zh-CN" w:bidi="ar-SA"/>
        </w:rPr>
        <w:t>服务内容</w:t>
      </w:r>
    </w:p>
    <w:p w14:paraId="1C9BD638">
      <w:pPr>
        <w:pStyle w:val="28"/>
        <w:widowControl/>
        <w:numPr>
          <w:ilvl w:val="0"/>
          <w:numId w:val="131"/>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“童参与 共传承”浮竹山青少年传统文化研学体验项目</w:t>
      </w:r>
    </w:p>
    <w:p w14:paraId="4A041103">
      <w:pPr>
        <w:pStyle w:val="28"/>
        <w:widowControl/>
        <w:numPr>
          <w:ilvl w:val="0"/>
          <w:numId w:val="132"/>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寻迹“香市”课堂</w:t>
      </w:r>
    </w:p>
    <w:p w14:paraId="50AFD2ED">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①开展寻迹香市，探寻寮步经典文化路线，寮步豆酱园、寮步沉香博物馆、寮步牙香街，领略香市文化。</w:t>
      </w:r>
    </w:p>
    <w:p w14:paraId="491BD1D2">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rPr>
      </w:pPr>
      <w:r>
        <w:rPr>
          <w:rFonts w:hint="eastAsia" w:ascii="宋体" w:hAnsi="宋体" w:eastAsia="宋体" w:cs="Times New Roman"/>
          <w:color w:val="000000"/>
          <w:kern w:val="2"/>
          <w:sz w:val="21"/>
          <w:szCs w:val="21"/>
          <w:highlight w:val="none"/>
          <w:lang w:val="en-US" w:eastAsia="zh-CN" w:bidi="ar-SA"/>
        </w:rPr>
        <w:t>②开展寮步传统手艺传承学习体验活动，如体验老耳水、艾角等传统美食制作,体验舌尖上的香市文化。</w:t>
      </w:r>
    </w:p>
    <w:p w14:paraId="6A3916DD">
      <w:pPr>
        <w:pStyle w:val="28"/>
        <w:widowControl/>
        <w:numPr>
          <w:ilvl w:val="0"/>
          <w:numId w:val="132"/>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探寻“非遗文化”课堂</w:t>
      </w:r>
    </w:p>
    <w:p w14:paraId="2D827F0C">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①体验中国传统技艺，如造纸术、扎染、</w:t>
      </w:r>
      <w:r>
        <w:rPr>
          <w:rFonts w:hint="eastAsia" w:ascii="宋体" w:hAnsi="宋体" w:eastAsia="宋体" w:cs="Times New Roman"/>
          <w:color w:val="000000"/>
          <w:kern w:val="2"/>
          <w:sz w:val="21"/>
          <w:szCs w:val="22"/>
          <w:highlight w:val="none"/>
          <w:lang w:val="en-US" w:eastAsia="zh-CN" w:bidi="ar-SA"/>
        </w:rPr>
        <w:t>中国结、油纸伞等非遗传统文化，根植中华优秀传统文化的渊源，感受传统文化蕴含的人文精神，树立文化自信，培养优秀人格。</w:t>
      </w:r>
    </w:p>
    <w:p w14:paraId="2A06DE73">
      <w:pPr>
        <w:pStyle w:val="28"/>
        <w:widowControl/>
        <w:numPr>
          <w:ilvl w:val="0"/>
          <w:numId w:val="132"/>
        </w:numPr>
        <w:snapToGrid w:val="0"/>
        <w:spacing w:line="360" w:lineRule="auto"/>
        <w:ind w:left="425" w:leftChars="0" w:hanging="425" w:firstLineChars="0"/>
        <w:contextualSpacing/>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“志愿践行，知行合一”课堂</w:t>
      </w:r>
    </w:p>
    <w:p w14:paraId="7E07011A">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①开展社区文化体验节，大力传播社区文化。</w:t>
      </w:r>
    </w:p>
    <w:p w14:paraId="17D92E35">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2"/>
          <w:highlight w:val="none"/>
          <w:lang w:val="en-US" w:eastAsia="zh-CN" w:bidi="ar-SA"/>
        </w:rPr>
      </w:pPr>
      <w:r>
        <w:rPr>
          <w:rFonts w:hint="eastAsia" w:ascii="宋体" w:hAnsi="宋体" w:eastAsia="宋体" w:cs="Times New Roman"/>
          <w:color w:val="000000"/>
          <w:kern w:val="2"/>
          <w:sz w:val="21"/>
          <w:szCs w:val="22"/>
          <w:highlight w:val="none"/>
          <w:lang w:val="en-US" w:eastAsia="zh-CN" w:bidi="ar-SA"/>
        </w:rPr>
        <w:t>②践行在传统优秀文化课堂学习到的内容和精神，积极参与社区公益服务，营造传承和弘扬优秀传统文化的社区文化氛围。</w:t>
      </w:r>
    </w:p>
    <w:p w14:paraId="1643B9D1">
      <w:pPr>
        <w:pStyle w:val="28"/>
        <w:widowControl/>
        <w:numPr>
          <w:ilvl w:val="0"/>
          <w:numId w:val="131"/>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“小手拉大手 美化环境齐动手”—社区环境美化项目</w:t>
      </w:r>
    </w:p>
    <w:p w14:paraId="7F892693">
      <w:pPr>
        <w:pStyle w:val="28"/>
        <w:widowControl/>
        <w:numPr>
          <w:ilvl w:val="0"/>
          <w:numId w:val="133"/>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社区美化服务</w:t>
      </w:r>
    </w:p>
    <w:p w14:paraId="1CA76E46">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开展开展墙绘、增添标识牌、绿植美化、井盖涂鸦等社区美化活动，用实际行动美化社区环境，提升社区居民“自己家园自己建设，自己家园自己维护”的意识，共同建设美好家园。</w:t>
      </w:r>
    </w:p>
    <w:p w14:paraId="1E64F6FF">
      <w:pPr>
        <w:pStyle w:val="28"/>
        <w:widowControl/>
        <w:numPr>
          <w:ilvl w:val="0"/>
          <w:numId w:val="133"/>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环保教育服务</w:t>
      </w:r>
    </w:p>
    <w:p w14:paraId="1C393AE7">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开展再生环保手工、资源环境保护等环保课堂，提高社区居民生活垃圾分类和资源环境保护意识，使大家从小养成低碳环保的行为习惯，为创建绿色家园、共建生态文明作贡献。</w:t>
      </w:r>
    </w:p>
    <w:p w14:paraId="0F964AB5">
      <w:pPr>
        <w:pStyle w:val="28"/>
        <w:widowControl/>
        <w:numPr>
          <w:ilvl w:val="0"/>
          <w:numId w:val="133"/>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积分兑换服务</w:t>
      </w:r>
    </w:p>
    <w:p w14:paraId="230696A3">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推动居民参与积分兑换计划，鼓励为主，激励为辅，居民通过积极参与社区服务获得积分，积分可兑换不同奖品的形式，提高社区居民参与社区建设的动力。</w:t>
      </w:r>
    </w:p>
    <w:p w14:paraId="448FAB1A">
      <w:pPr>
        <w:pStyle w:val="28"/>
        <w:widowControl/>
        <w:numPr>
          <w:ilvl w:val="0"/>
          <w:numId w:val="131"/>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手“竹”情深——社区共融项目</w:t>
      </w:r>
    </w:p>
    <w:p w14:paraId="7C6EBC12">
      <w:pPr>
        <w:pStyle w:val="28"/>
        <w:widowControl/>
        <w:numPr>
          <w:ilvl w:val="0"/>
          <w:numId w:val="134"/>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“聚·一耆”</w:t>
      </w:r>
    </w:p>
    <w:p w14:paraId="2D41A39A">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搭建老年人社区服务参与平台，提高社区老人的凝聚力和归属感。开展文化类、手工类、运动会等社区活动，满足老年人的多样化、精细化需求。提升社区粘性，深化社区动员。</w:t>
      </w:r>
    </w:p>
    <w:p w14:paraId="049C256E">
      <w:pPr>
        <w:pStyle w:val="28"/>
        <w:widowControl/>
        <w:numPr>
          <w:ilvl w:val="0"/>
          <w:numId w:val="134"/>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“庆·家节”</w:t>
      </w:r>
    </w:p>
    <w:p w14:paraId="484294D9">
      <w:pPr>
        <w:pStyle w:val="28"/>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开展各类主题丰富多彩的节庆活动、亲子游园会、家庭运动会等，丰富居民的节日文化生活，提高居民幸福感、归属感。</w:t>
      </w:r>
    </w:p>
    <w:p w14:paraId="5D51DE1B">
      <w:pPr>
        <w:pStyle w:val="28"/>
        <w:widowControl/>
        <w:numPr>
          <w:ilvl w:val="0"/>
          <w:numId w:val="134"/>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“传·家情”</w:t>
      </w:r>
    </w:p>
    <w:p w14:paraId="710E3BAC">
      <w:pPr>
        <w:pStyle w:val="28"/>
        <w:widowControl/>
        <w:numPr>
          <w:ilvl w:val="0"/>
          <w:numId w:val="0"/>
        </w:numPr>
        <w:snapToGrid w:val="0"/>
        <w:spacing w:line="360" w:lineRule="auto"/>
        <w:ind w:left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为社区妇女提供亲子正面管教服务、烘焙技能培训、瑜伽课堂等服务，让妇女“享受服务，提升自我”；开展亲子主题活动，增加亲子陪伴，增强亲子关系，促进家庭和谐。</w:t>
      </w:r>
    </w:p>
    <w:p w14:paraId="65F0FF9E">
      <w:pPr>
        <w:pStyle w:val="28"/>
        <w:widowControl/>
        <w:numPr>
          <w:ilvl w:val="0"/>
          <w:numId w:val="134"/>
        </w:numPr>
        <w:snapToGrid w:val="0"/>
        <w:spacing w:line="360" w:lineRule="auto"/>
        <w:ind w:left="425" w:leftChars="0" w:hanging="425"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“义·家人”</w:t>
      </w:r>
    </w:p>
    <w:p w14:paraId="696A8C5F">
      <w:pPr>
        <w:pStyle w:val="28"/>
        <w:widowControl/>
        <w:numPr>
          <w:ilvl w:val="0"/>
          <w:numId w:val="0"/>
        </w:numPr>
        <w:snapToGrid w:val="0"/>
        <w:spacing w:line="360" w:lineRule="auto"/>
        <w:ind w:leftChars="0"/>
        <w:contextualSpacing/>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olor w:val="auto"/>
          <w:szCs w:val="21"/>
          <w:lang w:val="en-US" w:eastAsia="zh-CN"/>
        </w:rPr>
        <w:t>培育社区志愿者，定期组织开展社区志愿服务，推动目标群体互动反哺社区，为社区和谐发展贡献力量；动员志愿者开展暖“竹”行动，关爱社区老人、弱势群体等社区邻里互助服务。</w:t>
      </w:r>
    </w:p>
    <w:p w14:paraId="12FC4A21">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总体要求</w:t>
      </w:r>
    </w:p>
    <w:p w14:paraId="04374C97">
      <w:pPr>
        <w:pStyle w:val="28"/>
        <w:widowControl w:val="0"/>
        <w:numPr>
          <w:ilvl w:val="0"/>
          <w:numId w:val="135"/>
        </w:numPr>
        <w:autoSpaceDE w:val="0"/>
        <w:autoSpaceDN w:val="0"/>
        <w:adjustRightInd w:val="0"/>
        <w:ind w:left="420" w:leftChars="0" w:hanging="420" w:firstLineChars="0"/>
        <w:jc w:val="left"/>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甲方权利和义务</w:t>
      </w:r>
    </w:p>
    <w:p w14:paraId="35E9D219">
      <w:pPr>
        <w:pStyle w:val="28"/>
        <w:widowControl w:val="0"/>
        <w:numPr>
          <w:ilvl w:val="0"/>
          <w:numId w:val="136"/>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甲方有权随时检查乙方的服务履行情况，并向乙方提出修改。</w:t>
      </w:r>
    </w:p>
    <w:p w14:paraId="5A7DE294">
      <w:pPr>
        <w:pStyle w:val="28"/>
        <w:widowControl w:val="0"/>
        <w:numPr>
          <w:ilvl w:val="0"/>
          <w:numId w:val="136"/>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当发生服务违约时，则甲方有权按约定在支付乙方合同款项中进行扣款 。</w:t>
      </w:r>
    </w:p>
    <w:p w14:paraId="6AD24162">
      <w:pPr>
        <w:pStyle w:val="28"/>
        <w:widowControl w:val="0"/>
        <w:numPr>
          <w:ilvl w:val="0"/>
          <w:numId w:val="136"/>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在乙方提供服务时，如对甲方的设备造成了损坏，甲方有权要求乙方赔偿。</w:t>
      </w:r>
    </w:p>
    <w:p w14:paraId="4FBFBC8A">
      <w:pPr>
        <w:pStyle w:val="28"/>
        <w:widowControl w:val="0"/>
        <w:numPr>
          <w:ilvl w:val="0"/>
          <w:numId w:val="136"/>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甲方应按合同规定向乙方支付服务费用。</w:t>
      </w:r>
    </w:p>
    <w:p w14:paraId="32989633">
      <w:pPr>
        <w:pStyle w:val="28"/>
        <w:widowControl w:val="0"/>
        <w:numPr>
          <w:ilvl w:val="0"/>
          <w:numId w:val="135"/>
        </w:numPr>
        <w:autoSpaceDE w:val="0"/>
        <w:autoSpaceDN w:val="0"/>
        <w:adjustRightInd w:val="0"/>
        <w:ind w:left="420" w:leftChars="0" w:hanging="420" w:firstLineChars="0"/>
        <w:jc w:val="left"/>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乙方权利和义务</w:t>
      </w:r>
    </w:p>
    <w:p w14:paraId="40BF55BD">
      <w:pPr>
        <w:pStyle w:val="28"/>
        <w:widowControl w:val="0"/>
        <w:numPr>
          <w:ilvl w:val="0"/>
          <w:numId w:val="137"/>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乙方应按招标文件的要求和投标文件的承诺进行服务，发生任何服务的变更均须向甲方提出交书面报审报告。</w:t>
      </w:r>
    </w:p>
    <w:p w14:paraId="512D3580">
      <w:pPr>
        <w:pStyle w:val="28"/>
        <w:widowControl w:val="0"/>
        <w:numPr>
          <w:ilvl w:val="0"/>
          <w:numId w:val="137"/>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乙方有权要求甲方按时支付服务费用。如甲方不按时支付乙方有权要求甲方支付滞纳金。但服务费得支付应以符合东莞市财政局的相关规定为前提。</w:t>
      </w:r>
    </w:p>
    <w:p w14:paraId="1CCF9320">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价格</w:t>
      </w:r>
    </w:p>
    <w:p w14:paraId="18A90B3F">
      <w:pPr>
        <w:pStyle w:val="28"/>
        <w:widowControl w:val="0"/>
        <w:numPr>
          <w:ilvl w:val="0"/>
          <w:numId w:val="138"/>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合同总价：大写：人民币</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元整（小写：￥</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元）</w:t>
      </w:r>
    </w:p>
    <w:p w14:paraId="5DBDCE48">
      <w:pPr>
        <w:pStyle w:val="28"/>
        <w:widowControl w:val="0"/>
        <w:numPr>
          <w:ilvl w:val="0"/>
          <w:numId w:val="138"/>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本合同价为固定不变价。</w:t>
      </w:r>
    </w:p>
    <w:p w14:paraId="70F17D16">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验收要求</w:t>
      </w:r>
    </w:p>
    <w:p w14:paraId="20704C31">
      <w:pPr>
        <w:keepNext w:val="0"/>
        <w:keepLines w:val="0"/>
        <w:widowControl/>
        <w:numPr>
          <w:ilvl w:val="0"/>
          <w:numId w:val="1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验收工作由甲方（或甲方指定的单位）和乙方共同进行；</w:t>
      </w:r>
    </w:p>
    <w:p w14:paraId="3490AACC">
      <w:pPr>
        <w:keepNext w:val="0"/>
        <w:keepLines w:val="0"/>
        <w:widowControl/>
        <w:numPr>
          <w:ilvl w:val="0"/>
          <w:numId w:val="1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在验收时，乙方应向甲方提供服务的相关资料，按甲方提出的方式验收；</w:t>
      </w:r>
    </w:p>
    <w:p w14:paraId="417D63F2">
      <w:pPr>
        <w:keepNext w:val="0"/>
        <w:keepLines w:val="0"/>
        <w:widowControl/>
        <w:numPr>
          <w:ilvl w:val="0"/>
          <w:numId w:val="139"/>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auto"/>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由甲方对服务的质量和数量及其他进行检验。如发现质量和数量等任何一项与采购要求规定不符，甲方</w:t>
      </w:r>
      <w:r>
        <w:rPr>
          <w:rFonts w:hint="eastAsia" w:ascii="宋体" w:hAnsi="宋体" w:eastAsia="宋体" w:cs="宋体"/>
          <w:i w:val="0"/>
          <w:iCs w:val="0"/>
          <w:caps w:val="0"/>
          <w:color w:val="auto"/>
          <w:spacing w:val="0"/>
          <w:kern w:val="0"/>
          <w:sz w:val="21"/>
          <w:szCs w:val="21"/>
          <w:lang w:val="en-US" w:eastAsia="zh-CN" w:bidi="ar"/>
        </w:rPr>
        <w:t>有权拒绝接受。</w:t>
      </w:r>
    </w:p>
    <w:p w14:paraId="1ED0CC7A">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付款</w:t>
      </w:r>
    </w:p>
    <w:p w14:paraId="450B1350">
      <w:pPr>
        <w:pStyle w:val="28"/>
        <w:widowControl w:val="0"/>
        <w:numPr>
          <w:ilvl w:val="0"/>
          <w:numId w:val="14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服务期：</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年   月   日至    年   月    日</w:t>
      </w:r>
    </w:p>
    <w:p w14:paraId="69823871">
      <w:pPr>
        <w:pStyle w:val="28"/>
        <w:widowControl w:val="0"/>
        <w:numPr>
          <w:ilvl w:val="0"/>
          <w:numId w:val="14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合同签订后乙方向甲方提交等额有效发票，经甲方确认无误后于5个工作日内支付合同金额的30%作为预付款；</w:t>
      </w:r>
    </w:p>
    <w:p w14:paraId="0849D6C3">
      <w:pPr>
        <w:pStyle w:val="28"/>
        <w:widowControl w:val="0"/>
        <w:numPr>
          <w:ilvl w:val="0"/>
          <w:numId w:val="14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本项目服务期满3个月后，乙方在服务期内的第4个月初提交等额有效发票至甲方处，经甲方确认无误后于10个工作日内支付合同金额的30%；</w:t>
      </w:r>
    </w:p>
    <w:p w14:paraId="2F1EF53A">
      <w:pPr>
        <w:pStyle w:val="28"/>
        <w:widowControl w:val="0"/>
        <w:numPr>
          <w:ilvl w:val="0"/>
          <w:numId w:val="14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本项目服务期满并经甲方完成项目验收后，乙方提交等额有效发票至甲方处，经甲方确认无误后于10个工作日内支付合同金额的40%。</w:t>
      </w:r>
    </w:p>
    <w:p w14:paraId="2BDAB80B">
      <w:pPr>
        <w:pStyle w:val="28"/>
        <w:widowControl w:val="0"/>
        <w:numPr>
          <w:ilvl w:val="0"/>
          <w:numId w:val="14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根据现行税法规定对甲方征收的与本合同有关的一切税费均应由甲方负担；</w:t>
      </w:r>
    </w:p>
    <w:p w14:paraId="1C7FB4FC">
      <w:pPr>
        <w:pStyle w:val="28"/>
        <w:widowControl w:val="0"/>
        <w:numPr>
          <w:ilvl w:val="0"/>
          <w:numId w:val="14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根据现行税法规定对乙方或其雇员征收的与本合同有关的一切税费均应由乙方负担。</w:t>
      </w:r>
    </w:p>
    <w:p w14:paraId="608F6D0D">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人员要求</w:t>
      </w:r>
    </w:p>
    <w:p w14:paraId="0E437E16">
      <w:pPr>
        <w:pStyle w:val="28"/>
        <w:widowControl w:val="0"/>
        <w:numPr>
          <w:ilvl w:val="0"/>
          <w:numId w:val="141"/>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CN" w:bidi="ar-SA"/>
        </w:rPr>
      </w:pPr>
      <w:r>
        <w:rPr>
          <w:rFonts w:hint="eastAsia" w:ascii="宋体" w:hAnsi="宋体" w:eastAsia="宋体" w:cstheme="minorBidi"/>
          <w:iCs/>
          <w:color w:val="auto"/>
          <w:kern w:val="2"/>
          <w:sz w:val="21"/>
          <w:szCs w:val="21"/>
          <w:lang w:val="en-US" w:eastAsia="zh-CN" w:bidi="ar-SA"/>
        </w:rPr>
        <w:t>乙方应本着服务至上、诚信为本的宗旨，为甲方委派身体健康并符合要求的服务人员，同时需监督管理并指导项目为甲方提供相关的优质服务。</w:t>
      </w:r>
    </w:p>
    <w:p w14:paraId="63B0FABC">
      <w:pPr>
        <w:pStyle w:val="28"/>
        <w:widowControl w:val="0"/>
        <w:numPr>
          <w:ilvl w:val="0"/>
          <w:numId w:val="141"/>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CN" w:bidi="ar-SA"/>
        </w:rPr>
      </w:pPr>
      <w:r>
        <w:rPr>
          <w:rFonts w:hint="eastAsia" w:ascii="宋体" w:hAnsi="宋体" w:eastAsia="宋体" w:cstheme="minorBidi"/>
          <w:iCs/>
          <w:color w:val="auto"/>
          <w:kern w:val="2"/>
          <w:sz w:val="21"/>
          <w:szCs w:val="21"/>
          <w:lang w:val="en-US" w:eastAsia="zh-CN" w:bidi="ar-SA"/>
        </w:rPr>
        <w:t>乙方需要对投入项目的服务人员提供培训。</w:t>
      </w:r>
    </w:p>
    <w:p w14:paraId="59904603">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其他要求</w:t>
      </w:r>
    </w:p>
    <w:p w14:paraId="0E8D3377">
      <w:pPr>
        <w:pStyle w:val="28"/>
        <w:widowControl w:val="0"/>
        <w:numPr>
          <w:ilvl w:val="0"/>
          <w:numId w:val="142"/>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应制定详细的总体服务方案，包括但不限于：社工服务需求调研，社工服务计划、社工服务工作流程与制度等，确保项目有序进行。</w:t>
      </w:r>
    </w:p>
    <w:p w14:paraId="70CFCCB0">
      <w:pPr>
        <w:pStyle w:val="28"/>
        <w:widowControl w:val="0"/>
        <w:numPr>
          <w:ilvl w:val="0"/>
          <w:numId w:val="142"/>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应制定服务质量保障方案，如项目管理方案、服务进度和质量保障方案等。</w:t>
      </w:r>
    </w:p>
    <w:p w14:paraId="17B233A7">
      <w:pPr>
        <w:pStyle w:val="28"/>
        <w:widowControl w:val="0"/>
        <w:numPr>
          <w:ilvl w:val="0"/>
          <w:numId w:val="142"/>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应建立健全运营管理制度，包括不限于人员管理、服务管理、行政管理等制度。</w:t>
      </w:r>
    </w:p>
    <w:p w14:paraId="008B6C1E">
      <w:pPr>
        <w:pStyle w:val="28"/>
        <w:widowControl w:val="0"/>
        <w:numPr>
          <w:ilvl w:val="0"/>
          <w:numId w:val="142"/>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应根据服务对象特点、服务内容及服务要求，制定本项目的服务人员培训及考核方案，方案应包括培训计划、培训内容、考核及奖惩机制等。</w:t>
      </w:r>
    </w:p>
    <w:p w14:paraId="0A4A3431">
      <w:pPr>
        <w:pStyle w:val="28"/>
        <w:widowControl w:val="0"/>
        <w:numPr>
          <w:ilvl w:val="0"/>
          <w:numId w:val="142"/>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应制定跟踪服务、监控评估方案，定期委派专人负责跟进服务项目的开展情况，并对服务质量、服务效果进行监控评估，并反馈</w:t>
      </w:r>
      <w:r>
        <w:rPr>
          <w:rFonts w:hint="eastAsia" w:ascii="宋体" w:hAnsi="宋体" w:eastAsia="宋体" w:cstheme="minorBidi"/>
          <w:iCs/>
          <w:color w:val="auto"/>
          <w:kern w:val="2"/>
          <w:sz w:val="21"/>
          <w:szCs w:val="21"/>
          <w:lang w:val="en-US" w:eastAsia="zh-CN" w:bidi="ar-SA"/>
        </w:rPr>
        <w:t>甲方</w:t>
      </w:r>
      <w:r>
        <w:rPr>
          <w:rFonts w:hint="eastAsia" w:ascii="宋体" w:hAnsi="宋体" w:eastAsia="宋体" w:cstheme="minorBidi"/>
          <w:iCs/>
          <w:color w:val="auto"/>
          <w:kern w:val="2"/>
          <w:sz w:val="21"/>
          <w:szCs w:val="21"/>
          <w:lang w:val="en-US" w:eastAsia="zh-Hans" w:bidi="ar-SA"/>
        </w:rPr>
        <w:t>。</w:t>
      </w:r>
    </w:p>
    <w:p w14:paraId="5B089D1A">
      <w:pPr>
        <w:pStyle w:val="28"/>
        <w:widowControl w:val="0"/>
        <w:numPr>
          <w:ilvl w:val="0"/>
          <w:numId w:val="142"/>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CN" w:bidi="ar-SA"/>
        </w:rPr>
      </w:pPr>
      <w:r>
        <w:rPr>
          <w:rFonts w:hint="eastAsia" w:ascii="宋体" w:hAnsi="宋体" w:eastAsia="宋体" w:cstheme="minorBidi"/>
          <w:iCs/>
          <w:color w:val="auto"/>
          <w:kern w:val="2"/>
          <w:sz w:val="21"/>
          <w:szCs w:val="21"/>
          <w:lang w:val="en-US" w:eastAsia="zh-Hans" w:bidi="ar-SA"/>
        </w:rPr>
        <w:t>因本项目履约过程中涉及人员众多，组成情况复杂，因此</w:t>
      </w: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应有一套完善的应急预案，以应对各类紧急情况的预判、突发事件等履约过程中可能出现的紧急情况，为此提供迅速的应急响应和善后措施。</w:t>
      </w:r>
      <w:r>
        <w:rPr>
          <w:rFonts w:hint="eastAsia" w:ascii="宋体" w:hAnsi="宋体" w:eastAsia="宋体" w:cstheme="minorBidi"/>
          <w:iCs/>
          <w:color w:val="auto"/>
          <w:kern w:val="2"/>
          <w:sz w:val="21"/>
          <w:szCs w:val="21"/>
          <w:lang w:val="en-US" w:eastAsia="zh-CN" w:bidi="ar-SA"/>
        </w:rPr>
        <w:t>甲方如果有临时的服务要求需要中标人提供，乙方需要在</w:t>
      </w:r>
      <w:r>
        <w:rPr>
          <w:rFonts w:hint="eastAsia" w:ascii="宋体" w:hAnsi="宋体" w:eastAsia="宋体" w:cstheme="minorBidi"/>
          <w:iCs/>
          <w:color w:val="auto"/>
          <w:kern w:val="2"/>
          <w:sz w:val="21"/>
          <w:szCs w:val="21"/>
          <w:u w:val="single"/>
          <w:lang w:val="en-US" w:eastAsia="zh-CN" w:bidi="ar-SA"/>
        </w:rPr>
        <w:t xml:space="preserve">  </w:t>
      </w:r>
      <w:r>
        <w:rPr>
          <w:rFonts w:hint="eastAsia" w:ascii="宋体" w:hAnsi="宋体" w:eastAsia="宋体" w:cstheme="minorBidi"/>
          <w:iCs/>
          <w:color w:val="auto"/>
          <w:kern w:val="2"/>
          <w:sz w:val="21"/>
          <w:szCs w:val="21"/>
          <w:lang w:val="en-US" w:eastAsia="zh-CN" w:bidi="ar-SA"/>
        </w:rPr>
        <w:t>小时内派项目负责人到达采购人指定地点。</w:t>
      </w:r>
    </w:p>
    <w:p w14:paraId="77F4D994">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 xml:space="preserve">分包与转包 </w:t>
      </w:r>
    </w:p>
    <w:p w14:paraId="412B9A47">
      <w:pPr>
        <w:pStyle w:val="28"/>
        <w:widowControl w:val="0"/>
        <w:numPr>
          <w:ilvl w:val="0"/>
          <w:numId w:val="143"/>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严禁转包，未经甲方书面同意不得分包</w:t>
      </w:r>
    </w:p>
    <w:p w14:paraId="195FA088">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违约责任</w:t>
      </w:r>
    </w:p>
    <w:p w14:paraId="642E4523">
      <w:pPr>
        <w:pStyle w:val="33"/>
        <w:widowControl w:val="0"/>
        <w:numPr>
          <w:ilvl w:val="0"/>
          <w:numId w:val="144"/>
        </w:numPr>
        <w:tabs>
          <w:tab w:val="left" w:pos="840"/>
        </w:tabs>
        <w:ind w:firstLineChars="0"/>
        <w:jc w:val="both"/>
        <w:rPr>
          <w:rFonts w:hint="eastAsia" w:ascii="宋体" w:hAnsi="宋体"/>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kern w:val="2"/>
          <w:sz w:val="21"/>
          <w:szCs w:val="21"/>
          <w:lang w:val="en-US" w:eastAsia="zh-CN" w:bidi="ar-SA"/>
          <w14:textFill>
            <w14:solidFill>
              <w14:schemeClr w14:val="tx1"/>
            </w14:solidFill>
          </w14:textFill>
        </w:rPr>
        <w:t>乙方违反合同及招标文件约定的有关义务，对甲方造成经济损失的，应给予甲方经济赔偿；如造成重大损失的，甲方有权终止合同。</w:t>
      </w:r>
    </w:p>
    <w:p w14:paraId="691A2D45">
      <w:pPr>
        <w:pStyle w:val="33"/>
        <w:widowControl w:val="0"/>
        <w:numPr>
          <w:ilvl w:val="0"/>
          <w:numId w:val="144"/>
        </w:numPr>
        <w:tabs>
          <w:tab w:val="left" w:pos="840"/>
        </w:tabs>
        <w:ind w:firstLineChars="0"/>
        <w:jc w:val="both"/>
        <w:rPr>
          <w:rFonts w:hint="eastAsia" w:ascii="宋体" w:hAnsi="宋体"/>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kern w:val="2"/>
          <w:sz w:val="21"/>
          <w:szCs w:val="21"/>
          <w:lang w:val="en-US" w:eastAsia="zh-CN" w:bidi="ar-SA"/>
          <w14:textFill>
            <w14:solidFill>
              <w14:schemeClr w14:val="tx1"/>
            </w14:solidFill>
          </w14:textFill>
        </w:rPr>
        <w:t>除合同规定外，如果乙方没有按照合同规定的时间交付或完成，甲方可要求乙方支付违约金。从逾期之日起每日按本合同总价</w:t>
      </w:r>
      <w:r>
        <w:rPr>
          <w:rFonts w:hint="eastAsia" w:ascii="宋体" w:hAnsi="宋体" w:cs="Times New Roman"/>
          <w:color w:val="000000" w:themeColor="text1"/>
          <w:kern w:val="2"/>
          <w:sz w:val="21"/>
          <w:szCs w:val="21"/>
          <w:u w:val="single"/>
          <w:lang w:val="en-US" w:eastAsia="zh-CN" w:bidi="ar-SA"/>
          <w14:textFill>
            <w14:solidFill>
              <w14:schemeClr w14:val="tx1"/>
            </w14:solidFill>
          </w14:textFill>
        </w:rPr>
        <w:t xml:space="preserve"> 3 </w:t>
      </w:r>
      <w:r>
        <w:rPr>
          <w:rFonts w:hint="eastAsia" w:ascii="宋体" w:hAnsi="宋体" w:cs="Times New Roman"/>
          <w:color w:val="000000" w:themeColor="text1"/>
          <w:kern w:val="2"/>
          <w:sz w:val="21"/>
          <w:szCs w:val="21"/>
          <w:lang w:val="en-US" w:eastAsia="zh-CN" w:bidi="ar-SA"/>
          <w14:textFill>
            <w14:solidFill>
              <w14:schemeClr w14:val="tx1"/>
            </w14:solidFill>
          </w14:textFill>
        </w:rPr>
        <w:t>‰</w:t>
      </w:r>
      <w:r>
        <w:rPr>
          <w:rFonts w:hint="eastAsia" w:ascii="宋体" w:hAnsi="宋体"/>
          <w:color w:val="000000" w:themeColor="text1"/>
          <w:kern w:val="2"/>
          <w:sz w:val="21"/>
          <w:szCs w:val="21"/>
          <w:lang w:val="en-US" w:eastAsia="zh-CN" w:bidi="ar-SA"/>
          <w14:textFill>
            <w14:solidFill>
              <w14:schemeClr w14:val="tx1"/>
            </w14:solidFill>
          </w14:textFill>
        </w:rPr>
        <w:t>的数额向甲方支付违约金；逾期15天或以上的，甲方有权终止合同，要求乙方一次性支付合同总金额</w:t>
      </w:r>
      <w:r>
        <w:rPr>
          <w:rFonts w:hint="eastAsia" w:ascii="宋体" w:hAnsi="宋体"/>
          <w:color w:val="000000" w:themeColor="text1"/>
          <w:kern w:val="2"/>
          <w:sz w:val="21"/>
          <w:szCs w:val="21"/>
          <w:u w:val="single"/>
          <w:lang w:val="en-US" w:eastAsia="zh-CN" w:bidi="ar-SA"/>
          <w14:textFill>
            <w14:solidFill>
              <w14:schemeClr w14:val="tx1"/>
            </w14:solidFill>
          </w14:textFill>
        </w:rPr>
        <w:t xml:space="preserve"> 20 %</w:t>
      </w:r>
      <w:r>
        <w:rPr>
          <w:rFonts w:hint="eastAsia" w:ascii="宋体" w:hAnsi="宋体"/>
          <w:color w:val="000000" w:themeColor="text1"/>
          <w:kern w:val="2"/>
          <w:sz w:val="21"/>
          <w:szCs w:val="21"/>
          <w:lang w:val="en-US" w:eastAsia="zh-CN" w:bidi="ar-SA"/>
          <w14:textFill>
            <w14:solidFill>
              <w14:schemeClr w14:val="tx1"/>
            </w14:solidFill>
          </w14:textFill>
        </w:rPr>
        <w:t>违约金，并且给甲方造成的经济损失由乙方承担赔偿责任。</w:t>
      </w:r>
    </w:p>
    <w:p w14:paraId="30DC7329">
      <w:pPr>
        <w:pStyle w:val="33"/>
        <w:widowControl w:val="0"/>
        <w:numPr>
          <w:ilvl w:val="0"/>
          <w:numId w:val="144"/>
        </w:numPr>
        <w:tabs>
          <w:tab w:val="left" w:pos="840"/>
        </w:tabs>
        <w:ind w:firstLineChars="0"/>
        <w:jc w:val="both"/>
        <w:rPr>
          <w:rFonts w:hint="eastAsia" w:ascii="宋体" w:hAnsi="宋体" w:cstheme="minorBidi"/>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kern w:val="2"/>
          <w:sz w:val="21"/>
          <w:szCs w:val="21"/>
          <w:lang w:val="en-US" w:eastAsia="zh-CN" w:bidi="ar-SA"/>
          <w14:textFill>
            <w14:solidFill>
              <w14:schemeClr w14:val="tx1"/>
            </w14:solidFill>
          </w14:textFill>
        </w:rPr>
        <w:t>因乙方原因导致本合同解除或是无法履行的，乙方应向甲方支付合同总价</w:t>
      </w:r>
      <w:r>
        <w:rPr>
          <w:rFonts w:hint="eastAsia" w:ascii="宋体" w:hAnsi="宋体" w:cstheme="minorBidi"/>
          <w:color w:val="000000" w:themeColor="text1"/>
          <w:kern w:val="2"/>
          <w:sz w:val="21"/>
          <w:szCs w:val="21"/>
          <w:u w:val="single"/>
          <w:lang w:val="en-US" w:eastAsia="zh-CN" w:bidi="ar-SA"/>
          <w14:textFill>
            <w14:solidFill>
              <w14:schemeClr w14:val="tx1"/>
            </w14:solidFill>
          </w14:textFill>
        </w:rPr>
        <w:t xml:space="preserve"> 20 %</w:t>
      </w:r>
      <w:r>
        <w:rPr>
          <w:rFonts w:hint="eastAsia" w:ascii="宋体" w:hAnsi="宋体" w:cstheme="minorBidi"/>
          <w:color w:val="000000" w:themeColor="text1"/>
          <w:kern w:val="2"/>
          <w:sz w:val="21"/>
          <w:szCs w:val="21"/>
          <w:lang w:val="en-US" w:eastAsia="zh-CN" w:bidi="ar-SA"/>
          <w14:textFill>
            <w14:solidFill>
              <w14:schemeClr w14:val="tx1"/>
            </w14:solidFill>
          </w14:textFill>
        </w:rPr>
        <w:t>的违约金，并且给甲方造成的经济损失由乙方承担赔偿责任。</w:t>
      </w:r>
    </w:p>
    <w:p w14:paraId="25250C44">
      <w:pPr>
        <w:pStyle w:val="33"/>
        <w:widowControl w:val="0"/>
        <w:numPr>
          <w:ilvl w:val="0"/>
          <w:numId w:val="144"/>
        </w:numPr>
        <w:tabs>
          <w:tab w:val="left" w:pos="840"/>
        </w:tabs>
        <w:ind w:firstLineChars="0"/>
        <w:jc w:val="both"/>
        <w:rPr>
          <w:rFonts w:hint="eastAsia" w:ascii="宋体" w:hAnsi="宋体"/>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kern w:val="2"/>
          <w:sz w:val="21"/>
          <w:szCs w:val="21"/>
          <w:lang w:val="en-US" w:eastAsia="zh-CN" w:bidi="ar-SA"/>
          <w14:textFill>
            <w14:solidFill>
              <w14:schemeClr w14:val="tx1"/>
            </w14:solidFill>
          </w14:textFill>
        </w:rPr>
        <w:t>甲方有权从未支付的款项或是履约保证金中直接扣除乙方的违约金，不足的部分由乙方另行补足。</w:t>
      </w:r>
    </w:p>
    <w:p w14:paraId="2031F48E">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争议的解决办法</w:t>
      </w:r>
    </w:p>
    <w:p w14:paraId="1491EBC9">
      <w:pPr>
        <w:numPr>
          <w:ilvl w:val="0"/>
          <w:numId w:val="145"/>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凡与本合同有关而引起的一切争议，甲乙双方应首先通过友好协商解决，如经协商后仍不能达成协议时，任何一方可以向法院提出诉讼。</w:t>
      </w:r>
    </w:p>
    <w:p w14:paraId="433E5A00">
      <w:pPr>
        <w:numPr>
          <w:ilvl w:val="0"/>
          <w:numId w:val="145"/>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本合同发生的诉讼管辖地为东莞市有管辖权的法院。</w:t>
      </w:r>
    </w:p>
    <w:p w14:paraId="19CA166A">
      <w:pPr>
        <w:numPr>
          <w:ilvl w:val="0"/>
          <w:numId w:val="145"/>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在进行法院审理期间，除提交法院审理的事项外，合同其他部分仍继续履行。</w:t>
      </w:r>
    </w:p>
    <w:p w14:paraId="6F7B4B95">
      <w:pPr>
        <w:numPr>
          <w:ilvl w:val="0"/>
          <w:numId w:val="145"/>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本合同按照中华人民共和国的法律进行解释。</w:t>
      </w:r>
    </w:p>
    <w:p w14:paraId="5E92DB0B">
      <w:pPr>
        <w:pStyle w:val="28"/>
        <w:widowControl w:val="0"/>
        <w:numPr>
          <w:ilvl w:val="0"/>
          <w:numId w:val="127"/>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不可抗力</w:t>
      </w:r>
    </w:p>
    <w:p w14:paraId="307F365F">
      <w:pPr>
        <w:numPr>
          <w:ilvl w:val="0"/>
          <w:numId w:val="146"/>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CFD627F">
      <w:pPr>
        <w:numPr>
          <w:ilvl w:val="0"/>
          <w:numId w:val="146"/>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D98D225">
      <w:pPr>
        <w:pStyle w:val="28"/>
        <w:widowControl w:val="0"/>
        <w:numPr>
          <w:ilvl w:val="0"/>
          <w:numId w:val="127"/>
        </w:numPr>
        <w:tabs>
          <w:tab w:val="left" w:pos="567"/>
        </w:tabs>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合同生效</w:t>
      </w:r>
    </w:p>
    <w:p w14:paraId="03095290">
      <w:pPr>
        <w:pStyle w:val="28"/>
        <w:widowControl w:val="0"/>
        <w:numPr>
          <w:ilvl w:val="0"/>
          <w:numId w:val="147"/>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本合同由双方法定代表人或委托代理人签字盖章后立即生效，具有同等法律效力，服务期为合同签订日至</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年    月    日</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，合同有效期随服务期结束而自然终止；</w:t>
      </w:r>
    </w:p>
    <w:p w14:paraId="2E41885F">
      <w:pPr>
        <w:pStyle w:val="28"/>
        <w:widowControl w:val="0"/>
        <w:numPr>
          <w:ilvl w:val="0"/>
          <w:numId w:val="147"/>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本合同一式</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份，其中甲方</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份、乙方</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份，采购代理机构</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壹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份（须在合同签订之日起5个工作日内递交）</w:t>
      </w:r>
    </w:p>
    <w:p w14:paraId="0679808A">
      <w:pPr>
        <w:pStyle w:val="28"/>
        <w:widowControl w:val="0"/>
        <w:numPr>
          <w:ilvl w:val="0"/>
          <w:numId w:val="127"/>
        </w:numPr>
        <w:tabs>
          <w:tab w:val="left" w:pos="567"/>
        </w:tabs>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其它</w:t>
      </w:r>
    </w:p>
    <w:p w14:paraId="613CC31C">
      <w:pPr>
        <w:pStyle w:val="28"/>
        <w:widowControl w:val="0"/>
        <w:numPr>
          <w:ilvl w:val="0"/>
          <w:numId w:val="148"/>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本合同未尽事宜，双方可签订补充合同，补充合同与所有附件均为合同的有效组成部分，与本合同具有同等法律效力；</w:t>
      </w:r>
    </w:p>
    <w:p w14:paraId="6EB1E267">
      <w:pPr>
        <w:pStyle w:val="28"/>
        <w:widowControl w:val="0"/>
        <w:numPr>
          <w:ilvl w:val="0"/>
          <w:numId w:val="148"/>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在执行本合同的过程中，所有经甲乙双方签署确认的文件（包括会议纪要、补充协议、往来信函、合同附件等）即成为本合同的有效组成部分，其生效日期为双方签字盖章或确认之日期；</w:t>
      </w:r>
    </w:p>
    <w:p w14:paraId="649D1388">
      <w:pPr>
        <w:pStyle w:val="28"/>
        <w:widowControl w:val="0"/>
        <w:numPr>
          <w:ilvl w:val="0"/>
          <w:numId w:val="148"/>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本合同合计</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页A4纸张，缺页之合同为无效合同。</w:t>
      </w:r>
    </w:p>
    <w:p w14:paraId="06956C7E">
      <w:pPr>
        <w:rPr>
          <w:rFonts w:hint="eastAsia" w:ascii="宋体" w:hAnsi="宋体" w:eastAsia="宋体" w:cstheme="minorBidi"/>
          <w:color w:val="000000" w:themeColor="text1"/>
          <w:szCs w:val="21"/>
          <w14:textFill>
            <w14:solidFill>
              <w14:schemeClr w14:val="tx1"/>
            </w14:solidFill>
          </w14:textFill>
        </w:rPr>
      </w:pPr>
    </w:p>
    <w:p w14:paraId="4792EFB4">
      <w:pPr>
        <w:rPr>
          <w:rFonts w:hint="eastAsia" w:ascii="宋体" w:hAnsi="宋体" w:eastAsia="宋体" w:cstheme="minorBidi"/>
          <w:color w:val="000000" w:themeColor="text1"/>
          <w:szCs w:val="21"/>
          <w14:textFill>
            <w14:solidFill>
              <w14:schemeClr w14:val="tx1"/>
            </w14:solidFill>
          </w14:textFill>
        </w:rPr>
      </w:pPr>
    </w:p>
    <w:p w14:paraId="52DD783D">
      <w:pPr>
        <w:rPr>
          <w:rFonts w:hint="eastAsia" w:ascii="宋体" w:hAnsi="宋体" w:eastAsia="宋体" w:cstheme="minorBidi"/>
          <w:color w:val="000000" w:themeColor="text1"/>
          <w:szCs w:val="21"/>
          <w14:textFill>
            <w14:solidFill>
              <w14:schemeClr w14:val="tx1"/>
            </w14:solidFill>
          </w14:textFill>
        </w:rPr>
      </w:pP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7166E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ECCFFE2">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甲方（盖章）：</w:t>
            </w:r>
          </w:p>
        </w:tc>
        <w:tc>
          <w:tcPr>
            <w:tcW w:w="2500" w:type="pct"/>
          </w:tcPr>
          <w:p w14:paraId="72228DA6">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乙方(盖章)：</w:t>
            </w:r>
          </w:p>
        </w:tc>
      </w:tr>
      <w:tr w14:paraId="79E6E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1FC4659">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甲方代表人(签字)：</w:t>
            </w:r>
          </w:p>
        </w:tc>
        <w:tc>
          <w:tcPr>
            <w:tcW w:w="2500" w:type="pct"/>
          </w:tcPr>
          <w:p w14:paraId="5163F1A5">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乙方代表人(签字)：</w:t>
            </w:r>
          </w:p>
        </w:tc>
      </w:tr>
      <w:tr w14:paraId="4D36B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D7D2DF8">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签字日期：</w:t>
            </w:r>
          </w:p>
        </w:tc>
        <w:tc>
          <w:tcPr>
            <w:tcW w:w="2500" w:type="pct"/>
          </w:tcPr>
          <w:p w14:paraId="045C0F2A">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签字日期：</w:t>
            </w:r>
          </w:p>
        </w:tc>
      </w:tr>
      <w:tr w14:paraId="13CC8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96F5867">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地址：</w:t>
            </w:r>
          </w:p>
        </w:tc>
        <w:tc>
          <w:tcPr>
            <w:tcW w:w="2500" w:type="pct"/>
          </w:tcPr>
          <w:p w14:paraId="054E9FB4">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地址：</w:t>
            </w:r>
          </w:p>
        </w:tc>
      </w:tr>
      <w:tr w14:paraId="28880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427348A">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电话：</w:t>
            </w:r>
          </w:p>
        </w:tc>
        <w:tc>
          <w:tcPr>
            <w:tcW w:w="2500" w:type="pct"/>
          </w:tcPr>
          <w:p w14:paraId="23DB0E06">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电话：</w:t>
            </w:r>
          </w:p>
        </w:tc>
      </w:tr>
      <w:tr w14:paraId="43848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557AB01">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传真：</w:t>
            </w:r>
          </w:p>
        </w:tc>
        <w:tc>
          <w:tcPr>
            <w:tcW w:w="2500" w:type="pct"/>
          </w:tcPr>
          <w:p w14:paraId="7F44812D">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传真：</w:t>
            </w:r>
          </w:p>
        </w:tc>
      </w:tr>
      <w:tr w14:paraId="63647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5F087EC">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开户银行：</w:t>
            </w:r>
          </w:p>
        </w:tc>
        <w:tc>
          <w:tcPr>
            <w:tcW w:w="2500" w:type="pct"/>
          </w:tcPr>
          <w:p w14:paraId="4C2E8C24">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开户银行：</w:t>
            </w:r>
          </w:p>
        </w:tc>
      </w:tr>
      <w:tr w14:paraId="7BC80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DEB21FB">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银行账户：</w:t>
            </w:r>
          </w:p>
        </w:tc>
        <w:tc>
          <w:tcPr>
            <w:tcW w:w="2500" w:type="pct"/>
          </w:tcPr>
          <w:p w14:paraId="34EFB67D">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银行账户：</w:t>
            </w:r>
          </w:p>
        </w:tc>
      </w:tr>
    </w:tbl>
    <w:p w14:paraId="587ACE7E">
      <w:pPr>
        <w:rPr>
          <w:rFonts w:ascii="Calibri" w:hAnsi="Calibri" w:eastAsia="宋体" w:cs="Times New Roman"/>
        </w:rPr>
      </w:pPr>
    </w:p>
    <w:p w14:paraId="5CCE7213">
      <w:pPr>
        <w:pStyle w:val="2"/>
        <w:rPr>
          <w:rFonts w:hint="eastAsia"/>
        </w:rPr>
      </w:pPr>
    </w:p>
    <w:p w14:paraId="3FEA3E17">
      <w:pPr>
        <w:rPr>
          <w:rFonts w:hint="eastAsia"/>
        </w:rPr>
      </w:pPr>
      <w:r>
        <w:rPr>
          <w:rFonts w:hint="eastAsia"/>
        </w:rPr>
        <w:br w:type="page"/>
      </w:r>
    </w:p>
    <w:p w14:paraId="34917FD4">
      <w:pPr>
        <w:keepNext w:val="0"/>
        <w:keepLines w:val="0"/>
        <w:pageBreakBefore w:val="0"/>
        <w:widowControl w:val="0"/>
        <w:kinsoku/>
        <w:wordWrap/>
        <w:overflowPunct/>
        <w:topLinePunct w:val="0"/>
        <w:autoSpaceDE/>
        <w:autoSpaceDN/>
        <w:bidi w:val="0"/>
        <w:adjustRightInd/>
        <w:snapToGrid/>
        <w:spacing w:before="437" w:beforeLines="100" w:after="437" w:afterLines="100"/>
        <w:jc w:val="center"/>
        <w:textAlignment w:val="auto"/>
        <w:rPr>
          <w:rFonts w:hint="default" w:ascii="宋体" w:hAnsi="宋体" w:eastAsia="宋体" w:cstheme="minorBidi"/>
          <w:b/>
          <w:bCs/>
          <w:color w:val="000000" w:themeColor="text1"/>
          <w:sz w:val="32"/>
          <w:szCs w:val="32"/>
          <w:lang w:val="en-US" w:eastAsia="zh-CN"/>
          <w14:textFill>
            <w14:solidFill>
              <w14:schemeClr w14:val="tx1"/>
            </w14:solidFill>
          </w14:textFill>
        </w:rPr>
      </w:pPr>
      <w:r>
        <w:rPr>
          <w:rFonts w:hint="eastAsia" w:ascii="宋体" w:hAnsi="宋体" w:eastAsia="宋体" w:cstheme="minorBidi"/>
          <w:b/>
          <w:bCs/>
          <w:color w:val="000000" w:themeColor="text1"/>
          <w:sz w:val="32"/>
          <w:szCs w:val="32"/>
          <w:lang w:val="en-US" w:eastAsia="zh-CN"/>
          <w14:textFill>
            <w14:solidFill>
              <w14:schemeClr w14:val="tx1"/>
            </w14:solidFill>
          </w14:textFill>
        </w:rPr>
        <w:t>合同模板（包组3）</w:t>
      </w:r>
    </w:p>
    <w:p w14:paraId="5FC3C380">
      <w:pPr>
        <w:keepLines/>
        <w:spacing w:line="360" w:lineRule="auto"/>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甲方（采购人）：</w:t>
      </w:r>
      <w:r>
        <w:rPr>
          <w:rFonts w:hint="eastAsia" w:ascii="宋体" w:hAnsi="宋体" w:eastAsia="宋体" w:cstheme="minorBidi"/>
          <w:color w:val="000000" w:themeColor="text1"/>
          <w:szCs w:val="21"/>
          <w:u w:val="single"/>
          <w14:textFill>
            <w14:solidFill>
              <w14:schemeClr w14:val="tx1"/>
            </w14:solidFill>
          </w14:textFill>
        </w:rPr>
        <w:t xml:space="preserve">                          </w:t>
      </w:r>
    </w:p>
    <w:p w14:paraId="0CEE3B60">
      <w:pPr>
        <w:spacing w:line="360" w:lineRule="auto"/>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乙方（中标人）：</w:t>
      </w:r>
      <w:r>
        <w:rPr>
          <w:rFonts w:hint="eastAsia" w:ascii="宋体" w:hAnsi="宋体" w:eastAsia="宋体" w:cstheme="minorBidi"/>
          <w:color w:val="000000" w:themeColor="text1"/>
          <w:szCs w:val="21"/>
          <w:u w:val="single"/>
          <w14:textFill>
            <w14:solidFill>
              <w14:schemeClr w14:val="tx1"/>
            </w14:solidFill>
          </w14:textFill>
        </w:rPr>
        <w:t xml:space="preserve">                          </w:t>
      </w:r>
    </w:p>
    <w:p w14:paraId="3F2F0DCA">
      <w:pPr>
        <w:ind w:firstLine="420" w:firstLineChars="200"/>
        <w:rPr>
          <w:rFonts w:hint="eastAsia" w:ascii="宋体" w:hAnsi="宋体" w:eastAsia="宋体" w:cstheme="minorBidi"/>
          <w:color w:val="auto"/>
          <w:szCs w:val="21"/>
        </w:rPr>
      </w:pPr>
      <w:r>
        <w:rPr>
          <w:rFonts w:hint="eastAsia" w:ascii="宋体" w:hAnsi="宋体" w:eastAsia="宋体" w:cs="Times New Roman"/>
          <w:color w:val="auto"/>
          <w:szCs w:val="21"/>
        </w:rPr>
        <w:t>根据《中华人民共和国民法典》及招标文件、中标通知书等相关资料的要求，经双方协商一致，签订本合同，共同遵守如下条款</w:t>
      </w:r>
      <w:r>
        <w:rPr>
          <w:rFonts w:hint="eastAsia" w:ascii="宋体" w:hAnsi="宋体" w:eastAsia="宋体" w:cstheme="minorBidi"/>
          <w:color w:val="auto"/>
          <w:szCs w:val="21"/>
        </w:rPr>
        <w:t>。</w:t>
      </w:r>
    </w:p>
    <w:p w14:paraId="3315E3E9">
      <w:pPr>
        <w:pStyle w:val="28"/>
        <w:widowControl w:val="0"/>
        <w:numPr>
          <w:ilvl w:val="0"/>
          <w:numId w:val="149"/>
        </w:numPr>
        <w:ind w:firstLineChars="0"/>
        <w:jc w:val="both"/>
        <w:rPr>
          <w:rFonts w:hint="eastAsia" w:ascii="宋体" w:hAnsi="宋体" w:eastAsia="宋体" w:cstheme="minorBidi"/>
          <w:b/>
          <w:bCs/>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合同项目</w:t>
      </w:r>
    </w:p>
    <w:p w14:paraId="0AC191FF">
      <w:pPr>
        <w:pStyle w:val="28"/>
        <w:widowControl w:val="0"/>
        <w:numPr>
          <w:ilvl w:val="0"/>
          <w:numId w:val="150"/>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项目名称：</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（详见投标邀请）         </w:t>
      </w:r>
    </w:p>
    <w:p w14:paraId="6AEF3B7A">
      <w:pPr>
        <w:pStyle w:val="28"/>
        <w:widowControl w:val="0"/>
        <w:numPr>
          <w:ilvl w:val="0"/>
          <w:numId w:val="150"/>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项目编号：</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（详见投标邀请）        </w:t>
      </w:r>
    </w:p>
    <w:p w14:paraId="2CA03B90">
      <w:pPr>
        <w:pStyle w:val="28"/>
        <w:widowControl w:val="0"/>
        <w:numPr>
          <w:ilvl w:val="0"/>
          <w:numId w:val="150"/>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u w:val="none"/>
          <w:lang w:val="en-US" w:eastAsia="zh-CN" w:bidi="ar-SA"/>
          <w14:textFill>
            <w14:solidFill>
              <w14:schemeClr w14:val="tx1"/>
            </w14:solidFill>
          </w14:textFill>
        </w:rPr>
        <w:t>包组号：</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p>
    <w:p w14:paraId="6294ACB2">
      <w:pPr>
        <w:pStyle w:val="28"/>
        <w:widowControl w:val="0"/>
        <w:numPr>
          <w:ilvl w:val="0"/>
          <w:numId w:val="150"/>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u w:val="none"/>
          <w:lang w:val="en-US" w:eastAsia="zh-CN" w:bidi="ar-SA"/>
          <w14:textFill>
            <w14:solidFill>
              <w14:schemeClr w14:val="tx1"/>
            </w14:solidFill>
          </w14:textFill>
        </w:rPr>
        <w:t>服务地点：</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p>
    <w:p w14:paraId="41B408B2">
      <w:pPr>
        <w:pStyle w:val="28"/>
        <w:widowControl w:val="0"/>
        <w:numPr>
          <w:ilvl w:val="0"/>
          <w:numId w:val="149"/>
        </w:numPr>
        <w:ind w:firstLineChars="0"/>
        <w:jc w:val="both"/>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项目概况</w:t>
      </w:r>
    </w:p>
    <w:p w14:paraId="56CB72FF">
      <w:pPr>
        <w:pStyle w:val="28"/>
        <w:numPr>
          <w:ilvl w:val="0"/>
          <w:numId w:val="151"/>
        </w:numPr>
        <w:snapToGrid w:val="0"/>
        <w:spacing w:line="360" w:lineRule="auto"/>
        <w:ind w:left="420" w:leftChars="0" w:hanging="420" w:firstLineChars="0"/>
        <w:contextualSpacing/>
        <w:rPr>
          <w:rFonts w:hint="eastAsia" w:ascii="宋体" w:hAnsi="宋体" w:eastAsia="宋体"/>
          <w:b w:val="0"/>
          <w:bCs/>
          <w:sz w:val="21"/>
          <w:szCs w:val="21"/>
        </w:rPr>
      </w:pPr>
      <w:r>
        <w:rPr>
          <w:rFonts w:hint="eastAsia" w:ascii="宋体" w:hAnsi="宋体" w:eastAsia="宋体"/>
          <w:b w:val="0"/>
          <w:bCs/>
          <w:sz w:val="21"/>
          <w:szCs w:val="21"/>
        </w:rPr>
        <w:t>“邻里味，共分享”石龙坑村巾帼美食队分享项目</w:t>
      </w:r>
    </w:p>
    <w:p w14:paraId="02ECC94E">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 w:val="21"/>
          <w:szCs w:val="21"/>
        </w:rPr>
      </w:pPr>
      <w:r>
        <w:rPr>
          <w:rFonts w:hint="eastAsia" w:ascii="宋体" w:hAnsi="宋体" w:eastAsia="宋体"/>
          <w:b w:val="0"/>
          <w:bCs/>
          <w:sz w:val="21"/>
          <w:szCs w:val="21"/>
          <w:lang w:val="en-US" w:eastAsia="zh-CN"/>
        </w:rPr>
        <w:t>社区美食队是社区治理创新的一种形式，项目继续培育、充实壮大巾帼美食志愿队，挖掘队伍的服务潜力。拟根据节日庆典、时令节气，深耕传统节日美食和地方特色美食，以美食和文化为纽带，通过组织美食分享、教学体验、公益探访、搭建交流平台等方式，将美食成品传递给社区中的长者、儿童和特殊群体。在活动分享过程中，增进邻里之间的交流与情感，享受美食带来的乐趣，鼓励更多的居民积极参与，产生更多的社区互助，同时促进居民对社区社会组织的认可，加深对社区的认同感与归属感，共同营造和谐温馨的睦邻氛围，为社区文化建设及社区治理贡献力量。</w:t>
      </w:r>
    </w:p>
    <w:p w14:paraId="3387DD2F">
      <w:pPr>
        <w:pStyle w:val="28"/>
        <w:numPr>
          <w:ilvl w:val="0"/>
          <w:numId w:val="151"/>
        </w:numPr>
        <w:snapToGrid w:val="0"/>
        <w:spacing w:line="360" w:lineRule="auto"/>
        <w:ind w:left="420" w:leftChars="0" w:hanging="420" w:firstLineChars="0"/>
        <w:contextualSpacing/>
        <w:rPr>
          <w:rFonts w:hint="eastAsia" w:ascii="宋体" w:hAnsi="宋体" w:eastAsia="宋体"/>
          <w:b w:val="0"/>
          <w:bCs/>
          <w:sz w:val="21"/>
          <w:szCs w:val="21"/>
        </w:rPr>
      </w:pPr>
      <w:r>
        <w:rPr>
          <w:rFonts w:hint="eastAsia" w:ascii="宋体" w:hAnsi="宋体" w:eastAsia="宋体"/>
          <w:b w:val="0"/>
          <w:bCs/>
          <w:sz w:val="21"/>
          <w:szCs w:val="21"/>
        </w:rPr>
        <w:t>“幸福家，邻聚里”石龙坑村多元创享项目</w:t>
      </w:r>
    </w:p>
    <w:p w14:paraId="7B309F93">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 w:val="21"/>
          <w:szCs w:val="21"/>
          <w:lang w:val="en-US" w:eastAsia="zh-CN"/>
        </w:rPr>
      </w:pPr>
      <w:r>
        <w:rPr>
          <w:rFonts w:hint="eastAsia" w:ascii="宋体" w:hAnsi="宋体" w:eastAsia="宋体"/>
          <w:b w:val="0"/>
          <w:bCs/>
          <w:sz w:val="21"/>
          <w:szCs w:val="21"/>
          <w:lang w:val="en-US" w:eastAsia="zh-CN"/>
        </w:rPr>
        <w:t>该项目在计划在社区文化齐参与、银龄长者齐关怀、少年儿童齐成长三方面展开活动，走进村民生活区。从传统文化、教育活动等方面开展，如游园会、环境美化、知识学习提升等，增强社区的凝聚力，促进邻里之间的交流与合作；从60岁以上长者为主，结合敬老月与公益资源，开展美食分享、手工、义剪等，丰富长者晚年生活，让生活更有温度与趣味；通过开展传统文化学习、安全五防教育、社区实践等青少年活动，给孩子增添课余生活乐趣，提升其文化修养和综合素质，营造学养深厚的社区文化氛围。</w:t>
      </w:r>
    </w:p>
    <w:p w14:paraId="70732921">
      <w:pPr>
        <w:pStyle w:val="28"/>
        <w:numPr>
          <w:ilvl w:val="0"/>
          <w:numId w:val="151"/>
        </w:numPr>
        <w:snapToGrid w:val="0"/>
        <w:spacing w:line="360" w:lineRule="auto"/>
        <w:ind w:left="420" w:leftChars="0" w:hanging="420" w:firstLineChars="0"/>
        <w:contextualSpacing/>
        <w:rPr>
          <w:rFonts w:hint="eastAsia" w:ascii="宋体" w:hAnsi="宋体" w:eastAsia="宋体"/>
          <w:b w:val="0"/>
          <w:bCs/>
          <w:sz w:val="21"/>
          <w:szCs w:val="21"/>
        </w:rPr>
      </w:pPr>
      <w:r>
        <w:rPr>
          <w:rFonts w:hint="eastAsia" w:ascii="宋体" w:hAnsi="宋体" w:eastAsia="宋体"/>
          <w:b w:val="0"/>
          <w:bCs/>
          <w:sz w:val="21"/>
          <w:szCs w:val="21"/>
          <w:lang w:val="en-US" w:eastAsia="zh-CN"/>
        </w:rPr>
        <w:t>“绿美生活，我在行动”石龙坑村儿童环保教育实践项目</w:t>
      </w:r>
    </w:p>
    <w:p w14:paraId="45E531F1">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sz w:val="21"/>
          <w:szCs w:val="21"/>
        </w:rPr>
      </w:pPr>
      <w:r>
        <w:rPr>
          <w:rFonts w:hint="eastAsia" w:ascii="宋体" w:hAnsi="宋体" w:eastAsia="宋体"/>
          <w:b w:val="0"/>
          <w:bCs/>
          <w:sz w:val="21"/>
          <w:szCs w:val="21"/>
          <w:lang w:val="en-US" w:eastAsia="zh-CN"/>
        </w:rPr>
        <w:t>从旧墙彩绘到四小园建设，再到绿美家园改造等绿美宜居工程取得喜人的变化，石龙坑村环境美化行动持续进行中。据此，开设石龙坑村“绿美生活，我在行动”石龙坑村儿童环保教育实践项目。以青少年儿童为主体，倡导“保护环境从我做起”，以提升孩子低碳生活、爱护自然意识为切入点，运用探索、实践、宣传等方式，开展以环境美化、变废为宝、文明宣传、社区实践等主题系列活动，从中运营一支环保小卫士志愿队，让孩子亲身参与到社区环境美化保护当中，在活动中了解环保概念，增强环保意识，做自然的朋友，成为环保小卫士，共创美好家园。</w:t>
      </w:r>
    </w:p>
    <w:p w14:paraId="2B0C6737">
      <w:pPr>
        <w:pStyle w:val="28"/>
        <w:widowControl w:val="0"/>
        <w:numPr>
          <w:ilvl w:val="0"/>
          <w:numId w:val="149"/>
        </w:numPr>
        <w:ind w:firstLineChars="0"/>
        <w:jc w:val="both"/>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t>运营目标</w:t>
      </w:r>
    </w:p>
    <w:p w14:paraId="59915261">
      <w:pPr>
        <w:pStyle w:val="28"/>
        <w:numPr>
          <w:ilvl w:val="0"/>
          <w:numId w:val="152"/>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“邻里味，共分享”石龙坑村巾帼美食队分享项目</w:t>
      </w:r>
    </w:p>
    <w:p w14:paraId="126F5161">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rPr>
      </w:pPr>
      <w:r>
        <w:rPr>
          <w:rFonts w:hint="eastAsia" w:ascii="宋体" w:hAnsi="宋体" w:eastAsia="宋体"/>
          <w:color w:val="auto"/>
          <w:sz w:val="21"/>
          <w:szCs w:val="21"/>
          <w:lang w:val="en-US" w:eastAsia="zh-CN"/>
        </w:rPr>
        <w:t>本项目旨在持续培育壮大巾帼美食志愿队，充分挖掘其服务潜力，通过深耕节日节气美食与地方特色文化，组织多元化的美食分享、教学、公益探访与交流活动，将美食关怀传递给社区长者、将美食文化传承给儿童。核心目标是增进邻里情感交流与社区互助，提升居民对社区社会组织的认可度与社区归属感，最终营造和谐温馨的睦邻氛围，为社区文化建设和治理创新贡献力量。</w:t>
      </w:r>
    </w:p>
    <w:p w14:paraId="3E211A32">
      <w:pPr>
        <w:pStyle w:val="28"/>
        <w:numPr>
          <w:ilvl w:val="0"/>
          <w:numId w:val="152"/>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“幸福家，邻聚里”石龙坑村多元创享项目</w:t>
      </w:r>
    </w:p>
    <w:p w14:paraId="27AA3968">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本项目秉持“以人为本、助人自助”理念，以“构建更和谐社区、创造更美好居民生活”为核心主线，积极探索创新睦邻文化活动形式，旨在提升社区参与度与和谐度，倡导资源共享与培育新型邻里关系，为村社区注入新活力，最终实现社区凝聚力的增强和居民幸福感的提升。</w:t>
      </w:r>
    </w:p>
    <w:p w14:paraId="5EF87615">
      <w:pPr>
        <w:pStyle w:val="28"/>
        <w:numPr>
          <w:ilvl w:val="0"/>
          <w:numId w:val="152"/>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“绿美生活，我在行动”石龙坑村儿童环保教育实践项目</w:t>
      </w:r>
    </w:p>
    <w:p w14:paraId="300EE7F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rPr>
      </w:pPr>
      <w:r>
        <w:rPr>
          <w:rFonts w:hint="eastAsia" w:ascii="宋体" w:hAnsi="宋体" w:eastAsia="宋体"/>
          <w:color w:val="auto"/>
          <w:sz w:val="21"/>
          <w:szCs w:val="21"/>
          <w:lang w:val="en-US" w:eastAsia="zh-CN"/>
        </w:rPr>
        <w:t>以石龙坑村青少年儿童为主体，通过开展系列环保教育实践活动，提升其低碳生活与爱护自然的环保意识，培养亲身参与社区环境保护的责任感和行动力（“保护环境从我做起”），并组建运营一支儿童环保小卫士志愿队。最终目标是赋能儿童成为社区环保的积极倡导者和实践者，将环保理念内化于心、外化于行，亲身参与并推动社区环境美化与绿美家园建设，共创美好家园。</w:t>
      </w:r>
    </w:p>
    <w:p w14:paraId="3EEBDBBB">
      <w:pPr>
        <w:pStyle w:val="28"/>
        <w:widowControl w:val="0"/>
        <w:numPr>
          <w:ilvl w:val="0"/>
          <w:numId w:val="149"/>
        </w:numPr>
        <w:ind w:firstLineChars="0"/>
        <w:jc w:val="both"/>
        <w:rPr>
          <w:rFonts w:hint="eastAsia" w:ascii="宋体" w:hAnsi="宋体" w:eastAsia="宋体" w:cstheme="minorBidi"/>
          <w:b/>
          <w:bCs/>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b/>
          <w:bCs/>
          <w:color w:val="auto"/>
          <w:kern w:val="2"/>
          <w:sz w:val="21"/>
          <w:szCs w:val="21"/>
          <w:lang w:val="en-US" w:eastAsia="zh-CN" w:bidi="ar-SA"/>
        </w:rPr>
        <w:t>服务内容</w:t>
      </w:r>
    </w:p>
    <w:p w14:paraId="6282CB30">
      <w:pPr>
        <w:pStyle w:val="28"/>
        <w:widowControl/>
        <w:numPr>
          <w:ilvl w:val="0"/>
          <w:numId w:val="153"/>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“邻里味，共分享”石龙坑村巾帼美食队分享项目</w:t>
      </w:r>
    </w:p>
    <w:p w14:paraId="5BA51526">
      <w:pPr>
        <w:pStyle w:val="28"/>
        <w:widowControl/>
        <w:numPr>
          <w:ilvl w:val="0"/>
          <w:numId w:val="154"/>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志愿队伍的培育</w:t>
      </w:r>
    </w:p>
    <w:p w14:paraId="7EC00D43">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依托已组建的石龙坑村巾帼美食队，建立团队管理机制，维系队伍活力与凝聚力，挖掘队员特长和服务意愿，增加社区长者、妇女的服务影响力。在日常活动和团建中，为成员/居民提供围绕美食文化进行持续交流的空间。</w:t>
      </w:r>
    </w:p>
    <w:p w14:paraId="03993FDF">
      <w:pPr>
        <w:pStyle w:val="28"/>
        <w:widowControl/>
        <w:numPr>
          <w:ilvl w:val="0"/>
          <w:numId w:val="154"/>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多元化美食互动</w:t>
      </w:r>
    </w:p>
    <w:p w14:paraId="6835EA89">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①美食教学体验：由志愿队员教授居民（尤其是年轻一代或感兴趣者）制作传统或特色美食，进行动手体验，将其生活经验和本土文化通过美食这一载体传递下去。</w:t>
      </w:r>
    </w:p>
    <w:p w14:paraId="10D0004A">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②公益美食探访：志愿队制作美食成品，主动上门或集中分发给社区内的长者、儿童、特殊群体（如困难家庭、残障人士等），传递关爱。</w:t>
      </w:r>
    </w:p>
    <w:p w14:paraId="78AA11D2">
      <w:pPr>
        <w:pStyle w:val="28"/>
        <w:widowControl/>
        <w:numPr>
          <w:ilvl w:val="0"/>
          <w:numId w:val="153"/>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rPr>
        <w:t>“幸福家，邻聚里”石龙坑村多元创享项目</w:t>
      </w:r>
    </w:p>
    <w:p w14:paraId="37E47DE3">
      <w:pPr>
        <w:pStyle w:val="28"/>
        <w:widowControl/>
        <w:numPr>
          <w:ilvl w:val="0"/>
          <w:numId w:val="155"/>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社区文化齐建设</w:t>
      </w:r>
    </w:p>
    <w:p w14:paraId="4B6CC495">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组织游园会、社区环境美化行动、各类知识讲座与学习活动（如文化、技能、健康等）。增强社区凝聚力，促进邻里间的交流、理解与合作，营造共建共享的社区文化氛围。</w:t>
      </w:r>
    </w:p>
    <w:p w14:paraId="381031DB">
      <w:pPr>
        <w:pStyle w:val="28"/>
        <w:widowControl/>
        <w:numPr>
          <w:ilvl w:val="0"/>
          <w:numId w:val="155"/>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银龄长者齐关怀</w:t>
      </w:r>
    </w:p>
    <w:p w14:paraId="1305136B">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为社区长者开展如恒常走访、义诊、义剪与敬老月主题活动，丰富社区独居高龄长者的精神慰藉需求。让长者晚年生活更有温度、趣味和尊严，感受到社区关爱，提升其生活幸福感与社会融入感。</w:t>
      </w:r>
    </w:p>
    <w:p w14:paraId="695057AE">
      <w:pPr>
        <w:pStyle w:val="28"/>
        <w:widowControl/>
        <w:numPr>
          <w:ilvl w:val="0"/>
          <w:numId w:val="155"/>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少年儿童齐成长</w:t>
      </w:r>
    </w:p>
    <w:p w14:paraId="5B590F78">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社区儿童青少年方面，开展传统文化学习体验活动（如书法、节日习俗）、儿童安全“五防”教育（防性侵、防拐卖、防校园暴力、防意外、防灾害）、社区实践与志愿服务等，促进青少年全面健康的发展。</w:t>
      </w:r>
    </w:p>
    <w:p w14:paraId="0DA36D8F">
      <w:pPr>
        <w:pStyle w:val="28"/>
        <w:widowControl/>
        <w:numPr>
          <w:ilvl w:val="0"/>
          <w:numId w:val="153"/>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“绿美生活，我在行动”石龙坑村儿童环保教育实践项目</w:t>
      </w:r>
    </w:p>
    <w:p w14:paraId="3B658A33">
      <w:pPr>
        <w:pStyle w:val="28"/>
        <w:widowControl/>
        <w:numPr>
          <w:ilvl w:val="0"/>
          <w:numId w:val="156"/>
        </w:numPr>
        <w:snapToGrid w:val="0"/>
        <w:spacing w:line="360" w:lineRule="auto"/>
        <w:ind w:left="425" w:leftChars="0" w:hanging="425"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社区环保实践与志愿服务</w:t>
      </w:r>
    </w:p>
    <w:p w14:paraId="43461E2C">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在社工的组织下，组建并运营一支环保小卫士队伍，定期开展力所能及的社区环保服务（如：环境清扫活动、文明宣传活动），培养孩子们养成良好生活习惯，树立环保理念，让儿童以主人翁身份参与社区治理，深化责任感。</w:t>
      </w:r>
    </w:p>
    <w:p w14:paraId="7D032031">
      <w:pPr>
        <w:pStyle w:val="28"/>
        <w:widowControl/>
        <w:numPr>
          <w:ilvl w:val="0"/>
          <w:numId w:val="156"/>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“变废为宝”创意手工</w:t>
      </w:r>
    </w:p>
    <w:p w14:paraId="5CADAC10">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开展手工工作坊，引导儿童利用废旧物品（如塑料瓶、纸盒、旧布料等）进行创意改造，制作成实用的物品或艺术品，体会废弃物再生价值。在实践中深刻理解资源回收利用的价值，减少垃圾产生，培养珍惜资源的习惯和动手创造能力。</w:t>
      </w:r>
    </w:p>
    <w:p w14:paraId="000F78EB">
      <w:pPr>
        <w:pStyle w:val="28"/>
        <w:widowControl/>
        <w:numPr>
          <w:ilvl w:val="0"/>
          <w:numId w:val="156"/>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环境美化行动</w:t>
      </w:r>
    </w:p>
    <w:p w14:paraId="3D76A279">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组织儿童亲身参与社区环境美化活动，例如：协助进行小范围的清洁扫除、绿化养护（如：浇水、除草）。在指导下进行简单的社区井盖、墙面美化（如涂鸦、标语绘制），将环保知识转化为实际行动，让儿童直接为社区环境改善出力，美化人居环境。</w:t>
      </w:r>
    </w:p>
    <w:p w14:paraId="6211F019">
      <w:pPr>
        <w:pStyle w:val="28"/>
        <w:widowControl/>
        <w:numPr>
          <w:ilvl w:val="0"/>
          <w:numId w:val="156"/>
        </w:numPr>
        <w:snapToGrid w:val="0"/>
        <w:spacing w:line="360" w:lineRule="auto"/>
        <w:ind w:left="425" w:leftChars="0" w:hanging="425" w:firstLineChars="0"/>
        <w:contextualSpacing/>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绿美积分系统</w:t>
      </w:r>
    </w:p>
    <w:p w14:paraId="611A67BA">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通过参与绿美系列活动获取相应积分，累计一定的积分可以兑换不同的绿植盆栽，点缀家中环境，鼓励孩子们参与环保实践计划。</w:t>
      </w:r>
    </w:p>
    <w:p w14:paraId="63765975">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总体要求</w:t>
      </w:r>
    </w:p>
    <w:p w14:paraId="3935BD79">
      <w:pPr>
        <w:pStyle w:val="28"/>
        <w:widowControl w:val="0"/>
        <w:numPr>
          <w:ilvl w:val="0"/>
          <w:numId w:val="157"/>
        </w:numPr>
        <w:autoSpaceDE w:val="0"/>
        <w:autoSpaceDN w:val="0"/>
        <w:adjustRightInd w:val="0"/>
        <w:ind w:left="420" w:leftChars="0" w:hanging="420" w:firstLineChars="0"/>
        <w:jc w:val="left"/>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甲方权利和义务</w:t>
      </w:r>
    </w:p>
    <w:p w14:paraId="4A3BCAD8">
      <w:pPr>
        <w:pStyle w:val="28"/>
        <w:widowControl w:val="0"/>
        <w:numPr>
          <w:ilvl w:val="0"/>
          <w:numId w:val="158"/>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甲方有权随时检查乙方的服务履行情况，并向乙方提出修改。</w:t>
      </w:r>
    </w:p>
    <w:p w14:paraId="4DB4C07C">
      <w:pPr>
        <w:pStyle w:val="28"/>
        <w:widowControl w:val="0"/>
        <w:numPr>
          <w:ilvl w:val="0"/>
          <w:numId w:val="158"/>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当发生服务违约时，则甲方有权按约定在支付乙方合同款项中进行扣款 。</w:t>
      </w:r>
    </w:p>
    <w:p w14:paraId="5107918A">
      <w:pPr>
        <w:pStyle w:val="28"/>
        <w:widowControl w:val="0"/>
        <w:numPr>
          <w:ilvl w:val="0"/>
          <w:numId w:val="158"/>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在乙方提供服务时，如对甲方的设备造成了损坏，甲方有权要求乙方赔偿。</w:t>
      </w:r>
    </w:p>
    <w:p w14:paraId="61DD5C52">
      <w:pPr>
        <w:pStyle w:val="28"/>
        <w:widowControl w:val="0"/>
        <w:numPr>
          <w:ilvl w:val="0"/>
          <w:numId w:val="158"/>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甲方应按合同规定向乙方支付服务费用。</w:t>
      </w:r>
    </w:p>
    <w:p w14:paraId="44EBAE68">
      <w:pPr>
        <w:pStyle w:val="28"/>
        <w:widowControl w:val="0"/>
        <w:numPr>
          <w:ilvl w:val="0"/>
          <w:numId w:val="157"/>
        </w:numPr>
        <w:autoSpaceDE w:val="0"/>
        <w:autoSpaceDN w:val="0"/>
        <w:adjustRightInd w:val="0"/>
        <w:ind w:left="420" w:leftChars="0" w:hanging="420" w:firstLineChars="0"/>
        <w:jc w:val="left"/>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乙方权利和义务</w:t>
      </w:r>
    </w:p>
    <w:p w14:paraId="79423D98">
      <w:pPr>
        <w:pStyle w:val="28"/>
        <w:widowControl w:val="0"/>
        <w:numPr>
          <w:ilvl w:val="0"/>
          <w:numId w:val="159"/>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乙方应按招标文件的要求和投标文件的承诺进行服务，发生任何服务的变更均须向甲方提出交书面报审报告。</w:t>
      </w:r>
    </w:p>
    <w:p w14:paraId="0C3AC755">
      <w:pPr>
        <w:pStyle w:val="28"/>
        <w:widowControl w:val="0"/>
        <w:numPr>
          <w:ilvl w:val="0"/>
          <w:numId w:val="159"/>
        </w:numPr>
        <w:tabs>
          <w:tab w:val="left" w:pos="1080"/>
        </w:tabs>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乙方有权要求甲方按时支付服务费用。如甲方不按时支付乙方有权要求甲方支付滞纳金。但服务费得支付应以符合东莞市财政局的相关规定为前提。</w:t>
      </w:r>
    </w:p>
    <w:p w14:paraId="7F35360D">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价格</w:t>
      </w:r>
    </w:p>
    <w:p w14:paraId="242F4A91">
      <w:pPr>
        <w:pStyle w:val="28"/>
        <w:widowControl w:val="0"/>
        <w:numPr>
          <w:ilvl w:val="0"/>
          <w:numId w:val="160"/>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合同总价：大写：人民币</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元整（小写：￥</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元）</w:t>
      </w:r>
    </w:p>
    <w:p w14:paraId="5DEC6DFC">
      <w:pPr>
        <w:pStyle w:val="28"/>
        <w:widowControl w:val="0"/>
        <w:numPr>
          <w:ilvl w:val="0"/>
          <w:numId w:val="160"/>
        </w:numPr>
        <w:ind w:left="420" w:leftChars="0" w:hanging="420"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本合同价为固定不变价。</w:t>
      </w:r>
    </w:p>
    <w:p w14:paraId="26AAFBCD">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验收要求</w:t>
      </w:r>
    </w:p>
    <w:p w14:paraId="5FC0054A">
      <w:pPr>
        <w:keepNext w:val="0"/>
        <w:keepLines w:val="0"/>
        <w:widowControl/>
        <w:numPr>
          <w:ilvl w:val="0"/>
          <w:numId w:val="1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验收工作由采购人（或采购人指定的单位）和中标人共同进行；</w:t>
      </w:r>
    </w:p>
    <w:p w14:paraId="709C9A0B">
      <w:pPr>
        <w:keepNext w:val="0"/>
        <w:keepLines w:val="0"/>
        <w:widowControl/>
        <w:numPr>
          <w:ilvl w:val="0"/>
          <w:numId w:val="1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在验收时，中标人应向采购人提供服务的相关资料，按采购人提出的方式验收；</w:t>
      </w:r>
    </w:p>
    <w:p w14:paraId="7C8C7F18">
      <w:pPr>
        <w:keepNext w:val="0"/>
        <w:keepLines w:val="0"/>
        <w:widowControl/>
        <w:numPr>
          <w:ilvl w:val="0"/>
          <w:numId w:val="16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425" w:leftChars="0" w:right="0" w:hanging="425" w:firstLineChars="0"/>
        <w:jc w:val="left"/>
        <w:rPr>
          <w:rFonts w:hint="eastAsia" w:ascii="宋体" w:hAnsi="宋体" w:eastAsia="宋体" w:cs="宋体"/>
          <w:i w:val="0"/>
          <w:iCs w:val="0"/>
          <w:caps w:val="0"/>
          <w:color w:val="auto"/>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由采购人对服务的质量和数量及其他进行检验。如发现质量和数量等任何一项与采购要求规定不符，采购人</w:t>
      </w:r>
      <w:r>
        <w:rPr>
          <w:rFonts w:hint="eastAsia" w:ascii="宋体" w:hAnsi="宋体" w:eastAsia="宋体" w:cs="宋体"/>
          <w:i w:val="0"/>
          <w:iCs w:val="0"/>
          <w:caps w:val="0"/>
          <w:color w:val="auto"/>
          <w:spacing w:val="0"/>
          <w:kern w:val="0"/>
          <w:sz w:val="21"/>
          <w:szCs w:val="21"/>
          <w:lang w:val="en-US" w:eastAsia="zh-CN" w:bidi="ar"/>
        </w:rPr>
        <w:t>有权拒绝接受。</w:t>
      </w:r>
    </w:p>
    <w:p w14:paraId="19771822">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付款</w:t>
      </w:r>
    </w:p>
    <w:p w14:paraId="6ABC89A8">
      <w:pPr>
        <w:pStyle w:val="28"/>
        <w:widowControl w:val="0"/>
        <w:numPr>
          <w:ilvl w:val="0"/>
          <w:numId w:val="162"/>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服务期：</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年   月   日至    年   月    日</w:t>
      </w:r>
    </w:p>
    <w:p w14:paraId="7C720D5D">
      <w:pPr>
        <w:pStyle w:val="28"/>
        <w:widowControl w:val="0"/>
        <w:numPr>
          <w:ilvl w:val="0"/>
          <w:numId w:val="162"/>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合同生效后服务费分两期付清。第一期于签订合同满1个月后支付服务费用的40%，即¥         元（含税。大写：人民币    元整）；</w:t>
      </w:r>
    </w:p>
    <w:p w14:paraId="2F03D561">
      <w:pPr>
        <w:pStyle w:val="28"/>
        <w:widowControl w:val="0"/>
        <w:numPr>
          <w:ilvl w:val="0"/>
          <w:numId w:val="162"/>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第二期于签订合同满3个月后支付服务费用的60%，即¥        元（含税。大写：人民币    元整）；</w:t>
      </w:r>
    </w:p>
    <w:p w14:paraId="6865A66D">
      <w:pPr>
        <w:pStyle w:val="28"/>
        <w:widowControl w:val="0"/>
        <w:numPr>
          <w:ilvl w:val="0"/>
          <w:numId w:val="162"/>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根据现行税法规定对甲方征收的与本合同有关的一切税费均应由甲方负担；</w:t>
      </w:r>
    </w:p>
    <w:p w14:paraId="44848DA2">
      <w:pPr>
        <w:pStyle w:val="28"/>
        <w:widowControl w:val="0"/>
        <w:numPr>
          <w:ilvl w:val="0"/>
          <w:numId w:val="162"/>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根据现行税法规定对乙方或其雇员征收的与本合同有关的一切税费均应由乙方负担。</w:t>
      </w:r>
    </w:p>
    <w:p w14:paraId="45AFE20C">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人员要求</w:t>
      </w:r>
    </w:p>
    <w:p w14:paraId="45A04A4E">
      <w:pPr>
        <w:pStyle w:val="28"/>
        <w:widowControl w:val="0"/>
        <w:numPr>
          <w:ilvl w:val="0"/>
          <w:numId w:val="163"/>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CN" w:bidi="ar-SA"/>
        </w:rPr>
      </w:pPr>
      <w:r>
        <w:rPr>
          <w:rFonts w:hint="eastAsia" w:ascii="宋体" w:hAnsi="宋体" w:eastAsia="宋体" w:cstheme="minorBidi"/>
          <w:iCs/>
          <w:color w:val="auto"/>
          <w:kern w:val="2"/>
          <w:sz w:val="21"/>
          <w:szCs w:val="21"/>
          <w:lang w:val="en-US" w:eastAsia="zh-CN" w:bidi="ar-SA"/>
        </w:rPr>
        <w:t>乙方应本着服务至上、诚信为本的宗旨，为甲方委派身体健康并符合要求的服务人员，同时需监督管理并指导项目为甲方提供相关的优质服务。</w:t>
      </w:r>
    </w:p>
    <w:p w14:paraId="09A22C00">
      <w:pPr>
        <w:pStyle w:val="28"/>
        <w:widowControl w:val="0"/>
        <w:numPr>
          <w:ilvl w:val="0"/>
          <w:numId w:val="163"/>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CN" w:bidi="ar-SA"/>
        </w:rPr>
      </w:pPr>
      <w:r>
        <w:rPr>
          <w:rFonts w:hint="eastAsia" w:ascii="宋体" w:hAnsi="宋体" w:eastAsia="宋体" w:cstheme="minorBidi"/>
          <w:iCs/>
          <w:color w:val="auto"/>
          <w:kern w:val="2"/>
          <w:sz w:val="21"/>
          <w:szCs w:val="21"/>
          <w:lang w:val="en-US" w:eastAsia="zh-CN" w:bidi="ar-SA"/>
        </w:rPr>
        <w:t>乙方需要对投入项目的服务人员提供培训。</w:t>
      </w:r>
    </w:p>
    <w:p w14:paraId="5F84EA44">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其他要求</w:t>
      </w:r>
    </w:p>
    <w:p w14:paraId="6AED6FE3">
      <w:pPr>
        <w:pStyle w:val="28"/>
        <w:widowControl w:val="0"/>
        <w:numPr>
          <w:ilvl w:val="0"/>
          <w:numId w:val="164"/>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应制定详细的总体服务方案，包括但不限于：社工服务需求调研，社工服务计划、社工服务工作流程与制度等，确保项目有序进行。</w:t>
      </w:r>
    </w:p>
    <w:p w14:paraId="4E47A8EE">
      <w:pPr>
        <w:pStyle w:val="28"/>
        <w:widowControl w:val="0"/>
        <w:numPr>
          <w:ilvl w:val="0"/>
          <w:numId w:val="164"/>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应制定服务质量保障方案，如项目管理方案、服务进度和质量保障方案等。</w:t>
      </w:r>
    </w:p>
    <w:p w14:paraId="6F05D677">
      <w:pPr>
        <w:pStyle w:val="28"/>
        <w:widowControl w:val="0"/>
        <w:numPr>
          <w:ilvl w:val="0"/>
          <w:numId w:val="164"/>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应建立健全运营管理制度，包括不限于人员管理、服务管理、行政管理等制度。</w:t>
      </w:r>
    </w:p>
    <w:p w14:paraId="00687DAD">
      <w:pPr>
        <w:pStyle w:val="28"/>
        <w:widowControl w:val="0"/>
        <w:numPr>
          <w:ilvl w:val="0"/>
          <w:numId w:val="164"/>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应根据服务对象特点、服务内容及服务要求，制定本项目的服务人员培训及考核方案，方案应包括培训计划、培训内容、考核及奖惩机制等。</w:t>
      </w:r>
    </w:p>
    <w:p w14:paraId="2B5E136C">
      <w:pPr>
        <w:pStyle w:val="28"/>
        <w:widowControl w:val="0"/>
        <w:numPr>
          <w:ilvl w:val="0"/>
          <w:numId w:val="164"/>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Hans" w:bidi="ar-SA"/>
        </w:rPr>
      </w:pP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应制定跟踪服务、监控评估方案，定期委派专人负责跟进服务项目的开展情况，并对服务质量、服务效果进行监控评估，并反馈</w:t>
      </w:r>
      <w:r>
        <w:rPr>
          <w:rFonts w:hint="eastAsia" w:ascii="宋体" w:hAnsi="宋体" w:eastAsia="宋体" w:cstheme="minorBidi"/>
          <w:iCs/>
          <w:color w:val="auto"/>
          <w:kern w:val="2"/>
          <w:sz w:val="21"/>
          <w:szCs w:val="21"/>
          <w:lang w:val="en-US" w:eastAsia="zh-CN" w:bidi="ar-SA"/>
        </w:rPr>
        <w:t>甲方</w:t>
      </w:r>
      <w:r>
        <w:rPr>
          <w:rFonts w:hint="eastAsia" w:ascii="宋体" w:hAnsi="宋体" w:eastAsia="宋体" w:cstheme="minorBidi"/>
          <w:iCs/>
          <w:color w:val="auto"/>
          <w:kern w:val="2"/>
          <w:sz w:val="21"/>
          <w:szCs w:val="21"/>
          <w:lang w:val="en-US" w:eastAsia="zh-Hans" w:bidi="ar-SA"/>
        </w:rPr>
        <w:t>。</w:t>
      </w:r>
    </w:p>
    <w:p w14:paraId="14032FD4">
      <w:pPr>
        <w:pStyle w:val="28"/>
        <w:widowControl w:val="0"/>
        <w:numPr>
          <w:ilvl w:val="0"/>
          <w:numId w:val="164"/>
        </w:numPr>
        <w:snapToGrid w:val="0"/>
        <w:spacing w:line="360" w:lineRule="auto"/>
        <w:ind w:left="425" w:leftChars="0" w:hanging="425" w:firstLineChars="0"/>
        <w:contextualSpacing/>
        <w:jc w:val="both"/>
        <w:rPr>
          <w:rFonts w:hint="eastAsia" w:ascii="宋体" w:hAnsi="宋体" w:eastAsia="宋体" w:cstheme="minorBidi"/>
          <w:iCs/>
          <w:color w:val="auto"/>
          <w:kern w:val="2"/>
          <w:sz w:val="21"/>
          <w:szCs w:val="21"/>
          <w:lang w:val="en-US" w:eastAsia="zh-CN" w:bidi="ar-SA"/>
        </w:rPr>
      </w:pPr>
      <w:r>
        <w:rPr>
          <w:rFonts w:hint="eastAsia" w:ascii="宋体" w:hAnsi="宋体" w:eastAsia="宋体" w:cstheme="minorBidi"/>
          <w:iCs/>
          <w:color w:val="auto"/>
          <w:kern w:val="2"/>
          <w:sz w:val="21"/>
          <w:szCs w:val="21"/>
          <w:lang w:val="en-US" w:eastAsia="zh-Hans" w:bidi="ar-SA"/>
        </w:rPr>
        <w:t>因本项目履约过程中涉及人员众多，组成情况复杂，因此</w:t>
      </w:r>
      <w:r>
        <w:rPr>
          <w:rFonts w:hint="eastAsia" w:ascii="宋体" w:hAnsi="宋体" w:eastAsia="宋体" w:cstheme="minorBidi"/>
          <w:iCs/>
          <w:color w:val="auto"/>
          <w:kern w:val="2"/>
          <w:sz w:val="21"/>
          <w:szCs w:val="21"/>
          <w:lang w:val="en-US" w:eastAsia="zh-CN" w:bidi="ar-SA"/>
        </w:rPr>
        <w:t>乙方</w:t>
      </w:r>
      <w:r>
        <w:rPr>
          <w:rFonts w:hint="eastAsia" w:ascii="宋体" w:hAnsi="宋体" w:eastAsia="宋体" w:cstheme="minorBidi"/>
          <w:iCs/>
          <w:color w:val="auto"/>
          <w:kern w:val="2"/>
          <w:sz w:val="21"/>
          <w:szCs w:val="21"/>
          <w:lang w:val="en-US" w:eastAsia="zh-Hans" w:bidi="ar-SA"/>
        </w:rPr>
        <w:t>应有一套完善的应急预案，以应对各类紧急情况的预判、突发事件等履约过程中可能出现的紧急情况，为此提供迅速的应急响应和善后措施。</w:t>
      </w:r>
      <w:r>
        <w:rPr>
          <w:rFonts w:hint="eastAsia" w:ascii="宋体" w:hAnsi="宋体" w:eastAsia="宋体" w:cstheme="minorBidi"/>
          <w:iCs/>
          <w:color w:val="auto"/>
          <w:kern w:val="2"/>
          <w:sz w:val="21"/>
          <w:szCs w:val="21"/>
          <w:lang w:val="en-US" w:eastAsia="zh-CN" w:bidi="ar-SA"/>
        </w:rPr>
        <w:t>甲方如果有临时的服务要求需要中标人提供，乙方需要在</w:t>
      </w:r>
      <w:r>
        <w:rPr>
          <w:rFonts w:hint="eastAsia" w:ascii="宋体" w:hAnsi="宋体" w:eastAsia="宋体" w:cstheme="minorBidi"/>
          <w:iCs/>
          <w:color w:val="auto"/>
          <w:kern w:val="2"/>
          <w:sz w:val="21"/>
          <w:szCs w:val="21"/>
          <w:u w:val="single"/>
          <w:lang w:val="en-US" w:eastAsia="zh-CN" w:bidi="ar-SA"/>
        </w:rPr>
        <w:t xml:space="preserve">  </w:t>
      </w:r>
      <w:r>
        <w:rPr>
          <w:rFonts w:hint="eastAsia" w:ascii="宋体" w:hAnsi="宋体" w:eastAsia="宋体" w:cstheme="minorBidi"/>
          <w:iCs/>
          <w:color w:val="auto"/>
          <w:kern w:val="2"/>
          <w:sz w:val="21"/>
          <w:szCs w:val="21"/>
          <w:lang w:val="en-US" w:eastAsia="zh-CN" w:bidi="ar-SA"/>
        </w:rPr>
        <w:t>小时内派项目负责人到达采购人指定地点。</w:t>
      </w:r>
    </w:p>
    <w:p w14:paraId="69727237">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 xml:space="preserve">分包与转包 </w:t>
      </w:r>
    </w:p>
    <w:p w14:paraId="76D038F5">
      <w:pPr>
        <w:pStyle w:val="28"/>
        <w:widowControl w:val="0"/>
        <w:numPr>
          <w:ilvl w:val="0"/>
          <w:numId w:val="165"/>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严禁转包，未经甲方书面同意不得分包</w:t>
      </w:r>
    </w:p>
    <w:p w14:paraId="34848F8F">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违约责任</w:t>
      </w:r>
    </w:p>
    <w:p w14:paraId="1100F1EF">
      <w:pPr>
        <w:pStyle w:val="33"/>
        <w:widowControl w:val="0"/>
        <w:numPr>
          <w:ilvl w:val="0"/>
          <w:numId w:val="166"/>
        </w:numPr>
        <w:tabs>
          <w:tab w:val="left" w:pos="840"/>
        </w:tabs>
        <w:ind w:firstLineChars="0"/>
        <w:jc w:val="both"/>
        <w:rPr>
          <w:rFonts w:hint="eastAsia" w:ascii="宋体" w:hAnsi="宋体"/>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kern w:val="2"/>
          <w:sz w:val="21"/>
          <w:szCs w:val="21"/>
          <w:lang w:val="en-US" w:eastAsia="zh-CN" w:bidi="ar-SA"/>
          <w14:textFill>
            <w14:solidFill>
              <w14:schemeClr w14:val="tx1"/>
            </w14:solidFill>
          </w14:textFill>
        </w:rPr>
        <w:t>乙方违反合同及招标文件约定的有关义务，对甲方造成经济损失的，应给予甲方经济赔偿；如造成重大损失的，甲方有权终止合同。</w:t>
      </w:r>
    </w:p>
    <w:p w14:paraId="0FF5BDF5">
      <w:pPr>
        <w:pStyle w:val="33"/>
        <w:widowControl w:val="0"/>
        <w:numPr>
          <w:ilvl w:val="0"/>
          <w:numId w:val="166"/>
        </w:numPr>
        <w:tabs>
          <w:tab w:val="left" w:pos="840"/>
        </w:tabs>
        <w:ind w:firstLineChars="0"/>
        <w:jc w:val="both"/>
        <w:rPr>
          <w:rFonts w:hint="eastAsia" w:ascii="宋体" w:hAnsi="宋体"/>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kern w:val="2"/>
          <w:sz w:val="21"/>
          <w:szCs w:val="21"/>
          <w:lang w:val="en-US" w:eastAsia="zh-CN" w:bidi="ar-SA"/>
          <w14:textFill>
            <w14:solidFill>
              <w14:schemeClr w14:val="tx1"/>
            </w14:solidFill>
          </w14:textFill>
        </w:rPr>
        <w:t>除合同规定外，如果乙方没有按照合同规定的时间交付或完成，甲方可要求乙方支付违约金。从逾期之日起每日按本合同总价</w:t>
      </w:r>
      <w:r>
        <w:rPr>
          <w:rFonts w:hint="eastAsia" w:ascii="宋体" w:hAnsi="宋体" w:cs="Times New Roman"/>
          <w:color w:val="000000" w:themeColor="text1"/>
          <w:kern w:val="2"/>
          <w:sz w:val="21"/>
          <w:szCs w:val="21"/>
          <w:u w:val="single"/>
          <w:lang w:val="en-US" w:eastAsia="zh-CN" w:bidi="ar-SA"/>
          <w14:textFill>
            <w14:solidFill>
              <w14:schemeClr w14:val="tx1"/>
            </w14:solidFill>
          </w14:textFill>
        </w:rPr>
        <w:t xml:space="preserve"> 3 </w:t>
      </w:r>
      <w:r>
        <w:rPr>
          <w:rFonts w:hint="eastAsia" w:ascii="宋体" w:hAnsi="宋体" w:cs="Times New Roman"/>
          <w:color w:val="000000" w:themeColor="text1"/>
          <w:kern w:val="2"/>
          <w:sz w:val="21"/>
          <w:szCs w:val="21"/>
          <w:lang w:val="en-US" w:eastAsia="zh-CN" w:bidi="ar-SA"/>
          <w14:textFill>
            <w14:solidFill>
              <w14:schemeClr w14:val="tx1"/>
            </w14:solidFill>
          </w14:textFill>
        </w:rPr>
        <w:t>‰</w:t>
      </w:r>
      <w:r>
        <w:rPr>
          <w:rFonts w:hint="eastAsia" w:ascii="宋体" w:hAnsi="宋体"/>
          <w:color w:val="000000" w:themeColor="text1"/>
          <w:kern w:val="2"/>
          <w:sz w:val="21"/>
          <w:szCs w:val="21"/>
          <w:lang w:val="en-US" w:eastAsia="zh-CN" w:bidi="ar-SA"/>
          <w14:textFill>
            <w14:solidFill>
              <w14:schemeClr w14:val="tx1"/>
            </w14:solidFill>
          </w14:textFill>
        </w:rPr>
        <w:t>的数额向甲方支付违约金；逾期15天或以上的，甲方有权终止合同，要求乙方一次性支付合同总金额</w:t>
      </w:r>
      <w:r>
        <w:rPr>
          <w:rFonts w:hint="eastAsia" w:ascii="宋体" w:hAnsi="宋体"/>
          <w:color w:val="000000" w:themeColor="text1"/>
          <w:kern w:val="2"/>
          <w:sz w:val="21"/>
          <w:szCs w:val="21"/>
          <w:u w:val="single"/>
          <w:lang w:val="en-US" w:eastAsia="zh-CN" w:bidi="ar-SA"/>
          <w14:textFill>
            <w14:solidFill>
              <w14:schemeClr w14:val="tx1"/>
            </w14:solidFill>
          </w14:textFill>
        </w:rPr>
        <w:t xml:space="preserve"> 20 %</w:t>
      </w:r>
      <w:r>
        <w:rPr>
          <w:rFonts w:hint="eastAsia" w:ascii="宋体" w:hAnsi="宋体"/>
          <w:color w:val="000000" w:themeColor="text1"/>
          <w:kern w:val="2"/>
          <w:sz w:val="21"/>
          <w:szCs w:val="21"/>
          <w:lang w:val="en-US" w:eastAsia="zh-CN" w:bidi="ar-SA"/>
          <w14:textFill>
            <w14:solidFill>
              <w14:schemeClr w14:val="tx1"/>
            </w14:solidFill>
          </w14:textFill>
        </w:rPr>
        <w:t>违约金，并且给甲方造成的经济损失由乙方承担赔偿责任。</w:t>
      </w:r>
    </w:p>
    <w:p w14:paraId="40BEFB8E">
      <w:pPr>
        <w:pStyle w:val="33"/>
        <w:widowControl w:val="0"/>
        <w:numPr>
          <w:ilvl w:val="0"/>
          <w:numId w:val="166"/>
        </w:numPr>
        <w:tabs>
          <w:tab w:val="left" w:pos="840"/>
        </w:tabs>
        <w:ind w:firstLineChars="0"/>
        <w:jc w:val="both"/>
        <w:rPr>
          <w:rFonts w:hint="eastAsia" w:ascii="宋体" w:hAnsi="宋体" w:cstheme="minorBidi"/>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kern w:val="2"/>
          <w:sz w:val="21"/>
          <w:szCs w:val="21"/>
          <w:lang w:val="en-US" w:eastAsia="zh-CN" w:bidi="ar-SA"/>
          <w14:textFill>
            <w14:solidFill>
              <w14:schemeClr w14:val="tx1"/>
            </w14:solidFill>
          </w14:textFill>
        </w:rPr>
        <w:t>因乙方原因导致本合同解除或是无法履行的，乙方应向甲方支付合同总价</w:t>
      </w:r>
      <w:r>
        <w:rPr>
          <w:rFonts w:hint="eastAsia" w:ascii="宋体" w:hAnsi="宋体" w:cstheme="minorBidi"/>
          <w:color w:val="000000" w:themeColor="text1"/>
          <w:kern w:val="2"/>
          <w:sz w:val="21"/>
          <w:szCs w:val="21"/>
          <w:u w:val="single"/>
          <w:lang w:val="en-US" w:eastAsia="zh-CN" w:bidi="ar-SA"/>
          <w14:textFill>
            <w14:solidFill>
              <w14:schemeClr w14:val="tx1"/>
            </w14:solidFill>
          </w14:textFill>
        </w:rPr>
        <w:t xml:space="preserve"> 20 %</w:t>
      </w:r>
      <w:r>
        <w:rPr>
          <w:rFonts w:hint="eastAsia" w:ascii="宋体" w:hAnsi="宋体" w:cstheme="minorBidi"/>
          <w:color w:val="000000" w:themeColor="text1"/>
          <w:kern w:val="2"/>
          <w:sz w:val="21"/>
          <w:szCs w:val="21"/>
          <w:lang w:val="en-US" w:eastAsia="zh-CN" w:bidi="ar-SA"/>
          <w14:textFill>
            <w14:solidFill>
              <w14:schemeClr w14:val="tx1"/>
            </w14:solidFill>
          </w14:textFill>
        </w:rPr>
        <w:t>的违约金，并且给甲方造成的经济损失由乙方承担赔偿责任。</w:t>
      </w:r>
    </w:p>
    <w:p w14:paraId="1200EB82">
      <w:pPr>
        <w:pStyle w:val="33"/>
        <w:widowControl w:val="0"/>
        <w:numPr>
          <w:ilvl w:val="0"/>
          <w:numId w:val="166"/>
        </w:numPr>
        <w:tabs>
          <w:tab w:val="left" w:pos="840"/>
        </w:tabs>
        <w:ind w:firstLineChars="0"/>
        <w:jc w:val="both"/>
        <w:rPr>
          <w:rFonts w:hint="eastAsia" w:ascii="宋体" w:hAnsi="宋体"/>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kern w:val="2"/>
          <w:sz w:val="21"/>
          <w:szCs w:val="21"/>
          <w:lang w:val="en-US" w:eastAsia="zh-CN" w:bidi="ar-SA"/>
          <w14:textFill>
            <w14:solidFill>
              <w14:schemeClr w14:val="tx1"/>
            </w14:solidFill>
          </w14:textFill>
        </w:rPr>
        <w:t>甲方有权从未支付的款项或是履约保证金中直接扣除乙方的违约金，不足的部分由乙方另行补足。</w:t>
      </w:r>
    </w:p>
    <w:p w14:paraId="0DD4E768">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争议的解决办法</w:t>
      </w:r>
    </w:p>
    <w:p w14:paraId="565F4262">
      <w:pPr>
        <w:numPr>
          <w:ilvl w:val="0"/>
          <w:numId w:val="167"/>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凡与本合同有关而引起的一切争议，甲乙双方应首先通过友好协商解决，如经协商后仍不能达成协议时，任何一方可以向法院提出诉讼。</w:t>
      </w:r>
    </w:p>
    <w:p w14:paraId="638DE11C">
      <w:pPr>
        <w:numPr>
          <w:ilvl w:val="0"/>
          <w:numId w:val="167"/>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本合同发生的诉讼管辖地为东莞市有管辖权的法院。</w:t>
      </w:r>
    </w:p>
    <w:p w14:paraId="305C2920">
      <w:pPr>
        <w:numPr>
          <w:ilvl w:val="0"/>
          <w:numId w:val="167"/>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在进行法院审理期间，除提交法院审理的事项外，合同其他部分仍继续履行。</w:t>
      </w:r>
    </w:p>
    <w:p w14:paraId="48A7232E">
      <w:pPr>
        <w:numPr>
          <w:ilvl w:val="0"/>
          <w:numId w:val="167"/>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本合同按照中华人民共和国的法律进行解释。</w:t>
      </w:r>
    </w:p>
    <w:p w14:paraId="6E0CDD04">
      <w:pPr>
        <w:pStyle w:val="28"/>
        <w:widowControl w:val="0"/>
        <w:numPr>
          <w:ilvl w:val="0"/>
          <w:numId w:val="149"/>
        </w:numPr>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不可抗力</w:t>
      </w:r>
    </w:p>
    <w:p w14:paraId="617910C7">
      <w:pPr>
        <w:numPr>
          <w:ilvl w:val="0"/>
          <w:numId w:val="168"/>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93087E7">
      <w:pPr>
        <w:numPr>
          <w:ilvl w:val="0"/>
          <w:numId w:val="168"/>
        </w:numPr>
        <w:ind w:left="420" w:hanging="42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0C8F0462">
      <w:pPr>
        <w:pStyle w:val="28"/>
        <w:widowControl w:val="0"/>
        <w:numPr>
          <w:ilvl w:val="0"/>
          <w:numId w:val="149"/>
        </w:numPr>
        <w:tabs>
          <w:tab w:val="left" w:pos="567"/>
        </w:tabs>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合同生效</w:t>
      </w:r>
    </w:p>
    <w:p w14:paraId="3B1600A3">
      <w:pPr>
        <w:pStyle w:val="28"/>
        <w:widowControl w:val="0"/>
        <w:numPr>
          <w:ilvl w:val="0"/>
          <w:numId w:val="169"/>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本合同由双方法定代表人或委托代理人签字盖章后立即生效，具有同等法律效力，服务期为合同签订日至</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年    月    日</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，合同有效期随服务期结束而自然终止；</w:t>
      </w:r>
    </w:p>
    <w:p w14:paraId="4C54CE57">
      <w:pPr>
        <w:pStyle w:val="28"/>
        <w:widowControl w:val="0"/>
        <w:numPr>
          <w:ilvl w:val="0"/>
          <w:numId w:val="169"/>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本合同一式</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份，其中甲方</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份、乙方</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份，采购代理机构</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壹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份（须在合同签订之日起5个工作日内递交）</w:t>
      </w:r>
    </w:p>
    <w:p w14:paraId="039F9D3C">
      <w:pPr>
        <w:pStyle w:val="28"/>
        <w:widowControl w:val="0"/>
        <w:numPr>
          <w:ilvl w:val="0"/>
          <w:numId w:val="149"/>
        </w:numPr>
        <w:tabs>
          <w:tab w:val="left" w:pos="567"/>
        </w:tabs>
        <w:spacing w:before="217" w:beforeLines="50"/>
        <w:ind w:firstLineChars="0"/>
        <w:jc w:val="both"/>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pPr>
      <w:r>
        <w:rPr>
          <w:rFonts w:hint="eastAsia" w:ascii="宋体" w:hAnsi="宋体" w:eastAsia="宋体" w:cstheme="minorBidi"/>
          <w:b/>
          <w:color w:val="000000" w:themeColor="text1"/>
          <w:spacing w:val="20"/>
          <w:kern w:val="2"/>
          <w:sz w:val="21"/>
          <w:szCs w:val="21"/>
          <w:lang w:val="en-US" w:eastAsia="zh-CN" w:bidi="ar-SA"/>
          <w14:textFill>
            <w14:solidFill>
              <w14:schemeClr w14:val="tx1"/>
            </w14:solidFill>
          </w14:textFill>
        </w:rPr>
        <w:t>其它</w:t>
      </w:r>
    </w:p>
    <w:p w14:paraId="0BDD103D">
      <w:pPr>
        <w:pStyle w:val="28"/>
        <w:widowControl w:val="0"/>
        <w:numPr>
          <w:ilvl w:val="0"/>
          <w:numId w:val="17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本合同未尽事宜，双方可签订补充合同，补充合同与所有附件均为合同的有效组成部分，与本合同具有同等法律效力；</w:t>
      </w:r>
    </w:p>
    <w:p w14:paraId="57399C0C">
      <w:pPr>
        <w:pStyle w:val="28"/>
        <w:widowControl w:val="0"/>
        <w:numPr>
          <w:ilvl w:val="0"/>
          <w:numId w:val="17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在执行本合同的过程中，所有经甲乙双方签署确认的文件（包括会议纪要、补充协议、往来信函、合同附件等）即成为本合同的有效组成部分，其生效日期为双方签字盖章或确认之日期；</w:t>
      </w:r>
    </w:p>
    <w:p w14:paraId="682FE051">
      <w:pPr>
        <w:pStyle w:val="28"/>
        <w:widowControl w:val="0"/>
        <w:numPr>
          <w:ilvl w:val="0"/>
          <w:numId w:val="170"/>
        </w:numPr>
        <w:ind w:firstLineChars="0"/>
        <w:jc w:val="both"/>
        <w:rPr>
          <w:rFonts w:hint="eastAsia" w:ascii="宋体" w:hAnsi="宋体" w:eastAsia="宋体" w:cstheme="minorBidi"/>
          <w:color w:val="000000" w:themeColor="text1"/>
          <w:kern w:val="2"/>
          <w:sz w:val="21"/>
          <w:szCs w:val="21"/>
          <w:lang w:val="en-US" w:eastAsia="zh-CN" w:bidi="ar-SA"/>
          <w14:textFill>
            <w14:solidFill>
              <w14:schemeClr w14:val="tx1"/>
            </w14:solidFill>
          </w14:textFill>
        </w:rPr>
      </w:pP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本合同合计</w:t>
      </w:r>
      <w:r>
        <w:rPr>
          <w:rFonts w:hint="eastAsia" w:ascii="宋体" w:hAnsi="宋体" w:eastAsia="宋体" w:cstheme="minorBidi"/>
          <w:color w:val="000000" w:themeColor="text1"/>
          <w:kern w:val="2"/>
          <w:sz w:val="21"/>
          <w:szCs w:val="21"/>
          <w:u w:val="single"/>
          <w:lang w:val="en-US" w:eastAsia="zh-CN" w:bidi="ar-SA"/>
          <w14:textFill>
            <w14:solidFill>
              <w14:schemeClr w14:val="tx1"/>
            </w14:solidFill>
          </w14:textFill>
        </w:rPr>
        <w:t xml:space="preserve">      </w:t>
      </w:r>
      <w:r>
        <w:rPr>
          <w:rFonts w:hint="eastAsia" w:ascii="宋体" w:hAnsi="宋体" w:eastAsia="宋体" w:cstheme="minorBidi"/>
          <w:color w:val="000000" w:themeColor="text1"/>
          <w:kern w:val="2"/>
          <w:sz w:val="21"/>
          <w:szCs w:val="21"/>
          <w:lang w:val="en-US" w:eastAsia="zh-CN" w:bidi="ar-SA"/>
          <w14:textFill>
            <w14:solidFill>
              <w14:schemeClr w14:val="tx1"/>
            </w14:solidFill>
          </w14:textFill>
        </w:rPr>
        <w:t>页A4纸张，缺页之合同为无效合同。</w:t>
      </w:r>
    </w:p>
    <w:p w14:paraId="2FDCD590">
      <w:pPr>
        <w:rPr>
          <w:rFonts w:hint="eastAsia" w:ascii="宋体" w:hAnsi="宋体" w:eastAsia="宋体" w:cstheme="minorBidi"/>
          <w:color w:val="000000" w:themeColor="text1"/>
          <w:szCs w:val="21"/>
          <w14:textFill>
            <w14:solidFill>
              <w14:schemeClr w14:val="tx1"/>
            </w14:solidFill>
          </w14:textFill>
        </w:rPr>
      </w:pPr>
    </w:p>
    <w:p w14:paraId="38A809CD">
      <w:pPr>
        <w:rPr>
          <w:rFonts w:hint="eastAsia" w:ascii="宋体" w:hAnsi="宋体" w:eastAsia="宋体" w:cstheme="minorBidi"/>
          <w:color w:val="000000" w:themeColor="text1"/>
          <w:szCs w:val="21"/>
          <w14:textFill>
            <w14:solidFill>
              <w14:schemeClr w14:val="tx1"/>
            </w14:solidFill>
          </w14:textFill>
        </w:rPr>
      </w:pPr>
    </w:p>
    <w:p w14:paraId="5E021D48">
      <w:pPr>
        <w:rPr>
          <w:rFonts w:hint="eastAsia" w:ascii="宋体" w:hAnsi="宋体" w:eastAsia="宋体" w:cstheme="minorBidi"/>
          <w:color w:val="000000" w:themeColor="text1"/>
          <w:szCs w:val="21"/>
          <w14:textFill>
            <w14:solidFill>
              <w14:schemeClr w14:val="tx1"/>
            </w14:solidFill>
          </w14:textFill>
        </w:rPr>
      </w:pP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70CE8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335AE32">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甲方（盖章）：</w:t>
            </w:r>
          </w:p>
        </w:tc>
        <w:tc>
          <w:tcPr>
            <w:tcW w:w="2500" w:type="pct"/>
          </w:tcPr>
          <w:p w14:paraId="626245AA">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乙方(盖章)：</w:t>
            </w:r>
          </w:p>
        </w:tc>
      </w:tr>
      <w:tr w14:paraId="4C387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19884AD">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甲方代表人(签字)：</w:t>
            </w:r>
          </w:p>
        </w:tc>
        <w:tc>
          <w:tcPr>
            <w:tcW w:w="2500" w:type="pct"/>
          </w:tcPr>
          <w:p w14:paraId="38290E8A">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乙方代表人(签字)：</w:t>
            </w:r>
          </w:p>
        </w:tc>
      </w:tr>
      <w:tr w14:paraId="05553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73F4268">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签字日期：</w:t>
            </w:r>
          </w:p>
        </w:tc>
        <w:tc>
          <w:tcPr>
            <w:tcW w:w="2500" w:type="pct"/>
          </w:tcPr>
          <w:p w14:paraId="597868FD">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签字日期：</w:t>
            </w:r>
          </w:p>
        </w:tc>
      </w:tr>
      <w:tr w14:paraId="079DA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A880AF">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地址：</w:t>
            </w:r>
          </w:p>
        </w:tc>
        <w:tc>
          <w:tcPr>
            <w:tcW w:w="2500" w:type="pct"/>
          </w:tcPr>
          <w:p w14:paraId="54FF2535">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地址：</w:t>
            </w:r>
          </w:p>
        </w:tc>
      </w:tr>
      <w:tr w14:paraId="626B0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C625C50">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电话：</w:t>
            </w:r>
          </w:p>
        </w:tc>
        <w:tc>
          <w:tcPr>
            <w:tcW w:w="2500" w:type="pct"/>
          </w:tcPr>
          <w:p w14:paraId="600F6A0E">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电话：</w:t>
            </w:r>
          </w:p>
        </w:tc>
      </w:tr>
      <w:tr w14:paraId="338DD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2A46E07">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传真：</w:t>
            </w:r>
          </w:p>
        </w:tc>
        <w:tc>
          <w:tcPr>
            <w:tcW w:w="2500" w:type="pct"/>
          </w:tcPr>
          <w:p w14:paraId="2F9BB7F0">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传真：</w:t>
            </w:r>
          </w:p>
        </w:tc>
      </w:tr>
      <w:tr w14:paraId="48A6A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9ECF0FD">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开户银行：</w:t>
            </w:r>
          </w:p>
        </w:tc>
        <w:tc>
          <w:tcPr>
            <w:tcW w:w="2500" w:type="pct"/>
          </w:tcPr>
          <w:p w14:paraId="0E86FFD7">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开户银行：</w:t>
            </w:r>
          </w:p>
        </w:tc>
      </w:tr>
      <w:tr w14:paraId="7C7E0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122D081">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银行账户：</w:t>
            </w:r>
          </w:p>
        </w:tc>
        <w:tc>
          <w:tcPr>
            <w:tcW w:w="2500" w:type="pct"/>
          </w:tcPr>
          <w:p w14:paraId="013FA3CF">
            <w:pPr>
              <w:rPr>
                <w:rFonts w:hint="eastAsia" w:ascii="宋体" w:hAnsi="宋体" w:eastAsia="宋体" w:cstheme="minorBidi"/>
                <w:color w:val="000000" w:themeColor="text1"/>
                <w:szCs w:val="21"/>
                <w14:textFill>
                  <w14:solidFill>
                    <w14:schemeClr w14:val="tx1"/>
                  </w14:solidFill>
                </w14:textFill>
              </w:rPr>
            </w:pPr>
            <w:r>
              <w:rPr>
                <w:rFonts w:hint="eastAsia" w:ascii="宋体" w:hAnsi="宋体" w:eastAsia="宋体" w:cstheme="minorBidi"/>
                <w:color w:val="000000" w:themeColor="text1"/>
                <w:szCs w:val="21"/>
                <w14:textFill>
                  <w14:solidFill>
                    <w14:schemeClr w14:val="tx1"/>
                  </w14:solidFill>
                </w14:textFill>
              </w:rPr>
              <w:t>银行账户：</w:t>
            </w:r>
          </w:p>
        </w:tc>
      </w:tr>
    </w:tbl>
    <w:p w14:paraId="376DCECD">
      <w:pPr>
        <w:rPr>
          <w:rFonts w:ascii="Calibri" w:hAnsi="Calibri" w:eastAsia="宋体" w:cs="Times New Roman"/>
        </w:rPr>
      </w:pPr>
    </w:p>
    <w:p w14:paraId="68A80997">
      <w:pPr>
        <w:pStyle w:val="2"/>
        <w:rPr>
          <w:rFonts w:hint="eastAsia"/>
        </w:rPr>
      </w:pPr>
    </w:p>
    <w:p w14:paraId="6A0ED305">
      <w:pPr>
        <w:pStyle w:val="2"/>
        <w:rPr>
          <w:rFonts w:hint="eastAsia"/>
        </w:rPr>
      </w:pPr>
    </w:p>
    <w:p w14:paraId="25A164C6">
      <w:pPr>
        <w:pageBreakBefore/>
        <w:widowControl/>
        <w:jc w:val="center"/>
        <w:outlineLvl w:val="1"/>
        <w:rPr>
          <w:rFonts w:ascii="Calibri" w:hAnsi="Calibri" w:eastAsia="宋体" w:cs="Times New Roman"/>
          <w:kern w:val="0"/>
          <w:sz w:val="20"/>
          <w:szCs w:val="20"/>
          <w:lang w:eastAsia="zh-Hans"/>
        </w:rPr>
      </w:pPr>
      <w:bookmarkStart w:id="34" w:name="_Toc169799784"/>
      <w:bookmarkStart w:id="35" w:name="_Toc169807545"/>
      <w:r>
        <w:rPr>
          <w:rFonts w:ascii="Calibri" w:hAnsi="Calibri" w:eastAsia="宋体" w:cs="Times New Roman"/>
          <w:b/>
          <w:kern w:val="0"/>
          <w:sz w:val="36"/>
          <w:szCs w:val="20"/>
          <w:lang w:eastAsia="zh-Hans"/>
        </w:rPr>
        <w:t>第六章 投标文件格式</w:t>
      </w:r>
      <w:bookmarkEnd w:id="34"/>
      <w:bookmarkEnd w:id="35"/>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hint="eastAsia" w:ascii="宋体" w:hAnsi="宋体" w:eastAsia="宋体"/>
          <w:b/>
          <w:bCs/>
          <w:sz w:val="56"/>
          <w:szCs w:val="56"/>
        </w:rPr>
      </w:pPr>
      <w:bookmarkStart w:id="36" w:name="_Toc169799785"/>
      <w:r>
        <w:rPr>
          <w:rFonts w:hint="eastAsia" w:ascii="宋体" w:hAnsi="宋体" w:eastAsia="宋体"/>
          <w:b/>
          <w:bCs/>
          <w:sz w:val="60"/>
          <w:szCs w:val="60"/>
        </w:rPr>
        <w:t>寮步镇塘唇村、浮竹山村、石龙坑村</w:t>
      </w:r>
      <w:r>
        <w:rPr>
          <w:rFonts w:hint="eastAsia" w:ascii="宋体" w:hAnsi="宋体" w:eastAsia="宋体"/>
          <w:b/>
          <w:bCs/>
          <w:sz w:val="56"/>
          <w:szCs w:val="56"/>
        </w:rPr>
        <w:t>2025年专项项目运营采购项目</w:t>
      </w:r>
    </w:p>
    <w:p w14:paraId="22263F55">
      <w:pPr>
        <w:spacing w:before="652" w:beforeLines="150"/>
        <w:jc w:val="center"/>
        <w:rPr>
          <w:rFonts w:hint="eastAsia" w:ascii="宋体" w:hAnsi="宋体" w:eastAsia="宋体"/>
          <w:b/>
          <w:bCs/>
          <w:spacing w:val="20"/>
          <w:sz w:val="72"/>
          <w:szCs w:val="72"/>
        </w:rPr>
      </w:pPr>
      <w:r>
        <w:rPr>
          <w:rFonts w:ascii="宋体" w:hAnsi="宋体" w:eastAsia="宋体"/>
          <w:b/>
          <w:bCs/>
          <w:spacing w:val="20"/>
          <w:sz w:val="72"/>
          <w:szCs w:val="72"/>
        </w:rPr>
        <w:t>投标文件</w:t>
      </w:r>
      <w:bookmarkEnd w:id="36"/>
    </w:p>
    <w:p w14:paraId="4BC6EA96">
      <w:pPr>
        <w:jc w:val="center"/>
        <w:rPr>
          <w:rFonts w:hint="eastAsia" w:ascii="宋体" w:hAnsi="宋体" w:eastAsia="宋体"/>
          <w:b/>
          <w:bCs/>
          <w:lang w:val="en-US" w:eastAsia="zh-CN"/>
        </w:rPr>
      </w:pPr>
      <w:bookmarkStart w:id="37" w:name="_Toc169799786"/>
      <w:r>
        <w:rPr>
          <w:rFonts w:ascii="宋体" w:hAnsi="宋体" w:eastAsia="宋体"/>
          <w:b/>
          <w:bCs/>
          <w:sz w:val="44"/>
          <w:szCs w:val="48"/>
        </w:rPr>
        <w:t>（正本/副本）</w:t>
      </w:r>
      <w:bookmarkEnd w:id="37"/>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2612" w:beforeLines="600" w:line="360" w:lineRule="auto"/>
        <w:ind w:firstLine="1558" w:firstLineChars="485"/>
        <w:jc w:val="left"/>
        <w:textAlignment w:val="auto"/>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1999A936">
      <w:pPr>
        <w:widowControl/>
        <w:spacing w:line="360" w:lineRule="auto"/>
        <w:ind w:firstLine="1558" w:firstLineChars="485"/>
        <w:jc w:val="left"/>
        <w:outlineLvl w:val="3"/>
        <w:rPr>
          <w:rFonts w:hint="eastAsia" w:ascii="宋体" w:hAnsi="宋体" w:eastAsia="宋体" w:cs="Times New Roman"/>
          <w:b/>
          <w:kern w:val="0"/>
          <w:sz w:val="32"/>
          <w:szCs w:val="32"/>
          <w:lang w:eastAsia="zh-Hans"/>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6F2DB676">
      <w:pPr>
        <w:widowControl/>
        <w:spacing w:line="360" w:lineRule="auto"/>
        <w:ind w:firstLine="1558" w:firstLineChars="485"/>
        <w:jc w:val="left"/>
        <w:outlineLvl w:val="3"/>
        <w:rPr>
          <w:rFonts w:hint="eastAsia"/>
        </w:rPr>
      </w:pPr>
      <w:r>
        <w:rPr>
          <w:rFonts w:ascii="宋体" w:hAnsi="宋体" w:eastAsia="宋体" w:cs="Times New Roman"/>
          <w:b/>
          <w:kern w:val="0"/>
          <w:sz w:val="32"/>
          <w:szCs w:val="32"/>
          <w:lang w:eastAsia="zh-Hans"/>
        </w:rPr>
        <w:t>所投采购包：第 包</w:t>
      </w:r>
    </w:p>
    <w:p w14:paraId="36FD44B3">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512994C4">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6BBA1CBF">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中小企业声明函</w:t>
      </w:r>
    </w:p>
    <w:p w14:paraId="0F963B8C">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监狱企业</w:t>
      </w:r>
    </w:p>
    <w:p w14:paraId="5FE1DDF1">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残疾人福利性单位声明函</w:t>
      </w:r>
    </w:p>
    <w:p w14:paraId="06801FB1">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政策适用性说明</w:t>
      </w:r>
    </w:p>
    <w:p w14:paraId="0463493B">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6FFD1DEB">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1661940">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资格条件承诺函</w:t>
      </w:r>
    </w:p>
    <w:p w14:paraId="118B6973">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2C5908F1">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65C8EF60">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项目技术服务人员情况表</w:t>
      </w:r>
    </w:p>
    <w:p w14:paraId="41AFFB6B">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4D1A68">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03FAB5CB">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441CCE17">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201B1BAE">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048C294">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采购代理服务费支付承诺书</w:t>
      </w:r>
    </w:p>
    <w:p w14:paraId="16C153A6">
      <w:pPr>
        <w:widowControl/>
        <w:numPr>
          <w:ilvl w:val="0"/>
          <w:numId w:val="171"/>
        </w:numPr>
        <w:ind w:left="0" w:leftChars="0" w:firstLine="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询问函、质疑函、投诉书格式</w:t>
      </w:r>
    </w:p>
    <w:p w14:paraId="2DC55D76">
      <w:pPr>
        <w:widowControl/>
        <w:numPr>
          <w:ilvl w:val="0"/>
          <w:numId w:val="171"/>
        </w:numPr>
        <w:ind w:left="0" w:leftChars="0" w:firstLine="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项目实施方案、质量保证及售后服务承诺等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hint="eastAsia"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b/>
          <w:bCs/>
          <w:szCs w:val="21"/>
        </w:rPr>
      </w:pPr>
      <w:r>
        <w:rPr>
          <w:rFonts w:hint="eastAsia" w:ascii="宋体" w:hAnsi="宋体" w:eastAsia="宋体"/>
          <w:b/>
          <w:bCs/>
          <w:sz w:val="28"/>
          <w:szCs w:val="28"/>
        </w:rPr>
        <w:t>资格、符合性审查索引表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center"/>
              <w:rPr>
                <w:rFonts w:hint="eastAsia"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hint="eastAsia"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hint="eastAsia"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hint="eastAsia"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hint="eastAsia" w:ascii="宋体" w:hAnsi="宋体" w:eastAsia="宋体"/>
          <w:b/>
          <w:bCs/>
          <w:szCs w:val="21"/>
        </w:rPr>
      </w:pPr>
      <w:bookmarkStart w:id="38" w:name="_Hlk169787866"/>
      <w:r>
        <w:rPr>
          <w:rFonts w:ascii="宋体" w:hAnsi="宋体" w:eastAsia="宋体"/>
          <w:b/>
          <w:bCs/>
          <w:sz w:val="24"/>
          <w:szCs w:val="24"/>
        </w:rPr>
        <w:t>详细评审</w:t>
      </w:r>
      <w:r>
        <w:rPr>
          <w:rFonts w:hint="eastAsia" w:ascii="宋体" w:hAnsi="宋体" w:eastAsia="宋体"/>
          <w:b/>
          <w:bCs/>
          <w:sz w:val="24"/>
          <w:szCs w:val="24"/>
        </w:rPr>
        <w:t>索引表</w:t>
      </w:r>
      <w:bookmarkEnd w:id="38"/>
      <w:r>
        <w:rPr>
          <w:rFonts w:hint="eastAsia" w:ascii="宋体" w:hAnsi="宋体" w:eastAsia="宋体"/>
          <w:b/>
          <w:bCs/>
          <w:sz w:val="24"/>
          <w:szCs w:val="24"/>
        </w:rPr>
        <w:t>格式</w:t>
      </w:r>
    </w:p>
    <w:p w14:paraId="49E95316">
      <w:pPr>
        <w:spacing w:before="435" w:beforeLines="100" w:after="435" w:afterLines="100"/>
        <w:jc w:val="center"/>
        <w:rPr>
          <w:rFonts w:hint="eastAsia"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hint="eastAsia"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hint="eastAsia" w:ascii="宋体" w:hAnsi="宋体" w:eastAsia="宋体"/>
          <w:b/>
          <w:bCs/>
        </w:rPr>
      </w:pPr>
      <w:bookmarkStart w:id="39" w:name="_Toc169799787"/>
      <w:r>
        <w:rPr>
          <w:rFonts w:ascii="宋体" w:hAnsi="宋体" w:eastAsia="宋体"/>
          <w:b/>
          <w:bCs/>
          <w:sz w:val="24"/>
          <w:szCs w:val="28"/>
        </w:rPr>
        <w:t>格式一：</w:t>
      </w:r>
      <w:bookmarkEnd w:id="39"/>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color w:val="auto"/>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你方组织的</w:t>
      </w:r>
      <w:r>
        <w:rPr>
          <w:rFonts w:hint="eastAsia" w:ascii="Calibri" w:hAnsi="Calibri" w:eastAsia="宋体" w:cs="Times New Roman"/>
          <w:color w:val="auto"/>
          <w:kern w:val="0"/>
          <w:szCs w:val="21"/>
          <w:u w:val="single"/>
        </w:rPr>
        <w:t xml:space="preserve">    （项目名称）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1CA4C31D">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77DDE64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(投标人名称)</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作为投标人正式授权</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(授权代表全名,职务)</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代表我方全权处理有关本投标的一切事宜。</w:t>
      </w:r>
    </w:p>
    <w:p w14:paraId="25FC3492">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我方已完全明白招标文件的所有条款要求，并申明如下：</w:t>
      </w:r>
    </w:p>
    <w:p w14:paraId="57798B52">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（一）按招标文件提供的全部货物与相关服务的投标总价详见《开标一览表》。</w:t>
      </w:r>
    </w:p>
    <w:p w14:paraId="6CE2B129">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774D10B9">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40" w:name="_Toc169799788"/>
      <w:r>
        <w:rPr>
          <w:rFonts w:ascii="宋体" w:hAnsi="宋体" w:eastAsia="宋体"/>
          <w:b/>
          <w:bCs/>
          <w:sz w:val="24"/>
          <w:szCs w:val="28"/>
        </w:rPr>
        <w:t>格式二：</w:t>
      </w:r>
      <w:bookmarkEnd w:id="40"/>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5"/>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hint="eastAsia" w:ascii="宋体" w:hAnsi="宋体" w:eastAsia="宋体"/>
                <w:color w:val="000000" w:themeColor="text1"/>
                <w:szCs w:val="21"/>
                <w14:textFill>
                  <w14:solidFill>
                    <w14:schemeClr w14:val="tx1"/>
                  </w14:solidFill>
                </w14:textFill>
              </w:rPr>
            </w:pPr>
          </w:p>
        </w:tc>
      </w:tr>
    </w:tbl>
    <w:p w14:paraId="1BF83365">
      <w:pPr>
        <w:widowControl/>
        <w:jc w:val="left"/>
        <w:rPr>
          <w:rFonts w:hint="eastAsia" w:ascii="宋体" w:hAnsi="宋体" w:eastAsia="宋体" w:cs="宋体"/>
          <w:kern w:val="0"/>
          <w:szCs w:val="21"/>
        </w:rPr>
      </w:pPr>
    </w:p>
    <w:p w14:paraId="7AC9C39B">
      <w:pPr>
        <w:widowControl/>
        <w:jc w:val="left"/>
        <w:rPr>
          <w:rFonts w:hint="eastAsia" w:ascii="宋体" w:hAnsi="宋体" w:eastAsia="宋体" w:cs="宋体"/>
          <w:kern w:val="0"/>
          <w:szCs w:val="21"/>
        </w:rPr>
      </w:pPr>
      <w:r>
        <w:rPr>
          <w:rFonts w:hint="eastAsia" w:ascii="宋体" w:hAnsi="宋体" w:eastAsia="宋体" w:cs="宋体"/>
          <w:kern w:val="0"/>
          <w:szCs w:val="21"/>
        </w:rPr>
        <w:t>1）投标总价栏须用文字和数字两种方式表示的投标总价。</w:t>
      </w:r>
    </w:p>
    <w:p w14:paraId="6E8BBBD7">
      <w:pPr>
        <w:widowControl/>
        <w:jc w:val="left"/>
        <w:rPr>
          <w:rFonts w:hint="eastAsia" w:ascii="宋体" w:hAnsi="宋体" w:eastAsia="宋体" w:cs="宋体"/>
          <w:kern w:val="0"/>
          <w:szCs w:val="21"/>
        </w:rPr>
      </w:pPr>
      <w:r>
        <w:rPr>
          <w:rFonts w:hint="eastAsia" w:ascii="宋体" w:hAnsi="宋体" w:eastAsia="宋体" w:cs="宋体"/>
          <w:kern w:val="0"/>
          <w:szCs w:val="21"/>
        </w:rPr>
        <w:t>2）开标一览表内容与投标文件中相应内容不一致的，以开标一览表为准。</w:t>
      </w:r>
    </w:p>
    <w:p w14:paraId="1586F620">
      <w:pPr>
        <w:widowControl/>
        <w:jc w:val="left"/>
        <w:rPr>
          <w:rFonts w:hint="eastAsia" w:ascii="宋体" w:hAnsi="宋体" w:eastAsia="宋体" w:cs="宋体"/>
          <w:kern w:val="0"/>
          <w:szCs w:val="21"/>
        </w:rPr>
      </w:pPr>
      <w:r>
        <w:rPr>
          <w:rFonts w:hint="eastAsia" w:ascii="宋体" w:hAnsi="宋体" w:eastAsia="宋体" w:cs="宋体"/>
          <w:kern w:val="0"/>
          <w:szCs w:val="21"/>
        </w:rPr>
        <w:t>3）大写金额和小写金额不一致的，以大写金额为准。</w:t>
      </w:r>
    </w:p>
    <w:p w14:paraId="6CC734B0">
      <w:pPr>
        <w:widowControl/>
        <w:jc w:val="left"/>
        <w:rPr>
          <w:rFonts w:ascii="Calibri" w:hAnsi="Calibri" w:eastAsia="宋体" w:cs="Times New Roman"/>
          <w:kern w:val="0"/>
          <w:szCs w:val="21"/>
        </w:rPr>
      </w:pP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71FE5E8F">
      <w:pPr>
        <w:pageBreakBefore/>
        <w:rPr>
          <w:rFonts w:hint="eastAsia" w:ascii="宋体" w:hAnsi="宋体" w:eastAsia="宋体" w:cs="Times New Roman"/>
          <w:kern w:val="0"/>
          <w:szCs w:val="21"/>
          <w:lang w:eastAsia="zh-Hans"/>
        </w:rPr>
      </w:pPr>
      <w:bookmarkStart w:id="41" w:name="_Toc169799790"/>
      <w:r>
        <w:rPr>
          <w:rFonts w:ascii="宋体" w:hAnsi="宋体" w:eastAsia="宋体"/>
          <w:b/>
          <w:bCs/>
          <w:sz w:val="24"/>
          <w:szCs w:val="28"/>
        </w:rPr>
        <w:t>格式</w:t>
      </w:r>
      <w:r>
        <w:rPr>
          <w:rFonts w:hint="eastAsia" w:ascii="宋体" w:hAnsi="宋体" w:eastAsia="宋体"/>
          <w:b/>
          <w:bCs/>
          <w:sz w:val="24"/>
          <w:szCs w:val="28"/>
          <w:lang w:val="en-US" w:eastAsia="zh-CN"/>
        </w:rPr>
        <w:t>三</w:t>
      </w:r>
      <w:r>
        <w:rPr>
          <w:rFonts w:ascii="宋体" w:hAnsi="宋体" w:eastAsia="宋体"/>
          <w:b/>
          <w:bCs/>
          <w:sz w:val="24"/>
          <w:szCs w:val="28"/>
        </w:rPr>
        <w:t>：</w:t>
      </w:r>
      <w:bookmarkEnd w:id="41"/>
    </w:p>
    <w:p w14:paraId="45335E3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4E9FCF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中小企业声明函（工程、服务）</w:t>
      </w:r>
    </w:p>
    <w:p w14:paraId="329D60C6">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，从业人员___________人，营业收入为______________万元，资产总额为_____________万元1，属于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5677ABFD">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480DE6B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58590A9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3EB60B8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E068371">
      <w:pPr>
        <w:widowControl/>
        <w:ind w:right="840"/>
        <w:jc w:val="left"/>
        <w:rPr>
          <w:rFonts w:ascii="宋体" w:hAnsi="宋体" w:eastAsia="宋体" w:cs="Times New Roman"/>
          <w:kern w:val="0"/>
          <w:szCs w:val="21"/>
          <w:lang w:eastAsia="zh-Hans"/>
        </w:rPr>
      </w:pPr>
    </w:p>
    <w:p w14:paraId="42A91634">
      <w:pPr>
        <w:widowControl/>
        <w:ind w:right="840"/>
        <w:jc w:val="left"/>
        <w:rPr>
          <w:rFonts w:ascii="宋体" w:hAnsi="宋体" w:eastAsia="宋体" w:cs="Times New Roman"/>
          <w:kern w:val="0"/>
          <w:szCs w:val="21"/>
          <w:lang w:eastAsia="zh-Hans"/>
        </w:rPr>
      </w:pPr>
    </w:p>
    <w:p w14:paraId="6DE19107">
      <w:pPr>
        <w:widowControl/>
        <w:ind w:right="840"/>
        <w:jc w:val="left"/>
        <w:rPr>
          <w:rFonts w:ascii="宋体" w:hAnsi="宋体" w:eastAsia="宋体" w:cs="Times New Roman"/>
          <w:kern w:val="0"/>
          <w:szCs w:val="21"/>
          <w:lang w:eastAsia="zh-Hans"/>
        </w:rPr>
      </w:pPr>
    </w:p>
    <w:p w14:paraId="206A9AAB">
      <w:pPr>
        <w:widowControl/>
        <w:ind w:right="84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p>
    <w:p w14:paraId="1CB4C9D5">
      <w:pPr>
        <w:pageBreakBefore/>
        <w:rPr>
          <w:rFonts w:hint="eastAsia" w:ascii="宋体" w:hAnsi="宋体" w:eastAsia="宋体" w:cs="Times New Roman"/>
          <w:kern w:val="0"/>
          <w:szCs w:val="21"/>
          <w:lang w:eastAsia="zh-Hans"/>
        </w:rPr>
      </w:pPr>
      <w:bookmarkStart w:id="42" w:name="_Toc169799791"/>
      <w:r>
        <w:rPr>
          <w:rFonts w:ascii="宋体" w:hAnsi="宋体" w:eastAsia="宋体"/>
          <w:b/>
          <w:bCs/>
          <w:sz w:val="24"/>
          <w:szCs w:val="28"/>
        </w:rPr>
        <w:t>格式</w:t>
      </w:r>
      <w:r>
        <w:rPr>
          <w:rFonts w:hint="eastAsia" w:ascii="宋体" w:hAnsi="宋体" w:eastAsia="宋体"/>
          <w:b/>
          <w:bCs/>
          <w:sz w:val="24"/>
          <w:szCs w:val="28"/>
          <w:lang w:val="en-US" w:eastAsia="zh-CN"/>
        </w:rPr>
        <w:t>四</w:t>
      </w:r>
      <w:r>
        <w:rPr>
          <w:rFonts w:ascii="宋体" w:hAnsi="宋体" w:eastAsia="宋体"/>
          <w:b/>
          <w:bCs/>
          <w:sz w:val="24"/>
          <w:szCs w:val="28"/>
        </w:rPr>
        <w:t>：</w:t>
      </w:r>
      <w:bookmarkEnd w:id="42"/>
    </w:p>
    <w:p w14:paraId="5EAFA4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br w:type="page"/>
      </w:r>
    </w:p>
    <w:p w14:paraId="452DC3D0">
      <w:pPr>
        <w:keepLines/>
        <w:spacing w:before="652" w:beforeLines="150"/>
        <w:rPr>
          <w:rFonts w:hint="eastAsia" w:ascii="宋体" w:hAnsi="宋体" w:eastAsia="宋体" w:cs="Times New Roman"/>
          <w:kern w:val="0"/>
          <w:szCs w:val="21"/>
          <w:lang w:eastAsia="zh-Hans"/>
        </w:rPr>
      </w:pPr>
      <w:bookmarkStart w:id="43" w:name="_Toc169799792"/>
      <w:r>
        <w:rPr>
          <w:rFonts w:ascii="宋体" w:hAnsi="宋体" w:eastAsia="宋体"/>
          <w:b/>
          <w:bCs/>
          <w:sz w:val="24"/>
          <w:szCs w:val="28"/>
        </w:rPr>
        <w:t>格式</w:t>
      </w:r>
      <w:r>
        <w:rPr>
          <w:rFonts w:hint="eastAsia" w:ascii="宋体" w:hAnsi="宋体" w:eastAsia="宋体"/>
          <w:b/>
          <w:bCs/>
          <w:sz w:val="24"/>
          <w:szCs w:val="28"/>
          <w:lang w:val="en-US" w:eastAsia="zh-CN"/>
        </w:rPr>
        <w:t>五</w:t>
      </w:r>
      <w:r>
        <w:rPr>
          <w:rFonts w:ascii="宋体" w:hAnsi="宋体" w:eastAsia="宋体"/>
          <w:b/>
          <w:bCs/>
          <w:sz w:val="24"/>
          <w:szCs w:val="28"/>
        </w:rPr>
        <w:t>：</w:t>
      </w:r>
      <w:bookmarkEnd w:id="43"/>
    </w:p>
    <w:p w14:paraId="07BDD4E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44" w:name="_Toc169799793"/>
      <w:r>
        <w:rPr>
          <w:rFonts w:ascii="宋体" w:hAnsi="宋体" w:eastAsia="宋体"/>
          <w:b/>
          <w:bCs/>
          <w:sz w:val="24"/>
          <w:szCs w:val="28"/>
        </w:rPr>
        <w:t>格式</w:t>
      </w:r>
      <w:r>
        <w:rPr>
          <w:rFonts w:hint="eastAsia" w:ascii="宋体" w:hAnsi="宋体" w:eastAsia="宋体"/>
          <w:b/>
          <w:bCs/>
          <w:sz w:val="24"/>
          <w:szCs w:val="28"/>
          <w:lang w:val="en-US" w:eastAsia="zh-CN"/>
        </w:rPr>
        <w:t>六</w:t>
      </w:r>
      <w:r>
        <w:rPr>
          <w:rFonts w:ascii="宋体" w:hAnsi="宋体" w:eastAsia="宋体"/>
          <w:b/>
          <w:bCs/>
          <w:sz w:val="24"/>
          <w:szCs w:val="28"/>
        </w:rPr>
        <w:t>：</w:t>
      </w:r>
      <w:bookmarkEnd w:id="44"/>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hint="eastAsia" w:ascii="宋体" w:hAnsi="宋体" w:eastAsia="宋体" w:cs="Times New Roman"/>
                <w:szCs w:val="21"/>
              </w:rPr>
            </w:pPr>
          </w:p>
        </w:tc>
        <w:tc>
          <w:tcPr>
            <w:tcW w:w="614" w:type="pct"/>
            <w:vAlign w:val="center"/>
          </w:tcPr>
          <w:p w14:paraId="295FC0F8">
            <w:pPr>
              <w:jc w:val="center"/>
              <w:rPr>
                <w:rFonts w:hint="eastAsia" w:ascii="宋体" w:hAnsi="宋体" w:eastAsia="宋体" w:cs="Times New Roman"/>
                <w:szCs w:val="21"/>
              </w:rPr>
            </w:pPr>
          </w:p>
        </w:tc>
        <w:tc>
          <w:tcPr>
            <w:tcW w:w="614" w:type="pct"/>
            <w:vAlign w:val="center"/>
          </w:tcPr>
          <w:p w14:paraId="597AAA28">
            <w:pPr>
              <w:jc w:val="center"/>
              <w:rPr>
                <w:rFonts w:hint="eastAsia" w:ascii="宋体" w:hAnsi="宋体" w:eastAsia="宋体" w:cs="Times New Roman"/>
                <w:szCs w:val="21"/>
              </w:rPr>
            </w:pPr>
          </w:p>
        </w:tc>
        <w:tc>
          <w:tcPr>
            <w:tcW w:w="613" w:type="pct"/>
            <w:vAlign w:val="center"/>
          </w:tcPr>
          <w:p w14:paraId="51DEA5FC">
            <w:pPr>
              <w:jc w:val="center"/>
              <w:rPr>
                <w:rFonts w:hint="eastAsia" w:ascii="宋体" w:hAnsi="宋体" w:eastAsia="宋体" w:cs="Times New Roman"/>
                <w:szCs w:val="21"/>
              </w:rPr>
            </w:pPr>
          </w:p>
        </w:tc>
        <w:tc>
          <w:tcPr>
            <w:tcW w:w="614" w:type="pct"/>
            <w:vAlign w:val="center"/>
          </w:tcPr>
          <w:p w14:paraId="65928C23">
            <w:pPr>
              <w:jc w:val="center"/>
              <w:rPr>
                <w:rFonts w:hint="eastAsia" w:ascii="宋体" w:hAnsi="宋体" w:eastAsia="宋体" w:cs="Times New Roman"/>
                <w:szCs w:val="21"/>
              </w:rPr>
            </w:pPr>
          </w:p>
        </w:tc>
        <w:tc>
          <w:tcPr>
            <w:tcW w:w="540" w:type="pct"/>
            <w:vAlign w:val="center"/>
          </w:tcPr>
          <w:p w14:paraId="42170184">
            <w:pPr>
              <w:jc w:val="center"/>
              <w:rPr>
                <w:rFonts w:hint="eastAsia" w:ascii="宋体" w:hAnsi="宋体" w:eastAsia="宋体" w:cs="Times New Roman"/>
                <w:szCs w:val="21"/>
              </w:rPr>
            </w:pPr>
          </w:p>
        </w:tc>
        <w:tc>
          <w:tcPr>
            <w:tcW w:w="624" w:type="pct"/>
            <w:vAlign w:val="center"/>
          </w:tcPr>
          <w:p w14:paraId="07A206E3">
            <w:pPr>
              <w:jc w:val="center"/>
              <w:rPr>
                <w:rFonts w:hint="eastAsia"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hint="eastAsia" w:ascii="宋体" w:hAnsi="宋体" w:eastAsia="宋体" w:cs="Times New Roman"/>
                <w:szCs w:val="21"/>
              </w:rPr>
            </w:pPr>
          </w:p>
        </w:tc>
        <w:tc>
          <w:tcPr>
            <w:tcW w:w="614" w:type="pct"/>
            <w:vAlign w:val="center"/>
          </w:tcPr>
          <w:p w14:paraId="1BD6BB28">
            <w:pPr>
              <w:jc w:val="center"/>
              <w:rPr>
                <w:rFonts w:hint="eastAsia" w:ascii="宋体" w:hAnsi="宋体" w:eastAsia="宋体" w:cs="Times New Roman"/>
                <w:szCs w:val="21"/>
              </w:rPr>
            </w:pPr>
          </w:p>
        </w:tc>
        <w:tc>
          <w:tcPr>
            <w:tcW w:w="614" w:type="pct"/>
            <w:vAlign w:val="center"/>
          </w:tcPr>
          <w:p w14:paraId="17D6A5CE">
            <w:pPr>
              <w:jc w:val="center"/>
              <w:rPr>
                <w:rFonts w:hint="eastAsia" w:ascii="宋体" w:hAnsi="宋体" w:eastAsia="宋体" w:cs="Times New Roman"/>
                <w:szCs w:val="21"/>
              </w:rPr>
            </w:pPr>
          </w:p>
        </w:tc>
        <w:tc>
          <w:tcPr>
            <w:tcW w:w="613" w:type="pct"/>
            <w:vAlign w:val="center"/>
          </w:tcPr>
          <w:p w14:paraId="20A39320">
            <w:pPr>
              <w:jc w:val="center"/>
              <w:rPr>
                <w:rFonts w:hint="eastAsia" w:ascii="宋体" w:hAnsi="宋体" w:eastAsia="宋体" w:cs="Times New Roman"/>
                <w:szCs w:val="21"/>
              </w:rPr>
            </w:pPr>
          </w:p>
        </w:tc>
        <w:tc>
          <w:tcPr>
            <w:tcW w:w="614" w:type="pct"/>
            <w:vAlign w:val="center"/>
          </w:tcPr>
          <w:p w14:paraId="3E4FEA72">
            <w:pPr>
              <w:jc w:val="center"/>
              <w:rPr>
                <w:rFonts w:hint="eastAsia" w:ascii="宋体" w:hAnsi="宋体" w:eastAsia="宋体" w:cs="Times New Roman"/>
                <w:szCs w:val="21"/>
              </w:rPr>
            </w:pPr>
          </w:p>
        </w:tc>
        <w:tc>
          <w:tcPr>
            <w:tcW w:w="540" w:type="pct"/>
            <w:vAlign w:val="center"/>
          </w:tcPr>
          <w:p w14:paraId="1AE1FD9E">
            <w:pPr>
              <w:jc w:val="center"/>
              <w:rPr>
                <w:rFonts w:hint="eastAsia" w:ascii="宋体" w:hAnsi="宋体" w:eastAsia="宋体" w:cs="Times New Roman"/>
                <w:szCs w:val="21"/>
              </w:rPr>
            </w:pPr>
          </w:p>
        </w:tc>
        <w:tc>
          <w:tcPr>
            <w:tcW w:w="624" w:type="pct"/>
            <w:vAlign w:val="center"/>
          </w:tcPr>
          <w:p w14:paraId="6ACB66F2">
            <w:pPr>
              <w:jc w:val="center"/>
              <w:rPr>
                <w:rFonts w:hint="eastAsia"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hint="eastAsia" w:ascii="宋体" w:hAnsi="宋体" w:eastAsia="宋体" w:cs="Times New Roman"/>
                <w:szCs w:val="21"/>
              </w:rPr>
            </w:pPr>
          </w:p>
        </w:tc>
        <w:tc>
          <w:tcPr>
            <w:tcW w:w="614" w:type="pct"/>
            <w:vAlign w:val="center"/>
          </w:tcPr>
          <w:p w14:paraId="2F57FD87">
            <w:pPr>
              <w:jc w:val="center"/>
              <w:rPr>
                <w:rFonts w:hint="eastAsia" w:ascii="宋体" w:hAnsi="宋体" w:eastAsia="宋体" w:cs="Times New Roman"/>
                <w:szCs w:val="21"/>
              </w:rPr>
            </w:pPr>
          </w:p>
        </w:tc>
        <w:tc>
          <w:tcPr>
            <w:tcW w:w="614" w:type="pct"/>
            <w:vAlign w:val="center"/>
          </w:tcPr>
          <w:p w14:paraId="5DA5E17C">
            <w:pPr>
              <w:jc w:val="center"/>
              <w:rPr>
                <w:rFonts w:hint="eastAsia" w:ascii="宋体" w:hAnsi="宋体" w:eastAsia="宋体" w:cs="Times New Roman"/>
                <w:szCs w:val="21"/>
              </w:rPr>
            </w:pPr>
          </w:p>
        </w:tc>
        <w:tc>
          <w:tcPr>
            <w:tcW w:w="613" w:type="pct"/>
            <w:vAlign w:val="center"/>
          </w:tcPr>
          <w:p w14:paraId="3FC829CA">
            <w:pPr>
              <w:jc w:val="center"/>
              <w:rPr>
                <w:rFonts w:hint="eastAsia" w:ascii="宋体" w:hAnsi="宋体" w:eastAsia="宋体" w:cs="Times New Roman"/>
                <w:szCs w:val="21"/>
              </w:rPr>
            </w:pPr>
          </w:p>
        </w:tc>
        <w:tc>
          <w:tcPr>
            <w:tcW w:w="614" w:type="pct"/>
            <w:vAlign w:val="center"/>
          </w:tcPr>
          <w:p w14:paraId="7CF7F8C1">
            <w:pPr>
              <w:jc w:val="center"/>
              <w:rPr>
                <w:rFonts w:hint="eastAsia" w:ascii="宋体" w:hAnsi="宋体" w:eastAsia="宋体" w:cs="Times New Roman"/>
                <w:szCs w:val="21"/>
              </w:rPr>
            </w:pPr>
          </w:p>
        </w:tc>
        <w:tc>
          <w:tcPr>
            <w:tcW w:w="540" w:type="pct"/>
            <w:vAlign w:val="center"/>
          </w:tcPr>
          <w:p w14:paraId="500F042A">
            <w:pPr>
              <w:jc w:val="center"/>
              <w:rPr>
                <w:rFonts w:hint="eastAsia" w:ascii="宋体" w:hAnsi="宋体" w:eastAsia="宋体" w:cs="Times New Roman"/>
                <w:szCs w:val="21"/>
              </w:rPr>
            </w:pPr>
          </w:p>
        </w:tc>
        <w:tc>
          <w:tcPr>
            <w:tcW w:w="624" w:type="pct"/>
            <w:vAlign w:val="center"/>
          </w:tcPr>
          <w:p w14:paraId="6B1FA96E">
            <w:pPr>
              <w:jc w:val="center"/>
              <w:rPr>
                <w:rFonts w:hint="eastAsia"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hint="eastAsia" w:ascii="宋体" w:hAnsi="宋体" w:eastAsia="宋体" w:cs="Times New Roman"/>
                <w:szCs w:val="21"/>
              </w:rPr>
            </w:pPr>
          </w:p>
        </w:tc>
        <w:tc>
          <w:tcPr>
            <w:tcW w:w="614" w:type="pct"/>
            <w:vAlign w:val="center"/>
          </w:tcPr>
          <w:p w14:paraId="7850C18C">
            <w:pPr>
              <w:jc w:val="center"/>
              <w:rPr>
                <w:rFonts w:hint="eastAsia" w:ascii="宋体" w:hAnsi="宋体" w:eastAsia="宋体" w:cs="Times New Roman"/>
                <w:szCs w:val="21"/>
              </w:rPr>
            </w:pPr>
          </w:p>
        </w:tc>
        <w:tc>
          <w:tcPr>
            <w:tcW w:w="614" w:type="pct"/>
            <w:vAlign w:val="center"/>
          </w:tcPr>
          <w:p w14:paraId="4D1E06C1">
            <w:pPr>
              <w:jc w:val="center"/>
              <w:rPr>
                <w:rFonts w:hint="eastAsia" w:ascii="宋体" w:hAnsi="宋体" w:eastAsia="宋体" w:cs="Times New Roman"/>
                <w:szCs w:val="21"/>
              </w:rPr>
            </w:pPr>
          </w:p>
        </w:tc>
        <w:tc>
          <w:tcPr>
            <w:tcW w:w="613" w:type="pct"/>
            <w:vAlign w:val="center"/>
          </w:tcPr>
          <w:p w14:paraId="13F5ED5D">
            <w:pPr>
              <w:jc w:val="center"/>
              <w:rPr>
                <w:rFonts w:hint="eastAsia" w:ascii="宋体" w:hAnsi="宋体" w:eastAsia="宋体" w:cs="Times New Roman"/>
                <w:szCs w:val="21"/>
              </w:rPr>
            </w:pPr>
          </w:p>
        </w:tc>
        <w:tc>
          <w:tcPr>
            <w:tcW w:w="614" w:type="pct"/>
            <w:vAlign w:val="center"/>
          </w:tcPr>
          <w:p w14:paraId="5C9FB4B1">
            <w:pPr>
              <w:jc w:val="center"/>
              <w:rPr>
                <w:rFonts w:hint="eastAsia" w:ascii="宋体" w:hAnsi="宋体" w:eastAsia="宋体" w:cs="Times New Roman"/>
                <w:szCs w:val="21"/>
              </w:rPr>
            </w:pPr>
          </w:p>
        </w:tc>
        <w:tc>
          <w:tcPr>
            <w:tcW w:w="540" w:type="pct"/>
            <w:vAlign w:val="center"/>
          </w:tcPr>
          <w:p w14:paraId="75E3D512">
            <w:pPr>
              <w:jc w:val="center"/>
              <w:rPr>
                <w:rFonts w:hint="eastAsia" w:ascii="宋体" w:hAnsi="宋体" w:eastAsia="宋体" w:cs="Times New Roman"/>
                <w:szCs w:val="21"/>
              </w:rPr>
            </w:pPr>
          </w:p>
        </w:tc>
        <w:tc>
          <w:tcPr>
            <w:tcW w:w="624" w:type="pct"/>
            <w:vAlign w:val="center"/>
          </w:tcPr>
          <w:p w14:paraId="40720D86">
            <w:pPr>
              <w:jc w:val="center"/>
              <w:rPr>
                <w:rFonts w:hint="eastAsia"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hint="eastAsia" w:ascii="宋体" w:hAnsi="宋体" w:eastAsia="宋体" w:cs="Times New Roman"/>
                <w:szCs w:val="21"/>
              </w:rPr>
            </w:pPr>
          </w:p>
        </w:tc>
        <w:tc>
          <w:tcPr>
            <w:tcW w:w="614" w:type="pct"/>
            <w:vAlign w:val="center"/>
          </w:tcPr>
          <w:p w14:paraId="2407CAEF">
            <w:pPr>
              <w:jc w:val="center"/>
              <w:rPr>
                <w:rFonts w:hint="eastAsia" w:ascii="宋体" w:hAnsi="宋体" w:eastAsia="宋体" w:cs="Times New Roman"/>
                <w:szCs w:val="21"/>
              </w:rPr>
            </w:pPr>
          </w:p>
        </w:tc>
        <w:tc>
          <w:tcPr>
            <w:tcW w:w="614" w:type="pct"/>
            <w:vAlign w:val="center"/>
          </w:tcPr>
          <w:p w14:paraId="5A00E673">
            <w:pPr>
              <w:jc w:val="center"/>
              <w:rPr>
                <w:rFonts w:hint="eastAsia" w:ascii="宋体" w:hAnsi="宋体" w:eastAsia="宋体" w:cs="Times New Roman"/>
                <w:szCs w:val="21"/>
              </w:rPr>
            </w:pPr>
          </w:p>
        </w:tc>
        <w:tc>
          <w:tcPr>
            <w:tcW w:w="613" w:type="pct"/>
            <w:vAlign w:val="center"/>
          </w:tcPr>
          <w:p w14:paraId="6F95A962">
            <w:pPr>
              <w:jc w:val="center"/>
              <w:rPr>
                <w:rFonts w:hint="eastAsia" w:ascii="宋体" w:hAnsi="宋体" w:eastAsia="宋体" w:cs="Times New Roman"/>
                <w:szCs w:val="21"/>
              </w:rPr>
            </w:pPr>
          </w:p>
        </w:tc>
        <w:tc>
          <w:tcPr>
            <w:tcW w:w="614" w:type="pct"/>
            <w:vAlign w:val="center"/>
          </w:tcPr>
          <w:p w14:paraId="5B900C1C">
            <w:pPr>
              <w:jc w:val="center"/>
              <w:rPr>
                <w:rFonts w:hint="eastAsia" w:ascii="宋体" w:hAnsi="宋体" w:eastAsia="宋体" w:cs="Times New Roman"/>
                <w:szCs w:val="21"/>
              </w:rPr>
            </w:pPr>
          </w:p>
        </w:tc>
        <w:tc>
          <w:tcPr>
            <w:tcW w:w="540" w:type="pct"/>
            <w:vAlign w:val="center"/>
          </w:tcPr>
          <w:p w14:paraId="402D8396">
            <w:pPr>
              <w:jc w:val="center"/>
              <w:rPr>
                <w:rFonts w:hint="eastAsia" w:ascii="宋体" w:hAnsi="宋体" w:eastAsia="宋体" w:cs="Times New Roman"/>
                <w:szCs w:val="21"/>
              </w:rPr>
            </w:pPr>
          </w:p>
        </w:tc>
        <w:tc>
          <w:tcPr>
            <w:tcW w:w="624" w:type="pct"/>
            <w:vAlign w:val="center"/>
          </w:tcPr>
          <w:p w14:paraId="2D1DDD2C">
            <w:pPr>
              <w:jc w:val="center"/>
              <w:rPr>
                <w:rFonts w:hint="eastAsia"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hint="eastAsia" w:ascii="宋体" w:hAnsi="宋体" w:eastAsia="宋体" w:cs="Times New Roman"/>
                <w:szCs w:val="21"/>
              </w:rPr>
            </w:pPr>
          </w:p>
        </w:tc>
        <w:tc>
          <w:tcPr>
            <w:tcW w:w="614" w:type="pct"/>
            <w:vAlign w:val="center"/>
          </w:tcPr>
          <w:p w14:paraId="27D1A15B">
            <w:pPr>
              <w:jc w:val="center"/>
              <w:rPr>
                <w:rFonts w:hint="eastAsia" w:ascii="宋体" w:hAnsi="宋体" w:eastAsia="宋体" w:cs="Times New Roman"/>
                <w:szCs w:val="21"/>
              </w:rPr>
            </w:pPr>
          </w:p>
        </w:tc>
        <w:tc>
          <w:tcPr>
            <w:tcW w:w="614" w:type="pct"/>
            <w:vAlign w:val="center"/>
          </w:tcPr>
          <w:p w14:paraId="3027D961">
            <w:pPr>
              <w:jc w:val="center"/>
              <w:rPr>
                <w:rFonts w:hint="eastAsia" w:ascii="宋体" w:hAnsi="宋体" w:eastAsia="宋体" w:cs="Times New Roman"/>
                <w:szCs w:val="21"/>
              </w:rPr>
            </w:pPr>
          </w:p>
        </w:tc>
        <w:tc>
          <w:tcPr>
            <w:tcW w:w="613" w:type="pct"/>
            <w:vAlign w:val="center"/>
          </w:tcPr>
          <w:p w14:paraId="03CB365C">
            <w:pPr>
              <w:jc w:val="center"/>
              <w:rPr>
                <w:rFonts w:hint="eastAsia" w:ascii="宋体" w:hAnsi="宋体" w:eastAsia="宋体" w:cs="Times New Roman"/>
                <w:szCs w:val="21"/>
              </w:rPr>
            </w:pPr>
          </w:p>
        </w:tc>
        <w:tc>
          <w:tcPr>
            <w:tcW w:w="614" w:type="pct"/>
            <w:vAlign w:val="center"/>
          </w:tcPr>
          <w:p w14:paraId="25F10BEA">
            <w:pPr>
              <w:jc w:val="center"/>
              <w:rPr>
                <w:rFonts w:hint="eastAsia" w:ascii="宋体" w:hAnsi="宋体" w:eastAsia="宋体" w:cs="Times New Roman"/>
                <w:szCs w:val="21"/>
              </w:rPr>
            </w:pPr>
          </w:p>
        </w:tc>
        <w:tc>
          <w:tcPr>
            <w:tcW w:w="540" w:type="pct"/>
            <w:vAlign w:val="center"/>
          </w:tcPr>
          <w:p w14:paraId="2B62D518">
            <w:pPr>
              <w:jc w:val="center"/>
              <w:rPr>
                <w:rFonts w:hint="eastAsia" w:ascii="宋体" w:hAnsi="宋体" w:eastAsia="宋体" w:cs="Times New Roman"/>
                <w:szCs w:val="21"/>
              </w:rPr>
            </w:pPr>
          </w:p>
        </w:tc>
        <w:tc>
          <w:tcPr>
            <w:tcW w:w="624" w:type="pct"/>
            <w:vAlign w:val="center"/>
          </w:tcPr>
          <w:p w14:paraId="0995BF55">
            <w:pPr>
              <w:jc w:val="center"/>
              <w:rPr>
                <w:rFonts w:hint="eastAsia" w:ascii="宋体" w:hAnsi="宋体" w:eastAsia="宋体" w:cs="Times New Roman"/>
                <w:szCs w:val="21"/>
              </w:rPr>
            </w:pPr>
          </w:p>
        </w:tc>
      </w:tr>
    </w:tbl>
    <w:p w14:paraId="3C9B692E">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hint="eastAsia"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hint="eastAsia" w:ascii="宋体" w:hAnsi="宋体" w:eastAsia="宋体" w:cs="Times New Roman"/>
          <w:kern w:val="0"/>
          <w:szCs w:val="21"/>
          <w:lang w:eastAsia="zh-Hans"/>
        </w:rPr>
      </w:pPr>
      <w:bookmarkStart w:id="45"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hint="eastAsia"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45"/>
    </w:p>
    <w:p w14:paraId="637B47E6">
      <w:pPr>
        <w:pageBreakBefore/>
        <w:rPr>
          <w:rFonts w:ascii="Calibri" w:hAnsi="Calibri" w:eastAsia="宋体" w:cs="Times New Roman"/>
          <w:kern w:val="0"/>
          <w:sz w:val="20"/>
          <w:szCs w:val="20"/>
          <w:lang w:eastAsia="zh-Hans"/>
        </w:rPr>
      </w:pPr>
      <w:bookmarkStart w:id="46" w:name="_Toc169799795"/>
      <w:r>
        <w:rPr>
          <w:rFonts w:ascii="宋体" w:hAnsi="宋体" w:eastAsia="宋体"/>
          <w:b/>
          <w:bCs/>
          <w:sz w:val="24"/>
          <w:szCs w:val="28"/>
        </w:rPr>
        <w:t>格式</w:t>
      </w:r>
      <w:r>
        <w:rPr>
          <w:rFonts w:hint="eastAsia" w:ascii="宋体" w:hAnsi="宋体" w:eastAsia="宋体"/>
          <w:b/>
          <w:bCs/>
          <w:sz w:val="24"/>
          <w:szCs w:val="28"/>
          <w:lang w:val="en-US" w:eastAsia="zh-CN"/>
        </w:rPr>
        <w:t>七</w:t>
      </w:r>
      <w:r>
        <w:rPr>
          <w:rFonts w:ascii="宋体" w:hAnsi="宋体" w:eastAsia="宋体"/>
          <w:b/>
          <w:bCs/>
          <w:sz w:val="24"/>
          <w:szCs w:val="28"/>
        </w:rPr>
        <w:t>：</w:t>
      </w:r>
      <w:bookmarkEnd w:id="46"/>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hint="eastAsia" w:ascii="宋体" w:hAnsi="宋体" w:eastAsia="宋体"/>
          <w:szCs w:val="21"/>
        </w:rPr>
      </w:pPr>
    </w:p>
    <w:p w14:paraId="516D0C36">
      <w:pPr>
        <w:spacing w:before="217" w:beforeLines="50" w:after="217" w:afterLines="50" w:line="360" w:lineRule="auto"/>
        <w:rPr>
          <w:rFonts w:hint="eastAsia" w:ascii="宋体" w:hAnsi="宋体" w:eastAsia="宋体"/>
          <w:szCs w:val="21"/>
        </w:rPr>
      </w:pPr>
      <w:r>
        <w:rPr>
          <w:rFonts w:hint="eastAsia" w:ascii="宋体" w:hAnsi="宋体" w:eastAsia="宋体"/>
          <w:szCs w:val="21"/>
        </w:rPr>
        <w:t>须附：法定代表人有效期内身份证复印件</w:t>
      </w:r>
    </w:p>
    <w:tbl>
      <w:tblPr>
        <w:tblStyle w:val="1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31"/>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2500" w:type="pct"/>
            <w:vAlign w:val="center"/>
          </w:tcPr>
          <w:p w14:paraId="74B7B39E">
            <w:pPr>
              <w:pStyle w:val="31"/>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47" w:name="_Toc169799796"/>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47"/>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hint="eastAsia"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31"/>
        <w:spacing w:line="360" w:lineRule="auto"/>
        <w:ind w:firstLine="450" w:firstLineChars="0"/>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31"/>
        <w:spacing w:line="360" w:lineRule="auto"/>
        <w:ind w:firstLine="428" w:firstLineChars="204"/>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31"/>
        <w:spacing w:line="360" w:lineRule="auto"/>
        <w:ind w:firstLine="0" w:firstLineChars="0"/>
        <w:rPr>
          <w:rFonts w:hint="eastAsia"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31"/>
        <w:spacing w:line="360" w:lineRule="auto"/>
        <w:ind w:firstLine="0" w:firstLineChars="0"/>
        <w:rPr>
          <w:rFonts w:hint="eastAsia" w:ascii="宋体" w:eastAsia="宋体"/>
          <w:color w:val="000000" w:themeColor="text1"/>
          <w:sz w:val="21"/>
          <w:szCs w:val="21"/>
          <w14:textFill>
            <w14:solidFill>
              <w14:schemeClr w14:val="tx1"/>
            </w14:solidFill>
          </w14:textFill>
        </w:rPr>
      </w:pPr>
    </w:p>
    <w:p w14:paraId="61B7A769">
      <w:pPr>
        <w:spacing w:after="217" w:after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31"/>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31"/>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747F66DC">
      <w:pPr>
        <w:pStyle w:val="22"/>
        <w:ind w:right="1890" w:firstLine="640"/>
        <w:jc w:val="center"/>
      </w:pPr>
    </w:p>
    <w:p w14:paraId="344FA3EF">
      <w:pPr>
        <w:pageBreakBefore/>
        <w:rPr>
          <w:rFonts w:hint="eastAsia" w:ascii="宋体" w:hAnsi="宋体" w:eastAsia="宋体"/>
          <w:b/>
          <w:bCs/>
        </w:rPr>
      </w:pPr>
      <w:r>
        <w:rPr>
          <w:rFonts w:hint="eastAsia" w:ascii="宋体" w:hAnsi="宋体" w:eastAsia="宋体"/>
          <w:b/>
          <w:bCs/>
          <w:sz w:val="24"/>
          <w:szCs w:val="28"/>
        </w:rPr>
        <w:t>格式</w:t>
      </w:r>
      <w:r>
        <w:rPr>
          <w:rFonts w:hint="eastAsia" w:ascii="宋体" w:hAnsi="宋体" w:eastAsia="宋体"/>
          <w:b/>
          <w:bCs/>
          <w:sz w:val="24"/>
          <w:szCs w:val="28"/>
          <w:lang w:val="en-US" w:eastAsia="zh-CN"/>
        </w:rPr>
        <w:t>九</w:t>
      </w:r>
      <w:r>
        <w:rPr>
          <w:rFonts w:hint="eastAsia" w:ascii="宋体" w:hAnsi="宋体" w:eastAsia="宋体"/>
          <w:b/>
          <w:bCs/>
          <w:sz w:val="24"/>
          <w:szCs w:val="28"/>
        </w:rPr>
        <w:t>：</w:t>
      </w:r>
    </w:p>
    <w:p w14:paraId="6E50D479">
      <w:pPr>
        <w:spacing w:before="217" w:beforeLines="50" w:after="435" w:afterLines="100" w:line="360" w:lineRule="auto"/>
        <w:jc w:val="center"/>
        <w:rPr>
          <w:rFonts w:hint="eastAsia"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8"/>
        <w:widowControl/>
        <w:numPr>
          <w:ilvl w:val="0"/>
          <w:numId w:val="172"/>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8"/>
        <w:widowControl/>
        <w:numPr>
          <w:ilvl w:val="0"/>
          <w:numId w:val="172"/>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8"/>
        <w:widowControl/>
        <w:numPr>
          <w:ilvl w:val="0"/>
          <w:numId w:val="172"/>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8"/>
        <w:widowControl/>
        <w:numPr>
          <w:ilvl w:val="0"/>
          <w:numId w:val="172"/>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8"/>
        <w:widowControl/>
        <w:numPr>
          <w:ilvl w:val="0"/>
          <w:numId w:val="172"/>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8"/>
        <w:widowControl/>
        <w:numPr>
          <w:ilvl w:val="0"/>
          <w:numId w:val="172"/>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8"/>
        <w:widowControl/>
        <w:numPr>
          <w:ilvl w:val="0"/>
          <w:numId w:val="172"/>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hint="eastAsia" w:ascii="宋体" w:hAnsi="宋体" w:eastAsia="宋体" w:cs="Times New Roman"/>
          <w:szCs w:val="21"/>
        </w:rPr>
      </w:pPr>
    </w:p>
    <w:p w14:paraId="076116A2">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hint="eastAsia"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48" w:name="_Toc169799798"/>
      <w:r>
        <w:rPr>
          <w:rFonts w:ascii="宋体" w:hAnsi="宋体" w:eastAsia="宋体"/>
          <w:b/>
          <w:bCs/>
          <w:sz w:val="24"/>
          <w:szCs w:val="28"/>
        </w:rPr>
        <w:t>格式</w:t>
      </w:r>
      <w:r>
        <w:rPr>
          <w:rFonts w:hint="eastAsia" w:ascii="宋体" w:hAnsi="宋体" w:eastAsia="宋体"/>
          <w:b/>
          <w:bCs/>
          <w:sz w:val="24"/>
          <w:szCs w:val="28"/>
        </w:rPr>
        <w:t>十</w:t>
      </w:r>
      <w:r>
        <w:rPr>
          <w:rFonts w:ascii="宋体" w:hAnsi="宋体" w:eastAsia="宋体"/>
          <w:b/>
          <w:bCs/>
          <w:sz w:val="24"/>
          <w:szCs w:val="28"/>
        </w:rPr>
        <w:t>：</w:t>
      </w:r>
      <w:bookmarkEnd w:id="48"/>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hint="eastAsia" w:ascii="宋体" w:hAnsi="宋体" w:eastAsia="宋体"/>
          <w:b/>
          <w:bCs/>
        </w:rPr>
      </w:pPr>
      <w:bookmarkStart w:id="49" w:name="_Toc405313974"/>
      <w:bookmarkStart w:id="50" w:name="_Toc391627770"/>
      <w:r>
        <w:rPr>
          <w:rFonts w:hint="eastAsia" w:ascii="宋体" w:hAnsi="宋体" w:eastAsia="宋体"/>
          <w:b/>
          <w:bCs/>
          <w:sz w:val="24"/>
          <w:szCs w:val="28"/>
        </w:rPr>
        <w:t>格式十</w:t>
      </w:r>
      <w:r>
        <w:rPr>
          <w:rFonts w:hint="eastAsia" w:ascii="宋体" w:hAnsi="宋体" w:eastAsia="宋体"/>
          <w:b/>
          <w:bCs/>
          <w:sz w:val="24"/>
          <w:szCs w:val="28"/>
          <w:lang w:val="en-US" w:eastAsia="zh-CN"/>
        </w:rPr>
        <w:t>一</w:t>
      </w:r>
      <w:r>
        <w:rPr>
          <w:rFonts w:hint="eastAsia" w:ascii="宋体" w:hAnsi="宋体" w:eastAsia="宋体"/>
          <w:b/>
          <w:bCs/>
          <w:sz w:val="24"/>
          <w:szCs w:val="28"/>
        </w:rPr>
        <w:t>：</w:t>
      </w:r>
    </w:p>
    <w:p w14:paraId="0B1632C9">
      <w:pPr>
        <w:spacing w:after="217" w:afterLines="50" w:line="360" w:lineRule="auto"/>
        <w:jc w:val="center"/>
        <w:rPr>
          <w:rFonts w:hint="eastAsia" w:ascii="宋体" w:hAnsi="宋体" w:eastAsia="宋体"/>
          <w:b/>
          <w:sz w:val="22"/>
        </w:rPr>
      </w:pPr>
      <w:r>
        <w:rPr>
          <w:rFonts w:hint="eastAsia" w:ascii="宋体" w:hAnsi="宋体" w:eastAsia="宋体"/>
          <w:b/>
          <w:sz w:val="32"/>
          <w:szCs w:val="32"/>
        </w:rPr>
        <w:t>拟投入本项目设备情况表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hint="eastAsia"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hint="eastAsia"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hint="eastAsia"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hint="eastAsia"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hint="eastAsia"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szCs w:val="21"/>
              </w:rPr>
            </w:pPr>
          </w:p>
        </w:tc>
        <w:tc>
          <w:tcPr>
            <w:tcW w:w="1563" w:type="pct"/>
            <w:vAlign w:val="center"/>
          </w:tcPr>
          <w:p w14:paraId="6B01071C">
            <w:pPr>
              <w:jc w:val="center"/>
              <w:rPr>
                <w:rFonts w:hint="eastAsia" w:ascii="宋体" w:hAnsi="宋体" w:eastAsia="宋体"/>
                <w:szCs w:val="21"/>
              </w:rPr>
            </w:pPr>
          </w:p>
        </w:tc>
        <w:tc>
          <w:tcPr>
            <w:tcW w:w="1164" w:type="pct"/>
            <w:vAlign w:val="center"/>
          </w:tcPr>
          <w:p w14:paraId="217AAAA0">
            <w:pPr>
              <w:jc w:val="center"/>
              <w:rPr>
                <w:rFonts w:hint="eastAsia" w:ascii="宋体" w:hAnsi="宋体" w:eastAsia="宋体"/>
                <w:szCs w:val="21"/>
              </w:rPr>
            </w:pPr>
          </w:p>
        </w:tc>
        <w:tc>
          <w:tcPr>
            <w:tcW w:w="732" w:type="pct"/>
            <w:vAlign w:val="center"/>
          </w:tcPr>
          <w:p w14:paraId="79F085ED">
            <w:pPr>
              <w:jc w:val="center"/>
              <w:rPr>
                <w:rFonts w:hint="eastAsia" w:ascii="宋体" w:hAnsi="宋体" w:eastAsia="宋体"/>
                <w:szCs w:val="21"/>
              </w:rPr>
            </w:pPr>
          </w:p>
        </w:tc>
        <w:tc>
          <w:tcPr>
            <w:tcW w:w="1009" w:type="pct"/>
            <w:vAlign w:val="center"/>
          </w:tcPr>
          <w:p w14:paraId="1B4ED215">
            <w:pPr>
              <w:jc w:val="center"/>
              <w:rPr>
                <w:rFonts w:hint="eastAsia"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szCs w:val="21"/>
              </w:rPr>
            </w:pPr>
          </w:p>
        </w:tc>
        <w:tc>
          <w:tcPr>
            <w:tcW w:w="1563" w:type="pct"/>
            <w:vAlign w:val="center"/>
          </w:tcPr>
          <w:p w14:paraId="52011562">
            <w:pPr>
              <w:jc w:val="center"/>
              <w:rPr>
                <w:rFonts w:hint="eastAsia" w:ascii="宋体" w:hAnsi="宋体" w:eastAsia="宋体"/>
                <w:szCs w:val="21"/>
              </w:rPr>
            </w:pPr>
          </w:p>
        </w:tc>
        <w:tc>
          <w:tcPr>
            <w:tcW w:w="1164" w:type="pct"/>
            <w:vAlign w:val="center"/>
          </w:tcPr>
          <w:p w14:paraId="0E9E40B3">
            <w:pPr>
              <w:jc w:val="center"/>
              <w:rPr>
                <w:rFonts w:hint="eastAsia" w:ascii="宋体" w:hAnsi="宋体" w:eastAsia="宋体"/>
                <w:szCs w:val="21"/>
              </w:rPr>
            </w:pPr>
          </w:p>
        </w:tc>
        <w:tc>
          <w:tcPr>
            <w:tcW w:w="732" w:type="pct"/>
            <w:vAlign w:val="center"/>
          </w:tcPr>
          <w:p w14:paraId="6824BC50">
            <w:pPr>
              <w:jc w:val="center"/>
              <w:rPr>
                <w:rFonts w:hint="eastAsia" w:ascii="宋体" w:hAnsi="宋体" w:eastAsia="宋体"/>
                <w:szCs w:val="21"/>
              </w:rPr>
            </w:pPr>
          </w:p>
        </w:tc>
        <w:tc>
          <w:tcPr>
            <w:tcW w:w="1009" w:type="pct"/>
            <w:vAlign w:val="center"/>
          </w:tcPr>
          <w:p w14:paraId="6459261F">
            <w:pPr>
              <w:jc w:val="center"/>
              <w:rPr>
                <w:rFonts w:hint="eastAsia"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szCs w:val="21"/>
              </w:rPr>
            </w:pPr>
          </w:p>
        </w:tc>
        <w:tc>
          <w:tcPr>
            <w:tcW w:w="1563" w:type="pct"/>
            <w:vAlign w:val="center"/>
          </w:tcPr>
          <w:p w14:paraId="1565DAD5">
            <w:pPr>
              <w:jc w:val="center"/>
              <w:rPr>
                <w:rFonts w:hint="eastAsia" w:ascii="宋体" w:hAnsi="宋体" w:eastAsia="宋体"/>
                <w:szCs w:val="21"/>
              </w:rPr>
            </w:pPr>
          </w:p>
        </w:tc>
        <w:tc>
          <w:tcPr>
            <w:tcW w:w="1164" w:type="pct"/>
            <w:vAlign w:val="center"/>
          </w:tcPr>
          <w:p w14:paraId="7F88EB27">
            <w:pPr>
              <w:jc w:val="center"/>
              <w:rPr>
                <w:rFonts w:hint="eastAsia" w:ascii="宋体" w:hAnsi="宋体" w:eastAsia="宋体"/>
                <w:szCs w:val="21"/>
              </w:rPr>
            </w:pPr>
          </w:p>
        </w:tc>
        <w:tc>
          <w:tcPr>
            <w:tcW w:w="732" w:type="pct"/>
            <w:vAlign w:val="center"/>
          </w:tcPr>
          <w:p w14:paraId="42B23CD7">
            <w:pPr>
              <w:jc w:val="center"/>
              <w:rPr>
                <w:rFonts w:hint="eastAsia" w:ascii="宋体" w:hAnsi="宋体" w:eastAsia="宋体"/>
                <w:szCs w:val="21"/>
              </w:rPr>
            </w:pPr>
          </w:p>
        </w:tc>
        <w:tc>
          <w:tcPr>
            <w:tcW w:w="1009" w:type="pct"/>
            <w:vAlign w:val="center"/>
          </w:tcPr>
          <w:p w14:paraId="4AD4DFBE">
            <w:pPr>
              <w:jc w:val="center"/>
              <w:rPr>
                <w:rFonts w:hint="eastAsia"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szCs w:val="21"/>
              </w:rPr>
            </w:pPr>
          </w:p>
        </w:tc>
        <w:tc>
          <w:tcPr>
            <w:tcW w:w="1563" w:type="pct"/>
            <w:vAlign w:val="center"/>
          </w:tcPr>
          <w:p w14:paraId="2F582632">
            <w:pPr>
              <w:jc w:val="center"/>
              <w:rPr>
                <w:rFonts w:hint="eastAsia" w:ascii="宋体" w:hAnsi="宋体" w:eastAsia="宋体"/>
                <w:szCs w:val="21"/>
              </w:rPr>
            </w:pPr>
          </w:p>
        </w:tc>
        <w:tc>
          <w:tcPr>
            <w:tcW w:w="1164" w:type="pct"/>
            <w:vAlign w:val="center"/>
          </w:tcPr>
          <w:p w14:paraId="63BE101F">
            <w:pPr>
              <w:jc w:val="center"/>
              <w:rPr>
                <w:rFonts w:hint="eastAsia" w:ascii="宋体" w:hAnsi="宋体" w:eastAsia="宋体"/>
                <w:szCs w:val="21"/>
              </w:rPr>
            </w:pPr>
          </w:p>
        </w:tc>
        <w:tc>
          <w:tcPr>
            <w:tcW w:w="732" w:type="pct"/>
            <w:vAlign w:val="center"/>
          </w:tcPr>
          <w:p w14:paraId="0D7D6BCD">
            <w:pPr>
              <w:jc w:val="center"/>
              <w:rPr>
                <w:rFonts w:hint="eastAsia" w:ascii="宋体" w:hAnsi="宋体" w:eastAsia="宋体"/>
                <w:szCs w:val="21"/>
              </w:rPr>
            </w:pPr>
          </w:p>
        </w:tc>
        <w:tc>
          <w:tcPr>
            <w:tcW w:w="1009" w:type="pct"/>
            <w:vAlign w:val="center"/>
          </w:tcPr>
          <w:p w14:paraId="1F9D5896">
            <w:pPr>
              <w:jc w:val="center"/>
              <w:rPr>
                <w:rFonts w:hint="eastAsia"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szCs w:val="21"/>
              </w:rPr>
            </w:pPr>
          </w:p>
        </w:tc>
        <w:tc>
          <w:tcPr>
            <w:tcW w:w="1563" w:type="pct"/>
            <w:vAlign w:val="center"/>
          </w:tcPr>
          <w:p w14:paraId="59578F53">
            <w:pPr>
              <w:jc w:val="center"/>
              <w:rPr>
                <w:rFonts w:hint="eastAsia" w:ascii="宋体" w:hAnsi="宋体" w:eastAsia="宋体"/>
                <w:szCs w:val="21"/>
              </w:rPr>
            </w:pPr>
          </w:p>
        </w:tc>
        <w:tc>
          <w:tcPr>
            <w:tcW w:w="1164" w:type="pct"/>
            <w:vAlign w:val="center"/>
          </w:tcPr>
          <w:p w14:paraId="0F22411E">
            <w:pPr>
              <w:jc w:val="center"/>
              <w:rPr>
                <w:rFonts w:hint="eastAsia" w:ascii="宋体" w:hAnsi="宋体" w:eastAsia="宋体"/>
                <w:szCs w:val="21"/>
              </w:rPr>
            </w:pPr>
          </w:p>
        </w:tc>
        <w:tc>
          <w:tcPr>
            <w:tcW w:w="732" w:type="pct"/>
            <w:vAlign w:val="center"/>
          </w:tcPr>
          <w:p w14:paraId="3028C6D5">
            <w:pPr>
              <w:jc w:val="center"/>
              <w:rPr>
                <w:rFonts w:hint="eastAsia" w:ascii="宋体" w:hAnsi="宋体" w:eastAsia="宋体"/>
                <w:szCs w:val="21"/>
              </w:rPr>
            </w:pPr>
          </w:p>
        </w:tc>
        <w:tc>
          <w:tcPr>
            <w:tcW w:w="1009" w:type="pct"/>
            <w:vAlign w:val="center"/>
          </w:tcPr>
          <w:p w14:paraId="2760B64B">
            <w:pPr>
              <w:jc w:val="center"/>
              <w:rPr>
                <w:rFonts w:hint="eastAsia"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szCs w:val="21"/>
              </w:rPr>
            </w:pPr>
          </w:p>
        </w:tc>
        <w:tc>
          <w:tcPr>
            <w:tcW w:w="1563" w:type="pct"/>
            <w:vAlign w:val="center"/>
          </w:tcPr>
          <w:p w14:paraId="05755403">
            <w:pPr>
              <w:jc w:val="center"/>
              <w:rPr>
                <w:rFonts w:hint="eastAsia" w:ascii="宋体" w:hAnsi="宋体" w:eastAsia="宋体"/>
                <w:szCs w:val="21"/>
              </w:rPr>
            </w:pPr>
          </w:p>
        </w:tc>
        <w:tc>
          <w:tcPr>
            <w:tcW w:w="1164" w:type="pct"/>
            <w:vAlign w:val="center"/>
          </w:tcPr>
          <w:p w14:paraId="0124A58D">
            <w:pPr>
              <w:jc w:val="center"/>
              <w:rPr>
                <w:rFonts w:hint="eastAsia" w:ascii="宋体" w:hAnsi="宋体" w:eastAsia="宋体"/>
                <w:szCs w:val="21"/>
              </w:rPr>
            </w:pPr>
          </w:p>
        </w:tc>
        <w:tc>
          <w:tcPr>
            <w:tcW w:w="732" w:type="pct"/>
            <w:vAlign w:val="center"/>
          </w:tcPr>
          <w:p w14:paraId="75EFB702">
            <w:pPr>
              <w:jc w:val="center"/>
              <w:rPr>
                <w:rFonts w:hint="eastAsia" w:ascii="宋体" w:hAnsi="宋体" w:eastAsia="宋体"/>
                <w:szCs w:val="21"/>
              </w:rPr>
            </w:pPr>
          </w:p>
        </w:tc>
        <w:tc>
          <w:tcPr>
            <w:tcW w:w="1009" w:type="pct"/>
            <w:vAlign w:val="center"/>
          </w:tcPr>
          <w:p w14:paraId="084CCF0D">
            <w:pPr>
              <w:jc w:val="center"/>
              <w:rPr>
                <w:rFonts w:hint="eastAsia"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szCs w:val="21"/>
              </w:rPr>
            </w:pPr>
          </w:p>
        </w:tc>
        <w:tc>
          <w:tcPr>
            <w:tcW w:w="1563" w:type="pct"/>
            <w:vAlign w:val="center"/>
          </w:tcPr>
          <w:p w14:paraId="7CB689AC">
            <w:pPr>
              <w:jc w:val="center"/>
              <w:rPr>
                <w:rFonts w:hint="eastAsia" w:ascii="宋体" w:hAnsi="宋体" w:eastAsia="宋体"/>
                <w:szCs w:val="21"/>
              </w:rPr>
            </w:pPr>
          </w:p>
        </w:tc>
        <w:tc>
          <w:tcPr>
            <w:tcW w:w="1164" w:type="pct"/>
            <w:vAlign w:val="center"/>
          </w:tcPr>
          <w:p w14:paraId="01CC754A">
            <w:pPr>
              <w:jc w:val="center"/>
              <w:rPr>
                <w:rFonts w:hint="eastAsia" w:ascii="宋体" w:hAnsi="宋体" w:eastAsia="宋体"/>
                <w:szCs w:val="21"/>
              </w:rPr>
            </w:pPr>
          </w:p>
        </w:tc>
        <w:tc>
          <w:tcPr>
            <w:tcW w:w="732" w:type="pct"/>
            <w:vAlign w:val="center"/>
          </w:tcPr>
          <w:p w14:paraId="1BBC3748">
            <w:pPr>
              <w:jc w:val="center"/>
              <w:rPr>
                <w:rFonts w:hint="eastAsia" w:ascii="宋体" w:hAnsi="宋体" w:eastAsia="宋体"/>
                <w:szCs w:val="21"/>
              </w:rPr>
            </w:pPr>
          </w:p>
        </w:tc>
        <w:tc>
          <w:tcPr>
            <w:tcW w:w="1009" w:type="pct"/>
            <w:vAlign w:val="center"/>
          </w:tcPr>
          <w:p w14:paraId="1EA17CC2">
            <w:pPr>
              <w:jc w:val="center"/>
              <w:rPr>
                <w:rFonts w:hint="eastAsia"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szCs w:val="21"/>
              </w:rPr>
            </w:pPr>
          </w:p>
        </w:tc>
        <w:tc>
          <w:tcPr>
            <w:tcW w:w="1563" w:type="pct"/>
            <w:vAlign w:val="center"/>
          </w:tcPr>
          <w:p w14:paraId="0EEF5E5A">
            <w:pPr>
              <w:jc w:val="center"/>
              <w:rPr>
                <w:rFonts w:hint="eastAsia" w:ascii="宋体" w:hAnsi="宋体" w:eastAsia="宋体"/>
                <w:szCs w:val="21"/>
              </w:rPr>
            </w:pPr>
          </w:p>
        </w:tc>
        <w:tc>
          <w:tcPr>
            <w:tcW w:w="1164" w:type="pct"/>
            <w:vAlign w:val="center"/>
          </w:tcPr>
          <w:p w14:paraId="10036CA7">
            <w:pPr>
              <w:jc w:val="center"/>
              <w:rPr>
                <w:rFonts w:hint="eastAsia" w:ascii="宋体" w:hAnsi="宋体" w:eastAsia="宋体"/>
                <w:szCs w:val="21"/>
              </w:rPr>
            </w:pPr>
          </w:p>
        </w:tc>
        <w:tc>
          <w:tcPr>
            <w:tcW w:w="732" w:type="pct"/>
            <w:vAlign w:val="center"/>
          </w:tcPr>
          <w:p w14:paraId="6E6C00DB">
            <w:pPr>
              <w:jc w:val="center"/>
              <w:rPr>
                <w:rFonts w:hint="eastAsia" w:ascii="宋体" w:hAnsi="宋体" w:eastAsia="宋体"/>
                <w:szCs w:val="21"/>
              </w:rPr>
            </w:pPr>
          </w:p>
        </w:tc>
        <w:tc>
          <w:tcPr>
            <w:tcW w:w="1009" w:type="pct"/>
            <w:vAlign w:val="center"/>
          </w:tcPr>
          <w:p w14:paraId="4069C89F">
            <w:pPr>
              <w:jc w:val="center"/>
              <w:rPr>
                <w:rFonts w:hint="eastAsia" w:ascii="宋体" w:hAnsi="宋体" w:eastAsia="宋体"/>
                <w:szCs w:val="21"/>
              </w:rPr>
            </w:pPr>
          </w:p>
        </w:tc>
      </w:tr>
    </w:tbl>
    <w:p w14:paraId="759D3C9E">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hint="eastAsia"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49"/>
    <w:bookmarkEnd w:id="50"/>
    <w:p w14:paraId="022E1B87">
      <w:pPr>
        <w:pageBreakBefore/>
        <w:rPr>
          <w:rFonts w:hint="eastAsia"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3DE2BFB1">
      <w:pPr>
        <w:spacing w:after="217" w:afterLines="50" w:line="360" w:lineRule="auto"/>
        <w:jc w:val="center"/>
        <w:rPr>
          <w:rFonts w:hint="eastAsia" w:ascii="宋体" w:hAnsi="宋体" w:eastAsia="宋体"/>
          <w:b/>
          <w:spacing w:val="20"/>
          <w:sz w:val="30"/>
          <w:szCs w:val="30"/>
        </w:rPr>
      </w:pPr>
      <w:r>
        <w:rPr>
          <w:rFonts w:hint="eastAsia" w:ascii="宋体" w:hAnsi="宋体" w:eastAsia="宋体"/>
          <w:b/>
          <w:sz w:val="32"/>
          <w:szCs w:val="32"/>
        </w:rPr>
        <w:t>项目技术服务人员情况表</w:t>
      </w:r>
    </w:p>
    <w:tbl>
      <w:tblPr>
        <w:tblStyle w:val="15"/>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hint="eastAsia"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hint="eastAsia"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hint="eastAsia"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hint="eastAsia"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hint="eastAsia"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hint="eastAsia"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szCs w:val="21"/>
              </w:rPr>
            </w:pPr>
          </w:p>
        </w:tc>
        <w:tc>
          <w:tcPr>
            <w:tcW w:w="653" w:type="pct"/>
            <w:vAlign w:val="center"/>
          </w:tcPr>
          <w:p w14:paraId="3AB8EE80">
            <w:pPr>
              <w:jc w:val="center"/>
              <w:rPr>
                <w:rFonts w:hint="eastAsia" w:ascii="宋体" w:hAnsi="宋体" w:eastAsia="宋体"/>
                <w:szCs w:val="21"/>
              </w:rPr>
            </w:pPr>
          </w:p>
        </w:tc>
        <w:tc>
          <w:tcPr>
            <w:tcW w:w="739" w:type="pct"/>
            <w:vAlign w:val="center"/>
          </w:tcPr>
          <w:p w14:paraId="63A272CC">
            <w:pPr>
              <w:jc w:val="center"/>
              <w:rPr>
                <w:rFonts w:hint="eastAsia" w:ascii="宋体" w:hAnsi="宋体" w:eastAsia="宋体"/>
                <w:szCs w:val="21"/>
              </w:rPr>
            </w:pPr>
          </w:p>
        </w:tc>
        <w:tc>
          <w:tcPr>
            <w:tcW w:w="1081" w:type="pct"/>
            <w:vAlign w:val="center"/>
          </w:tcPr>
          <w:p w14:paraId="6A1AF531">
            <w:pPr>
              <w:jc w:val="center"/>
              <w:rPr>
                <w:rFonts w:hint="eastAsia" w:ascii="宋体" w:hAnsi="宋体" w:eastAsia="宋体"/>
                <w:szCs w:val="21"/>
              </w:rPr>
            </w:pPr>
          </w:p>
        </w:tc>
        <w:tc>
          <w:tcPr>
            <w:tcW w:w="830" w:type="pct"/>
          </w:tcPr>
          <w:p w14:paraId="273D4706">
            <w:pPr>
              <w:jc w:val="center"/>
              <w:rPr>
                <w:rFonts w:hint="eastAsia" w:ascii="宋体" w:hAnsi="宋体" w:eastAsia="宋体"/>
                <w:szCs w:val="21"/>
              </w:rPr>
            </w:pPr>
          </w:p>
        </w:tc>
        <w:tc>
          <w:tcPr>
            <w:tcW w:w="582" w:type="pct"/>
            <w:vAlign w:val="center"/>
          </w:tcPr>
          <w:p w14:paraId="74DA6C12">
            <w:pPr>
              <w:jc w:val="center"/>
              <w:rPr>
                <w:rFonts w:hint="eastAsia" w:ascii="宋体" w:hAnsi="宋体" w:eastAsia="宋体"/>
                <w:szCs w:val="21"/>
              </w:rPr>
            </w:pPr>
          </w:p>
        </w:tc>
        <w:tc>
          <w:tcPr>
            <w:tcW w:w="699" w:type="pct"/>
          </w:tcPr>
          <w:p w14:paraId="7A70E5E6">
            <w:pPr>
              <w:jc w:val="center"/>
              <w:rPr>
                <w:rFonts w:hint="eastAsia"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szCs w:val="21"/>
              </w:rPr>
            </w:pPr>
          </w:p>
        </w:tc>
        <w:tc>
          <w:tcPr>
            <w:tcW w:w="653" w:type="pct"/>
            <w:vAlign w:val="center"/>
          </w:tcPr>
          <w:p w14:paraId="0C9CA726">
            <w:pPr>
              <w:jc w:val="center"/>
              <w:rPr>
                <w:rFonts w:hint="eastAsia" w:ascii="宋体" w:hAnsi="宋体" w:eastAsia="宋体"/>
                <w:szCs w:val="21"/>
              </w:rPr>
            </w:pPr>
          </w:p>
        </w:tc>
        <w:tc>
          <w:tcPr>
            <w:tcW w:w="739" w:type="pct"/>
            <w:vAlign w:val="center"/>
          </w:tcPr>
          <w:p w14:paraId="70C51E5D">
            <w:pPr>
              <w:jc w:val="center"/>
              <w:rPr>
                <w:rFonts w:hint="eastAsia" w:ascii="宋体" w:hAnsi="宋体" w:eastAsia="宋体"/>
                <w:szCs w:val="21"/>
              </w:rPr>
            </w:pPr>
          </w:p>
        </w:tc>
        <w:tc>
          <w:tcPr>
            <w:tcW w:w="1081" w:type="pct"/>
            <w:vAlign w:val="center"/>
          </w:tcPr>
          <w:p w14:paraId="552AD384">
            <w:pPr>
              <w:jc w:val="center"/>
              <w:rPr>
                <w:rFonts w:hint="eastAsia" w:ascii="宋体" w:hAnsi="宋体" w:eastAsia="宋体"/>
                <w:szCs w:val="21"/>
              </w:rPr>
            </w:pPr>
          </w:p>
        </w:tc>
        <w:tc>
          <w:tcPr>
            <w:tcW w:w="830" w:type="pct"/>
          </w:tcPr>
          <w:p w14:paraId="670140FF">
            <w:pPr>
              <w:jc w:val="center"/>
              <w:rPr>
                <w:rFonts w:hint="eastAsia" w:ascii="宋体" w:hAnsi="宋体" w:eastAsia="宋体"/>
                <w:szCs w:val="21"/>
              </w:rPr>
            </w:pPr>
          </w:p>
        </w:tc>
        <w:tc>
          <w:tcPr>
            <w:tcW w:w="582" w:type="pct"/>
            <w:vAlign w:val="center"/>
          </w:tcPr>
          <w:p w14:paraId="362772DE">
            <w:pPr>
              <w:jc w:val="center"/>
              <w:rPr>
                <w:rFonts w:hint="eastAsia" w:ascii="宋体" w:hAnsi="宋体" w:eastAsia="宋体"/>
                <w:szCs w:val="21"/>
              </w:rPr>
            </w:pPr>
          </w:p>
        </w:tc>
        <w:tc>
          <w:tcPr>
            <w:tcW w:w="699" w:type="pct"/>
          </w:tcPr>
          <w:p w14:paraId="226E8EA2">
            <w:pPr>
              <w:jc w:val="center"/>
              <w:rPr>
                <w:rFonts w:hint="eastAsia"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szCs w:val="21"/>
              </w:rPr>
            </w:pPr>
          </w:p>
        </w:tc>
        <w:tc>
          <w:tcPr>
            <w:tcW w:w="653" w:type="pct"/>
            <w:vAlign w:val="center"/>
          </w:tcPr>
          <w:p w14:paraId="46703EAB">
            <w:pPr>
              <w:jc w:val="center"/>
              <w:rPr>
                <w:rFonts w:hint="eastAsia" w:ascii="宋体" w:hAnsi="宋体" w:eastAsia="宋体"/>
                <w:szCs w:val="21"/>
              </w:rPr>
            </w:pPr>
          </w:p>
        </w:tc>
        <w:tc>
          <w:tcPr>
            <w:tcW w:w="739" w:type="pct"/>
            <w:vAlign w:val="center"/>
          </w:tcPr>
          <w:p w14:paraId="5B210401">
            <w:pPr>
              <w:jc w:val="center"/>
              <w:rPr>
                <w:rFonts w:hint="eastAsia" w:ascii="宋体" w:hAnsi="宋体" w:eastAsia="宋体"/>
                <w:szCs w:val="21"/>
              </w:rPr>
            </w:pPr>
          </w:p>
        </w:tc>
        <w:tc>
          <w:tcPr>
            <w:tcW w:w="1081" w:type="pct"/>
            <w:vAlign w:val="center"/>
          </w:tcPr>
          <w:p w14:paraId="1CA38B0F">
            <w:pPr>
              <w:jc w:val="center"/>
              <w:rPr>
                <w:rFonts w:hint="eastAsia" w:ascii="宋体" w:hAnsi="宋体" w:eastAsia="宋体"/>
                <w:szCs w:val="21"/>
              </w:rPr>
            </w:pPr>
          </w:p>
        </w:tc>
        <w:tc>
          <w:tcPr>
            <w:tcW w:w="830" w:type="pct"/>
          </w:tcPr>
          <w:p w14:paraId="491A791E">
            <w:pPr>
              <w:jc w:val="center"/>
              <w:rPr>
                <w:rFonts w:hint="eastAsia" w:ascii="宋体" w:hAnsi="宋体" w:eastAsia="宋体"/>
                <w:szCs w:val="21"/>
              </w:rPr>
            </w:pPr>
          </w:p>
        </w:tc>
        <w:tc>
          <w:tcPr>
            <w:tcW w:w="582" w:type="pct"/>
            <w:vAlign w:val="center"/>
          </w:tcPr>
          <w:p w14:paraId="17A5565B">
            <w:pPr>
              <w:jc w:val="center"/>
              <w:rPr>
                <w:rFonts w:hint="eastAsia" w:ascii="宋体" w:hAnsi="宋体" w:eastAsia="宋体"/>
                <w:szCs w:val="21"/>
              </w:rPr>
            </w:pPr>
          </w:p>
        </w:tc>
        <w:tc>
          <w:tcPr>
            <w:tcW w:w="699" w:type="pct"/>
          </w:tcPr>
          <w:p w14:paraId="3CEEAE76">
            <w:pPr>
              <w:jc w:val="center"/>
              <w:rPr>
                <w:rFonts w:hint="eastAsia"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szCs w:val="21"/>
              </w:rPr>
            </w:pPr>
          </w:p>
        </w:tc>
        <w:tc>
          <w:tcPr>
            <w:tcW w:w="653" w:type="pct"/>
            <w:vAlign w:val="center"/>
          </w:tcPr>
          <w:p w14:paraId="38F0906F">
            <w:pPr>
              <w:jc w:val="center"/>
              <w:rPr>
                <w:rFonts w:hint="eastAsia" w:ascii="宋体" w:hAnsi="宋体" w:eastAsia="宋体"/>
                <w:szCs w:val="21"/>
              </w:rPr>
            </w:pPr>
          </w:p>
        </w:tc>
        <w:tc>
          <w:tcPr>
            <w:tcW w:w="739" w:type="pct"/>
            <w:vAlign w:val="center"/>
          </w:tcPr>
          <w:p w14:paraId="7FE1C737">
            <w:pPr>
              <w:jc w:val="center"/>
              <w:rPr>
                <w:rFonts w:hint="eastAsia" w:ascii="宋体" w:hAnsi="宋体" w:eastAsia="宋体"/>
                <w:szCs w:val="21"/>
              </w:rPr>
            </w:pPr>
          </w:p>
        </w:tc>
        <w:tc>
          <w:tcPr>
            <w:tcW w:w="1081" w:type="pct"/>
            <w:vAlign w:val="center"/>
          </w:tcPr>
          <w:p w14:paraId="13A48178">
            <w:pPr>
              <w:jc w:val="center"/>
              <w:rPr>
                <w:rFonts w:hint="eastAsia" w:ascii="宋体" w:hAnsi="宋体" w:eastAsia="宋体"/>
                <w:szCs w:val="21"/>
              </w:rPr>
            </w:pPr>
          </w:p>
        </w:tc>
        <w:tc>
          <w:tcPr>
            <w:tcW w:w="830" w:type="pct"/>
          </w:tcPr>
          <w:p w14:paraId="29078F11">
            <w:pPr>
              <w:jc w:val="center"/>
              <w:rPr>
                <w:rFonts w:hint="eastAsia" w:ascii="宋体" w:hAnsi="宋体" w:eastAsia="宋体"/>
                <w:szCs w:val="21"/>
              </w:rPr>
            </w:pPr>
          </w:p>
        </w:tc>
        <w:tc>
          <w:tcPr>
            <w:tcW w:w="582" w:type="pct"/>
            <w:vAlign w:val="center"/>
          </w:tcPr>
          <w:p w14:paraId="22085B0A">
            <w:pPr>
              <w:jc w:val="center"/>
              <w:rPr>
                <w:rFonts w:hint="eastAsia" w:ascii="宋体" w:hAnsi="宋体" w:eastAsia="宋体"/>
                <w:szCs w:val="21"/>
              </w:rPr>
            </w:pPr>
          </w:p>
        </w:tc>
        <w:tc>
          <w:tcPr>
            <w:tcW w:w="699" w:type="pct"/>
          </w:tcPr>
          <w:p w14:paraId="35995CA2">
            <w:pPr>
              <w:jc w:val="center"/>
              <w:rPr>
                <w:rFonts w:hint="eastAsia"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szCs w:val="21"/>
              </w:rPr>
            </w:pPr>
          </w:p>
        </w:tc>
        <w:tc>
          <w:tcPr>
            <w:tcW w:w="653" w:type="pct"/>
            <w:vAlign w:val="center"/>
          </w:tcPr>
          <w:p w14:paraId="7A6C4DEC">
            <w:pPr>
              <w:jc w:val="center"/>
              <w:rPr>
                <w:rFonts w:hint="eastAsia" w:ascii="宋体" w:hAnsi="宋体" w:eastAsia="宋体"/>
                <w:szCs w:val="21"/>
              </w:rPr>
            </w:pPr>
          </w:p>
        </w:tc>
        <w:tc>
          <w:tcPr>
            <w:tcW w:w="739" w:type="pct"/>
            <w:vAlign w:val="center"/>
          </w:tcPr>
          <w:p w14:paraId="27F65C55">
            <w:pPr>
              <w:jc w:val="center"/>
              <w:rPr>
                <w:rFonts w:hint="eastAsia" w:ascii="宋体" w:hAnsi="宋体" w:eastAsia="宋体"/>
                <w:szCs w:val="21"/>
              </w:rPr>
            </w:pPr>
          </w:p>
        </w:tc>
        <w:tc>
          <w:tcPr>
            <w:tcW w:w="1081" w:type="pct"/>
            <w:vAlign w:val="center"/>
          </w:tcPr>
          <w:p w14:paraId="3140FDA0">
            <w:pPr>
              <w:widowControl/>
              <w:tabs>
                <w:tab w:val="right" w:leader="dot" w:pos="8302"/>
              </w:tabs>
              <w:jc w:val="center"/>
              <w:rPr>
                <w:rFonts w:hint="eastAsia" w:ascii="宋体" w:hAnsi="宋体" w:eastAsia="宋体"/>
                <w:kern w:val="0"/>
                <w:szCs w:val="21"/>
              </w:rPr>
            </w:pPr>
          </w:p>
        </w:tc>
        <w:tc>
          <w:tcPr>
            <w:tcW w:w="830" w:type="pct"/>
          </w:tcPr>
          <w:p w14:paraId="254EA750">
            <w:pPr>
              <w:jc w:val="center"/>
              <w:rPr>
                <w:rFonts w:hint="eastAsia" w:ascii="宋体" w:hAnsi="宋体" w:eastAsia="宋体"/>
                <w:szCs w:val="21"/>
              </w:rPr>
            </w:pPr>
          </w:p>
        </w:tc>
        <w:tc>
          <w:tcPr>
            <w:tcW w:w="582" w:type="pct"/>
            <w:vAlign w:val="center"/>
          </w:tcPr>
          <w:p w14:paraId="557566C7">
            <w:pPr>
              <w:jc w:val="center"/>
              <w:rPr>
                <w:rFonts w:hint="eastAsia" w:ascii="宋体" w:hAnsi="宋体" w:eastAsia="宋体"/>
                <w:szCs w:val="21"/>
              </w:rPr>
            </w:pPr>
          </w:p>
        </w:tc>
        <w:tc>
          <w:tcPr>
            <w:tcW w:w="699" w:type="pct"/>
          </w:tcPr>
          <w:p w14:paraId="13F4BB69">
            <w:pPr>
              <w:jc w:val="center"/>
              <w:rPr>
                <w:rFonts w:hint="eastAsia"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szCs w:val="21"/>
              </w:rPr>
            </w:pPr>
          </w:p>
        </w:tc>
        <w:tc>
          <w:tcPr>
            <w:tcW w:w="653" w:type="pct"/>
            <w:vAlign w:val="center"/>
          </w:tcPr>
          <w:p w14:paraId="2576C1B7">
            <w:pPr>
              <w:jc w:val="center"/>
              <w:rPr>
                <w:rFonts w:hint="eastAsia" w:ascii="宋体" w:hAnsi="宋体" w:eastAsia="宋体"/>
                <w:szCs w:val="21"/>
              </w:rPr>
            </w:pPr>
          </w:p>
        </w:tc>
        <w:tc>
          <w:tcPr>
            <w:tcW w:w="739" w:type="pct"/>
            <w:vAlign w:val="center"/>
          </w:tcPr>
          <w:p w14:paraId="57F23FBA">
            <w:pPr>
              <w:jc w:val="center"/>
              <w:rPr>
                <w:rFonts w:hint="eastAsia" w:ascii="宋体" w:hAnsi="宋体" w:eastAsia="宋体"/>
                <w:szCs w:val="21"/>
              </w:rPr>
            </w:pPr>
          </w:p>
        </w:tc>
        <w:tc>
          <w:tcPr>
            <w:tcW w:w="1081" w:type="pct"/>
            <w:vAlign w:val="center"/>
          </w:tcPr>
          <w:p w14:paraId="0383AFE5">
            <w:pPr>
              <w:widowControl/>
              <w:tabs>
                <w:tab w:val="right" w:leader="dot" w:pos="8302"/>
              </w:tabs>
              <w:jc w:val="center"/>
              <w:rPr>
                <w:rFonts w:hint="eastAsia" w:ascii="宋体" w:hAnsi="宋体" w:eastAsia="宋体"/>
                <w:kern w:val="0"/>
                <w:szCs w:val="21"/>
              </w:rPr>
            </w:pPr>
          </w:p>
        </w:tc>
        <w:tc>
          <w:tcPr>
            <w:tcW w:w="830" w:type="pct"/>
          </w:tcPr>
          <w:p w14:paraId="6DFF9830">
            <w:pPr>
              <w:jc w:val="center"/>
              <w:rPr>
                <w:rFonts w:hint="eastAsia" w:ascii="宋体" w:hAnsi="宋体" w:eastAsia="宋体"/>
                <w:szCs w:val="21"/>
              </w:rPr>
            </w:pPr>
          </w:p>
        </w:tc>
        <w:tc>
          <w:tcPr>
            <w:tcW w:w="582" w:type="pct"/>
            <w:vAlign w:val="center"/>
          </w:tcPr>
          <w:p w14:paraId="017E6BE4">
            <w:pPr>
              <w:jc w:val="center"/>
              <w:rPr>
                <w:rFonts w:hint="eastAsia" w:ascii="宋体" w:hAnsi="宋体" w:eastAsia="宋体"/>
                <w:szCs w:val="21"/>
              </w:rPr>
            </w:pPr>
          </w:p>
        </w:tc>
        <w:tc>
          <w:tcPr>
            <w:tcW w:w="699" w:type="pct"/>
          </w:tcPr>
          <w:p w14:paraId="69FDC671">
            <w:pPr>
              <w:jc w:val="center"/>
              <w:rPr>
                <w:rFonts w:hint="eastAsia"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szCs w:val="21"/>
              </w:rPr>
            </w:pPr>
          </w:p>
        </w:tc>
        <w:tc>
          <w:tcPr>
            <w:tcW w:w="653" w:type="pct"/>
            <w:vAlign w:val="center"/>
          </w:tcPr>
          <w:p w14:paraId="6766E312">
            <w:pPr>
              <w:jc w:val="center"/>
              <w:rPr>
                <w:rFonts w:hint="eastAsia" w:ascii="宋体" w:hAnsi="宋体" w:eastAsia="宋体"/>
                <w:szCs w:val="21"/>
              </w:rPr>
            </w:pPr>
          </w:p>
        </w:tc>
        <w:tc>
          <w:tcPr>
            <w:tcW w:w="739" w:type="pct"/>
            <w:vAlign w:val="center"/>
          </w:tcPr>
          <w:p w14:paraId="712229AA">
            <w:pPr>
              <w:jc w:val="center"/>
              <w:rPr>
                <w:rFonts w:hint="eastAsia" w:ascii="宋体" w:hAnsi="宋体" w:eastAsia="宋体"/>
                <w:szCs w:val="21"/>
              </w:rPr>
            </w:pPr>
          </w:p>
        </w:tc>
        <w:tc>
          <w:tcPr>
            <w:tcW w:w="1081" w:type="pct"/>
            <w:vAlign w:val="center"/>
          </w:tcPr>
          <w:p w14:paraId="46A54FD3">
            <w:pPr>
              <w:jc w:val="center"/>
              <w:rPr>
                <w:rFonts w:hint="eastAsia" w:ascii="宋体" w:hAnsi="宋体" w:eastAsia="宋体"/>
                <w:szCs w:val="21"/>
              </w:rPr>
            </w:pPr>
          </w:p>
        </w:tc>
        <w:tc>
          <w:tcPr>
            <w:tcW w:w="830" w:type="pct"/>
          </w:tcPr>
          <w:p w14:paraId="4EF42F3D">
            <w:pPr>
              <w:jc w:val="center"/>
              <w:rPr>
                <w:rFonts w:hint="eastAsia" w:ascii="宋体" w:hAnsi="宋体" w:eastAsia="宋体"/>
                <w:szCs w:val="21"/>
              </w:rPr>
            </w:pPr>
          </w:p>
        </w:tc>
        <w:tc>
          <w:tcPr>
            <w:tcW w:w="582" w:type="pct"/>
            <w:vAlign w:val="center"/>
          </w:tcPr>
          <w:p w14:paraId="08C50BFC">
            <w:pPr>
              <w:jc w:val="center"/>
              <w:rPr>
                <w:rFonts w:hint="eastAsia" w:ascii="宋体" w:hAnsi="宋体" w:eastAsia="宋体"/>
                <w:szCs w:val="21"/>
              </w:rPr>
            </w:pPr>
          </w:p>
        </w:tc>
        <w:tc>
          <w:tcPr>
            <w:tcW w:w="699" w:type="pct"/>
          </w:tcPr>
          <w:p w14:paraId="0A696757">
            <w:pPr>
              <w:jc w:val="center"/>
              <w:rPr>
                <w:rFonts w:hint="eastAsia"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szCs w:val="21"/>
              </w:rPr>
            </w:pPr>
          </w:p>
        </w:tc>
        <w:tc>
          <w:tcPr>
            <w:tcW w:w="653" w:type="pct"/>
            <w:vAlign w:val="center"/>
          </w:tcPr>
          <w:p w14:paraId="76F5D1F9">
            <w:pPr>
              <w:jc w:val="center"/>
              <w:rPr>
                <w:rFonts w:hint="eastAsia" w:ascii="宋体" w:hAnsi="宋体" w:eastAsia="宋体"/>
                <w:szCs w:val="21"/>
              </w:rPr>
            </w:pPr>
          </w:p>
        </w:tc>
        <w:tc>
          <w:tcPr>
            <w:tcW w:w="739" w:type="pct"/>
            <w:vAlign w:val="center"/>
          </w:tcPr>
          <w:p w14:paraId="4F852F46">
            <w:pPr>
              <w:jc w:val="center"/>
              <w:rPr>
                <w:rFonts w:hint="eastAsia" w:ascii="宋体" w:hAnsi="宋体" w:eastAsia="宋体"/>
                <w:szCs w:val="21"/>
              </w:rPr>
            </w:pPr>
          </w:p>
        </w:tc>
        <w:tc>
          <w:tcPr>
            <w:tcW w:w="1081" w:type="pct"/>
            <w:vAlign w:val="center"/>
          </w:tcPr>
          <w:p w14:paraId="437366F9">
            <w:pPr>
              <w:jc w:val="center"/>
              <w:rPr>
                <w:rFonts w:hint="eastAsia" w:ascii="宋体" w:hAnsi="宋体" w:eastAsia="宋体"/>
                <w:szCs w:val="21"/>
              </w:rPr>
            </w:pPr>
          </w:p>
        </w:tc>
        <w:tc>
          <w:tcPr>
            <w:tcW w:w="830" w:type="pct"/>
          </w:tcPr>
          <w:p w14:paraId="3D42306E">
            <w:pPr>
              <w:jc w:val="center"/>
              <w:rPr>
                <w:rFonts w:hint="eastAsia" w:ascii="宋体" w:hAnsi="宋体" w:eastAsia="宋体"/>
                <w:szCs w:val="21"/>
              </w:rPr>
            </w:pPr>
          </w:p>
        </w:tc>
        <w:tc>
          <w:tcPr>
            <w:tcW w:w="582" w:type="pct"/>
            <w:vAlign w:val="center"/>
          </w:tcPr>
          <w:p w14:paraId="2F48BADD">
            <w:pPr>
              <w:jc w:val="center"/>
              <w:rPr>
                <w:rFonts w:hint="eastAsia" w:ascii="宋体" w:hAnsi="宋体" w:eastAsia="宋体"/>
                <w:szCs w:val="21"/>
              </w:rPr>
            </w:pPr>
          </w:p>
        </w:tc>
        <w:tc>
          <w:tcPr>
            <w:tcW w:w="699" w:type="pct"/>
          </w:tcPr>
          <w:p w14:paraId="14356E07">
            <w:pPr>
              <w:jc w:val="center"/>
              <w:rPr>
                <w:rFonts w:hint="eastAsia" w:ascii="宋体" w:hAnsi="宋体" w:eastAsia="宋体"/>
                <w:szCs w:val="21"/>
              </w:rPr>
            </w:pPr>
          </w:p>
        </w:tc>
      </w:tr>
    </w:tbl>
    <w:p w14:paraId="585052B7">
      <w:pPr>
        <w:spacing w:line="360" w:lineRule="auto"/>
        <w:rPr>
          <w:rFonts w:hint="eastAsia" w:ascii="黑体" w:hAnsi="黑体" w:eastAsia="黑体"/>
        </w:rPr>
      </w:pPr>
    </w:p>
    <w:p w14:paraId="16EB79C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hint="eastAsia" w:ascii="黑体" w:hAnsi="黑体" w:eastAsia="黑体"/>
        </w:rPr>
      </w:pPr>
    </w:p>
    <w:p w14:paraId="6C399DC8">
      <w:pPr>
        <w:pageBreakBefore/>
        <w:rPr>
          <w:rFonts w:hint="eastAsia"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val="en-US" w:eastAsia="zh-CN"/>
        </w:rPr>
        <w:t>三</w:t>
      </w:r>
      <w:r>
        <w:rPr>
          <w:rFonts w:hint="eastAsia" w:ascii="宋体" w:hAnsi="宋体" w:eastAsia="宋体"/>
          <w:b/>
          <w:bCs/>
          <w:sz w:val="24"/>
          <w:szCs w:val="28"/>
        </w:rPr>
        <w:t>：</w:t>
      </w:r>
    </w:p>
    <w:p w14:paraId="7966E96E">
      <w:pPr>
        <w:spacing w:after="217" w:afterLines="50" w:line="360" w:lineRule="auto"/>
        <w:jc w:val="center"/>
        <w:rPr>
          <w:rFonts w:hint="eastAsia" w:ascii="宋体" w:hAnsi="宋体" w:eastAsia="宋体"/>
          <w:b/>
          <w:sz w:val="28"/>
          <w:szCs w:val="28"/>
        </w:rPr>
      </w:pPr>
      <w:r>
        <w:rPr>
          <w:rFonts w:hint="eastAsia" w:ascii="宋体" w:hAnsi="宋体" w:eastAsia="宋体"/>
          <w:b/>
          <w:sz w:val="32"/>
          <w:szCs w:val="32"/>
        </w:rPr>
        <w:t>项目负责人简历表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hint="eastAsia" w:ascii="宋体" w:hAnsi="宋体" w:eastAsia="宋体"/>
                <w:szCs w:val="21"/>
              </w:rPr>
            </w:pPr>
          </w:p>
        </w:tc>
        <w:tc>
          <w:tcPr>
            <w:tcW w:w="480" w:type="pct"/>
            <w:vAlign w:val="center"/>
          </w:tcPr>
          <w:p w14:paraId="42134CA2">
            <w:pPr>
              <w:jc w:val="center"/>
              <w:rPr>
                <w:rFonts w:hint="eastAsia"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hint="eastAsia" w:ascii="宋体" w:hAnsi="宋体" w:eastAsia="宋体"/>
                <w:szCs w:val="21"/>
              </w:rPr>
            </w:pPr>
          </w:p>
        </w:tc>
        <w:tc>
          <w:tcPr>
            <w:tcW w:w="617" w:type="pct"/>
            <w:gridSpan w:val="2"/>
            <w:vAlign w:val="center"/>
          </w:tcPr>
          <w:p w14:paraId="4C9B7B82">
            <w:pPr>
              <w:jc w:val="center"/>
              <w:rPr>
                <w:rFonts w:hint="eastAsia"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hint="eastAsia"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hint="eastAsia" w:ascii="宋体" w:hAnsi="宋体" w:eastAsia="宋体"/>
                <w:szCs w:val="21"/>
              </w:rPr>
            </w:pPr>
          </w:p>
        </w:tc>
        <w:tc>
          <w:tcPr>
            <w:tcW w:w="480" w:type="pct"/>
            <w:vAlign w:val="center"/>
          </w:tcPr>
          <w:p w14:paraId="6443894A">
            <w:pPr>
              <w:jc w:val="center"/>
              <w:rPr>
                <w:rFonts w:hint="eastAsia"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hint="eastAsia" w:ascii="宋体" w:hAnsi="宋体" w:eastAsia="宋体"/>
                <w:szCs w:val="21"/>
              </w:rPr>
            </w:pPr>
          </w:p>
        </w:tc>
        <w:tc>
          <w:tcPr>
            <w:tcW w:w="617" w:type="pct"/>
            <w:gridSpan w:val="2"/>
            <w:vAlign w:val="center"/>
          </w:tcPr>
          <w:p w14:paraId="4E4FB8BD">
            <w:pPr>
              <w:jc w:val="center"/>
              <w:rPr>
                <w:rFonts w:hint="eastAsia"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hint="eastAsia"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hint="eastAsia" w:ascii="宋体" w:hAnsi="宋体" w:eastAsia="宋体"/>
                <w:szCs w:val="21"/>
              </w:rPr>
            </w:pPr>
          </w:p>
        </w:tc>
        <w:tc>
          <w:tcPr>
            <w:tcW w:w="1502" w:type="pct"/>
            <w:gridSpan w:val="5"/>
            <w:vAlign w:val="center"/>
          </w:tcPr>
          <w:p w14:paraId="79AD2E2B">
            <w:pPr>
              <w:jc w:val="center"/>
              <w:rPr>
                <w:rFonts w:hint="eastAsia"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hint="eastAsia"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hint="eastAsia"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hint="eastAsia"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hint="eastAsia"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hint="eastAsia"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hint="eastAsia"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szCs w:val="21"/>
              </w:rPr>
            </w:pPr>
          </w:p>
        </w:tc>
        <w:tc>
          <w:tcPr>
            <w:tcW w:w="962" w:type="pct"/>
            <w:gridSpan w:val="2"/>
            <w:vAlign w:val="center"/>
          </w:tcPr>
          <w:p w14:paraId="59D4CC7B">
            <w:pPr>
              <w:jc w:val="center"/>
              <w:rPr>
                <w:rFonts w:hint="eastAsia" w:ascii="宋体" w:hAnsi="宋体" w:eastAsia="宋体"/>
                <w:szCs w:val="21"/>
              </w:rPr>
            </w:pPr>
          </w:p>
        </w:tc>
        <w:tc>
          <w:tcPr>
            <w:tcW w:w="903" w:type="pct"/>
            <w:gridSpan w:val="4"/>
            <w:vAlign w:val="center"/>
          </w:tcPr>
          <w:p w14:paraId="53B57B73">
            <w:pPr>
              <w:jc w:val="center"/>
              <w:rPr>
                <w:rFonts w:hint="eastAsia" w:ascii="宋体" w:hAnsi="宋体" w:eastAsia="宋体"/>
                <w:szCs w:val="21"/>
              </w:rPr>
            </w:pPr>
          </w:p>
        </w:tc>
        <w:tc>
          <w:tcPr>
            <w:tcW w:w="892" w:type="pct"/>
            <w:gridSpan w:val="2"/>
            <w:vAlign w:val="center"/>
          </w:tcPr>
          <w:p w14:paraId="744DD2C6">
            <w:pPr>
              <w:jc w:val="center"/>
              <w:rPr>
                <w:rFonts w:hint="eastAsia" w:ascii="宋体" w:hAnsi="宋体" w:eastAsia="宋体"/>
                <w:szCs w:val="21"/>
              </w:rPr>
            </w:pPr>
          </w:p>
        </w:tc>
        <w:tc>
          <w:tcPr>
            <w:tcW w:w="1399" w:type="pct"/>
            <w:gridSpan w:val="3"/>
            <w:vAlign w:val="center"/>
          </w:tcPr>
          <w:p w14:paraId="689BFAA0">
            <w:pPr>
              <w:jc w:val="center"/>
              <w:rPr>
                <w:rFonts w:hint="eastAsia"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szCs w:val="21"/>
              </w:rPr>
            </w:pPr>
          </w:p>
        </w:tc>
        <w:tc>
          <w:tcPr>
            <w:tcW w:w="962" w:type="pct"/>
            <w:gridSpan w:val="2"/>
            <w:vAlign w:val="center"/>
          </w:tcPr>
          <w:p w14:paraId="63B2D052">
            <w:pPr>
              <w:jc w:val="center"/>
              <w:rPr>
                <w:rFonts w:hint="eastAsia" w:ascii="宋体" w:hAnsi="宋体" w:eastAsia="宋体"/>
                <w:szCs w:val="21"/>
              </w:rPr>
            </w:pPr>
          </w:p>
        </w:tc>
        <w:tc>
          <w:tcPr>
            <w:tcW w:w="903" w:type="pct"/>
            <w:gridSpan w:val="4"/>
            <w:vAlign w:val="center"/>
          </w:tcPr>
          <w:p w14:paraId="5DEEB8CC">
            <w:pPr>
              <w:jc w:val="center"/>
              <w:rPr>
                <w:rFonts w:hint="eastAsia" w:ascii="宋体" w:hAnsi="宋体" w:eastAsia="宋体"/>
                <w:szCs w:val="21"/>
              </w:rPr>
            </w:pPr>
          </w:p>
        </w:tc>
        <w:tc>
          <w:tcPr>
            <w:tcW w:w="892" w:type="pct"/>
            <w:gridSpan w:val="2"/>
            <w:vAlign w:val="center"/>
          </w:tcPr>
          <w:p w14:paraId="2A34503D">
            <w:pPr>
              <w:jc w:val="center"/>
              <w:rPr>
                <w:rFonts w:hint="eastAsia" w:ascii="宋体" w:hAnsi="宋体" w:eastAsia="宋体"/>
                <w:szCs w:val="21"/>
              </w:rPr>
            </w:pPr>
          </w:p>
        </w:tc>
        <w:tc>
          <w:tcPr>
            <w:tcW w:w="1399" w:type="pct"/>
            <w:gridSpan w:val="3"/>
            <w:vAlign w:val="center"/>
          </w:tcPr>
          <w:p w14:paraId="33F6FDBE">
            <w:pPr>
              <w:jc w:val="center"/>
              <w:rPr>
                <w:rFonts w:hint="eastAsia"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szCs w:val="21"/>
              </w:rPr>
            </w:pPr>
          </w:p>
        </w:tc>
        <w:tc>
          <w:tcPr>
            <w:tcW w:w="962" w:type="pct"/>
            <w:gridSpan w:val="2"/>
            <w:vAlign w:val="center"/>
          </w:tcPr>
          <w:p w14:paraId="1B40859A">
            <w:pPr>
              <w:jc w:val="center"/>
              <w:rPr>
                <w:rFonts w:hint="eastAsia" w:ascii="宋体" w:hAnsi="宋体" w:eastAsia="宋体"/>
                <w:szCs w:val="21"/>
              </w:rPr>
            </w:pPr>
          </w:p>
        </w:tc>
        <w:tc>
          <w:tcPr>
            <w:tcW w:w="903" w:type="pct"/>
            <w:gridSpan w:val="4"/>
            <w:vAlign w:val="center"/>
          </w:tcPr>
          <w:p w14:paraId="15522DA1">
            <w:pPr>
              <w:jc w:val="center"/>
              <w:rPr>
                <w:rFonts w:hint="eastAsia" w:ascii="宋体" w:hAnsi="宋体" w:eastAsia="宋体"/>
                <w:szCs w:val="21"/>
              </w:rPr>
            </w:pPr>
          </w:p>
        </w:tc>
        <w:tc>
          <w:tcPr>
            <w:tcW w:w="892" w:type="pct"/>
            <w:gridSpan w:val="2"/>
            <w:vAlign w:val="center"/>
          </w:tcPr>
          <w:p w14:paraId="0CAD3FD0">
            <w:pPr>
              <w:jc w:val="center"/>
              <w:rPr>
                <w:rFonts w:hint="eastAsia" w:ascii="宋体" w:hAnsi="宋体" w:eastAsia="宋体"/>
                <w:szCs w:val="21"/>
              </w:rPr>
            </w:pPr>
          </w:p>
        </w:tc>
        <w:tc>
          <w:tcPr>
            <w:tcW w:w="1399" w:type="pct"/>
            <w:gridSpan w:val="3"/>
            <w:vAlign w:val="center"/>
          </w:tcPr>
          <w:p w14:paraId="6D75C0E0">
            <w:pPr>
              <w:jc w:val="center"/>
              <w:rPr>
                <w:rFonts w:hint="eastAsia"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szCs w:val="21"/>
              </w:rPr>
            </w:pPr>
          </w:p>
        </w:tc>
        <w:tc>
          <w:tcPr>
            <w:tcW w:w="962" w:type="pct"/>
            <w:gridSpan w:val="2"/>
            <w:vAlign w:val="center"/>
          </w:tcPr>
          <w:p w14:paraId="6C354A75">
            <w:pPr>
              <w:jc w:val="center"/>
              <w:rPr>
                <w:rFonts w:hint="eastAsia" w:ascii="宋体" w:hAnsi="宋体" w:eastAsia="宋体"/>
                <w:szCs w:val="21"/>
              </w:rPr>
            </w:pPr>
          </w:p>
        </w:tc>
        <w:tc>
          <w:tcPr>
            <w:tcW w:w="903" w:type="pct"/>
            <w:gridSpan w:val="4"/>
            <w:vAlign w:val="center"/>
          </w:tcPr>
          <w:p w14:paraId="5376537B">
            <w:pPr>
              <w:jc w:val="center"/>
              <w:rPr>
                <w:rFonts w:hint="eastAsia" w:ascii="宋体" w:hAnsi="宋体" w:eastAsia="宋体"/>
                <w:szCs w:val="21"/>
              </w:rPr>
            </w:pPr>
          </w:p>
        </w:tc>
        <w:tc>
          <w:tcPr>
            <w:tcW w:w="892" w:type="pct"/>
            <w:gridSpan w:val="2"/>
            <w:vAlign w:val="center"/>
          </w:tcPr>
          <w:p w14:paraId="7D6D7284">
            <w:pPr>
              <w:jc w:val="center"/>
              <w:rPr>
                <w:rFonts w:hint="eastAsia" w:ascii="宋体" w:hAnsi="宋体" w:eastAsia="宋体"/>
                <w:szCs w:val="21"/>
              </w:rPr>
            </w:pPr>
          </w:p>
        </w:tc>
        <w:tc>
          <w:tcPr>
            <w:tcW w:w="1399" w:type="pct"/>
            <w:gridSpan w:val="3"/>
            <w:vAlign w:val="center"/>
          </w:tcPr>
          <w:p w14:paraId="6ACF342D">
            <w:pPr>
              <w:jc w:val="center"/>
              <w:rPr>
                <w:rFonts w:hint="eastAsia"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szCs w:val="21"/>
              </w:rPr>
            </w:pPr>
          </w:p>
        </w:tc>
        <w:tc>
          <w:tcPr>
            <w:tcW w:w="962" w:type="pct"/>
            <w:gridSpan w:val="2"/>
            <w:vAlign w:val="center"/>
          </w:tcPr>
          <w:p w14:paraId="37FC9F82">
            <w:pPr>
              <w:jc w:val="center"/>
              <w:rPr>
                <w:rFonts w:hint="eastAsia" w:ascii="宋体" w:hAnsi="宋体" w:eastAsia="宋体"/>
                <w:szCs w:val="21"/>
              </w:rPr>
            </w:pPr>
          </w:p>
        </w:tc>
        <w:tc>
          <w:tcPr>
            <w:tcW w:w="903" w:type="pct"/>
            <w:gridSpan w:val="4"/>
            <w:vAlign w:val="center"/>
          </w:tcPr>
          <w:p w14:paraId="71801AC3">
            <w:pPr>
              <w:jc w:val="center"/>
              <w:rPr>
                <w:rFonts w:hint="eastAsia" w:ascii="宋体" w:hAnsi="宋体" w:eastAsia="宋体"/>
                <w:szCs w:val="21"/>
              </w:rPr>
            </w:pPr>
          </w:p>
        </w:tc>
        <w:tc>
          <w:tcPr>
            <w:tcW w:w="892" w:type="pct"/>
            <w:gridSpan w:val="2"/>
            <w:vAlign w:val="center"/>
          </w:tcPr>
          <w:p w14:paraId="5A8F9131">
            <w:pPr>
              <w:jc w:val="center"/>
              <w:rPr>
                <w:rFonts w:hint="eastAsia" w:ascii="宋体" w:hAnsi="宋体" w:eastAsia="宋体"/>
                <w:szCs w:val="21"/>
              </w:rPr>
            </w:pPr>
          </w:p>
        </w:tc>
        <w:tc>
          <w:tcPr>
            <w:tcW w:w="1399" w:type="pct"/>
            <w:gridSpan w:val="3"/>
            <w:vAlign w:val="center"/>
          </w:tcPr>
          <w:p w14:paraId="50C1E36F">
            <w:pPr>
              <w:jc w:val="center"/>
              <w:rPr>
                <w:rFonts w:hint="eastAsia" w:ascii="宋体" w:hAnsi="宋体" w:eastAsia="宋体"/>
                <w:szCs w:val="21"/>
              </w:rPr>
            </w:pPr>
          </w:p>
        </w:tc>
      </w:tr>
    </w:tbl>
    <w:p w14:paraId="1764458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51" w:name="_Toc169799799"/>
      <w:r>
        <w:rPr>
          <w:rFonts w:ascii="宋体" w:hAnsi="宋体" w:eastAsia="宋体"/>
          <w:b/>
          <w:bCs/>
          <w:sz w:val="24"/>
          <w:szCs w:val="28"/>
        </w:rPr>
        <w:t>格式十</w:t>
      </w:r>
      <w:r>
        <w:rPr>
          <w:rFonts w:hint="eastAsia" w:ascii="宋体" w:hAnsi="宋体" w:eastAsia="宋体"/>
          <w:b/>
          <w:bCs/>
          <w:sz w:val="24"/>
          <w:szCs w:val="28"/>
          <w:lang w:val="en-US" w:eastAsia="zh-CN"/>
        </w:rPr>
        <w:t>四</w:t>
      </w:r>
      <w:r>
        <w:rPr>
          <w:rFonts w:ascii="宋体" w:hAnsi="宋体" w:eastAsia="宋体"/>
          <w:b/>
          <w:bCs/>
          <w:sz w:val="24"/>
          <w:szCs w:val="28"/>
        </w:rPr>
        <w:t>：</w:t>
      </w:r>
      <w:bookmarkEnd w:id="51"/>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hint="eastAsia" w:ascii="宋体" w:hAnsi="宋体" w:eastAsia="宋体" w:cs="Times New Roman"/>
                <w:szCs w:val="21"/>
              </w:rPr>
            </w:pPr>
          </w:p>
        </w:tc>
        <w:tc>
          <w:tcPr>
            <w:tcW w:w="1113" w:type="pct"/>
          </w:tcPr>
          <w:p w14:paraId="59C4F175">
            <w:pPr>
              <w:rPr>
                <w:rFonts w:hint="eastAsia" w:ascii="宋体" w:hAnsi="宋体" w:eastAsia="宋体" w:cs="Times New Roman"/>
                <w:szCs w:val="21"/>
              </w:rPr>
            </w:pPr>
          </w:p>
        </w:tc>
        <w:tc>
          <w:tcPr>
            <w:tcW w:w="704" w:type="pct"/>
          </w:tcPr>
          <w:p w14:paraId="736FFD0D">
            <w:pPr>
              <w:rPr>
                <w:rFonts w:hint="eastAsia" w:ascii="宋体" w:hAnsi="宋体" w:eastAsia="宋体" w:cs="Times New Roman"/>
                <w:szCs w:val="21"/>
              </w:rPr>
            </w:pPr>
          </w:p>
        </w:tc>
        <w:tc>
          <w:tcPr>
            <w:tcW w:w="627" w:type="pct"/>
          </w:tcPr>
          <w:p w14:paraId="11C97A5F">
            <w:pPr>
              <w:rPr>
                <w:rFonts w:hint="eastAsia" w:ascii="宋体" w:hAnsi="宋体" w:eastAsia="宋体" w:cs="Times New Roman"/>
                <w:szCs w:val="21"/>
              </w:rPr>
            </w:pPr>
          </w:p>
        </w:tc>
        <w:tc>
          <w:tcPr>
            <w:tcW w:w="705" w:type="pct"/>
          </w:tcPr>
          <w:p w14:paraId="2A4BDCFA">
            <w:pPr>
              <w:rPr>
                <w:rFonts w:hint="eastAsia" w:ascii="宋体" w:hAnsi="宋体" w:eastAsia="宋体" w:cs="Times New Roman"/>
                <w:szCs w:val="21"/>
              </w:rPr>
            </w:pPr>
          </w:p>
        </w:tc>
        <w:tc>
          <w:tcPr>
            <w:tcW w:w="855" w:type="pct"/>
          </w:tcPr>
          <w:p w14:paraId="3B692309">
            <w:pPr>
              <w:rPr>
                <w:rFonts w:hint="eastAsia"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hint="eastAsia" w:ascii="宋体" w:hAnsi="宋体" w:eastAsia="宋体" w:cs="Times New Roman"/>
                <w:szCs w:val="21"/>
              </w:rPr>
            </w:pPr>
          </w:p>
        </w:tc>
        <w:tc>
          <w:tcPr>
            <w:tcW w:w="1113" w:type="pct"/>
          </w:tcPr>
          <w:p w14:paraId="5F671B79">
            <w:pPr>
              <w:rPr>
                <w:rFonts w:hint="eastAsia" w:ascii="宋体" w:hAnsi="宋体" w:eastAsia="宋体" w:cs="Times New Roman"/>
                <w:szCs w:val="21"/>
              </w:rPr>
            </w:pPr>
          </w:p>
        </w:tc>
        <w:tc>
          <w:tcPr>
            <w:tcW w:w="704" w:type="pct"/>
          </w:tcPr>
          <w:p w14:paraId="1195D776">
            <w:pPr>
              <w:rPr>
                <w:rFonts w:hint="eastAsia" w:ascii="宋体" w:hAnsi="宋体" w:eastAsia="宋体" w:cs="Times New Roman"/>
                <w:szCs w:val="21"/>
              </w:rPr>
            </w:pPr>
          </w:p>
        </w:tc>
        <w:tc>
          <w:tcPr>
            <w:tcW w:w="627" w:type="pct"/>
          </w:tcPr>
          <w:p w14:paraId="315925D5">
            <w:pPr>
              <w:rPr>
                <w:rFonts w:hint="eastAsia" w:ascii="宋体" w:hAnsi="宋体" w:eastAsia="宋体" w:cs="Times New Roman"/>
                <w:szCs w:val="21"/>
              </w:rPr>
            </w:pPr>
          </w:p>
        </w:tc>
        <w:tc>
          <w:tcPr>
            <w:tcW w:w="705" w:type="pct"/>
          </w:tcPr>
          <w:p w14:paraId="3C778FED">
            <w:pPr>
              <w:rPr>
                <w:rFonts w:hint="eastAsia" w:ascii="宋体" w:hAnsi="宋体" w:eastAsia="宋体" w:cs="Times New Roman"/>
                <w:szCs w:val="21"/>
              </w:rPr>
            </w:pPr>
          </w:p>
        </w:tc>
        <w:tc>
          <w:tcPr>
            <w:tcW w:w="855" w:type="pct"/>
          </w:tcPr>
          <w:p w14:paraId="51D94A91">
            <w:pPr>
              <w:rPr>
                <w:rFonts w:hint="eastAsia"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hint="eastAsia" w:ascii="宋体" w:hAnsi="宋体" w:eastAsia="宋体" w:cs="Times New Roman"/>
                <w:szCs w:val="21"/>
              </w:rPr>
            </w:pPr>
          </w:p>
        </w:tc>
        <w:tc>
          <w:tcPr>
            <w:tcW w:w="1113" w:type="pct"/>
          </w:tcPr>
          <w:p w14:paraId="44E87058">
            <w:pPr>
              <w:rPr>
                <w:rFonts w:hint="eastAsia" w:ascii="宋体" w:hAnsi="宋体" w:eastAsia="宋体" w:cs="Times New Roman"/>
                <w:szCs w:val="21"/>
              </w:rPr>
            </w:pPr>
          </w:p>
        </w:tc>
        <w:tc>
          <w:tcPr>
            <w:tcW w:w="704" w:type="pct"/>
          </w:tcPr>
          <w:p w14:paraId="242ACC04">
            <w:pPr>
              <w:rPr>
                <w:rFonts w:hint="eastAsia" w:ascii="宋体" w:hAnsi="宋体" w:eastAsia="宋体" w:cs="Times New Roman"/>
                <w:szCs w:val="21"/>
              </w:rPr>
            </w:pPr>
          </w:p>
        </w:tc>
        <w:tc>
          <w:tcPr>
            <w:tcW w:w="627" w:type="pct"/>
          </w:tcPr>
          <w:p w14:paraId="46877AD0">
            <w:pPr>
              <w:rPr>
                <w:rFonts w:hint="eastAsia" w:ascii="宋体" w:hAnsi="宋体" w:eastAsia="宋体" w:cs="Times New Roman"/>
                <w:szCs w:val="21"/>
              </w:rPr>
            </w:pPr>
          </w:p>
        </w:tc>
        <w:tc>
          <w:tcPr>
            <w:tcW w:w="705" w:type="pct"/>
          </w:tcPr>
          <w:p w14:paraId="18E18C73">
            <w:pPr>
              <w:rPr>
                <w:rFonts w:hint="eastAsia" w:ascii="宋体" w:hAnsi="宋体" w:eastAsia="宋体" w:cs="Times New Roman"/>
                <w:szCs w:val="21"/>
              </w:rPr>
            </w:pPr>
          </w:p>
        </w:tc>
        <w:tc>
          <w:tcPr>
            <w:tcW w:w="855" w:type="pct"/>
          </w:tcPr>
          <w:p w14:paraId="1FD5C6D6">
            <w:pPr>
              <w:rPr>
                <w:rFonts w:hint="eastAsia"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hint="eastAsia" w:ascii="宋体" w:hAnsi="宋体" w:eastAsia="宋体" w:cs="Times New Roman"/>
                <w:szCs w:val="21"/>
              </w:rPr>
            </w:pPr>
          </w:p>
        </w:tc>
        <w:tc>
          <w:tcPr>
            <w:tcW w:w="1113" w:type="pct"/>
          </w:tcPr>
          <w:p w14:paraId="3C34C2FE">
            <w:pPr>
              <w:rPr>
                <w:rFonts w:hint="eastAsia" w:ascii="宋体" w:hAnsi="宋体" w:eastAsia="宋体" w:cs="Times New Roman"/>
                <w:szCs w:val="21"/>
              </w:rPr>
            </w:pPr>
          </w:p>
        </w:tc>
        <w:tc>
          <w:tcPr>
            <w:tcW w:w="704" w:type="pct"/>
          </w:tcPr>
          <w:p w14:paraId="4F2970B3">
            <w:pPr>
              <w:rPr>
                <w:rFonts w:hint="eastAsia" w:ascii="宋体" w:hAnsi="宋体" w:eastAsia="宋体" w:cs="Times New Roman"/>
                <w:szCs w:val="21"/>
              </w:rPr>
            </w:pPr>
          </w:p>
        </w:tc>
        <w:tc>
          <w:tcPr>
            <w:tcW w:w="627" w:type="pct"/>
          </w:tcPr>
          <w:p w14:paraId="6F850DDD">
            <w:pPr>
              <w:rPr>
                <w:rFonts w:hint="eastAsia" w:ascii="宋体" w:hAnsi="宋体" w:eastAsia="宋体" w:cs="Times New Roman"/>
                <w:szCs w:val="21"/>
              </w:rPr>
            </w:pPr>
          </w:p>
        </w:tc>
        <w:tc>
          <w:tcPr>
            <w:tcW w:w="705" w:type="pct"/>
          </w:tcPr>
          <w:p w14:paraId="03D5687C">
            <w:pPr>
              <w:rPr>
                <w:rFonts w:hint="eastAsia" w:ascii="宋体" w:hAnsi="宋体" w:eastAsia="宋体" w:cs="Times New Roman"/>
                <w:szCs w:val="21"/>
              </w:rPr>
            </w:pPr>
          </w:p>
        </w:tc>
        <w:tc>
          <w:tcPr>
            <w:tcW w:w="855" w:type="pct"/>
          </w:tcPr>
          <w:p w14:paraId="2D160E47">
            <w:pPr>
              <w:rPr>
                <w:rFonts w:hint="eastAsia"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hint="eastAsia" w:ascii="宋体" w:hAnsi="宋体" w:eastAsia="宋体" w:cs="Times New Roman"/>
                <w:szCs w:val="21"/>
              </w:rPr>
            </w:pPr>
          </w:p>
        </w:tc>
        <w:tc>
          <w:tcPr>
            <w:tcW w:w="1113" w:type="pct"/>
          </w:tcPr>
          <w:p w14:paraId="6CE47906">
            <w:pPr>
              <w:rPr>
                <w:rFonts w:hint="eastAsia" w:ascii="宋体" w:hAnsi="宋体" w:eastAsia="宋体" w:cs="Times New Roman"/>
                <w:szCs w:val="21"/>
              </w:rPr>
            </w:pPr>
          </w:p>
        </w:tc>
        <w:tc>
          <w:tcPr>
            <w:tcW w:w="704" w:type="pct"/>
          </w:tcPr>
          <w:p w14:paraId="1403D1F2">
            <w:pPr>
              <w:rPr>
                <w:rFonts w:hint="eastAsia" w:ascii="宋体" w:hAnsi="宋体" w:eastAsia="宋体" w:cs="Times New Roman"/>
                <w:szCs w:val="21"/>
              </w:rPr>
            </w:pPr>
          </w:p>
        </w:tc>
        <w:tc>
          <w:tcPr>
            <w:tcW w:w="627" w:type="pct"/>
          </w:tcPr>
          <w:p w14:paraId="4BA1DEFE">
            <w:pPr>
              <w:rPr>
                <w:rFonts w:hint="eastAsia" w:ascii="宋体" w:hAnsi="宋体" w:eastAsia="宋体" w:cs="Times New Roman"/>
                <w:szCs w:val="21"/>
              </w:rPr>
            </w:pPr>
          </w:p>
        </w:tc>
        <w:tc>
          <w:tcPr>
            <w:tcW w:w="705" w:type="pct"/>
          </w:tcPr>
          <w:p w14:paraId="7199E0A4">
            <w:pPr>
              <w:rPr>
                <w:rFonts w:hint="eastAsia" w:ascii="宋体" w:hAnsi="宋体" w:eastAsia="宋体" w:cs="Times New Roman"/>
                <w:szCs w:val="21"/>
              </w:rPr>
            </w:pPr>
          </w:p>
        </w:tc>
        <w:tc>
          <w:tcPr>
            <w:tcW w:w="855" w:type="pct"/>
          </w:tcPr>
          <w:p w14:paraId="374BE878">
            <w:pPr>
              <w:rPr>
                <w:rFonts w:hint="eastAsia"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52" w:name="_Toc169799800"/>
      <w:r>
        <w:rPr>
          <w:rFonts w:ascii="宋体" w:hAnsi="宋体" w:eastAsia="宋体"/>
          <w:b/>
          <w:bCs/>
          <w:sz w:val="24"/>
          <w:szCs w:val="28"/>
        </w:rPr>
        <w:t>格式十</w:t>
      </w:r>
      <w:r>
        <w:rPr>
          <w:rFonts w:hint="eastAsia" w:ascii="宋体" w:hAnsi="宋体" w:eastAsia="宋体"/>
          <w:b/>
          <w:bCs/>
          <w:sz w:val="24"/>
          <w:szCs w:val="28"/>
          <w:lang w:val="en-US" w:eastAsia="zh-CN"/>
        </w:rPr>
        <w:t>五</w:t>
      </w:r>
      <w:r>
        <w:rPr>
          <w:rFonts w:ascii="宋体" w:hAnsi="宋体" w:eastAsia="宋体"/>
          <w:b/>
          <w:bCs/>
          <w:sz w:val="24"/>
          <w:szCs w:val="28"/>
        </w:rPr>
        <w:t>：</w:t>
      </w:r>
      <w:bookmarkEnd w:id="52"/>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0F743E1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1728950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9"/>
          <w:rFonts w:ascii="宋体" w:hAnsi="宋体" w:eastAsia="宋体" w:cs="Arial"/>
          <w:i w:val="0"/>
          <w:iCs w:val="0"/>
          <w:szCs w:val="21"/>
          <w:shd w:val="clear" w:color="auto" w:fill="FFFFFF"/>
        </w:rPr>
        <w:t>/</w:t>
      </w:r>
      <w:r>
        <w:rPr>
          <w:rStyle w:val="19"/>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9"/>
          <w:rFonts w:ascii="宋体" w:hAnsi="宋体" w:eastAsia="宋体" w:cs="Arial"/>
          <w:i w:val="0"/>
          <w:iCs w:val="0"/>
          <w:szCs w:val="21"/>
          <w:shd w:val="clear" w:color="auto" w:fill="FFFFFF"/>
        </w:rPr>
        <w:t>。</w:t>
      </w:r>
    </w:p>
    <w:p w14:paraId="278EC07C">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53" w:name="_Hlk169717981"/>
      <w:r>
        <w:rPr>
          <w:rFonts w:ascii="宋体" w:hAnsi="宋体" w:eastAsia="宋体" w:cs="Times New Roman"/>
          <w:kern w:val="0"/>
          <w:szCs w:val="21"/>
          <w:lang w:eastAsia="zh-Hans"/>
        </w:rPr>
        <w:t>“备注”</w:t>
      </w:r>
      <w:bookmarkEnd w:id="53"/>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54" w:name="_Toc169799801"/>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54"/>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4" w:type="pct"/>
            <w:vAlign w:val="center"/>
          </w:tcPr>
          <w:p w14:paraId="11832306">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hint="eastAsia"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hint="eastAsia" w:ascii="宋体" w:hAnsi="宋体" w:eastAsia="宋体" w:cs="Times New Roman"/>
                <w:szCs w:val="21"/>
              </w:rPr>
            </w:pPr>
          </w:p>
        </w:tc>
        <w:tc>
          <w:tcPr>
            <w:tcW w:w="850" w:type="pct"/>
          </w:tcPr>
          <w:p w14:paraId="587938BA">
            <w:pPr>
              <w:rPr>
                <w:rFonts w:hint="eastAsia" w:ascii="宋体" w:hAnsi="宋体" w:eastAsia="宋体" w:cs="Times New Roman"/>
                <w:szCs w:val="21"/>
              </w:rPr>
            </w:pPr>
          </w:p>
        </w:tc>
        <w:tc>
          <w:tcPr>
            <w:tcW w:w="896" w:type="pct"/>
          </w:tcPr>
          <w:p w14:paraId="3D822424">
            <w:pPr>
              <w:rPr>
                <w:rFonts w:hint="eastAsia" w:ascii="宋体" w:hAnsi="宋体" w:eastAsia="宋体" w:cs="Times New Roman"/>
                <w:szCs w:val="21"/>
              </w:rPr>
            </w:pPr>
          </w:p>
        </w:tc>
        <w:tc>
          <w:tcPr>
            <w:tcW w:w="712" w:type="pct"/>
          </w:tcPr>
          <w:p w14:paraId="44B15A7C">
            <w:pPr>
              <w:rPr>
                <w:rFonts w:hint="eastAsia" w:ascii="宋体" w:hAnsi="宋体" w:eastAsia="宋体" w:cs="Times New Roman"/>
                <w:szCs w:val="21"/>
              </w:rPr>
            </w:pPr>
          </w:p>
        </w:tc>
        <w:tc>
          <w:tcPr>
            <w:tcW w:w="712" w:type="pct"/>
          </w:tcPr>
          <w:p w14:paraId="62E925FB">
            <w:pPr>
              <w:rPr>
                <w:rFonts w:hint="eastAsia" w:ascii="宋体" w:hAnsi="宋体" w:eastAsia="宋体" w:cs="Times New Roman"/>
                <w:szCs w:val="21"/>
              </w:rPr>
            </w:pPr>
          </w:p>
        </w:tc>
        <w:tc>
          <w:tcPr>
            <w:tcW w:w="712" w:type="pct"/>
          </w:tcPr>
          <w:p w14:paraId="2562ED58">
            <w:pPr>
              <w:rPr>
                <w:rFonts w:hint="eastAsia"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hint="eastAsia" w:ascii="宋体" w:hAnsi="宋体" w:eastAsia="宋体" w:cs="Times New Roman"/>
                <w:szCs w:val="21"/>
              </w:rPr>
            </w:pPr>
          </w:p>
        </w:tc>
        <w:tc>
          <w:tcPr>
            <w:tcW w:w="850" w:type="pct"/>
          </w:tcPr>
          <w:p w14:paraId="5BC9E0CB">
            <w:pPr>
              <w:rPr>
                <w:rFonts w:hint="eastAsia" w:ascii="宋体" w:hAnsi="宋体" w:eastAsia="宋体" w:cs="Times New Roman"/>
                <w:szCs w:val="21"/>
              </w:rPr>
            </w:pPr>
          </w:p>
        </w:tc>
        <w:tc>
          <w:tcPr>
            <w:tcW w:w="896" w:type="pct"/>
          </w:tcPr>
          <w:p w14:paraId="6AC1B8EA">
            <w:pPr>
              <w:rPr>
                <w:rFonts w:hint="eastAsia" w:ascii="宋体" w:hAnsi="宋体" w:eastAsia="宋体" w:cs="Times New Roman"/>
                <w:szCs w:val="21"/>
              </w:rPr>
            </w:pPr>
          </w:p>
        </w:tc>
        <w:tc>
          <w:tcPr>
            <w:tcW w:w="712" w:type="pct"/>
          </w:tcPr>
          <w:p w14:paraId="24DFDBCD">
            <w:pPr>
              <w:rPr>
                <w:rFonts w:hint="eastAsia" w:ascii="宋体" w:hAnsi="宋体" w:eastAsia="宋体" w:cs="Times New Roman"/>
                <w:szCs w:val="21"/>
              </w:rPr>
            </w:pPr>
          </w:p>
        </w:tc>
        <w:tc>
          <w:tcPr>
            <w:tcW w:w="712" w:type="pct"/>
          </w:tcPr>
          <w:p w14:paraId="3B000570">
            <w:pPr>
              <w:rPr>
                <w:rFonts w:hint="eastAsia" w:ascii="宋体" w:hAnsi="宋体" w:eastAsia="宋体" w:cs="Times New Roman"/>
                <w:szCs w:val="21"/>
              </w:rPr>
            </w:pPr>
          </w:p>
        </w:tc>
        <w:tc>
          <w:tcPr>
            <w:tcW w:w="712" w:type="pct"/>
          </w:tcPr>
          <w:p w14:paraId="0ADD7BD9">
            <w:pPr>
              <w:rPr>
                <w:rFonts w:hint="eastAsia"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hint="eastAsia" w:ascii="宋体" w:hAnsi="宋体" w:eastAsia="宋体" w:cs="Times New Roman"/>
                <w:szCs w:val="21"/>
              </w:rPr>
            </w:pPr>
          </w:p>
        </w:tc>
        <w:tc>
          <w:tcPr>
            <w:tcW w:w="850" w:type="pct"/>
          </w:tcPr>
          <w:p w14:paraId="54B852DF">
            <w:pPr>
              <w:rPr>
                <w:rFonts w:hint="eastAsia" w:ascii="宋体" w:hAnsi="宋体" w:eastAsia="宋体" w:cs="Times New Roman"/>
                <w:szCs w:val="21"/>
              </w:rPr>
            </w:pPr>
          </w:p>
        </w:tc>
        <w:tc>
          <w:tcPr>
            <w:tcW w:w="896" w:type="pct"/>
          </w:tcPr>
          <w:p w14:paraId="3E501B1A">
            <w:pPr>
              <w:rPr>
                <w:rFonts w:hint="eastAsia" w:ascii="宋体" w:hAnsi="宋体" w:eastAsia="宋体" w:cs="Times New Roman"/>
                <w:szCs w:val="21"/>
              </w:rPr>
            </w:pPr>
          </w:p>
        </w:tc>
        <w:tc>
          <w:tcPr>
            <w:tcW w:w="712" w:type="pct"/>
          </w:tcPr>
          <w:p w14:paraId="222C8DC3">
            <w:pPr>
              <w:rPr>
                <w:rFonts w:hint="eastAsia" w:ascii="宋体" w:hAnsi="宋体" w:eastAsia="宋体" w:cs="Times New Roman"/>
                <w:szCs w:val="21"/>
              </w:rPr>
            </w:pPr>
          </w:p>
        </w:tc>
        <w:tc>
          <w:tcPr>
            <w:tcW w:w="712" w:type="pct"/>
          </w:tcPr>
          <w:p w14:paraId="22473919">
            <w:pPr>
              <w:rPr>
                <w:rFonts w:hint="eastAsia" w:ascii="宋体" w:hAnsi="宋体" w:eastAsia="宋体" w:cs="Times New Roman"/>
                <w:szCs w:val="21"/>
              </w:rPr>
            </w:pPr>
          </w:p>
        </w:tc>
        <w:tc>
          <w:tcPr>
            <w:tcW w:w="712" w:type="pct"/>
          </w:tcPr>
          <w:p w14:paraId="216643F5">
            <w:pPr>
              <w:rPr>
                <w:rFonts w:hint="eastAsia"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4" w:type="pct"/>
          </w:tcPr>
          <w:p w14:paraId="0B2DF3B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hint="eastAsia" w:ascii="宋体" w:hAnsi="宋体" w:eastAsia="宋体" w:cs="Times New Roman"/>
                <w:szCs w:val="21"/>
              </w:rPr>
            </w:pPr>
          </w:p>
        </w:tc>
        <w:tc>
          <w:tcPr>
            <w:tcW w:w="850" w:type="pct"/>
          </w:tcPr>
          <w:p w14:paraId="7023FC4A">
            <w:pPr>
              <w:rPr>
                <w:rFonts w:hint="eastAsia" w:ascii="宋体" w:hAnsi="宋体" w:eastAsia="宋体" w:cs="Times New Roman"/>
                <w:szCs w:val="21"/>
              </w:rPr>
            </w:pPr>
          </w:p>
        </w:tc>
        <w:tc>
          <w:tcPr>
            <w:tcW w:w="896" w:type="pct"/>
          </w:tcPr>
          <w:p w14:paraId="2F92A615">
            <w:pPr>
              <w:rPr>
                <w:rFonts w:hint="eastAsia" w:ascii="宋体" w:hAnsi="宋体" w:eastAsia="宋体" w:cs="Times New Roman"/>
                <w:szCs w:val="21"/>
              </w:rPr>
            </w:pPr>
          </w:p>
        </w:tc>
        <w:tc>
          <w:tcPr>
            <w:tcW w:w="712" w:type="pct"/>
          </w:tcPr>
          <w:p w14:paraId="27FA4F91">
            <w:pPr>
              <w:rPr>
                <w:rFonts w:hint="eastAsia" w:ascii="宋体" w:hAnsi="宋体" w:eastAsia="宋体" w:cs="Times New Roman"/>
                <w:szCs w:val="21"/>
              </w:rPr>
            </w:pPr>
          </w:p>
        </w:tc>
        <w:tc>
          <w:tcPr>
            <w:tcW w:w="712" w:type="pct"/>
          </w:tcPr>
          <w:p w14:paraId="48CB42A5">
            <w:pPr>
              <w:rPr>
                <w:rFonts w:hint="eastAsia" w:ascii="宋体" w:hAnsi="宋体" w:eastAsia="宋体" w:cs="Times New Roman"/>
                <w:szCs w:val="21"/>
              </w:rPr>
            </w:pPr>
          </w:p>
        </w:tc>
        <w:tc>
          <w:tcPr>
            <w:tcW w:w="712" w:type="pct"/>
          </w:tcPr>
          <w:p w14:paraId="38C88D08">
            <w:pPr>
              <w:rPr>
                <w:rFonts w:hint="eastAsia"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hint="eastAsia" w:ascii="宋体" w:hAnsi="宋体" w:eastAsia="宋体" w:cs="Times New Roman"/>
                <w:szCs w:val="21"/>
              </w:rPr>
            </w:pPr>
          </w:p>
        </w:tc>
        <w:tc>
          <w:tcPr>
            <w:tcW w:w="850" w:type="pct"/>
          </w:tcPr>
          <w:p w14:paraId="47D328C1">
            <w:pPr>
              <w:rPr>
                <w:rFonts w:hint="eastAsia" w:ascii="宋体" w:hAnsi="宋体" w:eastAsia="宋体" w:cs="Times New Roman"/>
                <w:szCs w:val="21"/>
              </w:rPr>
            </w:pPr>
          </w:p>
        </w:tc>
        <w:tc>
          <w:tcPr>
            <w:tcW w:w="896" w:type="pct"/>
          </w:tcPr>
          <w:p w14:paraId="0ACF4650">
            <w:pPr>
              <w:rPr>
                <w:rFonts w:hint="eastAsia" w:ascii="宋体" w:hAnsi="宋体" w:eastAsia="宋体" w:cs="Times New Roman"/>
                <w:szCs w:val="21"/>
              </w:rPr>
            </w:pPr>
          </w:p>
        </w:tc>
        <w:tc>
          <w:tcPr>
            <w:tcW w:w="712" w:type="pct"/>
          </w:tcPr>
          <w:p w14:paraId="4CC92881">
            <w:pPr>
              <w:rPr>
                <w:rFonts w:hint="eastAsia" w:ascii="宋体" w:hAnsi="宋体" w:eastAsia="宋体" w:cs="Times New Roman"/>
                <w:szCs w:val="21"/>
              </w:rPr>
            </w:pPr>
          </w:p>
        </w:tc>
        <w:tc>
          <w:tcPr>
            <w:tcW w:w="712" w:type="pct"/>
          </w:tcPr>
          <w:p w14:paraId="5C23B49A">
            <w:pPr>
              <w:rPr>
                <w:rFonts w:hint="eastAsia" w:ascii="宋体" w:hAnsi="宋体" w:eastAsia="宋体" w:cs="Times New Roman"/>
                <w:szCs w:val="21"/>
              </w:rPr>
            </w:pPr>
          </w:p>
        </w:tc>
        <w:tc>
          <w:tcPr>
            <w:tcW w:w="712" w:type="pct"/>
          </w:tcPr>
          <w:p w14:paraId="60D46CAF">
            <w:pPr>
              <w:rPr>
                <w:rFonts w:hint="eastAsia"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hint="eastAsia" w:ascii="宋体" w:hAnsi="宋体" w:eastAsia="宋体" w:cs="Times New Roman"/>
                <w:szCs w:val="21"/>
              </w:rPr>
            </w:pPr>
          </w:p>
        </w:tc>
        <w:tc>
          <w:tcPr>
            <w:tcW w:w="850" w:type="pct"/>
          </w:tcPr>
          <w:p w14:paraId="5BC0F843">
            <w:pPr>
              <w:rPr>
                <w:rFonts w:hint="eastAsia" w:ascii="宋体" w:hAnsi="宋体" w:eastAsia="宋体" w:cs="Times New Roman"/>
                <w:szCs w:val="21"/>
              </w:rPr>
            </w:pPr>
          </w:p>
        </w:tc>
        <w:tc>
          <w:tcPr>
            <w:tcW w:w="896" w:type="pct"/>
          </w:tcPr>
          <w:p w14:paraId="15011B80">
            <w:pPr>
              <w:rPr>
                <w:rFonts w:hint="eastAsia" w:ascii="宋体" w:hAnsi="宋体" w:eastAsia="宋体" w:cs="Times New Roman"/>
                <w:szCs w:val="21"/>
              </w:rPr>
            </w:pPr>
          </w:p>
        </w:tc>
        <w:tc>
          <w:tcPr>
            <w:tcW w:w="712" w:type="pct"/>
          </w:tcPr>
          <w:p w14:paraId="6688CC53">
            <w:pPr>
              <w:rPr>
                <w:rFonts w:hint="eastAsia" w:ascii="宋体" w:hAnsi="宋体" w:eastAsia="宋体" w:cs="Times New Roman"/>
                <w:szCs w:val="21"/>
              </w:rPr>
            </w:pPr>
          </w:p>
        </w:tc>
        <w:tc>
          <w:tcPr>
            <w:tcW w:w="712" w:type="pct"/>
          </w:tcPr>
          <w:p w14:paraId="2913694A">
            <w:pPr>
              <w:rPr>
                <w:rFonts w:hint="eastAsia" w:ascii="宋体" w:hAnsi="宋体" w:eastAsia="宋体" w:cs="Times New Roman"/>
                <w:szCs w:val="21"/>
              </w:rPr>
            </w:pPr>
          </w:p>
        </w:tc>
        <w:tc>
          <w:tcPr>
            <w:tcW w:w="712" w:type="pct"/>
          </w:tcPr>
          <w:p w14:paraId="68BB0D41">
            <w:pPr>
              <w:rPr>
                <w:rFonts w:hint="eastAsia"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hint="eastAsia" w:ascii="宋体" w:hAnsi="宋体" w:eastAsia="宋体" w:cs="Times New Roman"/>
                <w:szCs w:val="21"/>
              </w:rPr>
            </w:pPr>
          </w:p>
        </w:tc>
        <w:tc>
          <w:tcPr>
            <w:tcW w:w="850" w:type="pct"/>
          </w:tcPr>
          <w:p w14:paraId="656F6909">
            <w:pPr>
              <w:rPr>
                <w:rFonts w:hint="eastAsia" w:ascii="宋体" w:hAnsi="宋体" w:eastAsia="宋体" w:cs="Times New Roman"/>
                <w:szCs w:val="21"/>
              </w:rPr>
            </w:pPr>
          </w:p>
        </w:tc>
        <w:tc>
          <w:tcPr>
            <w:tcW w:w="896" w:type="pct"/>
          </w:tcPr>
          <w:p w14:paraId="7E1D64D8">
            <w:pPr>
              <w:rPr>
                <w:rFonts w:hint="eastAsia" w:ascii="宋体" w:hAnsi="宋体" w:eastAsia="宋体" w:cs="Times New Roman"/>
                <w:szCs w:val="21"/>
              </w:rPr>
            </w:pPr>
          </w:p>
        </w:tc>
        <w:tc>
          <w:tcPr>
            <w:tcW w:w="712" w:type="pct"/>
          </w:tcPr>
          <w:p w14:paraId="48B2A5DC">
            <w:pPr>
              <w:rPr>
                <w:rFonts w:hint="eastAsia" w:ascii="宋体" w:hAnsi="宋体" w:eastAsia="宋体" w:cs="Times New Roman"/>
                <w:szCs w:val="21"/>
              </w:rPr>
            </w:pPr>
          </w:p>
        </w:tc>
        <w:tc>
          <w:tcPr>
            <w:tcW w:w="712" w:type="pct"/>
          </w:tcPr>
          <w:p w14:paraId="0891B846">
            <w:pPr>
              <w:rPr>
                <w:rFonts w:hint="eastAsia" w:ascii="宋体" w:hAnsi="宋体" w:eastAsia="宋体" w:cs="Times New Roman"/>
                <w:szCs w:val="21"/>
              </w:rPr>
            </w:pPr>
          </w:p>
        </w:tc>
        <w:tc>
          <w:tcPr>
            <w:tcW w:w="712" w:type="pct"/>
          </w:tcPr>
          <w:p w14:paraId="5957169E">
            <w:pPr>
              <w:rPr>
                <w:rFonts w:hint="eastAsia"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hint="eastAsia" w:ascii="宋体" w:hAnsi="宋体" w:eastAsia="宋体" w:cs="Times New Roman"/>
                <w:szCs w:val="21"/>
              </w:rPr>
            </w:pPr>
          </w:p>
        </w:tc>
        <w:tc>
          <w:tcPr>
            <w:tcW w:w="850" w:type="pct"/>
          </w:tcPr>
          <w:p w14:paraId="22F1E0A2">
            <w:pPr>
              <w:rPr>
                <w:rFonts w:hint="eastAsia" w:ascii="宋体" w:hAnsi="宋体" w:eastAsia="宋体" w:cs="Times New Roman"/>
                <w:szCs w:val="21"/>
              </w:rPr>
            </w:pPr>
          </w:p>
        </w:tc>
        <w:tc>
          <w:tcPr>
            <w:tcW w:w="896" w:type="pct"/>
          </w:tcPr>
          <w:p w14:paraId="344367AA">
            <w:pPr>
              <w:rPr>
                <w:rFonts w:hint="eastAsia" w:ascii="宋体" w:hAnsi="宋体" w:eastAsia="宋体" w:cs="Times New Roman"/>
                <w:szCs w:val="21"/>
              </w:rPr>
            </w:pPr>
          </w:p>
        </w:tc>
        <w:tc>
          <w:tcPr>
            <w:tcW w:w="712" w:type="pct"/>
          </w:tcPr>
          <w:p w14:paraId="18ECC32C">
            <w:pPr>
              <w:rPr>
                <w:rFonts w:hint="eastAsia" w:ascii="宋体" w:hAnsi="宋体" w:eastAsia="宋体" w:cs="Times New Roman"/>
                <w:szCs w:val="21"/>
              </w:rPr>
            </w:pPr>
          </w:p>
        </w:tc>
        <w:tc>
          <w:tcPr>
            <w:tcW w:w="712" w:type="pct"/>
          </w:tcPr>
          <w:p w14:paraId="4E081D5D">
            <w:pPr>
              <w:rPr>
                <w:rFonts w:hint="eastAsia" w:ascii="宋体" w:hAnsi="宋体" w:eastAsia="宋体" w:cs="Times New Roman"/>
                <w:szCs w:val="21"/>
              </w:rPr>
            </w:pPr>
          </w:p>
        </w:tc>
        <w:tc>
          <w:tcPr>
            <w:tcW w:w="712" w:type="pct"/>
          </w:tcPr>
          <w:p w14:paraId="285B6356">
            <w:pPr>
              <w:rPr>
                <w:rFonts w:hint="eastAsia"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hint="eastAsia" w:ascii="宋体" w:hAnsi="宋体" w:eastAsia="宋体" w:cs="Times New Roman"/>
                <w:szCs w:val="21"/>
              </w:rPr>
            </w:pPr>
          </w:p>
        </w:tc>
        <w:tc>
          <w:tcPr>
            <w:tcW w:w="850" w:type="pct"/>
          </w:tcPr>
          <w:p w14:paraId="3B3CBE9C">
            <w:pPr>
              <w:rPr>
                <w:rFonts w:hint="eastAsia" w:ascii="宋体" w:hAnsi="宋体" w:eastAsia="宋体" w:cs="Times New Roman"/>
                <w:szCs w:val="21"/>
              </w:rPr>
            </w:pPr>
          </w:p>
        </w:tc>
        <w:tc>
          <w:tcPr>
            <w:tcW w:w="896" w:type="pct"/>
          </w:tcPr>
          <w:p w14:paraId="24693B6B">
            <w:pPr>
              <w:rPr>
                <w:rFonts w:hint="eastAsia" w:ascii="宋体" w:hAnsi="宋体" w:eastAsia="宋体" w:cs="Times New Roman"/>
                <w:szCs w:val="21"/>
              </w:rPr>
            </w:pPr>
          </w:p>
        </w:tc>
        <w:tc>
          <w:tcPr>
            <w:tcW w:w="712" w:type="pct"/>
          </w:tcPr>
          <w:p w14:paraId="74193C0E">
            <w:pPr>
              <w:rPr>
                <w:rFonts w:hint="eastAsia" w:ascii="宋体" w:hAnsi="宋体" w:eastAsia="宋体" w:cs="Times New Roman"/>
                <w:szCs w:val="21"/>
              </w:rPr>
            </w:pPr>
          </w:p>
        </w:tc>
        <w:tc>
          <w:tcPr>
            <w:tcW w:w="712" w:type="pct"/>
          </w:tcPr>
          <w:p w14:paraId="0721CA2B">
            <w:pPr>
              <w:rPr>
                <w:rFonts w:hint="eastAsia" w:ascii="宋体" w:hAnsi="宋体" w:eastAsia="宋体" w:cs="Times New Roman"/>
                <w:szCs w:val="21"/>
              </w:rPr>
            </w:pPr>
          </w:p>
        </w:tc>
        <w:tc>
          <w:tcPr>
            <w:tcW w:w="712" w:type="pct"/>
          </w:tcPr>
          <w:p w14:paraId="36558872">
            <w:pPr>
              <w:rPr>
                <w:rFonts w:hint="eastAsia"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hint="eastAsia" w:ascii="宋体" w:hAnsi="宋体" w:eastAsia="宋体" w:cs="Times New Roman"/>
                <w:szCs w:val="21"/>
              </w:rPr>
            </w:pPr>
          </w:p>
        </w:tc>
        <w:tc>
          <w:tcPr>
            <w:tcW w:w="850" w:type="pct"/>
          </w:tcPr>
          <w:p w14:paraId="2471CDC0">
            <w:pPr>
              <w:rPr>
                <w:rFonts w:hint="eastAsia" w:ascii="宋体" w:hAnsi="宋体" w:eastAsia="宋体" w:cs="Times New Roman"/>
                <w:szCs w:val="21"/>
              </w:rPr>
            </w:pPr>
          </w:p>
        </w:tc>
        <w:tc>
          <w:tcPr>
            <w:tcW w:w="896" w:type="pct"/>
          </w:tcPr>
          <w:p w14:paraId="3CEF178A">
            <w:pPr>
              <w:rPr>
                <w:rFonts w:hint="eastAsia" w:ascii="宋体" w:hAnsi="宋体" w:eastAsia="宋体" w:cs="Times New Roman"/>
                <w:szCs w:val="21"/>
              </w:rPr>
            </w:pPr>
          </w:p>
        </w:tc>
        <w:tc>
          <w:tcPr>
            <w:tcW w:w="712" w:type="pct"/>
          </w:tcPr>
          <w:p w14:paraId="3B66EC57">
            <w:pPr>
              <w:rPr>
                <w:rFonts w:hint="eastAsia" w:ascii="宋体" w:hAnsi="宋体" w:eastAsia="宋体" w:cs="Times New Roman"/>
                <w:szCs w:val="21"/>
              </w:rPr>
            </w:pPr>
          </w:p>
        </w:tc>
        <w:tc>
          <w:tcPr>
            <w:tcW w:w="712" w:type="pct"/>
          </w:tcPr>
          <w:p w14:paraId="76858BF6">
            <w:pPr>
              <w:rPr>
                <w:rFonts w:hint="eastAsia" w:ascii="宋体" w:hAnsi="宋体" w:eastAsia="宋体" w:cs="Times New Roman"/>
                <w:szCs w:val="21"/>
              </w:rPr>
            </w:pPr>
          </w:p>
        </w:tc>
        <w:tc>
          <w:tcPr>
            <w:tcW w:w="712" w:type="pct"/>
          </w:tcPr>
          <w:p w14:paraId="7C574BB5">
            <w:pPr>
              <w:rPr>
                <w:rFonts w:hint="eastAsia"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ED281EA">
      <w:pPr>
        <w:pageBreakBefore/>
        <w:rPr>
          <w:rFonts w:ascii="Calibri" w:hAnsi="Calibri" w:eastAsia="宋体" w:cs="Times New Roman"/>
          <w:kern w:val="0"/>
          <w:sz w:val="20"/>
          <w:szCs w:val="20"/>
          <w:lang w:eastAsia="zh-Hans"/>
        </w:rPr>
      </w:pPr>
      <w:bookmarkStart w:id="55" w:name="_Toc169799802"/>
      <w:r>
        <w:rPr>
          <w:rFonts w:ascii="宋体" w:hAnsi="宋体" w:eastAsia="宋体"/>
          <w:b/>
          <w:bCs/>
          <w:sz w:val="24"/>
          <w:szCs w:val="28"/>
        </w:rPr>
        <w:t>格式</w:t>
      </w:r>
      <w:r>
        <w:rPr>
          <w:rFonts w:hint="eastAsia" w:ascii="宋体" w:hAnsi="宋体" w:eastAsia="宋体"/>
          <w:b/>
          <w:bCs/>
          <w:sz w:val="24"/>
          <w:szCs w:val="28"/>
          <w:lang w:val="en-US" w:eastAsia="zh-CN"/>
        </w:rPr>
        <w:t>十七</w:t>
      </w:r>
      <w:r>
        <w:rPr>
          <w:rFonts w:ascii="宋体" w:hAnsi="宋体" w:eastAsia="宋体"/>
          <w:b/>
          <w:bCs/>
          <w:sz w:val="24"/>
          <w:szCs w:val="28"/>
        </w:rPr>
        <w:t>：</w:t>
      </w:r>
      <w:bookmarkEnd w:id="55"/>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56" w:name="_Toc169799803"/>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56"/>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57" w:name="_Toc169799804"/>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57"/>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hint="eastAsia" w:ascii="宋体" w:hAnsi="宋体" w:eastAsia="宋体" w:cs="Times New Roman"/>
          <w:kern w:val="0"/>
          <w:szCs w:val="21"/>
          <w:lang w:eastAsia="zh-Hans"/>
        </w:rPr>
      </w:pPr>
      <w:bookmarkStart w:id="58" w:name="_Hlk170136144"/>
      <w:r>
        <w:rPr>
          <w:rFonts w:ascii="宋体" w:hAnsi="宋体" w:eastAsia="宋体" w:cs="Times New Roman"/>
          <w:kern w:val="0"/>
          <w:szCs w:val="21"/>
          <w:lang w:eastAsia="zh-Hans"/>
        </w:rPr>
        <w:t>一、投诉相关主体基本情况</w:t>
      </w:r>
    </w:p>
    <w:p w14:paraId="63A946CA">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58"/>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10008520">
      <w:pPr>
        <w:pageBreakBefore/>
        <w:rPr>
          <w:rFonts w:ascii="Calibri" w:hAnsi="Calibri" w:eastAsia="宋体" w:cs="Times New Roman"/>
          <w:kern w:val="0"/>
          <w:sz w:val="20"/>
          <w:szCs w:val="20"/>
          <w:lang w:eastAsia="zh-Hans"/>
        </w:rPr>
      </w:pPr>
      <w:bookmarkStart w:id="59" w:name="_Toc169799806"/>
      <w:r>
        <w:rPr>
          <w:rFonts w:ascii="宋体" w:hAnsi="宋体" w:eastAsia="宋体"/>
          <w:b/>
          <w:bCs/>
          <w:sz w:val="24"/>
          <w:szCs w:val="28"/>
        </w:rPr>
        <w:t>格式二十：</w:t>
      </w:r>
      <w:bookmarkEnd w:id="59"/>
    </w:p>
    <w:p w14:paraId="7EFFC828">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（以下格式文件由供应商根据需要选用）</w:t>
      </w:r>
    </w:p>
    <w:p w14:paraId="55BBCC38">
      <w:pPr>
        <w:pStyle w:val="22"/>
        <w:rPr>
          <w:rFonts w:hint="default" w:ascii="Calibri" w:hAnsi="Calibri" w:eastAsia="宋体" w:cs="Times New Roman"/>
          <w:sz w:val="21"/>
          <w:szCs w:val="21"/>
        </w:rPr>
      </w:pPr>
      <w:r>
        <w:rPr>
          <w:rFonts w:ascii="Calibri" w:hAnsi="Calibri" w:eastAsia="宋体" w:cs="Times New Roman"/>
          <w:sz w:val="21"/>
          <w:szCs w:val="21"/>
        </w:rPr>
        <w:t>项目实施方案、质量保证及售后服务承诺等内容和格式自拟。</w:t>
      </w:r>
    </w:p>
    <w:p w14:paraId="718F3F21">
      <w:pPr>
        <w:rPr>
          <w:rFonts w:hint="eastAsia"/>
        </w:rPr>
      </w:pPr>
    </w:p>
    <w:p w14:paraId="0524BA46">
      <w:pPr>
        <w:rPr>
          <w:rFonts w:ascii="Calibri" w:hAnsi="Calibri" w:eastAsia="宋体" w:cs="Times New Roman"/>
          <w:kern w:val="0"/>
          <w:sz w:val="20"/>
          <w:szCs w:val="20"/>
          <w:lang w:eastAsia="zh-Hans"/>
        </w:rPr>
      </w:pPr>
    </w:p>
    <w:p w14:paraId="7380E788">
      <w:pPr>
        <w:pageBreakBefore/>
        <w:rPr>
          <w:rFonts w:hint="eastAsia"/>
          <w:bCs/>
        </w:rPr>
      </w:pPr>
      <w:r>
        <w:rPr>
          <w:rFonts w:hint="eastAsia" w:ascii="宋体" w:hAnsi="宋体" w:eastAsia="宋体"/>
          <w:b/>
          <w:bCs/>
          <w:sz w:val="24"/>
          <w:szCs w:val="28"/>
        </w:rPr>
        <w:t>唱标信封格式</w:t>
      </w:r>
    </w:p>
    <w:p w14:paraId="333F3E4C">
      <w:pPr>
        <w:spacing w:before="652" w:beforeLines="150"/>
        <w:jc w:val="center"/>
        <w:rPr>
          <w:rFonts w:hint="eastAsia" w:ascii="宋体" w:hAnsi="宋体" w:eastAsia="宋体"/>
          <w:b/>
          <w:bCs/>
          <w:sz w:val="60"/>
          <w:szCs w:val="60"/>
        </w:rPr>
      </w:pPr>
      <w:r>
        <w:rPr>
          <w:rFonts w:hint="eastAsia" w:ascii="宋体" w:hAnsi="宋体" w:eastAsia="宋体"/>
          <w:b/>
          <w:bCs/>
          <w:sz w:val="60"/>
          <w:szCs w:val="60"/>
        </w:rPr>
        <w:t>寮步镇塘唇村、浮竹山村、石龙坑村2025年专项项目运营采购项目</w:t>
      </w:r>
    </w:p>
    <w:p w14:paraId="1C45C70C">
      <w:pPr>
        <w:spacing w:before="652" w:beforeLines="150"/>
        <w:jc w:val="center"/>
        <w:rPr>
          <w:rFonts w:hint="eastAsia" w:ascii="宋体" w:hAnsi="宋体" w:eastAsia="宋体"/>
          <w:b/>
          <w:bCs/>
          <w:sz w:val="80"/>
          <w:szCs w:val="80"/>
        </w:rPr>
      </w:pPr>
      <w:r>
        <w:rPr>
          <w:rFonts w:hint="eastAsia" w:ascii="宋体" w:hAnsi="宋体" w:eastAsia="宋体"/>
          <w:b/>
          <w:bCs/>
          <w:sz w:val="80"/>
          <w:szCs w:val="80"/>
        </w:rPr>
        <w:t>唱标信封</w:t>
      </w:r>
    </w:p>
    <w:p w14:paraId="3BF1DE3E">
      <w:pPr>
        <w:jc w:val="center"/>
        <w:rPr>
          <w:rFonts w:hint="default" w:ascii="宋体" w:hAnsi="宋体" w:eastAsia="宋体"/>
          <w:b/>
          <w:bCs/>
          <w:lang w:val="en-US" w:eastAsia="zh-CN"/>
        </w:rPr>
      </w:pPr>
      <w:r>
        <w:rPr>
          <w:rFonts w:ascii="宋体" w:hAnsi="宋体" w:eastAsia="宋体"/>
          <w:b/>
          <w:bCs/>
        </w:rPr>
        <w:br w:type="textWrapping"/>
      </w:r>
      <w:r>
        <w:rPr>
          <w:rFonts w:hint="eastAsia" w:ascii="宋体" w:hAnsi="宋体" w:eastAsia="宋体"/>
          <w:b/>
          <w:bCs/>
          <w:lang w:eastAsia="zh-CN"/>
        </w:rPr>
        <w:t>（</w:t>
      </w:r>
      <w:r>
        <w:rPr>
          <w:rFonts w:hint="eastAsia" w:ascii="宋体" w:hAnsi="宋体" w:eastAsia="宋体"/>
          <w:b/>
          <w:bCs/>
          <w:lang w:val="en-US" w:eastAsia="zh-CN"/>
        </w:rPr>
        <w:t>包组号：1、2、3可选</w:t>
      </w:r>
      <w:r>
        <w:rPr>
          <w:rFonts w:hint="eastAsia" w:ascii="宋体" w:hAnsi="宋体" w:eastAsia="宋体"/>
          <w:b/>
          <w:bCs/>
          <w:lang w:eastAsia="zh-CN"/>
        </w:rPr>
        <w:t>）</w:t>
      </w:r>
    </w:p>
    <w:p w14:paraId="48E7C3EB">
      <w:pPr>
        <w:widowControl/>
        <w:spacing w:before="4567" w:beforeLines="1050" w:line="360" w:lineRule="auto"/>
        <w:ind w:firstLine="1558" w:firstLineChars="485"/>
        <w:jc w:val="left"/>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7D556BE1">
      <w:pPr>
        <w:widowControl/>
        <w:spacing w:line="360" w:lineRule="auto"/>
        <w:ind w:firstLine="1558" w:firstLineChars="485"/>
        <w:jc w:val="left"/>
        <w:outlineLvl w:val="3"/>
        <w:rPr>
          <w:rFonts w:hint="eastAsia" w:ascii="宋体" w:hAnsi="宋体" w:eastAsia="宋体" w:cs="Times New Roman"/>
          <w:b/>
          <w:kern w:val="0"/>
          <w:sz w:val="32"/>
          <w:szCs w:val="32"/>
          <w:lang w:eastAsia="zh-Hans"/>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049E096">
      <w:pPr>
        <w:widowControl/>
        <w:spacing w:line="360" w:lineRule="auto"/>
        <w:ind w:firstLine="1558" w:firstLineChars="485"/>
        <w:jc w:val="left"/>
        <w:outlineLvl w:val="3"/>
        <w:rPr>
          <w:rFonts w:hint="eastAsia"/>
        </w:rPr>
      </w:pPr>
      <w:r>
        <w:rPr>
          <w:rFonts w:ascii="宋体" w:hAnsi="宋体" w:eastAsia="宋体" w:cs="Times New Roman"/>
          <w:b/>
          <w:kern w:val="0"/>
          <w:sz w:val="32"/>
          <w:szCs w:val="32"/>
          <w:lang w:eastAsia="zh-Hans"/>
        </w:rPr>
        <w:t>所投采购包：第 包</w:t>
      </w:r>
    </w:p>
    <w:p w14:paraId="74F4864B">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hint="eastAsia" w:ascii="黑体" w:hAnsi="黑体" w:eastAsia="黑体"/>
          <w:bCs/>
          <w:color w:val="000000" w:themeColor="text1"/>
          <w:sz w:val="50"/>
          <w:szCs w:val="50"/>
          <w14:textFill>
            <w14:solidFill>
              <w14:schemeClr w14:val="tx1"/>
            </w14:solidFill>
          </w14:textFill>
        </w:rPr>
      </w:pPr>
    </w:p>
    <w:p w14:paraId="601675D5">
      <w:pPr>
        <w:pStyle w:val="28"/>
        <w:numPr>
          <w:ilvl w:val="0"/>
          <w:numId w:val="173"/>
        </w:numPr>
        <w:spacing w:line="360" w:lineRule="auto"/>
        <w:ind w:firstLineChars="0"/>
        <w:rPr>
          <w:rFonts w:hint="eastAsia" w:ascii="宋体" w:hAnsi="宋体" w:eastAsia="宋体"/>
          <w:szCs w:val="21"/>
        </w:rPr>
      </w:pPr>
      <w:r>
        <w:rPr>
          <w:rFonts w:hint="eastAsia" w:ascii="宋体" w:hAnsi="宋体" w:eastAsia="宋体"/>
          <w:szCs w:val="21"/>
        </w:rPr>
        <w:t>开标一览表加盖投标人公章；</w:t>
      </w:r>
    </w:p>
    <w:p w14:paraId="75CC8822">
      <w:pPr>
        <w:pStyle w:val="28"/>
        <w:numPr>
          <w:ilvl w:val="0"/>
          <w:numId w:val="173"/>
        </w:numPr>
        <w:spacing w:line="360" w:lineRule="auto"/>
        <w:ind w:firstLineChars="0"/>
        <w:rPr>
          <w:rFonts w:hint="eastAsia" w:ascii="宋体" w:hAnsi="宋体" w:eastAsia="宋体"/>
          <w:szCs w:val="21"/>
        </w:rPr>
      </w:pPr>
      <w:r>
        <w:rPr>
          <w:rFonts w:hint="eastAsia" w:ascii="宋体" w:hAnsi="宋体" w:eastAsia="宋体"/>
          <w:szCs w:val="21"/>
        </w:rPr>
        <w:t>法定代表人证明书或法定代表人授权委托书加盖投标人公章；</w:t>
      </w:r>
    </w:p>
    <w:p w14:paraId="24DDB497">
      <w:pPr>
        <w:rPr>
          <w:rFonts w:hint="eastAsia"/>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8"/>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9"/>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984F2"/>
    <w:multiLevelType w:val="multilevel"/>
    <w:tmpl w:val="828984F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83584A14"/>
    <w:multiLevelType w:val="multilevel"/>
    <w:tmpl w:val="83584A1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2B32B33"/>
    <w:multiLevelType w:val="multilevel"/>
    <w:tmpl w:val="92B32B33"/>
    <w:lvl w:ilvl="0" w:tentative="0">
      <w:start w:val="1"/>
      <w:numFmt w:val="chineseCountingThousand"/>
      <w:lvlText w:val="(%1)"/>
      <w:lvlJc w:val="left"/>
      <w:pPr>
        <w:ind w:left="420" w:hanging="420"/>
      </w:pPr>
      <w:rPr>
        <w:rFonts w:hint="eastAsia"/>
        <w:b w:val="0"/>
        <w:bCs w:val="0"/>
        <w:i w:val="0"/>
        <w:iCs/>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94EAE663"/>
    <w:multiLevelType w:val="multilevel"/>
    <w:tmpl w:val="94EAE663"/>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94F440A8"/>
    <w:multiLevelType w:val="multilevel"/>
    <w:tmpl w:val="94F440A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972CC50C"/>
    <w:multiLevelType w:val="singleLevel"/>
    <w:tmpl w:val="972CC50C"/>
    <w:lvl w:ilvl="0" w:tentative="0">
      <w:start w:val="1"/>
      <w:numFmt w:val="decimal"/>
      <w:lvlText w:val="%1."/>
      <w:lvlJc w:val="left"/>
      <w:pPr>
        <w:ind w:left="425" w:hanging="425"/>
      </w:pPr>
      <w:rPr>
        <w:rFonts w:hint="default"/>
      </w:rPr>
    </w:lvl>
  </w:abstractNum>
  <w:abstractNum w:abstractNumId="6">
    <w:nsid w:val="99E181A4"/>
    <w:multiLevelType w:val="multilevel"/>
    <w:tmpl w:val="99E181A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9A9179BF"/>
    <w:multiLevelType w:val="singleLevel"/>
    <w:tmpl w:val="9A9179BF"/>
    <w:lvl w:ilvl="0" w:tentative="0">
      <w:start w:val="1"/>
      <w:numFmt w:val="decimal"/>
      <w:lvlText w:val="(%1)"/>
      <w:lvlJc w:val="left"/>
      <w:pPr>
        <w:ind w:left="425" w:hanging="425"/>
      </w:pPr>
      <w:rPr>
        <w:rFonts w:hint="default"/>
      </w:rPr>
    </w:lvl>
  </w:abstractNum>
  <w:abstractNum w:abstractNumId="8">
    <w:nsid w:val="A02C734D"/>
    <w:multiLevelType w:val="multilevel"/>
    <w:tmpl w:val="A02C734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A5545152"/>
    <w:multiLevelType w:val="singleLevel"/>
    <w:tmpl w:val="A5545152"/>
    <w:lvl w:ilvl="0" w:tentative="0">
      <w:start w:val="1"/>
      <w:numFmt w:val="decimal"/>
      <w:lvlText w:val="%1."/>
      <w:lvlJc w:val="left"/>
      <w:pPr>
        <w:ind w:left="425" w:hanging="425"/>
      </w:pPr>
      <w:rPr>
        <w:rFonts w:hint="default"/>
      </w:rPr>
    </w:lvl>
  </w:abstractNum>
  <w:abstractNum w:abstractNumId="10">
    <w:nsid w:val="ACE60641"/>
    <w:multiLevelType w:val="multilevel"/>
    <w:tmpl w:val="ACE6064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AD01E870"/>
    <w:multiLevelType w:val="singleLevel"/>
    <w:tmpl w:val="AD01E870"/>
    <w:lvl w:ilvl="0" w:tentative="0">
      <w:start w:val="1"/>
      <w:numFmt w:val="decimal"/>
      <w:lvlText w:val="%1."/>
      <w:lvlJc w:val="left"/>
      <w:pPr>
        <w:ind w:left="425" w:hanging="425"/>
      </w:pPr>
      <w:rPr>
        <w:rFonts w:hint="default"/>
      </w:rPr>
    </w:lvl>
  </w:abstractNum>
  <w:abstractNum w:abstractNumId="12">
    <w:nsid w:val="AE969E92"/>
    <w:multiLevelType w:val="singleLevel"/>
    <w:tmpl w:val="AE969E92"/>
    <w:lvl w:ilvl="0" w:tentative="0">
      <w:start w:val="1"/>
      <w:numFmt w:val="decimal"/>
      <w:lvlText w:val="(%1)"/>
      <w:lvlJc w:val="left"/>
      <w:pPr>
        <w:ind w:left="425" w:hanging="425"/>
      </w:pPr>
      <w:rPr>
        <w:rFonts w:hint="default"/>
      </w:rPr>
    </w:lvl>
  </w:abstractNum>
  <w:abstractNum w:abstractNumId="13">
    <w:nsid w:val="B4A42735"/>
    <w:multiLevelType w:val="multilevel"/>
    <w:tmpl w:val="B4A4273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B7EF3516"/>
    <w:multiLevelType w:val="singleLevel"/>
    <w:tmpl w:val="B7EF3516"/>
    <w:lvl w:ilvl="0" w:tentative="0">
      <w:start w:val="1"/>
      <w:numFmt w:val="decimal"/>
      <w:lvlText w:val="%1."/>
      <w:lvlJc w:val="left"/>
      <w:pPr>
        <w:ind w:left="425" w:hanging="425"/>
      </w:pPr>
      <w:rPr>
        <w:rFonts w:hint="default"/>
      </w:rPr>
    </w:lvl>
  </w:abstractNum>
  <w:abstractNum w:abstractNumId="15">
    <w:nsid w:val="BAB00B93"/>
    <w:multiLevelType w:val="singleLevel"/>
    <w:tmpl w:val="BAB00B93"/>
    <w:lvl w:ilvl="0" w:tentative="0">
      <w:start w:val="1"/>
      <w:numFmt w:val="decimal"/>
      <w:lvlText w:val="%1."/>
      <w:lvlJc w:val="left"/>
      <w:pPr>
        <w:ind w:left="425" w:hanging="425"/>
      </w:pPr>
      <w:rPr>
        <w:rFonts w:hint="default"/>
      </w:rPr>
    </w:lvl>
  </w:abstractNum>
  <w:abstractNum w:abstractNumId="16">
    <w:nsid w:val="C0ECEA52"/>
    <w:multiLevelType w:val="multilevel"/>
    <w:tmpl w:val="C0ECEA5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C27D3A35"/>
    <w:multiLevelType w:val="multilevel"/>
    <w:tmpl w:val="C27D3A3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C90E34E8"/>
    <w:multiLevelType w:val="singleLevel"/>
    <w:tmpl w:val="C90E34E8"/>
    <w:lvl w:ilvl="0" w:tentative="0">
      <w:start w:val="1"/>
      <w:numFmt w:val="decimal"/>
      <w:lvlText w:val="(%1)"/>
      <w:lvlJc w:val="left"/>
      <w:pPr>
        <w:ind w:left="425" w:hanging="425"/>
      </w:pPr>
      <w:rPr>
        <w:rFonts w:hint="default"/>
      </w:rPr>
    </w:lvl>
  </w:abstractNum>
  <w:abstractNum w:abstractNumId="19">
    <w:nsid w:val="CCD239AD"/>
    <w:multiLevelType w:val="singleLevel"/>
    <w:tmpl w:val="CCD239AD"/>
    <w:lvl w:ilvl="0" w:tentative="0">
      <w:start w:val="1"/>
      <w:numFmt w:val="decimal"/>
      <w:lvlText w:val="%1."/>
      <w:lvlJc w:val="left"/>
      <w:pPr>
        <w:ind w:left="425" w:hanging="425"/>
      </w:pPr>
      <w:rPr>
        <w:rFonts w:hint="default"/>
      </w:rPr>
    </w:lvl>
  </w:abstractNum>
  <w:abstractNum w:abstractNumId="20">
    <w:nsid w:val="CEF2625B"/>
    <w:multiLevelType w:val="multilevel"/>
    <w:tmpl w:val="CEF2625B"/>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D0F6DA65"/>
    <w:multiLevelType w:val="singleLevel"/>
    <w:tmpl w:val="D0F6DA65"/>
    <w:lvl w:ilvl="0" w:tentative="0">
      <w:start w:val="1"/>
      <w:numFmt w:val="decimal"/>
      <w:lvlText w:val="(%1)"/>
      <w:lvlJc w:val="left"/>
      <w:pPr>
        <w:ind w:left="425" w:hanging="425"/>
      </w:pPr>
      <w:rPr>
        <w:rFonts w:hint="default"/>
      </w:rPr>
    </w:lvl>
  </w:abstractNum>
  <w:abstractNum w:abstractNumId="22">
    <w:nsid w:val="D3507781"/>
    <w:multiLevelType w:val="singleLevel"/>
    <w:tmpl w:val="D3507781"/>
    <w:lvl w:ilvl="0" w:tentative="0">
      <w:start w:val="1"/>
      <w:numFmt w:val="decimal"/>
      <w:lvlText w:val="%1."/>
      <w:lvlJc w:val="left"/>
      <w:pPr>
        <w:ind w:left="425" w:hanging="425"/>
      </w:pPr>
      <w:rPr>
        <w:rFonts w:hint="default"/>
      </w:rPr>
    </w:lvl>
  </w:abstractNum>
  <w:abstractNum w:abstractNumId="23">
    <w:nsid w:val="D4620CAB"/>
    <w:multiLevelType w:val="singleLevel"/>
    <w:tmpl w:val="D4620CAB"/>
    <w:lvl w:ilvl="0" w:tentative="0">
      <w:start w:val="1"/>
      <w:numFmt w:val="decimal"/>
      <w:lvlText w:val="%1."/>
      <w:lvlJc w:val="left"/>
      <w:pPr>
        <w:ind w:left="425" w:hanging="425"/>
      </w:pPr>
      <w:rPr>
        <w:rFonts w:hint="default"/>
      </w:rPr>
    </w:lvl>
  </w:abstractNum>
  <w:abstractNum w:abstractNumId="24">
    <w:nsid w:val="D5A79432"/>
    <w:multiLevelType w:val="singleLevel"/>
    <w:tmpl w:val="D5A79432"/>
    <w:lvl w:ilvl="0" w:tentative="0">
      <w:start w:val="1"/>
      <w:numFmt w:val="decimal"/>
      <w:lvlText w:val="%1."/>
      <w:lvlJc w:val="left"/>
      <w:pPr>
        <w:ind w:left="425" w:hanging="425"/>
      </w:pPr>
      <w:rPr>
        <w:rFonts w:hint="default"/>
      </w:rPr>
    </w:lvl>
  </w:abstractNum>
  <w:abstractNum w:abstractNumId="25">
    <w:nsid w:val="D8E49A98"/>
    <w:multiLevelType w:val="singleLevel"/>
    <w:tmpl w:val="D8E49A98"/>
    <w:lvl w:ilvl="0" w:tentative="0">
      <w:start w:val="1"/>
      <w:numFmt w:val="decimal"/>
      <w:lvlText w:val="%1."/>
      <w:lvlJc w:val="left"/>
      <w:pPr>
        <w:ind w:left="425" w:hanging="425"/>
      </w:pPr>
      <w:rPr>
        <w:rFonts w:hint="default"/>
      </w:rPr>
    </w:lvl>
  </w:abstractNum>
  <w:abstractNum w:abstractNumId="26">
    <w:nsid w:val="DA496F85"/>
    <w:multiLevelType w:val="multilevel"/>
    <w:tmpl w:val="DA496F85"/>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DE93D383"/>
    <w:multiLevelType w:val="singleLevel"/>
    <w:tmpl w:val="DE93D383"/>
    <w:lvl w:ilvl="0" w:tentative="0">
      <w:start w:val="1"/>
      <w:numFmt w:val="decimal"/>
      <w:lvlText w:val="%1."/>
      <w:lvlJc w:val="left"/>
      <w:pPr>
        <w:ind w:left="425" w:hanging="425"/>
      </w:pPr>
      <w:rPr>
        <w:rFonts w:hint="default"/>
      </w:rPr>
    </w:lvl>
  </w:abstractNum>
  <w:abstractNum w:abstractNumId="28">
    <w:nsid w:val="DFB3AC81"/>
    <w:multiLevelType w:val="singleLevel"/>
    <w:tmpl w:val="DFB3AC81"/>
    <w:lvl w:ilvl="0" w:tentative="0">
      <w:start w:val="1"/>
      <w:numFmt w:val="decimal"/>
      <w:lvlText w:val="%1."/>
      <w:lvlJc w:val="left"/>
      <w:pPr>
        <w:ind w:left="425" w:hanging="425"/>
      </w:pPr>
      <w:rPr>
        <w:rFonts w:hint="default"/>
      </w:rPr>
    </w:lvl>
  </w:abstractNum>
  <w:abstractNum w:abstractNumId="29">
    <w:nsid w:val="E0068C9A"/>
    <w:multiLevelType w:val="singleLevel"/>
    <w:tmpl w:val="E0068C9A"/>
    <w:lvl w:ilvl="0" w:tentative="0">
      <w:start w:val="1"/>
      <w:numFmt w:val="decimal"/>
      <w:lvlText w:val="%1."/>
      <w:lvlJc w:val="left"/>
      <w:pPr>
        <w:ind w:left="425" w:hanging="425"/>
      </w:pPr>
      <w:rPr>
        <w:rFonts w:hint="default"/>
      </w:rPr>
    </w:lvl>
  </w:abstractNum>
  <w:abstractNum w:abstractNumId="30">
    <w:nsid w:val="E0C79E9F"/>
    <w:multiLevelType w:val="singleLevel"/>
    <w:tmpl w:val="E0C79E9F"/>
    <w:lvl w:ilvl="0" w:tentative="0">
      <w:start w:val="1"/>
      <w:numFmt w:val="chineseCounting"/>
      <w:suff w:val="nothing"/>
      <w:lvlText w:val="（%1）"/>
      <w:lvlJc w:val="left"/>
      <w:pPr>
        <w:ind w:left="0" w:firstLine="420"/>
      </w:pPr>
      <w:rPr>
        <w:rFonts w:hint="eastAsia"/>
      </w:rPr>
    </w:lvl>
  </w:abstractNum>
  <w:abstractNum w:abstractNumId="31">
    <w:nsid w:val="E502511E"/>
    <w:multiLevelType w:val="multilevel"/>
    <w:tmpl w:val="E502511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EA4672DE"/>
    <w:multiLevelType w:val="multilevel"/>
    <w:tmpl w:val="EA4672D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EAA64B5D"/>
    <w:multiLevelType w:val="singleLevel"/>
    <w:tmpl w:val="EAA64B5D"/>
    <w:lvl w:ilvl="0" w:tentative="0">
      <w:start w:val="1"/>
      <w:numFmt w:val="decimal"/>
      <w:lvlText w:val="(%1)"/>
      <w:lvlJc w:val="left"/>
      <w:pPr>
        <w:ind w:left="425" w:hanging="425"/>
      </w:pPr>
      <w:rPr>
        <w:rFonts w:hint="default"/>
      </w:rPr>
    </w:lvl>
  </w:abstractNum>
  <w:abstractNum w:abstractNumId="34">
    <w:nsid w:val="EB11D2EA"/>
    <w:multiLevelType w:val="singleLevel"/>
    <w:tmpl w:val="EB11D2EA"/>
    <w:lvl w:ilvl="0" w:tentative="0">
      <w:start w:val="1"/>
      <w:numFmt w:val="decimal"/>
      <w:lvlText w:val="(%1)"/>
      <w:lvlJc w:val="left"/>
      <w:pPr>
        <w:ind w:left="425" w:hanging="425"/>
      </w:pPr>
      <w:rPr>
        <w:rFonts w:hint="default"/>
      </w:rPr>
    </w:lvl>
  </w:abstractNum>
  <w:abstractNum w:abstractNumId="35">
    <w:nsid w:val="ECAE9510"/>
    <w:multiLevelType w:val="singleLevel"/>
    <w:tmpl w:val="ECAE9510"/>
    <w:lvl w:ilvl="0" w:tentative="0">
      <w:start w:val="1"/>
      <w:numFmt w:val="decimal"/>
      <w:lvlText w:val="%1."/>
      <w:lvlJc w:val="left"/>
      <w:pPr>
        <w:ind w:left="425" w:hanging="425"/>
      </w:pPr>
      <w:rPr>
        <w:rFonts w:hint="default"/>
      </w:rPr>
    </w:lvl>
  </w:abstractNum>
  <w:abstractNum w:abstractNumId="36">
    <w:nsid w:val="ECDB5827"/>
    <w:multiLevelType w:val="multilevel"/>
    <w:tmpl w:val="ECDB582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ECE75AE4"/>
    <w:multiLevelType w:val="singleLevel"/>
    <w:tmpl w:val="ECE75AE4"/>
    <w:lvl w:ilvl="0" w:tentative="0">
      <w:start w:val="1"/>
      <w:numFmt w:val="decimal"/>
      <w:lvlText w:val="%1."/>
      <w:lvlJc w:val="left"/>
      <w:pPr>
        <w:ind w:left="425" w:hanging="425"/>
      </w:pPr>
      <w:rPr>
        <w:rFonts w:hint="default"/>
      </w:rPr>
    </w:lvl>
  </w:abstractNum>
  <w:abstractNum w:abstractNumId="38">
    <w:nsid w:val="F016F89B"/>
    <w:multiLevelType w:val="singleLevel"/>
    <w:tmpl w:val="F016F89B"/>
    <w:lvl w:ilvl="0" w:tentative="0">
      <w:start w:val="1"/>
      <w:numFmt w:val="decimal"/>
      <w:lvlText w:val="%1."/>
      <w:lvlJc w:val="left"/>
      <w:pPr>
        <w:ind w:left="425" w:hanging="425"/>
      </w:pPr>
      <w:rPr>
        <w:rFonts w:hint="default"/>
      </w:rPr>
    </w:lvl>
  </w:abstractNum>
  <w:abstractNum w:abstractNumId="39">
    <w:nsid w:val="F05B714B"/>
    <w:multiLevelType w:val="singleLevel"/>
    <w:tmpl w:val="F05B714B"/>
    <w:lvl w:ilvl="0" w:tentative="0">
      <w:start w:val="1"/>
      <w:numFmt w:val="decimal"/>
      <w:lvlText w:val="%1."/>
      <w:lvlJc w:val="left"/>
      <w:pPr>
        <w:ind w:left="425" w:hanging="425"/>
      </w:pPr>
      <w:rPr>
        <w:rFonts w:hint="default"/>
      </w:rPr>
    </w:lvl>
  </w:abstractNum>
  <w:abstractNum w:abstractNumId="40">
    <w:nsid w:val="F328653B"/>
    <w:multiLevelType w:val="singleLevel"/>
    <w:tmpl w:val="F328653B"/>
    <w:lvl w:ilvl="0" w:tentative="0">
      <w:start w:val="1"/>
      <w:numFmt w:val="decimal"/>
      <w:lvlText w:val="%1."/>
      <w:lvlJc w:val="left"/>
      <w:pPr>
        <w:ind w:left="425" w:hanging="425"/>
      </w:pPr>
      <w:rPr>
        <w:rFonts w:hint="default"/>
      </w:rPr>
    </w:lvl>
  </w:abstractNum>
  <w:abstractNum w:abstractNumId="41">
    <w:nsid w:val="F36A9632"/>
    <w:multiLevelType w:val="multilevel"/>
    <w:tmpl w:val="F36A9632"/>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FB0677E3"/>
    <w:multiLevelType w:val="singleLevel"/>
    <w:tmpl w:val="FB0677E3"/>
    <w:lvl w:ilvl="0" w:tentative="0">
      <w:start w:val="1"/>
      <w:numFmt w:val="decimal"/>
      <w:lvlText w:val="%1."/>
      <w:lvlJc w:val="left"/>
      <w:pPr>
        <w:ind w:left="425" w:hanging="425"/>
      </w:pPr>
      <w:rPr>
        <w:rFonts w:hint="default"/>
      </w:rPr>
    </w:lvl>
  </w:abstractNum>
  <w:abstractNum w:abstractNumId="43">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0069F01E"/>
    <w:multiLevelType w:val="multilevel"/>
    <w:tmpl w:val="0069F01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01A1F10B"/>
    <w:multiLevelType w:val="singleLevel"/>
    <w:tmpl w:val="01A1F10B"/>
    <w:lvl w:ilvl="0" w:tentative="0">
      <w:start w:val="1"/>
      <w:numFmt w:val="decimal"/>
      <w:lvlText w:val="%1."/>
      <w:lvlJc w:val="left"/>
      <w:pPr>
        <w:ind w:left="425" w:hanging="425"/>
      </w:pPr>
      <w:rPr>
        <w:rFonts w:hint="default"/>
      </w:rPr>
    </w:lvl>
  </w:abstractNum>
  <w:abstractNum w:abstractNumId="5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06B69744"/>
    <w:multiLevelType w:val="singleLevel"/>
    <w:tmpl w:val="06B69744"/>
    <w:lvl w:ilvl="0" w:tentative="0">
      <w:start w:val="1"/>
      <w:numFmt w:val="decimal"/>
      <w:lvlText w:val="%1."/>
      <w:lvlJc w:val="left"/>
      <w:pPr>
        <w:ind w:left="425" w:hanging="425"/>
      </w:pPr>
      <w:rPr>
        <w:rFonts w:hint="default"/>
      </w:rPr>
    </w:lvl>
  </w:abstractNum>
  <w:abstractNum w:abstractNumId="55">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0889F6E7"/>
    <w:multiLevelType w:val="singleLevel"/>
    <w:tmpl w:val="0889F6E7"/>
    <w:lvl w:ilvl="0" w:tentative="0">
      <w:start w:val="1"/>
      <w:numFmt w:val="decimal"/>
      <w:lvlText w:val="(%1)"/>
      <w:lvlJc w:val="left"/>
      <w:pPr>
        <w:ind w:left="425" w:hanging="425"/>
      </w:pPr>
      <w:rPr>
        <w:rFonts w:hint="default"/>
      </w:rPr>
    </w:lvl>
  </w:abstractNum>
  <w:abstractNum w:abstractNumId="57">
    <w:nsid w:val="08C33C13"/>
    <w:multiLevelType w:val="singleLevel"/>
    <w:tmpl w:val="08C33C13"/>
    <w:lvl w:ilvl="0" w:tentative="0">
      <w:start w:val="1"/>
      <w:numFmt w:val="decimal"/>
      <w:lvlText w:val="(%1)"/>
      <w:lvlJc w:val="left"/>
      <w:pPr>
        <w:ind w:left="425" w:hanging="425"/>
      </w:pPr>
      <w:rPr>
        <w:rFonts w:hint="default"/>
      </w:rPr>
    </w:lvl>
  </w:abstractNum>
  <w:abstractNum w:abstractNumId="58">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0A6EAD64"/>
    <w:multiLevelType w:val="singleLevel"/>
    <w:tmpl w:val="0A6EAD64"/>
    <w:lvl w:ilvl="0" w:tentative="0">
      <w:start w:val="1"/>
      <w:numFmt w:val="decimal"/>
      <w:lvlText w:val="%1."/>
      <w:lvlJc w:val="left"/>
      <w:pPr>
        <w:ind w:left="425" w:hanging="425"/>
      </w:pPr>
      <w:rPr>
        <w:rFonts w:hint="default"/>
      </w:rPr>
    </w:lvl>
  </w:abstractNum>
  <w:abstractNum w:abstractNumId="61">
    <w:nsid w:val="0A7008E7"/>
    <w:multiLevelType w:val="multilevel"/>
    <w:tmpl w:val="0A7008E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1071DC31"/>
    <w:multiLevelType w:val="singleLevel"/>
    <w:tmpl w:val="1071DC31"/>
    <w:lvl w:ilvl="0" w:tentative="0">
      <w:start w:val="1"/>
      <w:numFmt w:val="decimal"/>
      <w:lvlText w:val="%1."/>
      <w:lvlJc w:val="left"/>
      <w:pPr>
        <w:ind w:left="425" w:hanging="425"/>
      </w:pPr>
      <w:rPr>
        <w:rFonts w:hint="default"/>
        <w:b w:val="0"/>
        <w:bCs w:val="0"/>
      </w:rPr>
    </w:lvl>
  </w:abstractNum>
  <w:abstractNum w:abstractNumId="63">
    <w:nsid w:val="146CF681"/>
    <w:multiLevelType w:val="multilevel"/>
    <w:tmpl w:val="146CF68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17443A99"/>
    <w:multiLevelType w:val="singleLevel"/>
    <w:tmpl w:val="17443A99"/>
    <w:lvl w:ilvl="0" w:tentative="0">
      <w:start w:val="1"/>
      <w:numFmt w:val="decimal"/>
      <w:lvlText w:val="%1."/>
      <w:lvlJc w:val="left"/>
      <w:pPr>
        <w:ind w:left="425" w:hanging="425"/>
      </w:pPr>
      <w:rPr>
        <w:rFonts w:hint="default"/>
      </w:rPr>
    </w:lvl>
  </w:abstractNum>
  <w:abstractNum w:abstractNumId="65">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18BF2275"/>
    <w:multiLevelType w:val="multilevel"/>
    <w:tmpl w:val="18BF227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1B928DDD"/>
    <w:multiLevelType w:val="multilevel"/>
    <w:tmpl w:val="1B928DDD"/>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1C145DAE"/>
    <w:multiLevelType w:val="multilevel"/>
    <w:tmpl w:val="1C145DAE"/>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1DCDB1FA"/>
    <w:multiLevelType w:val="multilevel"/>
    <w:tmpl w:val="1DCDB1FA"/>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8">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2C0CF2C6"/>
    <w:multiLevelType w:val="singleLevel"/>
    <w:tmpl w:val="2C0CF2C6"/>
    <w:lvl w:ilvl="0" w:tentative="0">
      <w:start w:val="1"/>
      <w:numFmt w:val="chineseCounting"/>
      <w:suff w:val="nothing"/>
      <w:lvlText w:val="%1、"/>
      <w:lvlJc w:val="left"/>
      <w:pPr>
        <w:ind w:left="0" w:firstLine="420"/>
      </w:pPr>
      <w:rPr>
        <w:rFonts w:hint="eastAsia"/>
      </w:rPr>
    </w:lvl>
  </w:abstractNum>
  <w:abstractNum w:abstractNumId="86">
    <w:nsid w:val="2FF576CE"/>
    <w:multiLevelType w:val="multilevel"/>
    <w:tmpl w:val="2FF576C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31701C81"/>
    <w:multiLevelType w:val="singleLevel"/>
    <w:tmpl w:val="31701C81"/>
    <w:lvl w:ilvl="0" w:tentative="0">
      <w:start w:val="1"/>
      <w:numFmt w:val="decimal"/>
      <w:lvlText w:val="(%1)"/>
      <w:lvlJc w:val="left"/>
      <w:pPr>
        <w:ind w:left="425" w:hanging="425"/>
      </w:pPr>
      <w:rPr>
        <w:rFonts w:hint="default"/>
      </w:rPr>
    </w:lvl>
  </w:abstractNum>
  <w:abstractNum w:abstractNumId="88">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33520BAE"/>
    <w:multiLevelType w:val="singleLevel"/>
    <w:tmpl w:val="33520BAE"/>
    <w:lvl w:ilvl="0" w:tentative="0">
      <w:start w:val="1"/>
      <w:numFmt w:val="decimal"/>
      <w:lvlText w:val="%1."/>
      <w:lvlJc w:val="left"/>
      <w:pPr>
        <w:ind w:left="425" w:hanging="425"/>
      </w:pPr>
      <w:rPr>
        <w:rFonts w:hint="default"/>
      </w:rPr>
    </w:lvl>
  </w:abstractNum>
  <w:abstractNum w:abstractNumId="90">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36E3DCCA"/>
    <w:multiLevelType w:val="singleLevel"/>
    <w:tmpl w:val="36E3DCCA"/>
    <w:lvl w:ilvl="0" w:tentative="0">
      <w:start w:val="1"/>
      <w:numFmt w:val="decimal"/>
      <w:lvlText w:val="(%1)"/>
      <w:lvlJc w:val="left"/>
      <w:pPr>
        <w:ind w:left="425" w:hanging="425"/>
      </w:pPr>
      <w:rPr>
        <w:rFonts w:hint="default"/>
      </w:rPr>
    </w:lvl>
  </w:abstractNum>
  <w:abstractNum w:abstractNumId="92">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392EBC9E"/>
    <w:multiLevelType w:val="multilevel"/>
    <w:tmpl w:val="392EBC9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3BCBA2B5"/>
    <w:multiLevelType w:val="singleLevel"/>
    <w:tmpl w:val="3BCBA2B5"/>
    <w:lvl w:ilvl="0" w:tentative="0">
      <w:start w:val="1"/>
      <w:numFmt w:val="decimal"/>
      <w:lvlText w:val="(%1)"/>
      <w:lvlJc w:val="left"/>
      <w:pPr>
        <w:ind w:left="425" w:hanging="425"/>
      </w:pPr>
      <w:rPr>
        <w:rFonts w:hint="default"/>
      </w:rPr>
    </w:lvl>
  </w:abstractNum>
  <w:abstractNum w:abstractNumId="99">
    <w:nsid w:val="3CF2A7F0"/>
    <w:multiLevelType w:val="singleLevel"/>
    <w:tmpl w:val="3CF2A7F0"/>
    <w:lvl w:ilvl="0" w:tentative="0">
      <w:start w:val="1"/>
      <w:numFmt w:val="decimal"/>
      <w:lvlText w:val="%1."/>
      <w:lvlJc w:val="left"/>
      <w:pPr>
        <w:ind w:left="425" w:hanging="425"/>
      </w:pPr>
      <w:rPr>
        <w:rFonts w:hint="default"/>
      </w:rPr>
    </w:lvl>
  </w:abstractNum>
  <w:abstractNum w:abstractNumId="100">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3FC2A056"/>
    <w:multiLevelType w:val="singleLevel"/>
    <w:tmpl w:val="3FC2A056"/>
    <w:lvl w:ilvl="0" w:tentative="0">
      <w:start w:val="1"/>
      <w:numFmt w:val="decimal"/>
      <w:lvlText w:val="(%1)"/>
      <w:lvlJc w:val="left"/>
      <w:pPr>
        <w:ind w:left="425" w:hanging="425"/>
      </w:pPr>
      <w:rPr>
        <w:rFonts w:hint="default"/>
      </w:rPr>
    </w:lvl>
  </w:abstractNum>
  <w:abstractNum w:abstractNumId="103">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4">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44074142"/>
    <w:multiLevelType w:val="multilevel"/>
    <w:tmpl w:val="4407414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45E7F46F"/>
    <w:multiLevelType w:val="singleLevel"/>
    <w:tmpl w:val="45E7F46F"/>
    <w:lvl w:ilvl="0" w:tentative="0">
      <w:start w:val="1"/>
      <w:numFmt w:val="decimal"/>
      <w:lvlText w:val="(%1)"/>
      <w:lvlJc w:val="left"/>
      <w:pPr>
        <w:ind w:left="425" w:hanging="425"/>
      </w:pPr>
      <w:rPr>
        <w:rFonts w:hint="default"/>
      </w:rPr>
    </w:lvl>
  </w:abstractNum>
  <w:abstractNum w:abstractNumId="111">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478BD48C"/>
    <w:multiLevelType w:val="singleLevel"/>
    <w:tmpl w:val="478BD48C"/>
    <w:lvl w:ilvl="0" w:tentative="0">
      <w:start w:val="1"/>
      <w:numFmt w:val="decimal"/>
      <w:lvlText w:val="(%1)"/>
      <w:lvlJc w:val="left"/>
      <w:pPr>
        <w:ind w:left="425" w:hanging="425"/>
      </w:pPr>
      <w:rPr>
        <w:rFonts w:hint="default"/>
      </w:rPr>
    </w:lvl>
  </w:abstractNum>
  <w:abstractNum w:abstractNumId="113">
    <w:nsid w:val="494D2422"/>
    <w:multiLevelType w:val="singleLevel"/>
    <w:tmpl w:val="494D2422"/>
    <w:lvl w:ilvl="0" w:tentative="0">
      <w:start w:val="1"/>
      <w:numFmt w:val="decimal"/>
      <w:lvlText w:val="%1."/>
      <w:lvlJc w:val="left"/>
      <w:pPr>
        <w:ind w:left="425" w:hanging="425"/>
      </w:pPr>
      <w:rPr>
        <w:rFonts w:hint="default"/>
      </w:rPr>
    </w:lvl>
  </w:abstractNum>
  <w:abstractNum w:abstractNumId="114">
    <w:nsid w:val="4ACF5CBF"/>
    <w:multiLevelType w:val="singleLevel"/>
    <w:tmpl w:val="4ACF5CBF"/>
    <w:lvl w:ilvl="0" w:tentative="0">
      <w:start w:val="1"/>
      <w:numFmt w:val="decimal"/>
      <w:lvlText w:val="%1."/>
      <w:lvlJc w:val="left"/>
      <w:pPr>
        <w:ind w:left="425" w:hanging="425"/>
      </w:pPr>
      <w:rPr>
        <w:rFonts w:hint="default"/>
      </w:rPr>
    </w:lvl>
  </w:abstractNum>
  <w:abstractNum w:abstractNumId="115">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6">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7">
    <w:nsid w:val="4CD10EBB"/>
    <w:multiLevelType w:val="singleLevel"/>
    <w:tmpl w:val="4CD10EBB"/>
    <w:lvl w:ilvl="0" w:tentative="0">
      <w:start w:val="1"/>
      <w:numFmt w:val="decimal"/>
      <w:lvlText w:val="(%1)"/>
      <w:lvlJc w:val="left"/>
      <w:pPr>
        <w:ind w:left="425" w:hanging="425"/>
      </w:pPr>
      <w:rPr>
        <w:rFonts w:hint="default"/>
      </w:rPr>
    </w:lvl>
  </w:abstractNum>
  <w:abstractNum w:abstractNumId="118">
    <w:nsid w:val="4CD50F0B"/>
    <w:multiLevelType w:val="singleLevel"/>
    <w:tmpl w:val="4CD50F0B"/>
    <w:lvl w:ilvl="0" w:tentative="0">
      <w:start w:val="1"/>
      <w:numFmt w:val="chineseCounting"/>
      <w:suff w:val="nothing"/>
      <w:lvlText w:val="（%1）"/>
      <w:lvlJc w:val="left"/>
      <w:pPr>
        <w:ind w:left="0" w:firstLine="420"/>
      </w:pPr>
      <w:rPr>
        <w:rFonts w:hint="eastAsia"/>
      </w:rPr>
    </w:lvl>
  </w:abstractNum>
  <w:abstractNum w:abstractNumId="119">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1">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2">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3">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4">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5">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7">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8">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9">
    <w:nsid w:val="5387EB62"/>
    <w:multiLevelType w:val="singleLevel"/>
    <w:tmpl w:val="5387EB62"/>
    <w:lvl w:ilvl="0" w:tentative="0">
      <w:start w:val="1"/>
      <w:numFmt w:val="decimal"/>
      <w:lvlText w:val="%1."/>
      <w:lvlJc w:val="left"/>
      <w:pPr>
        <w:ind w:left="425" w:hanging="425"/>
      </w:pPr>
      <w:rPr>
        <w:rFonts w:hint="default"/>
      </w:rPr>
    </w:lvl>
  </w:abstractNum>
  <w:abstractNum w:abstractNumId="130">
    <w:nsid w:val="556F3813"/>
    <w:multiLevelType w:val="singleLevel"/>
    <w:tmpl w:val="556F3813"/>
    <w:lvl w:ilvl="0" w:tentative="0">
      <w:start w:val="1"/>
      <w:numFmt w:val="decimal"/>
      <w:lvlText w:val="%1."/>
      <w:lvlJc w:val="left"/>
      <w:pPr>
        <w:ind w:left="425" w:hanging="425"/>
      </w:pPr>
      <w:rPr>
        <w:rFonts w:hint="default"/>
      </w:rPr>
    </w:lvl>
  </w:abstractNum>
  <w:abstractNum w:abstractNumId="131">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2">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3">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4">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5">
    <w:nsid w:val="5871F246"/>
    <w:multiLevelType w:val="singleLevel"/>
    <w:tmpl w:val="5871F246"/>
    <w:lvl w:ilvl="0" w:tentative="0">
      <w:start w:val="1"/>
      <w:numFmt w:val="decimal"/>
      <w:lvlText w:val="(%1)"/>
      <w:lvlJc w:val="left"/>
      <w:pPr>
        <w:ind w:left="425" w:hanging="425"/>
      </w:pPr>
      <w:rPr>
        <w:rFonts w:hint="default"/>
      </w:rPr>
    </w:lvl>
  </w:abstractNum>
  <w:abstractNum w:abstractNumId="136">
    <w:nsid w:val="587B154D"/>
    <w:multiLevelType w:val="multilevel"/>
    <w:tmpl w:val="587B154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7">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8">
    <w:nsid w:val="5931B282"/>
    <w:multiLevelType w:val="singleLevel"/>
    <w:tmpl w:val="5931B282"/>
    <w:lvl w:ilvl="0" w:tentative="0">
      <w:start w:val="1"/>
      <w:numFmt w:val="decimal"/>
      <w:lvlText w:val="%1."/>
      <w:lvlJc w:val="left"/>
      <w:pPr>
        <w:ind w:left="425" w:hanging="425"/>
      </w:pPr>
      <w:rPr>
        <w:rFonts w:hint="default"/>
      </w:rPr>
    </w:lvl>
  </w:abstractNum>
  <w:abstractNum w:abstractNumId="139">
    <w:nsid w:val="5A91ECA1"/>
    <w:multiLevelType w:val="singleLevel"/>
    <w:tmpl w:val="5A91ECA1"/>
    <w:lvl w:ilvl="0" w:tentative="0">
      <w:start w:val="1"/>
      <w:numFmt w:val="decimal"/>
      <w:lvlText w:val="(%1)"/>
      <w:lvlJc w:val="left"/>
      <w:pPr>
        <w:ind w:left="425" w:hanging="425"/>
      </w:pPr>
      <w:rPr>
        <w:rFonts w:hint="default"/>
      </w:rPr>
    </w:lvl>
  </w:abstractNum>
  <w:abstractNum w:abstractNumId="140">
    <w:nsid w:val="5B705FD9"/>
    <w:multiLevelType w:val="singleLevel"/>
    <w:tmpl w:val="5B705FD9"/>
    <w:lvl w:ilvl="0" w:tentative="0">
      <w:start w:val="1"/>
      <w:numFmt w:val="decimal"/>
      <w:lvlText w:val="%1."/>
      <w:lvlJc w:val="left"/>
      <w:pPr>
        <w:ind w:left="425" w:hanging="425"/>
      </w:pPr>
      <w:rPr>
        <w:rFonts w:hint="default"/>
      </w:rPr>
    </w:lvl>
  </w:abstractNum>
  <w:abstractNum w:abstractNumId="141">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2">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3">
    <w:nsid w:val="5DF50120"/>
    <w:multiLevelType w:val="singleLevel"/>
    <w:tmpl w:val="5DF50120"/>
    <w:lvl w:ilvl="0" w:tentative="0">
      <w:start w:val="1"/>
      <w:numFmt w:val="decimal"/>
      <w:lvlText w:val="%1."/>
      <w:lvlJc w:val="left"/>
      <w:pPr>
        <w:ind w:left="425" w:hanging="425"/>
      </w:pPr>
      <w:rPr>
        <w:rFonts w:hint="default"/>
      </w:rPr>
    </w:lvl>
  </w:abstractNum>
  <w:abstractNum w:abstractNumId="144">
    <w:nsid w:val="5EA55F47"/>
    <w:multiLevelType w:val="singleLevel"/>
    <w:tmpl w:val="5EA55F47"/>
    <w:lvl w:ilvl="0" w:tentative="0">
      <w:start w:val="1"/>
      <w:numFmt w:val="decimal"/>
      <w:lvlText w:val="%1."/>
      <w:lvlJc w:val="left"/>
      <w:pPr>
        <w:ind w:left="425" w:hanging="425"/>
      </w:pPr>
      <w:rPr>
        <w:rFonts w:hint="default"/>
      </w:rPr>
    </w:lvl>
  </w:abstractNum>
  <w:abstractNum w:abstractNumId="145">
    <w:nsid w:val="5F2BFFB5"/>
    <w:multiLevelType w:val="multilevel"/>
    <w:tmpl w:val="5F2BFFB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6">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7">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8">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9">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0">
    <w:nsid w:val="68BAFE0A"/>
    <w:multiLevelType w:val="singleLevel"/>
    <w:tmpl w:val="68BAFE0A"/>
    <w:lvl w:ilvl="0" w:tentative="0">
      <w:start w:val="1"/>
      <w:numFmt w:val="decimal"/>
      <w:lvlText w:val="(%1)"/>
      <w:lvlJc w:val="left"/>
      <w:pPr>
        <w:ind w:left="425" w:hanging="425"/>
      </w:pPr>
      <w:rPr>
        <w:rFonts w:hint="default"/>
      </w:rPr>
    </w:lvl>
  </w:abstractNum>
  <w:abstractNum w:abstractNumId="151">
    <w:nsid w:val="69414A75"/>
    <w:multiLevelType w:val="multilevel"/>
    <w:tmpl w:val="69414A75"/>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2">
    <w:nsid w:val="69CB0D11"/>
    <w:multiLevelType w:val="multilevel"/>
    <w:tmpl w:val="69CB0D11"/>
    <w:lvl w:ilvl="0" w:tentative="0">
      <w:start w:val="1"/>
      <w:numFmt w:val="chineseCountingThousand"/>
      <w:lvlText w:val="(%1)"/>
      <w:lvlJc w:val="left"/>
      <w:pPr>
        <w:ind w:left="420" w:hanging="420"/>
      </w:pPr>
      <w:rPr>
        <w:rFonts w:hint="eastAsia"/>
        <w:b w:val="0"/>
        <w:bCs w:val="0"/>
        <w:i w:val="0"/>
        <w:iCs/>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3">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4">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5">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6">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7">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9">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0">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1">
    <w:nsid w:val="73F63ADD"/>
    <w:multiLevelType w:val="singleLevel"/>
    <w:tmpl w:val="73F63ADD"/>
    <w:lvl w:ilvl="0" w:tentative="0">
      <w:start w:val="1"/>
      <w:numFmt w:val="chineseCounting"/>
      <w:suff w:val="nothing"/>
      <w:lvlText w:val="（%1）"/>
      <w:lvlJc w:val="left"/>
      <w:pPr>
        <w:ind w:left="0" w:firstLine="420"/>
      </w:pPr>
      <w:rPr>
        <w:rFonts w:hint="eastAsia"/>
      </w:rPr>
    </w:lvl>
  </w:abstractNum>
  <w:abstractNum w:abstractNumId="16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3">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4">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5">
    <w:nsid w:val="77A6FB54"/>
    <w:multiLevelType w:val="multilevel"/>
    <w:tmpl w:val="77A6FB54"/>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6">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67">
    <w:nsid w:val="7ACB0395"/>
    <w:multiLevelType w:val="multilevel"/>
    <w:tmpl w:val="7ACB0395"/>
    <w:lvl w:ilvl="0" w:tentative="0">
      <w:start w:val="1"/>
      <w:numFmt w:val="chineseCountingThousand"/>
      <w:lvlText w:val="(%1)"/>
      <w:lvlJc w:val="left"/>
      <w:pPr>
        <w:ind w:left="420" w:hanging="420"/>
      </w:pPr>
      <w:rPr>
        <w:rFonts w:hint="eastAsia"/>
        <w:b w:val="0"/>
        <w:bCs w:val="0"/>
        <w:i w:val="0"/>
        <w:iCs/>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8">
    <w:nsid w:val="7B20A388"/>
    <w:multiLevelType w:val="multilevel"/>
    <w:tmpl w:val="7B20A38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9">
    <w:nsid w:val="7C8D505E"/>
    <w:multiLevelType w:val="multilevel"/>
    <w:tmpl w:val="7C8D505E"/>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0">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1">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2">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90"/>
  </w:num>
  <w:num w:numId="2">
    <w:abstractNumId w:val="81"/>
  </w:num>
  <w:num w:numId="3">
    <w:abstractNumId w:val="106"/>
  </w:num>
  <w:num w:numId="4">
    <w:abstractNumId w:val="88"/>
  </w:num>
  <w:num w:numId="5">
    <w:abstractNumId w:val="120"/>
  </w:num>
  <w:num w:numId="6">
    <w:abstractNumId w:val="160"/>
  </w:num>
  <w:num w:numId="7">
    <w:abstractNumId w:val="162"/>
  </w:num>
  <w:num w:numId="8">
    <w:abstractNumId w:val="127"/>
  </w:num>
  <w:num w:numId="9">
    <w:abstractNumId w:val="167"/>
  </w:num>
  <w:num w:numId="10">
    <w:abstractNumId w:val="53"/>
  </w:num>
  <w:num w:numId="11">
    <w:abstractNumId w:val="130"/>
  </w:num>
  <w:num w:numId="12">
    <w:abstractNumId w:val="144"/>
  </w:num>
  <w:num w:numId="13">
    <w:abstractNumId w:val="76"/>
  </w:num>
  <w:num w:numId="14">
    <w:abstractNumId w:val="78"/>
  </w:num>
  <w:num w:numId="15">
    <w:abstractNumId w:val="55"/>
  </w:num>
  <w:num w:numId="16">
    <w:abstractNumId w:val="112"/>
  </w:num>
  <w:num w:numId="17">
    <w:abstractNumId w:val="21"/>
  </w:num>
  <w:num w:numId="18">
    <w:abstractNumId w:val="150"/>
  </w:num>
  <w:num w:numId="19">
    <w:abstractNumId w:val="138"/>
  </w:num>
  <w:num w:numId="20">
    <w:abstractNumId w:val="25"/>
  </w:num>
  <w:num w:numId="21">
    <w:abstractNumId w:val="70"/>
  </w:num>
  <w:num w:numId="22">
    <w:abstractNumId w:val="2"/>
  </w:num>
  <w:num w:numId="23">
    <w:abstractNumId w:val="32"/>
  </w:num>
  <w:num w:numId="24">
    <w:abstractNumId w:val="42"/>
  </w:num>
  <w:num w:numId="25">
    <w:abstractNumId w:val="35"/>
  </w:num>
  <w:num w:numId="26">
    <w:abstractNumId w:val="165"/>
  </w:num>
  <w:num w:numId="27">
    <w:abstractNumId w:val="107"/>
  </w:num>
  <w:num w:numId="28">
    <w:abstractNumId w:val="31"/>
  </w:num>
  <w:num w:numId="29">
    <w:abstractNumId w:val="117"/>
  </w:num>
  <w:num w:numId="30">
    <w:abstractNumId w:val="12"/>
  </w:num>
  <w:num w:numId="31">
    <w:abstractNumId w:val="139"/>
  </w:num>
  <w:num w:numId="32">
    <w:abstractNumId w:val="54"/>
  </w:num>
  <w:num w:numId="33">
    <w:abstractNumId w:val="9"/>
  </w:num>
  <w:num w:numId="34">
    <w:abstractNumId w:val="26"/>
  </w:num>
  <w:num w:numId="35">
    <w:abstractNumId w:val="152"/>
  </w:num>
  <w:num w:numId="36">
    <w:abstractNumId w:val="86"/>
  </w:num>
  <w:num w:numId="37">
    <w:abstractNumId w:val="64"/>
  </w:num>
  <w:num w:numId="38">
    <w:abstractNumId w:val="143"/>
  </w:num>
  <w:num w:numId="39">
    <w:abstractNumId w:val="69"/>
  </w:num>
  <w:num w:numId="40">
    <w:abstractNumId w:val="61"/>
  </w:num>
  <w:num w:numId="41">
    <w:abstractNumId w:val="136"/>
  </w:num>
  <w:num w:numId="42">
    <w:abstractNumId w:val="135"/>
  </w:num>
  <w:num w:numId="43">
    <w:abstractNumId w:val="87"/>
  </w:num>
  <w:num w:numId="44">
    <w:abstractNumId w:val="33"/>
  </w:num>
  <w:num w:numId="45">
    <w:abstractNumId w:val="104"/>
  </w:num>
  <w:num w:numId="46">
    <w:abstractNumId w:val="159"/>
  </w:num>
  <w:num w:numId="47">
    <w:abstractNumId w:val="141"/>
  </w:num>
  <w:num w:numId="48">
    <w:abstractNumId w:val="101"/>
  </w:num>
  <w:num w:numId="49">
    <w:abstractNumId w:val="74"/>
  </w:num>
  <w:num w:numId="50">
    <w:abstractNumId w:val="170"/>
  </w:num>
  <w:num w:numId="51">
    <w:abstractNumId w:val="132"/>
  </w:num>
  <w:num w:numId="52">
    <w:abstractNumId w:val="84"/>
  </w:num>
  <w:num w:numId="53">
    <w:abstractNumId w:val="147"/>
  </w:num>
  <w:num w:numId="54">
    <w:abstractNumId w:val="92"/>
  </w:num>
  <w:num w:numId="55">
    <w:abstractNumId w:val="148"/>
  </w:num>
  <w:num w:numId="56">
    <w:abstractNumId w:val="142"/>
  </w:num>
  <w:num w:numId="57">
    <w:abstractNumId w:val="158"/>
  </w:num>
  <w:num w:numId="58">
    <w:abstractNumId w:val="156"/>
  </w:num>
  <w:num w:numId="59">
    <w:abstractNumId w:val="75"/>
  </w:num>
  <w:num w:numId="60">
    <w:abstractNumId w:val="65"/>
  </w:num>
  <w:num w:numId="61">
    <w:abstractNumId w:val="59"/>
  </w:num>
  <w:num w:numId="62">
    <w:abstractNumId w:val="119"/>
  </w:num>
  <w:num w:numId="63">
    <w:abstractNumId w:val="105"/>
  </w:num>
  <w:num w:numId="64">
    <w:abstractNumId w:val="137"/>
  </w:num>
  <w:num w:numId="65">
    <w:abstractNumId w:val="163"/>
  </w:num>
  <w:num w:numId="66">
    <w:abstractNumId w:val="111"/>
  </w:num>
  <w:num w:numId="67">
    <w:abstractNumId w:val="97"/>
  </w:num>
  <w:num w:numId="68">
    <w:abstractNumId w:val="95"/>
  </w:num>
  <w:num w:numId="69">
    <w:abstractNumId w:val="116"/>
  </w:num>
  <w:num w:numId="70">
    <w:abstractNumId w:val="51"/>
  </w:num>
  <w:num w:numId="71">
    <w:abstractNumId w:val="133"/>
  </w:num>
  <w:num w:numId="72">
    <w:abstractNumId w:val="155"/>
  </w:num>
  <w:num w:numId="73">
    <w:abstractNumId w:val="157"/>
  </w:num>
  <w:num w:numId="74">
    <w:abstractNumId w:val="71"/>
  </w:num>
  <w:num w:numId="75">
    <w:abstractNumId w:val="82"/>
  </w:num>
  <w:num w:numId="76">
    <w:abstractNumId w:val="134"/>
  </w:num>
  <w:num w:numId="77">
    <w:abstractNumId w:val="68"/>
  </w:num>
  <w:num w:numId="78">
    <w:abstractNumId w:val="73"/>
  </w:num>
  <w:num w:numId="79">
    <w:abstractNumId w:val="58"/>
  </w:num>
  <w:num w:numId="80">
    <w:abstractNumId w:val="109"/>
  </w:num>
  <w:num w:numId="81">
    <w:abstractNumId w:val="125"/>
  </w:num>
  <w:num w:numId="82">
    <w:abstractNumId w:val="146"/>
  </w:num>
  <w:num w:numId="83">
    <w:abstractNumId w:val="100"/>
  </w:num>
  <w:num w:numId="84">
    <w:abstractNumId w:val="103"/>
  </w:num>
  <w:num w:numId="85">
    <w:abstractNumId w:val="128"/>
  </w:num>
  <w:num w:numId="86">
    <w:abstractNumId w:val="149"/>
  </w:num>
  <w:num w:numId="87">
    <w:abstractNumId w:val="154"/>
  </w:num>
  <w:num w:numId="88">
    <w:abstractNumId w:val="121"/>
  </w:num>
  <w:num w:numId="89">
    <w:abstractNumId w:val="122"/>
  </w:num>
  <w:num w:numId="90">
    <w:abstractNumId w:val="172"/>
  </w:num>
  <w:num w:numId="91">
    <w:abstractNumId w:val="79"/>
  </w:num>
  <w:num w:numId="92">
    <w:abstractNumId w:val="123"/>
  </w:num>
  <w:num w:numId="93">
    <w:abstractNumId w:val="115"/>
  </w:num>
  <w:num w:numId="94">
    <w:abstractNumId w:val="171"/>
  </w:num>
  <w:num w:numId="95">
    <w:abstractNumId w:val="77"/>
  </w:num>
  <w:num w:numId="96">
    <w:abstractNumId w:val="108"/>
  </w:num>
  <w:num w:numId="97">
    <w:abstractNumId w:val="166"/>
  </w:num>
  <w:num w:numId="98">
    <w:abstractNumId w:val="52"/>
  </w:num>
  <w:num w:numId="99">
    <w:abstractNumId w:val="80"/>
  </w:num>
  <w:num w:numId="100">
    <w:abstractNumId w:val="126"/>
  </w:num>
  <w:num w:numId="101">
    <w:abstractNumId w:val="124"/>
  </w:num>
  <w:num w:numId="102">
    <w:abstractNumId w:val="67"/>
  </w:num>
  <w:num w:numId="103">
    <w:abstractNumId w:val="50"/>
  </w:num>
  <w:num w:numId="104">
    <w:abstractNumId w:val="164"/>
  </w:num>
  <w:num w:numId="105">
    <w:abstractNumId w:val="44"/>
  </w:num>
  <w:num w:numId="106">
    <w:abstractNumId w:val="24"/>
  </w:num>
  <w:num w:numId="107">
    <w:abstractNumId w:val="62"/>
  </w:num>
  <w:num w:numId="108">
    <w:abstractNumId w:val="48"/>
  </w:num>
  <w:num w:numId="109">
    <w:abstractNumId w:val="93"/>
  </w:num>
  <w:num w:numId="110">
    <w:abstractNumId w:val="7"/>
  </w:num>
  <w:num w:numId="111">
    <w:abstractNumId w:val="57"/>
  </w:num>
  <w:num w:numId="112">
    <w:abstractNumId w:val="56"/>
  </w:num>
  <w:num w:numId="113">
    <w:abstractNumId w:val="118"/>
  </w:num>
  <w:num w:numId="114">
    <w:abstractNumId w:val="99"/>
  </w:num>
  <w:num w:numId="115">
    <w:abstractNumId w:val="28"/>
  </w:num>
  <w:num w:numId="116">
    <w:abstractNumId w:val="5"/>
  </w:num>
  <w:num w:numId="117">
    <w:abstractNumId w:val="37"/>
  </w:num>
  <w:num w:numId="118">
    <w:abstractNumId w:val="43"/>
  </w:num>
  <w:num w:numId="119">
    <w:abstractNumId w:val="29"/>
  </w:num>
  <w:num w:numId="120">
    <w:abstractNumId w:val="140"/>
  </w:num>
  <w:num w:numId="121">
    <w:abstractNumId w:val="47"/>
  </w:num>
  <w:num w:numId="122">
    <w:abstractNumId w:val="83"/>
  </w:num>
  <w:num w:numId="123">
    <w:abstractNumId w:val="96"/>
  </w:num>
  <w:num w:numId="124">
    <w:abstractNumId w:val="153"/>
  </w:num>
  <w:num w:numId="125">
    <w:abstractNumId w:val="45"/>
  </w:num>
  <w:num w:numId="126">
    <w:abstractNumId w:val="46"/>
  </w:num>
  <w:num w:numId="127">
    <w:abstractNumId w:val="4"/>
  </w:num>
  <w:num w:numId="128">
    <w:abstractNumId w:val="22"/>
  </w:num>
  <w:num w:numId="129">
    <w:abstractNumId w:val="27"/>
  </w:num>
  <w:num w:numId="130">
    <w:abstractNumId w:val="16"/>
  </w:num>
  <w:num w:numId="131">
    <w:abstractNumId w:val="10"/>
  </w:num>
  <w:num w:numId="132">
    <w:abstractNumId w:val="18"/>
  </w:num>
  <w:num w:numId="133">
    <w:abstractNumId w:val="91"/>
  </w:num>
  <w:num w:numId="134">
    <w:abstractNumId w:val="98"/>
  </w:num>
  <w:num w:numId="135">
    <w:abstractNumId w:val="161"/>
  </w:num>
  <w:num w:numId="136">
    <w:abstractNumId w:val="89"/>
  </w:num>
  <w:num w:numId="137">
    <w:abstractNumId w:val="113"/>
  </w:num>
  <w:num w:numId="138">
    <w:abstractNumId w:val="14"/>
  </w:num>
  <w:num w:numId="139">
    <w:abstractNumId w:val="11"/>
  </w:num>
  <w:num w:numId="140">
    <w:abstractNumId w:val="1"/>
  </w:num>
  <w:num w:numId="141">
    <w:abstractNumId w:val="129"/>
  </w:num>
  <w:num w:numId="142">
    <w:abstractNumId w:val="40"/>
  </w:num>
  <w:num w:numId="143">
    <w:abstractNumId w:val="36"/>
  </w:num>
  <w:num w:numId="144">
    <w:abstractNumId w:val="20"/>
  </w:num>
  <w:num w:numId="145">
    <w:abstractNumId w:val="72"/>
  </w:num>
  <w:num w:numId="146">
    <w:abstractNumId w:val="169"/>
  </w:num>
  <w:num w:numId="147">
    <w:abstractNumId w:val="63"/>
  </w:num>
  <w:num w:numId="148">
    <w:abstractNumId w:val="17"/>
  </w:num>
  <w:num w:numId="149">
    <w:abstractNumId w:val="41"/>
  </w:num>
  <w:num w:numId="150">
    <w:abstractNumId w:val="114"/>
  </w:num>
  <w:num w:numId="151">
    <w:abstractNumId w:val="39"/>
  </w:num>
  <w:num w:numId="152">
    <w:abstractNumId w:val="13"/>
  </w:num>
  <w:num w:numId="153">
    <w:abstractNumId w:val="0"/>
  </w:num>
  <w:num w:numId="154">
    <w:abstractNumId w:val="110"/>
  </w:num>
  <w:num w:numId="155">
    <w:abstractNumId w:val="34"/>
  </w:num>
  <w:num w:numId="156">
    <w:abstractNumId w:val="102"/>
  </w:num>
  <w:num w:numId="157">
    <w:abstractNumId w:val="30"/>
  </w:num>
  <w:num w:numId="158">
    <w:abstractNumId w:val="49"/>
  </w:num>
  <w:num w:numId="159">
    <w:abstractNumId w:val="19"/>
  </w:num>
  <w:num w:numId="160">
    <w:abstractNumId w:val="23"/>
  </w:num>
  <w:num w:numId="161">
    <w:abstractNumId w:val="15"/>
  </w:num>
  <w:num w:numId="162">
    <w:abstractNumId w:val="145"/>
  </w:num>
  <w:num w:numId="163">
    <w:abstractNumId w:val="60"/>
  </w:num>
  <w:num w:numId="164">
    <w:abstractNumId w:val="38"/>
  </w:num>
  <w:num w:numId="165">
    <w:abstractNumId w:val="8"/>
  </w:num>
  <w:num w:numId="166">
    <w:abstractNumId w:val="3"/>
  </w:num>
  <w:num w:numId="167">
    <w:abstractNumId w:val="151"/>
  </w:num>
  <w:num w:numId="168">
    <w:abstractNumId w:val="6"/>
  </w:num>
  <w:num w:numId="169">
    <w:abstractNumId w:val="66"/>
  </w:num>
  <w:num w:numId="170">
    <w:abstractNumId w:val="168"/>
  </w:num>
  <w:num w:numId="171">
    <w:abstractNumId w:val="85"/>
  </w:num>
  <w:num w:numId="172">
    <w:abstractNumId w:val="94"/>
  </w:num>
  <w:num w:numId="173">
    <w:abstractNumId w:val="1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D3EFB"/>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7957"/>
    <w:rsid w:val="00FE239F"/>
    <w:rsid w:val="00FE277A"/>
    <w:rsid w:val="02444DE8"/>
    <w:rsid w:val="05821BC8"/>
    <w:rsid w:val="06FA5A7A"/>
    <w:rsid w:val="07821ECE"/>
    <w:rsid w:val="0AFD2C6A"/>
    <w:rsid w:val="0B7047E7"/>
    <w:rsid w:val="0DEF2D8F"/>
    <w:rsid w:val="1E236F3C"/>
    <w:rsid w:val="20582C19"/>
    <w:rsid w:val="237C08D8"/>
    <w:rsid w:val="240878A8"/>
    <w:rsid w:val="254714C1"/>
    <w:rsid w:val="284211AA"/>
    <w:rsid w:val="2D2E1A85"/>
    <w:rsid w:val="2D723EE5"/>
    <w:rsid w:val="2E3A0162"/>
    <w:rsid w:val="35047460"/>
    <w:rsid w:val="38801F56"/>
    <w:rsid w:val="44C97988"/>
    <w:rsid w:val="44FA379B"/>
    <w:rsid w:val="45DF378E"/>
    <w:rsid w:val="4B7B4D7B"/>
    <w:rsid w:val="4DEF27BE"/>
    <w:rsid w:val="52F77D4C"/>
    <w:rsid w:val="5C24425A"/>
    <w:rsid w:val="60347445"/>
    <w:rsid w:val="6C761CC5"/>
    <w:rsid w:val="72566857"/>
    <w:rsid w:val="75C13CDD"/>
    <w:rsid w:val="75D801AF"/>
    <w:rsid w:val="7B661926"/>
    <w:rsid w:val="7BB00C15"/>
    <w:rsid w:val="7DC96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5">
    <w:name w:val="annotation text"/>
    <w:basedOn w:val="1"/>
    <w:link w:val="25"/>
    <w:unhideWhenUsed/>
    <w:qFormat/>
    <w:uiPriority w:val="99"/>
    <w:pPr>
      <w:jc w:val="left"/>
    </w:pPr>
  </w:style>
  <w:style w:type="paragraph" w:styleId="6">
    <w:name w:val="Body Text"/>
    <w:basedOn w:val="1"/>
    <w:link w:val="34"/>
    <w:qFormat/>
    <w:uiPriority w:val="0"/>
    <w:pPr>
      <w:spacing w:after="120"/>
    </w:pPr>
    <w:rPr>
      <w:rFonts w:ascii="Times New Roman" w:hAnsi="Times New Roman" w:eastAsia="宋体" w:cs="Times New Roman"/>
      <w:szCs w:val="24"/>
    </w:rPr>
  </w:style>
  <w:style w:type="paragraph" w:styleId="7">
    <w:name w:val="toc 3"/>
    <w:basedOn w:val="1"/>
    <w:next w:val="1"/>
    <w:autoRedefine/>
    <w:unhideWhenUsed/>
    <w:qFormat/>
    <w:uiPriority w:val="39"/>
    <w:pPr>
      <w:ind w:left="840" w:leftChars="400"/>
    </w:pPr>
  </w:style>
  <w:style w:type="paragraph" w:styleId="8">
    <w:name w:val="footer"/>
    <w:basedOn w:val="1"/>
    <w:link w:val="24"/>
    <w:unhideWhenUsed/>
    <w:qFormat/>
    <w:uiPriority w:val="99"/>
    <w:pPr>
      <w:tabs>
        <w:tab w:val="center" w:pos="4153"/>
        <w:tab w:val="right" w:pos="8306"/>
      </w:tabs>
      <w:snapToGrid w:val="0"/>
      <w:jc w:val="left"/>
    </w:pPr>
    <w:rPr>
      <w:sz w:val="18"/>
      <w:szCs w:val="18"/>
    </w:rPr>
  </w:style>
  <w:style w:type="paragraph" w:styleId="9">
    <w:name w:val="header"/>
    <w:basedOn w:val="1"/>
    <w:link w:val="23"/>
    <w:unhideWhenUsed/>
    <w:qFormat/>
    <w:uiPriority w:val="0"/>
    <w:pP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paragraph" w:styleId="12">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4">
    <w:name w:val="annotation subject"/>
    <w:basedOn w:val="5"/>
    <w:next w:val="5"/>
    <w:link w:val="26"/>
    <w:semiHidden/>
    <w:unhideWhenUsed/>
    <w:qFormat/>
    <w:uiPriority w:val="99"/>
    <w:rPr>
      <w:b/>
      <w:bCs/>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Emphasis"/>
    <w:basedOn w:val="17"/>
    <w:qFormat/>
    <w:uiPriority w:val="20"/>
    <w:rPr>
      <w:i/>
      <w:iCs/>
    </w:rPr>
  </w:style>
  <w:style w:type="character" w:styleId="20">
    <w:name w:val="Hyperlink"/>
    <w:basedOn w:val="17"/>
    <w:unhideWhenUsed/>
    <w:qFormat/>
    <w:uiPriority w:val="99"/>
    <w:rPr>
      <w:color w:val="0563C1" w:themeColor="hyperlink"/>
      <w:u w:val="single"/>
      <w14:textFill>
        <w14:solidFill>
          <w14:schemeClr w14:val="hlink"/>
        </w14:solidFill>
      </w14:textFill>
    </w:rPr>
  </w:style>
  <w:style w:type="character" w:styleId="21">
    <w:name w:val="annotation reference"/>
    <w:basedOn w:val="17"/>
    <w:unhideWhenUsed/>
    <w:qFormat/>
    <w:uiPriority w:val="99"/>
    <w:rPr>
      <w:sz w:val="21"/>
      <w:szCs w:val="21"/>
    </w:rPr>
  </w:style>
  <w:style w:type="paragraph" w:customStyle="1" w:styleId="22">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3">
    <w:name w:val="页眉 字符"/>
    <w:basedOn w:val="17"/>
    <w:link w:val="9"/>
    <w:qFormat/>
    <w:uiPriority w:val="0"/>
    <w:rPr>
      <w:sz w:val="18"/>
      <w:szCs w:val="18"/>
    </w:rPr>
  </w:style>
  <w:style w:type="character" w:customStyle="1" w:styleId="24">
    <w:name w:val="页脚 字符"/>
    <w:basedOn w:val="17"/>
    <w:link w:val="8"/>
    <w:qFormat/>
    <w:uiPriority w:val="99"/>
    <w:rPr>
      <w:sz w:val="18"/>
      <w:szCs w:val="18"/>
    </w:rPr>
  </w:style>
  <w:style w:type="character" w:customStyle="1" w:styleId="25">
    <w:name w:val="批注文字 字符"/>
    <w:basedOn w:val="17"/>
    <w:link w:val="5"/>
    <w:qFormat/>
    <w:uiPriority w:val="99"/>
  </w:style>
  <w:style w:type="character" w:customStyle="1" w:styleId="26">
    <w:name w:val="批注主题 字符"/>
    <w:basedOn w:val="25"/>
    <w:link w:val="14"/>
    <w:semiHidden/>
    <w:qFormat/>
    <w:uiPriority w:val="99"/>
    <w:rPr>
      <w:b/>
      <w:bCs/>
    </w:rPr>
  </w:style>
  <w:style w:type="character" w:customStyle="1" w:styleId="27">
    <w:name w:val="Unresolved Mention"/>
    <w:basedOn w:val="17"/>
    <w:semiHidden/>
    <w:unhideWhenUsed/>
    <w:qFormat/>
    <w:uiPriority w:val="99"/>
    <w:rPr>
      <w:color w:val="605E5C"/>
      <w:shd w:val="clear" w:color="auto" w:fill="E1DFDD"/>
    </w:rPr>
  </w:style>
  <w:style w:type="paragraph" w:styleId="28">
    <w:name w:val="List Paragraph"/>
    <w:basedOn w:val="1"/>
    <w:link w:val="29"/>
    <w:qFormat/>
    <w:uiPriority w:val="34"/>
    <w:pPr>
      <w:ind w:firstLine="420" w:firstLineChars="200"/>
    </w:pPr>
  </w:style>
  <w:style w:type="character" w:customStyle="1" w:styleId="29">
    <w:name w:val="列表段落 字符"/>
    <w:link w:val="28"/>
    <w:qFormat/>
    <w:uiPriority w:val="34"/>
  </w:style>
  <w:style w:type="character" w:customStyle="1" w:styleId="30">
    <w:name w:val="标题 2 字符"/>
    <w:basedOn w:val="17"/>
    <w:link w:val="4"/>
    <w:qFormat/>
    <w:uiPriority w:val="9"/>
    <w:rPr>
      <w:rFonts w:asciiTheme="majorHAnsi" w:hAnsiTheme="majorHAnsi" w:eastAsiaTheme="majorEastAsia" w:cstheme="majorBidi"/>
      <w:b/>
      <w:bCs/>
      <w:sz w:val="32"/>
      <w:szCs w:val="32"/>
    </w:rPr>
  </w:style>
  <w:style w:type="paragraph" w:customStyle="1" w:styleId="31">
    <w:name w:val="正文缩进2格"/>
    <w:basedOn w:val="1"/>
    <w:link w:val="32"/>
    <w:qFormat/>
    <w:uiPriority w:val="0"/>
    <w:pPr>
      <w:spacing w:line="600" w:lineRule="exact"/>
      <w:ind w:firstLine="639" w:firstLineChars="206"/>
    </w:pPr>
    <w:rPr>
      <w:rFonts w:ascii="仿宋_GB2312" w:hAnsi="宋体" w:eastAsia="仿宋_GB2312" w:cs="Times New Roman"/>
      <w:sz w:val="31"/>
      <w:szCs w:val="28"/>
    </w:rPr>
  </w:style>
  <w:style w:type="character" w:customStyle="1" w:styleId="32">
    <w:name w:val="正文缩进2格 Char"/>
    <w:link w:val="31"/>
    <w:qFormat/>
    <w:uiPriority w:val="0"/>
    <w:rPr>
      <w:rFonts w:ascii="仿宋_GB2312" w:hAnsi="宋体" w:eastAsia="仿宋_GB2312" w:cs="Times New Roman"/>
      <w:sz w:val="31"/>
      <w:szCs w:val="28"/>
    </w:rPr>
  </w:style>
  <w:style w:type="paragraph" w:customStyle="1" w:styleId="33">
    <w:name w:val="列出段落1"/>
    <w:basedOn w:val="1"/>
    <w:qFormat/>
    <w:uiPriority w:val="34"/>
    <w:pPr>
      <w:ind w:firstLine="420" w:firstLineChars="200"/>
    </w:pPr>
    <w:rPr>
      <w:rFonts w:ascii="Calibri" w:hAnsi="Calibri" w:eastAsia="宋体" w:cs="黑体"/>
    </w:rPr>
  </w:style>
  <w:style w:type="character" w:customStyle="1" w:styleId="34">
    <w:name w:val="正文文本 字符"/>
    <w:basedOn w:val="17"/>
    <w:link w:val="6"/>
    <w:qFormat/>
    <w:uiPriority w:val="0"/>
    <w:rPr>
      <w:rFonts w:ascii="Times New Roman" w:hAnsi="Times New Roman" w:eastAsia="宋体" w:cs="Times New Roman"/>
      <w:szCs w:val="24"/>
    </w:rPr>
  </w:style>
  <w:style w:type="character" w:customStyle="1" w:styleId="35">
    <w:name w:val="标题 1 字符"/>
    <w:basedOn w:val="17"/>
    <w:link w:val="3"/>
    <w:qFormat/>
    <w:uiPriority w:val="9"/>
    <w:rPr>
      <w:b/>
      <w:bCs/>
      <w:kern w:val="44"/>
      <w:sz w:val="44"/>
      <w:szCs w:val="44"/>
    </w:rPr>
  </w:style>
  <w:style w:type="paragraph" w:customStyle="1" w:styleId="36">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86</Pages>
  <Words>12303</Words>
  <Characters>12726</Characters>
  <Lines>304</Lines>
  <Paragraphs>85</Paragraphs>
  <TotalTime>98</TotalTime>
  <ScaleCrop>false</ScaleCrop>
  <LinksUpToDate>false</LinksUpToDate>
  <CharactersWithSpaces>12850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2025-07-31T09:10:00Z</dcterms:created>
  <dc:creator>Administrator</dc:creator>
  <cp:lastModifiedBy>代理机构</cp:lastModifiedBy>
  <dcterms:modified xsi:type="dcterms:W3CDTF">2025-09-16T08:42:57Z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eyJoZGlkIjoiYTc4OTRkMGYzMjVjNjBiYzgxYWE5YTExYTA0ZTNjMDgiLCJ1c2VySWQiOiI1MTY5MTQyOTMifQ==</vt:lpwstr>
  </property>
  <property fmtid="{D5CDD505-2E9C-101B-9397-08002B2CF9AE}" pid="3" name="KSOProductBuildVer">
    <vt:lpwstr>2052-12.1.0.22529</vt:lpwstr>
  </property>
  <property fmtid="{D5CDD505-2E9C-101B-9397-08002B2CF9AE}" pid="4" name="ICV">
    <vt:lpwstr>6594493B58AF46E8982DA51BFEC7DE6A_12</vt:lpwstr>
  </property>
</Properties>
</file>